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00a8ce9f01252ee933d31ffed2c10f1672bce1"/>
    <w:p>
      <w:pPr>
        <w:pStyle w:val="Heading1"/>
      </w:pPr>
      <w:r>
        <w:t xml:space="preserve">PRIVILEGED &amp; CONFIDENTIAL — ATTORNEY-CLIENT COMMUNICATION / ATTORNEY WORK PRODUCT</w:t>
      </w:r>
    </w:p>
    <w:p>
      <w:pPr>
        <w:pStyle w:val="FirstParagraph"/>
      </w:pPr>
      <w:r>
        <w:rPr>
          <w:b/>
          <w:bCs/>
        </w:rPr>
        <w:t xml:space="preserve">PREPARED IN ANTICIPATION OF LITIGATION AND IN CONNECTION WITH SERIES C DUE DILIGENCE</w:t>
      </w:r>
    </w:p>
    <w:p>
      <w:r>
        <w:pict>
          <v:rect style="width:0;height:1.5pt" o:hralign="center" o:hrstd="t" o:hr="t"/>
        </w:pict>
      </w:r>
    </w:p>
    <w:bookmarkStart w:id="20" w:name="privacy-issue-identification-memorandum"/>
    <w:p>
      <w:pPr>
        <w:pStyle w:val="Heading2"/>
      </w:pPr>
      <w:r>
        <w:t xml:space="preserve">PRIVACY ISSUE IDENTIFICATION MEMORANDUM</w:t>
      </w:r>
    </w:p>
    <w:p>
      <w:pPr>
        <w:pStyle w:val="FirstParagraph"/>
      </w:pPr>
      <w:r>
        <w:rPr>
          <w:b/>
          <w:bCs/>
        </w:rPr>
        <w:t xml:space="preserve">TO:</w:t>
      </w:r>
      <w:r>
        <w:t xml:space="preserve"> </w:t>
      </w:r>
      <w:r>
        <w:t xml:space="preserve">Priya Venkatesh, General Counsel, Vaultline Technologies, Inc.; Marcus Reinholt, Chief Executive Officer</w:t>
      </w:r>
      <w:r>
        <w:t xml:space="preserve"> </w:t>
      </w:r>
      <w:r>
        <w:rPr>
          <w:b/>
          <w:bCs/>
        </w:rPr>
        <w:t xml:space="preserve">FROM:</w:t>
      </w:r>
      <w:r>
        <w:t xml:space="preserve"> </w:t>
      </w:r>
      <w:r>
        <w:t xml:space="preserve">Thornbury &amp; Locke LLP — Privacy &amp; Data Protection Practice Group (Catherine Aldridge, Partner; Daniel Fong, Associate)</w:t>
      </w:r>
      <w:r>
        <w:t xml:space="preserve"> </w:t>
      </w:r>
      <w:r>
        <w:rPr>
          <w:b/>
          <w:bCs/>
        </w:rPr>
        <w:t xml:space="preserve">CC:</w:t>
      </w:r>
      <w:r>
        <w:t xml:space="preserve"> </w:t>
      </w:r>
      <w:r>
        <w:t xml:space="preserve">Deal Team File — Series C (Kessler Whitman Ventures)</w:t>
      </w:r>
      <w:r>
        <w:t xml:space="preserve"> </w:t>
      </w:r>
      <w:r>
        <w:rPr>
          <w:b/>
          <w:bCs/>
        </w:rPr>
        <w:t xml:space="preserve">DATE:</w:t>
      </w:r>
      <w:r>
        <w:t xml:space="preserve"> </w:t>
      </w:r>
      <w:r>
        <w:t xml:space="preserve">March 10, 2025</w:t>
      </w:r>
      <w:r>
        <w:t xml:space="preserve"> </w:t>
      </w:r>
      <w:r>
        <w:rPr>
          <w:b/>
          <w:bCs/>
        </w:rPr>
        <w:t xml:space="preserve">RE:</w:t>
      </w:r>
      <w:r>
        <w:t xml:space="preserve"> </w:t>
      </w:r>
      <w:r>
        <w:t xml:space="preserve">Cross-Document Privacy and Data Protection Compliance Gaps — Vaultline Technologies, Inc.</w:t>
      </w:r>
      <w:r>
        <w:t xml:space="preserve"> </w:t>
      </w:r>
      <w:r>
        <w:rPr>
          <w:b/>
          <w:bCs/>
        </w:rPr>
        <w:t xml:space="preserve">MATTER NO.:</w:t>
      </w:r>
      <w:r>
        <w:t xml:space="preserve"> </w:t>
      </w:r>
      <w:r>
        <w:t xml:space="preserve">TL-VAULT-2025-014</w:t>
      </w:r>
      <w:r>
        <w:t xml:space="preserve"> </w:t>
      </w:r>
      <w:r>
        <w:rPr>
          <w:b/>
          <w:bCs/>
        </w:rPr>
        <w:t xml:space="preserve">DISTRIBUTION:</w:t>
      </w:r>
      <w:r>
        <w:t xml:space="preserve"> </w:t>
      </w:r>
      <w:r>
        <w:t xml:space="preserve">Authorized recipients only. Do not forward.</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responds to the March 3, 2025 request from Ashford Barnes LLP (counsel to Kessler Whitman Ventures) for a comprehensive privacy and data protection compliance review of Vaultline Technologies, Inc.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in advance of the April 15, 2025 Series C diligence deadline and the planned Q3 2025 EU market launch. We have reviewed five documents made available to us: (1) the Company’s consumer-facing Privacy Policy; (2) the internal Data Inventory (v3.4); (3) the Data Sharing Agreement with Brightly Analytics, Inc. (as amended June 15, 2024); (4) the August 2024 Incident Response Log; and (5) the investor counsel’s preliminary diligence email.</w:t>
      </w:r>
    </w:p>
    <w:p>
      <w:pPr>
        <w:pStyle w:val="BodyText"/>
      </w:pPr>
      <w:r>
        <w:t xml:space="preserve">Our review identifies</w:t>
      </w:r>
      <w:r>
        <w:t xml:space="preserve"> </w:t>
      </w:r>
      <w:r>
        <w:rPr>
          <w:b/>
          <w:bCs/>
        </w:rPr>
        <w:t xml:space="preserve">fifteen (15) cross-document compliance gaps</w:t>
      </w:r>
      <w:r>
        <w:t xml:space="preserve">, ranging from critical statutory exposure to lower-priority drafting inconsistencies. The most serious findings, each corroborated by two or more of the reviewed documents, are:</w:t>
      </w:r>
    </w:p>
    <w:p>
      <w:pPr>
        <w:numPr>
          <w:ilvl w:val="0"/>
          <w:numId w:val="1001"/>
        </w:numPr>
      </w:pPr>
      <w:r>
        <w:rPr>
          <w:b/>
          <w:bCs/>
        </w:rPr>
        <w:t xml:space="preserve">Undisclosed biometric data processing (Selfie Verify).</w:t>
      </w:r>
      <w:r>
        <w:t xml:space="preserve"> </w:t>
      </w:r>
      <w:r>
        <w:t xml:space="preserve">The Privacy Policy — last updated January 15, 2023 — contains no mention of biometric data, even though the Data Inventory confirms that the Selfie Verify feature (launched March 8, 2023) has captured facial geometry templates from approximately 1.9 million users, including approximately 87,000 Illinois residents, without written informed consent or a publicly available retention/destruction policy. This creates private-right-of-action exposure under the Illinois Biometric Information Privacy Act (</w:t>
      </w:r>
      <w:r>
        <w:t xml:space="preserve">“</w:t>
      </w:r>
      <w:r>
        <w:t xml:space="preserve">BIPA</w:t>
      </w:r>
      <w:r>
        <w:t xml:space="preserve">”</w:t>
      </w:r>
      <w:r>
        <w:t xml:space="preserve">) estimated at</w:t>
      </w:r>
      <w:r>
        <w:t xml:space="preserve"> </w:t>
      </w:r>
      <w:r>
        <w:rPr>
          <w:b/>
          <w:bCs/>
        </w:rPr>
        <w:t xml:space="preserve">$87 million to $435 million</w:t>
      </w:r>
      <w:r>
        <w:t xml:space="preserve">, plus GDPR Article 9 and CPRA sensitive-personal-information violations.</w:t>
      </w:r>
    </w:p>
    <w:p>
      <w:pPr>
        <w:numPr>
          <w:ilvl w:val="0"/>
          <w:numId w:val="1001"/>
        </w:numPr>
      </w:pPr>
      <w:r>
        <w:rPr>
          <w:b/>
          <w:bCs/>
        </w:rPr>
        <w:t xml:space="preserve">Invalidated international data-transfer mechanism.</w:t>
      </w:r>
      <w:r>
        <w:t xml:space="preserve"> </w:t>
      </w:r>
      <w:r>
        <w:t xml:space="preserve">The Privacy Policy continues to rely on the EU-U.S. Privacy Shield, which was invalidated by the Court of Justice of the European Union in</w:t>
      </w:r>
      <w:r>
        <w:t xml:space="preserve"> </w:t>
      </w:r>
      <w:r>
        <w:rPr>
          <w:i/>
          <w:iCs/>
        </w:rPr>
        <w:t xml:space="preserve">Schrems II</w:t>
      </w:r>
      <w:r>
        <w:t xml:space="preserve"> </w:t>
      </w:r>
      <w:r>
        <w:t xml:space="preserve">(Case C-311/18, July 16, 2020). The Data Inventory confirms that no Standard Contractual Clauses, Data Privacy Framework certification, or Binding Corporate Rules are in place for the approximately 23,000 EU-resident users whose data is processed in Virginia, rendering all such processing potentially unlawful under GDPR Chapter V.</w:t>
      </w:r>
    </w:p>
    <w:p>
      <w:pPr>
        <w:numPr>
          <w:ilvl w:val="0"/>
          <w:numId w:val="1001"/>
        </w:numPr>
      </w:pPr>
      <w:r>
        <w:rPr>
          <w:b/>
          <w:bCs/>
        </w:rPr>
        <w:t xml:space="preserve">Undisclosed automated decision-making (Smart Insights).</w:t>
      </w:r>
      <w:r>
        <w:t xml:space="preserve"> </w:t>
      </w:r>
      <w:r>
        <w:t xml:space="preserve">The Privacy Policy is silent on the Smart Insights feature, which the Data Inventory describes as a fully automated system that determines which credit-product offers from 14 partner companies are shown to or withheld from approximately 2.8 million users, with no opt-out and no human review — a mandatory DPIA trigger under GDPR Article 35(3)(a) and a disclosure obligation under GDPR Article 22.</w:t>
      </w:r>
    </w:p>
    <w:p>
      <w:pPr>
        <w:numPr>
          <w:ilvl w:val="0"/>
          <w:numId w:val="1001"/>
        </w:numPr>
      </w:pPr>
      <w:r>
        <w:rPr>
          <w:b/>
          <w:bCs/>
        </w:rPr>
        <w:t xml:space="preserve">Regulatory notification gaps in the August 2024 breach.</w:t>
      </w:r>
      <w:r>
        <w:t xml:space="preserve"> </w:t>
      </w:r>
      <w:r>
        <w:t xml:space="preserve">The Incident Response Log identifies the obligation to notify the California Attorney General (breach affecting ~3,100 California residents, exceeding the 500-resident threshold) and an EU supervisory authority under GDPR Article 33 (72-hour window), but the log’s Notification Log does not document that either regulator was notified, and consumer notification occurred 47 days after discovery.</w:t>
      </w:r>
    </w:p>
    <w:p>
      <w:pPr>
        <w:pStyle w:val="FirstParagraph"/>
      </w:pPr>
      <w:r>
        <w:t xml:space="preserve">The Brightly Analytics relationship, the GDPR transparency regime, the CCPA/CPRA consumer-rights disclosures, and data-retention practices each present additional high-severity exposure. A prioritized remediation roadmap appears in Section VII.</w:t>
      </w:r>
    </w:p>
    <w:p>
      <w:pPr>
        <w:pStyle w:val="BodyText"/>
      </w:pPr>
      <w:r>
        <w:rPr>
          <w:b/>
          <w:bCs/>
        </w:rPr>
        <w:t xml:space="preserve">Severity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Authorities</w:t>
            </w:r>
          </w:p>
        </w:tc>
      </w:tr>
      <w:tr>
        <w:tc>
          <w:tcPr/>
          <w:p>
            <w:pPr>
              <w:pStyle w:val="Compact"/>
              <w:jc w:val="left"/>
            </w:pPr>
            <w:r>
              <w:t xml:space="preserve">1</w:t>
            </w:r>
          </w:p>
        </w:tc>
        <w:tc>
          <w:tcPr/>
          <w:p>
            <w:pPr>
              <w:pStyle w:val="Compact"/>
              <w:jc w:val="left"/>
            </w:pPr>
            <w:r>
              <w:t xml:space="preserve">Undisclosed biometric data / Selfie Verify</w:t>
            </w:r>
          </w:p>
        </w:tc>
        <w:tc>
          <w:tcPr/>
          <w:p>
            <w:pPr>
              <w:pStyle w:val="Compact"/>
              <w:jc w:val="left"/>
            </w:pPr>
            <w:r>
              <w:t xml:space="preserve">Critical</w:t>
            </w:r>
          </w:p>
        </w:tc>
        <w:tc>
          <w:tcPr/>
          <w:p>
            <w:pPr>
              <w:pStyle w:val="Compact"/>
              <w:jc w:val="left"/>
            </w:pPr>
            <w:r>
              <w:t xml:space="preserve">BIPA; GDPR Art. 9; CPRA</w:t>
            </w:r>
          </w:p>
        </w:tc>
      </w:tr>
      <w:tr>
        <w:tc>
          <w:tcPr/>
          <w:p>
            <w:pPr>
              <w:pStyle w:val="Compact"/>
              <w:jc w:val="left"/>
            </w:pPr>
            <w:r>
              <w:t xml:space="preserve">2</w:t>
            </w:r>
          </w:p>
        </w:tc>
        <w:tc>
          <w:tcPr/>
          <w:p>
            <w:pPr>
              <w:pStyle w:val="Compact"/>
              <w:jc w:val="left"/>
            </w:pPr>
            <w:r>
              <w:t xml:space="preserve">Invalidated Privacy Shield / no transfer mechanism</w:t>
            </w:r>
          </w:p>
        </w:tc>
        <w:tc>
          <w:tcPr/>
          <w:p>
            <w:pPr>
              <w:pStyle w:val="Compact"/>
              <w:jc w:val="left"/>
            </w:pPr>
            <w:r>
              <w:t xml:space="preserve">Critical</w:t>
            </w:r>
          </w:p>
        </w:tc>
        <w:tc>
          <w:tcPr/>
          <w:p>
            <w:pPr>
              <w:pStyle w:val="Compact"/>
              <w:jc w:val="left"/>
            </w:pPr>
            <w:r>
              <w:t xml:space="preserve">GDPR Ch. V;</w:t>
            </w:r>
            <w:r>
              <w:t xml:space="preserve"> </w:t>
            </w:r>
            <w:r>
              <w:rPr>
                <w:i/>
                <w:iCs/>
              </w:rPr>
              <w:t xml:space="preserve">Schrems II</w:t>
            </w:r>
          </w:p>
        </w:tc>
      </w:tr>
      <w:tr>
        <w:tc>
          <w:tcPr/>
          <w:p>
            <w:pPr>
              <w:pStyle w:val="Compact"/>
              <w:jc w:val="left"/>
            </w:pPr>
            <w:r>
              <w:t xml:space="preserve">3</w:t>
            </w:r>
          </w:p>
        </w:tc>
        <w:tc>
          <w:tcPr/>
          <w:p>
            <w:pPr>
              <w:pStyle w:val="Compact"/>
              <w:jc w:val="left"/>
            </w:pPr>
            <w:r>
              <w:t xml:space="preserve">Undisclosed automated decision-making (Smart Insights)</w:t>
            </w:r>
          </w:p>
        </w:tc>
        <w:tc>
          <w:tcPr/>
          <w:p>
            <w:pPr>
              <w:pStyle w:val="Compact"/>
              <w:jc w:val="left"/>
            </w:pPr>
            <w:r>
              <w:t xml:space="preserve">Critical</w:t>
            </w:r>
          </w:p>
        </w:tc>
        <w:tc>
          <w:tcPr/>
          <w:p>
            <w:pPr>
              <w:pStyle w:val="Compact"/>
              <w:jc w:val="left"/>
            </w:pPr>
            <w:r>
              <w:t xml:space="preserve">GDPR Arts. 22, 35(3)(a)</w:t>
            </w:r>
          </w:p>
        </w:tc>
      </w:tr>
      <w:tr>
        <w:tc>
          <w:tcPr/>
          <w:p>
            <w:pPr>
              <w:pStyle w:val="Compact"/>
              <w:jc w:val="left"/>
            </w:pPr>
            <w:r>
              <w:t xml:space="preserve">4</w:t>
            </w:r>
          </w:p>
        </w:tc>
        <w:tc>
          <w:tcPr/>
          <w:p>
            <w:pPr>
              <w:pStyle w:val="Compact"/>
              <w:jc w:val="left"/>
            </w:pPr>
            <w:r>
              <w:t xml:space="preserve">Breach regulatory-notification gaps</w:t>
            </w:r>
          </w:p>
        </w:tc>
        <w:tc>
          <w:tcPr/>
          <w:p>
            <w:pPr>
              <w:pStyle w:val="Compact"/>
              <w:jc w:val="left"/>
            </w:pPr>
            <w:r>
              <w:t xml:space="preserve">Critical</w:t>
            </w:r>
          </w:p>
        </w:tc>
        <w:tc>
          <w:tcPr/>
          <w:p>
            <w:pPr>
              <w:pStyle w:val="Compact"/>
              <w:jc w:val="left"/>
            </w:pPr>
            <w:r>
              <w:t xml:space="preserve">Cal. Civ. Code § 1798.82; GDPR Arts. 33–34</w:t>
            </w:r>
          </w:p>
        </w:tc>
      </w:tr>
      <w:tr>
        <w:tc>
          <w:tcPr/>
          <w:p>
            <w:pPr>
              <w:pStyle w:val="Compact"/>
              <w:jc w:val="left"/>
            </w:pPr>
            <w:r>
              <w:t xml:space="preserve">5</w:t>
            </w:r>
          </w:p>
        </w:tc>
        <w:tc>
          <w:tcPr/>
          <w:p>
            <w:pPr>
              <w:pStyle w:val="Compact"/>
              <w:jc w:val="left"/>
            </w:pPr>
            <w:r>
              <w:t xml:space="preserve">Brightly</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without opt-out; DSA defects</w:t>
            </w:r>
          </w:p>
        </w:tc>
        <w:tc>
          <w:tcPr/>
          <w:p>
            <w:pPr>
              <w:pStyle w:val="Compact"/>
              <w:jc w:val="left"/>
            </w:pPr>
            <w:r>
              <w:t xml:space="preserve">High</w:t>
            </w:r>
          </w:p>
        </w:tc>
        <w:tc>
          <w:tcPr/>
          <w:p>
            <w:pPr>
              <w:pStyle w:val="Compact"/>
              <w:jc w:val="left"/>
            </w:pPr>
            <w:r>
              <w:t xml:space="preserve">CPRA; GDPR Art. 26</w:t>
            </w:r>
          </w:p>
        </w:tc>
      </w:tr>
      <w:tr>
        <w:tc>
          <w:tcPr/>
          <w:p>
            <w:pPr>
              <w:pStyle w:val="Compact"/>
              <w:jc w:val="left"/>
            </w:pPr>
            <w:r>
              <w:t xml:space="preserve">6</w:t>
            </w:r>
          </w:p>
        </w:tc>
        <w:tc>
          <w:tcPr/>
          <w:p>
            <w:pPr>
              <w:pStyle w:val="Compact"/>
              <w:jc w:val="left"/>
            </w:pPr>
            <w:r>
              <w:t xml:space="preserve">GDPR transparency failures (Arts. 13/14); no DPO/EU rep</w:t>
            </w:r>
          </w:p>
        </w:tc>
        <w:tc>
          <w:tcPr/>
          <w:p>
            <w:pPr>
              <w:pStyle w:val="Compact"/>
              <w:jc w:val="left"/>
            </w:pPr>
            <w:r>
              <w:t xml:space="preserve">High</w:t>
            </w:r>
          </w:p>
        </w:tc>
        <w:tc>
          <w:tcPr/>
          <w:p>
            <w:pPr>
              <w:pStyle w:val="Compact"/>
              <w:jc w:val="left"/>
            </w:pPr>
            <w:r>
              <w:t xml:space="preserve">GDPR Arts. 13, 14, 27, 37</w:t>
            </w:r>
          </w:p>
        </w:tc>
      </w:tr>
      <w:tr>
        <w:tc>
          <w:tcPr/>
          <w:p>
            <w:pPr>
              <w:pStyle w:val="Compact"/>
              <w:jc w:val="left"/>
            </w:pPr>
            <w:r>
              <w:t xml:space="preserve">7</w:t>
            </w:r>
          </w:p>
        </w:tc>
        <w:tc>
          <w:tcPr/>
          <w:p>
            <w:pPr>
              <w:pStyle w:val="Compact"/>
              <w:jc w:val="left"/>
            </w:pPr>
            <w:r>
              <w:t xml:space="preserve">Incomplete CCPA/CPRA consumer-rights disclosures</w:t>
            </w:r>
          </w:p>
        </w:tc>
        <w:tc>
          <w:tcPr/>
          <w:p>
            <w:pPr>
              <w:pStyle w:val="Compact"/>
              <w:jc w:val="left"/>
            </w:pPr>
            <w:r>
              <w:t xml:space="preserve">High</w:t>
            </w:r>
          </w:p>
        </w:tc>
        <w:tc>
          <w:tcPr/>
          <w:p>
            <w:pPr>
              <w:pStyle w:val="Compact"/>
              <w:jc w:val="left"/>
            </w:pPr>
            <w:r>
              <w:t xml:space="preserve">CCPA/CPRA</w:t>
            </w:r>
          </w:p>
        </w:tc>
      </w:tr>
      <w:tr>
        <w:tc>
          <w:tcPr/>
          <w:p>
            <w:pPr>
              <w:pStyle w:val="Compact"/>
              <w:jc w:val="left"/>
            </w:pPr>
            <w:r>
              <w:t xml:space="preserve">8</w:t>
            </w:r>
          </w:p>
        </w:tc>
        <w:tc>
          <w:tcPr/>
          <w:p>
            <w:pPr>
              <w:pStyle w:val="Compact"/>
              <w:jc w:val="left"/>
            </w:pPr>
            <w:r>
              <w:t xml:space="preserve">Indefinite retention of sensitive data; no retention disclosure</w:t>
            </w:r>
          </w:p>
        </w:tc>
        <w:tc>
          <w:tcPr/>
          <w:p>
            <w:pPr>
              <w:pStyle w:val="Compact"/>
              <w:jc w:val="left"/>
            </w:pPr>
            <w:r>
              <w:t xml:space="preserve">High</w:t>
            </w:r>
          </w:p>
        </w:tc>
        <w:tc>
          <w:tcPr/>
          <w:p>
            <w:pPr>
              <w:pStyle w:val="Compact"/>
              <w:jc w:val="left"/>
            </w:pPr>
            <w:r>
              <w:t xml:space="preserve">CPRA; GDPR Art. 5(1)(e); BIPA</w:t>
            </w:r>
          </w:p>
        </w:tc>
      </w:tr>
      <w:tr>
        <w:tc>
          <w:tcPr/>
          <w:p>
            <w:pPr>
              <w:pStyle w:val="Compact"/>
              <w:jc w:val="left"/>
            </w:pPr>
            <w:r>
              <w:t xml:space="preserve">9</w:t>
            </w:r>
          </w:p>
        </w:tc>
        <w:tc>
          <w:tcPr/>
          <w:p>
            <w:pPr>
              <w:pStyle w:val="Compact"/>
              <w:jc w:val="left"/>
            </w:pPr>
            <w:r>
              <w:t xml:space="preserve">Potential GLBA applicability; no financial-privacy notices</w:t>
            </w:r>
          </w:p>
        </w:tc>
        <w:tc>
          <w:tcPr/>
          <w:p>
            <w:pPr>
              <w:pStyle w:val="Compact"/>
              <w:jc w:val="left"/>
            </w:pPr>
            <w:r>
              <w:t xml:space="preserve">Medium</w:t>
            </w:r>
          </w:p>
        </w:tc>
        <w:tc>
          <w:tcPr/>
          <w:p>
            <w:pPr>
              <w:pStyle w:val="Compact"/>
              <w:jc w:val="left"/>
            </w:pPr>
            <w:r>
              <w:t xml:space="preserve">GLBA; Reg. P</w:t>
            </w:r>
          </w:p>
        </w:tc>
      </w:tr>
      <w:tr>
        <w:tc>
          <w:tcPr/>
          <w:p>
            <w:pPr>
              <w:pStyle w:val="Compact"/>
              <w:jc w:val="left"/>
            </w:pPr>
            <w:r>
              <w:t xml:space="preserve">10</w:t>
            </w:r>
          </w:p>
        </w:tc>
        <w:tc>
          <w:tcPr/>
          <w:p>
            <w:pPr>
              <w:pStyle w:val="Compact"/>
              <w:jc w:val="left"/>
            </w:pPr>
            <w:r>
              <w:t xml:space="preserve">Non-compliant cookie consent; undisclosed ad-tech partners</w:t>
            </w:r>
          </w:p>
        </w:tc>
        <w:tc>
          <w:tcPr/>
          <w:p>
            <w:pPr>
              <w:pStyle w:val="Compact"/>
              <w:jc w:val="left"/>
            </w:pPr>
            <w:r>
              <w:t xml:space="preserve">Medium</w:t>
            </w:r>
          </w:p>
        </w:tc>
        <w:tc>
          <w:tcPr/>
          <w:p>
            <w:pPr>
              <w:pStyle w:val="Compact"/>
              <w:jc w:val="left"/>
            </w:pPr>
            <w:r>
              <w:t xml:space="preserve">ePrivacy Directive; GDPR; CalOPPA</w:t>
            </w:r>
          </w:p>
        </w:tc>
      </w:tr>
      <w:tr>
        <w:tc>
          <w:tcPr/>
          <w:p>
            <w:pPr>
              <w:pStyle w:val="Compact"/>
              <w:jc w:val="left"/>
            </w:pPr>
            <w:r>
              <w:t xml:space="preserve">11</w:t>
            </w:r>
          </w:p>
        </w:tc>
        <w:tc>
          <w:tcPr/>
          <w:p>
            <w:pPr>
              <w:pStyle w:val="Compact"/>
              <w:jc w:val="left"/>
            </w:pPr>
            <w:r>
              <w:t xml:space="preserve">Browsewrap-only lawful basis; no Art. 6/9 analysis</w:t>
            </w:r>
          </w:p>
        </w:tc>
        <w:tc>
          <w:tcPr/>
          <w:p>
            <w:pPr>
              <w:pStyle w:val="Compact"/>
              <w:jc w:val="left"/>
            </w:pPr>
            <w:r>
              <w:t xml:space="preserve">Medium</w:t>
            </w:r>
          </w:p>
        </w:tc>
        <w:tc>
          <w:tcPr/>
          <w:p>
            <w:pPr>
              <w:pStyle w:val="Compact"/>
              <w:jc w:val="left"/>
            </w:pPr>
            <w:r>
              <w:t xml:space="preserve">GDPR Arts. 6, 7, 9</w:t>
            </w:r>
          </w:p>
        </w:tc>
      </w:tr>
      <w:tr>
        <w:tc>
          <w:tcPr/>
          <w:p>
            <w:pPr>
              <w:pStyle w:val="Compact"/>
              <w:jc w:val="left"/>
            </w:pPr>
            <w:r>
              <w:t xml:space="preserve">12</w:t>
            </w:r>
          </w:p>
        </w:tc>
        <w:tc>
          <w:tcPr/>
          <w:p>
            <w:pPr>
              <w:pStyle w:val="Compact"/>
              <w:jc w:val="left"/>
            </w:pPr>
            <w:r>
              <w:t xml:space="preserve">Privacy Policy staleness and readability</w:t>
            </w:r>
          </w:p>
        </w:tc>
        <w:tc>
          <w:tcPr/>
          <w:p>
            <w:pPr>
              <w:pStyle w:val="Compact"/>
              <w:jc w:val="left"/>
            </w:pPr>
            <w:r>
              <w:t xml:space="preserve">Lower</w:t>
            </w:r>
          </w:p>
        </w:tc>
        <w:tc>
          <w:tcPr/>
          <w:p>
            <w:pPr>
              <w:pStyle w:val="Compact"/>
              <w:jc w:val="left"/>
            </w:pPr>
            <w:r>
              <w:t xml:space="preserve">FTC</w:t>
            </w:r>
            <w:r>
              <w:t xml:space="preserve"> </w:t>
            </w:r>
            <w:r>
              <w:t xml:space="preserve">“</w:t>
            </w:r>
            <w:r>
              <w:t xml:space="preserve">clear and conspicuous</w:t>
            </w:r>
            <w:r>
              <w:t xml:space="preserve">”</w:t>
            </w:r>
          </w:p>
        </w:tc>
      </w:tr>
      <w:tr>
        <w:tc>
          <w:tcPr/>
          <w:p>
            <w:pPr>
              <w:pStyle w:val="Compact"/>
              <w:jc w:val="left"/>
            </w:pPr>
            <w:r>
              <w:t xml:space="preserve">13</w:t>
            </w:r>
          </w:p>
        </w:tc>
        <w:tc>
          <w:tcPr/>
          <w:p>
            <w:pPr>
              <w:pStyle w:val="Compact"/>
              <w:jc w:val="left"/>
            </w:pPr>
            <w:r>
              <w:t xml:space="preserve">EU data-location inconsistency (Virginia vs. Dublin)</w:t>
            </w:r>
          </w:p>
        </w:tc>
        <w:tc>
          <w:tcPr/>
          <w:p>
            <w:pPr>
              <w:pStyle w:val="Compact"/>
              <w:jc w:val="left"/>
            </w:pPr>
            <w:r>
              <w:t xml:space="preserve">Lower</w:t>
            </w:r>
          </w:p>
        </w:tc>
        <w:tc>
          <w:tcPr/>
          <w:p>
            <w:pPr>
              <w:pStyle w:val="Compact"/>
              <w:jc w:val="left"/>
            </w:pPr>
            <w:r>
              <w:t xml:space="preserve">Factual reconciliation</w:t>
            </w:r>
          </w:p>
        </w:tc>
      </w:tr>
      <w:tr>
        <w:tc>
          <w:tcPr/>
          <w:p>
            <w:pPr>
              <w:pStyle w:val="Compact"/>
              <w:jc w:val="left"/>
            </w:pPr>
            <w:r>
              <w:t xml:space="preserve">14</w:t>
            </w:r>
          </w:p>
        </w:tc>
        <w:tc>
          <w:tcPr/>
          <w:p>
            <w:pPr>
              <w:pStyle w:val="Compact"/>
              <w:jc w:val="left"/>
            </w:pPr>
            <w:r>
              <w:t xml:space="preserve">DSA 72-hour breach-notice to Brightly not documented</w:t>
            </w:r>
          </w:p>
        </w:tc>
        <w:tc>
          <w:tcPr/>
          <w:p>
            <w:pPr>
              <w:pStyle w:val="Compact"/>
              <w:jc w:val="left"/>
            </w:pPr>
            <w:r>
              <w:t xml:space="preserve">Lower</w:t>
            </w:r>
          </w:p>
        </w:tc>
        <w:tc>
          <w:tcPr/>
          <w:p>
            <w:pPr>
              <w:pStyle w:val="Compact"/>
              <w:jc w:val="left"/>
            </w:pPr>
            <w:r>
              <w:t xml:space="preserve">DSA § 9.2</w:t>
            </w:r>
          </w:p>
        </w:tc>
      </w:tr>
      <w:tr>
        <w:tc>
          <w:tcPr/>
          <w:p>
            <w:pPr>
              <w:pStyle w:val="Compact"/>
              <w:jc w:val="left"/>
            </w:pPr>
            <w:r>
              <w:t xml:space="preserve">15</w:t>
            </w:r>
          </w:p>
        </w:tc>
        <w:tc>
          <w:tcPr/>
          <w:p>
            <w:pPr>
              <w:pStyle w:val="Compact"/>
              <w:jc w:val="left"/>
            </w:pPr>
            <w:r>
              <w:t xml:space="preserve">Governing-law inconsistency (Texas vs. New York/arbitration)</w:t>
            </w:r>
          </w:p>
        </w:tc>
        <w:tc>
          <w:tcPr/>
          <w:p>
            <w:pPr>
              <w:pStyle w:val="Compact"/>
              <w:jc w:val="left"/>
            </w:pPr>
            <w:r>
              <w:t xml:space="preserve">Lower</w:t>
            </w:r>
          </w:p>
        </w:tc>
        <w:tc>
          <w:tcPr/>
          <w:p>
            <w:pPr>
              <w:pStyle w:val="Compact"/>
              <w:jc w:val="left"/>
            </w:pPr>
            <w:r>
              <w:t xml:space="preserve">Contractual consistency</w:t>
            </w:r>
          </w:p>
        </w:tc>
      </w:tr>
    </w:tbl>
    <w:p>
      <w:r>
        <w:pict>
          <v:rect style="width:0;height:1.5pt" o:hralign="center" o:hrstd="t" o:hr="t"/>
        </w:pict>
      </w:r>
    </w:p>
    <w:bookmarkEnd w:id="21"/>
    <w:bookmarkStart w:id="22" w:name="ii.-documents-reviewed"/>
    <w:p>
      <w:pPr>
        <w:pStyle w:val="Heading2"/>
      </w:pPr>
      <w:r>
        <w:t xml:space="preserve">II. Documents Reviewed</w:t>
      </w:r>
    </w:p>
    <w:p>
      <w:pPr>
        <w:pStyle w:val="Compact"/>
        <w:numPr>
          <w:ilvl w:val="0"/>
          <w:numId w:val="1002"/>
        </w:numPr>
      </w:pPr>
      <w:r>
        <w:rPr>
          <w:b/>
          <w:bCs/>
        </w:rPr>
        <w:t xml:space="preserve">Privacy Policy</w:t>
      </w:r>
      <w:r>
        <w:t xml:space="preserve"> </w:t>
      </w:r>
      <w:r>
        <w:t xml:space="preserve">—</w:t>
      </w:r>
      <w:r>
        <w:t xml:space="preserve"> </w:t>
      </w:r>
      <w:r>
        <w:rPr>
          <w:i/>
          <w:iCs/>
        </w:rPr>
        <w:t xml:space="preserve">Vaultline Technologies, Inc. Privacy Policy</w:t>
      </w:r>
      <w:r>
        <w:t xml:space="preserve">,</w:t>
      </w:r>
      <w:r>
        <w:t xml:space="preserve"> </w:t>
      </w:r>
      <w:r>
        <w:t xml:space="preserve">“</w:t>
      </w:r>
      <w:r>
        <w:t xml:space="preserve">Last Updated: January 15, 2023,</w:t>
      </w:r>
      <w:r>
        <w:t xml:space="preserve">”</w:t>
      </w:r>
      <w:r>
        <w:t xml:space="preserve"> </w:t>
      </w:r>
      <w:r>
        <w:t xml:space="preserve">published at vaultline.com (the</w:t>
      </w:r>
      <w:r>
        <w:t xml:space="preserve"> </w:t>
      </w:r>
      <w:r>
        <w:t xml:space="preserve">“</w:t>
      </w:r>
      <w:r>
        <w:t xml:space="preserve">Privacy Policy</w:t>
      </w:r>
      <w:r>
        <w:t xml:space="preserve">”</w:t>
      </w:r>
      <w:r>
        <w:t xml:space="preserve">).</w:t>
      </w:r>
    </w:p>
    <w:p>
      <w:pPr>
        <w:pStyle w:val="Compact"/>
        <w:numPr>
          <w:ilvl w:val="0"/>
          <w:numId w:val="1002"/>
        </w:numPr>
      </w:pPr>
      <w:r>
        <w:rPr>
          <w:b/>
          <w:bCs/>
        </w:rPr>
        <w:t xml:space="preserve">Data Inventory</w:t>
      </w:r>
      <w:r>
        <w:t xml:space="preserve"> </w:t>
      </w:r>
      <w:r>
        <w:t xml:space="preserve">—</w:t>
      </w:r>
      <w:r>
        <w:t xml:space="preserve"> </w:t>
      </w:r>
      <w:r>
        <w:rPr>
          <w:i/>
          <w:iCs/>
        </w:rPr>
        <w:t xml:space="preserve">Vaultline Technologies, Inc. — Internal Data Inventory</w:t>
      </w:r>
      <w:r>
        <w:t xml:space="preserve">, v3.4,</w:t>
      </w:r>
      <w:r>
        <w:t xml:space="preserve"> </w:t>
      </w:r>
      <w:r>
        <w:t xml:space="preserve">“</w:t>
      </w:r>
      <w:r>
        <w:t xml:space="preserve">Last Updated: February 18, 2025,</w:t>
      </w:r>
      <w:r>
        <w:t xml:space="preserve">”</w:t>
      </w:r>
      <w:r>
        <w:t xml:space="preserve"> </w:t>
      </w:r>
      <w:r>
        <w:t xml:space="preserve">maintained by Sandra Linh (Head of Data &amp; Analytics), approved by Priya Venkatesh (General Counsel) (the</w:t>
      </w:r>
      <w:r>
        <w:t xml:space="preserve"> </w:t>
      </w:r>
      <w:r>
        <w:t xml:space="preserve">“</w:t>
      </w:r>
      <w:r>
        <w:t xml:space="preserve">Data Inventory</w:t>
      </w:r>
      <w:r>
        <w:t xml:space="preserve">”</w:t>
      </w:r>
      <w:r>
        <w:t xml:space="preserve">). Tabs reviewed: Cover &amp; Metadata; Data Categories; Processing Activities; Third-Party Sharing; Data Retention; DPIA Status; International Transfers; Selfie Verify Details; Cookie Inventory; EU Processing Summary; Revision Log.</w:t>
      </w:r>
    </w:p>
    <w:p>
      <w:pPr>
        <w:pStyle w:val="Compact"/>
        <w:numPr>
          <w:ilvl w:val="0"/>
          <w:numId w:val="1002"/>
        </w:numPr>
      </w:pPr>
      <w:r>
        <w:rPr>
          <w:b/>
          <w:bCs/>
        </w:rPr>
        <w:t xml:space="preserve">Data Sharing Agreement</w:t>
      </w:r>
      <w:r>
        <w:t xml:space="preserve"> </w:t>
      </w:r>
      <w:r>
        <w:t xml:space="preserve">—</w:t>
      </w:r>
      <w:r>
        <w:t xml:space="preserve"> </w:t>
      </w:r>
      <w:r>
        <w:rPr>
          <w:i/>
          <w:iCs/>
        </w:rPr>
        <w:t xml:space="preserve">Data Sharing Agreement</w:t>
      </w:r>
      <w:r>
        <w:t xml:space="preserve"> </w:t>
      </w:r>
      <w:r>
        <w:t xml:space="preserve">between Vaultline and Brightly Analytics, Inc., effective September 1, 2022, as amended by the First Amendment dated June 15, 2024 (the</w:t>
      </w:r>
      <w:r>
        <w:t xml:space="preserve"> </w:t>
      </w:r>
      <w:r>
        <w:t xml:space="preserve">“</w:t>
      </w:r>
      <w:r>
        <w:t xml:space="preserve">DSA</w:t>
      </w:r>
      <w:r>
        <w:t xml:space="preserve">”</w:t>
      </w:r>
      <w:r>
        <w:t xml:space="preserve">).</w:t>
      </w:r>
    </w:p>
    <w:p>
      <w:pPr>
        <w:pStyle w:val="Compact"/>
        <w:numPr>
          <w:ilvl w:val="0"/>
          <w:numId w:val="1002"/>
        </w:numPr>
      </w:pPr>
      <w:r>
        <w:rPr>
          <w:b/>
          <w:bCs/>
        </w:rPr>
        <w:t xml:space="preserve">Incident Response Log</w:t>
      </w:r>
      <w:r>
        <w:t xml:space="preserve"> </w:t>
      </w:r>
      <w:r>
        <w:t xml:space="preserve">—</w:t>
      </w:r>
      <w:r>
        <w:t xml:space="preserve"> </w:t>
      </w:r>
      <w:r>
        <w:rPr>
          <w:i/>
          <w:iCs/>
        </w:rPr>
        <w:t xml:space="preserve">Privileged &amp; Confidential — Incident Response Log</w:t>
      </w:r>
      <w:r>
        <w:t xml:space="preserve">, Document Reference VT-IRL-2024-003,</w:t>
      </w:r>
      <w:r>
        <w:t xml:space="preserve"> </w:t>
      </w:r>
      <w:r>
        <w:t xml:space="preserve">“</w:t>
      </w:r>
      <w:r>
        <w:t xml:space="preserve">Unauthorized Database Access — August 2024</w:t>
      </w:r>
      <w:r>
        <w:t xml:space="preserve">”</w:t>
      </w:r>
      <w:r>
        <w:t xml:space="preserve"> </w:t>
      </w:r>
      <w:r>
        <w:t xml:space="preserve">(the</w:t>
      </w:r>
      <w:r>
        <w:t xml:space="preserve"> </w:t>
      </w:r>
      <w:r>
        <w:t xml:space="preserve">“</w:t>
      </w:r>
      <w:r>
        <w:t xml:space="preserve">Breach Log</w:t>
      </w:r>
      <w:r>
        <w:t xml:space="preserve">”</w:t>
      </w:r>
      <w:r>
        <w:t xml:space="preserve">).</w:t>
      </w:r>
    </w:p>
    <w:p>
      <w:pPr>
        <w:pStyle w:val="Compact"/>
        <w:numPr>
          <w:ilvl w:val="0"/>
          <w:numId w:val="1002"/>
        </w:numPr>
      </w:pPr>
      <w:r>
        <w:rPr>
          <w:b/>
          <w:bCs/>
        </w:rPr>
        <w:t xml:space="preserve">Investor Counsel Email</w:t>
      </w:r>
      <w:r>
        <w:t xml:space="preserve"> </w:t>
      </w:r>
      <w:r>
        <w:t xml:space="preserve">— Email from Elena Marchetti (Ashford Barnes LLP) to Catherine Aldridge (Thornbury &amp; Locke LLP), dated March 3, 2025, re:</w:t>
      </w:r>
      <w:r>
        <w:t xml:space="preserve"> </w:t>
      </w:r>
      <w:r>
        <w:t xml:space="preserve">“</w:t>
      </w:r>
      <w:r>
        <w:t xml:space="preserve">Vaultline Technologies, Inc. — Preliminary Privacy Policy Concerns (Series C Due Diligence)</w:t>
      </w:r>
      <w:r>
        <w:t xml:space="preserve">”</w:t>
      </w:r>
      <w:r>
        <w:t xml:space="preserve"> </w:t>
      </w:r>
      <w:r>
        <w:t xml:space="preserve">(the</w:t>
      </w:r>
      <w:r>
        <w:t xml:space="preserve"> </w:t>
      </w:r>
      <w:r>
        <w:t xml:space="preserve">“</w:t>
      </w:r>
      <w:r>
        <w:t xml:space="preserve">Diligence Email</w:t>
      </w:r>
      <w:r>
        <w:t xml:space="preserve">”</w:t>
      </w:r>
      <w:r>
        <w:t xml:space="preserve">).</w:t>
      </w:r>
    </w:p>
    <w:p>
      <w:r>
        <w:pict>
          <v:rect style="width:0;height:1.5pt" o:hralign="center" o:hrstd="t" o:hr="t"/>
        </w:pict>
      </w:r>
    </w:p>
    <w:bookmarkEnd w:id="22"/>
    <w:bookmarkStart w:id="23" w:name="iii.-scope-and-methodology"/>
    <w:p>
      <w:pPr>
        <w:pStyle w:val="Heading2"/>
      </w:pPr>
      <w:r>
        <w:t xml:space="preserve">III. Scope and Methodology</w:t>
      </w:r>
    </w:p>
    <w:p>
      <w:pPr>
        <w:pStyle w:val="FirstParagraph"/>
      </w:pPr>
      <w:r>
        <w:t xml:space="preserve">This memorandum identifies</w:t>
      </w:r>
      <w:r>
        <w:t xml:space="preserve"> </w:t>
      </w:r>
      <w:r>
        <w:rPr>
          <w:b/>
          <w:bCs/>
        </w:rPr>
        <w:t xml:space="preserve">cross-document compliance gaps</w:t>
      </w:r>
      <w:r>
        <w:t xml:space="preserve"> </w:t>
      </w:r>
      <w:r>
        <w:t xml:space="preserve">— that is, inconsistencies, omissions, or conflicts that become apparent only when the reviewed documents are read against one another. We have not independently audited Vaultline’s systems; we rely on the accuracy of the Data Inventory and Breach Log as presented. Where the documents themselves conflict, we flag the conflict for factual reconciliation (Section VI).</w:t>
      </w:r>
    </w:p>
    <w:p>
      <w:pPr>
        <w:pStyle w:val="BodyText"/>
      </w:pPr>
      <w:r>
        <w:t xml:space="preserve">Each issue below states (a) the issue, (b) the specific documents and provisions at issue, (c) our analysis, (d) a risk assessment, and (e) recommended remediation. Risk levels reflect our preliminary judgment of regulatory exposure, private-litigation exposure, and diligence/transactional impact, and are subject to refinement as the review proceeds.</w:t>
      </w:r>
    </w:p>
    <w:p>
      <w:r>
        <w:pict>
          <v:rect style="width:0;height:1.5pt" o:hralign="center" o:hrstd="t" o:hr="t"/>
        </w:pict>
      </w:r>
    </w:p>
    <w:bookmarkEnd w:id="23"/>
    <w:bookmarkStart w:id="28" w:name="iv.-critical-issues"/>
    <w:p>
      <w:pPr>
        <w:pStyle w:val="Heading2"/>
      </w:pPr>
      <w:r>
        <w:t xml:space="preserve">IV. Critical Issues</w:t>
      </w:r>
    </w:p>
    <w:bookmarkStart w:id="24" w:name="Xa20deb2f6459f71f710d9e1c91249f1170fe071"/>
    <w:p>
      <w:pPr>
        <w:pStyle w:val="Heading3"/>
      </w:pPr>
      <w:r>
        <w:t xml:space="preserve">Issue 1 — Undisclosed Biometric Data Processing (Selfie Verify)</w:t>
      </w:r>
    </w:p>
    <w:p>
      <w:pPr>
        <w:pStyle w:val="FirstParagraph"/>
      </w:pPr>
      <w:r>
        <w:rPr>
          <w:b/>
          <w:bCs/>
        </w:rPr>
        <w:t xml:space="preserve">Documents and provisions at issue.</w:t>
      </w:r>
    </w:p>
    <w:p>
      <w:pPr>
        <w:pStyle w:val="Compact"/>
        <w:numPr>
          <w:ilvl w:val="0"/>
          <w:numId w:val="1003"/>
        </w:numPr>
      </w:pPr>
      <w:r>
        <w:rPr>
          <w:i/>
          <w:iCs/>
        </w:rPr>
        <w:t xml:space="preserve">Privacy Policy</w:t>
      </w:r>
      <w:r>
        <w:t xml:space="preserve">: The Policy contains</w:t>
      </w:r>
      <w:r>
        <w:t xml:space="preserve"> </w:t>
      </w:r>
      <w:r>
        <w:rPr>
          <w:b/>
          <w:bCs/>
        </w:rPr>
        <w:t xml:space="preserve">zero mention</w:t>
      </w:r>
      <w:r>
        <w:t xml:space="preserve"> </w:t>
      </w:r>
      <w:r>
        <w:t xml:space="preserve">of biometric data, facial geometry, faceprints, or the</w:t>
      </w:r>
      <w:r>
        <w:t xml:space="preserve"> </w:t>
      </w:r>
      <w:r>
        <w:t xml:space="preserve">“</w:t>
      </w:r>
      <w:r>
        <w:t xml:space="preserve">Selfie Verify</w:t>
      </w:r>
      <w:r>
        <w:t xml:space="preserve">”</w:t>
      </w:r>
      <w:r>
        <w:t xml:space="preserve"> </w:t>
      </w:r>
      <w:r>
        <w:t xml:space="preserve">feature. The Policy’s</w:t>
      </w:r>
      <w:r>
        <w:t xml:space="preserve"> </w:t>
      </w:r>
      <w:r>
        <w:t xml:space="preserve">“</w:t>
      </w:r>
      <w:r>
        <w:t xml:space="preserve">Information We Collect</w:t>
      </w:r>
      <w:r>
        <w:t xml:space="preserve">”</w:t>
      </w:r>
      <w:r>
        <w:t xml:space="preserve"> </w:t>
      </w:r>
      <w:r>
        <w:t xml:space="preserve">section enumerates identifiers, financial data, device identifiers, geolocation, and behavioral data, but omits biometric information entirely. The Policy was last updated</w:t>
      </w:r>
      <w:r>
        <w:t xml:space="preserve"> </w:t>
      </w:r>
      <w:r>
        <w:rPr>
          <w:b/>
          <w:bCs/>
        </w:rPr>
        <w:t xml:space="preserve">January 15, 2023</w:t>
      </w:r>
      <w:r>
        <w:t xml:space="preserve">.</w:t>
      </w:r>
    </w:p>
    <w:p>
      <w:pPr>
        <w:pStyle w:val="Compact"/>
        <w:numPr>
          <w:ilvl w:val="0"/>
          <w:numId w:val="1003"/>
        </w:numPr>
      </w:pPr>
      <w:r>
        <w:rPr>
          <w:i/>
          <w:iCs/>
        </w:rPr>
        <w:t xml:space="preserve">Data Inventory</w:t>
      </w:r>
      <w:r>
        <w:t xml:space="preserve">: The</w:t>
      </w:r>
      <w:r>
        <w:t xml:space="preserve"> </w:t>
      </w:r>
      <w:r>
        <w:t xml:space="preserve">“</w:t>
      </w:r>
      <w:r>
        <w:t xml:space="preserve">Selfie Verify Details</w:t>
      </w:r>
      <w:r>
        <w:t xml:space="preserve">”</w:t>
      </w:r>
      <w:r>
        <w:t xml:space="preserve"> </w:t>
      </w:r>
      <w:r>
        <w:t xml:space="preserve">tab and Data Category</w:t>
      </w:r>
      <w:r>
        <w:t xml:space="preserve"> </w:t>
      </w:r>
      <w:r>
        <w:rPr>
          <w:b/>
          <w:bCs/>
        </w:rPr>
        <w:t xml:space="preserve">DC-011</w:t>
      </w:r>
      <w:r>
        <w:t xml:space="preserve"> </w:t>
      </w:r>
      <w:r>
        <w:t xml:space="preserve">confirm that the Selfie Verify feature launched</w:t>
      </w:r>
      <w:r>
        <w:t xml:space="preserve"> </w:t>
      </w:r>
      <w:r>
        <w:rPr>
          <w:b/>
          <w:bCs/>
        </w:rPr>
        <w:t xml:space="preserve">March 8, 2023</w:t>
      </w:r>
      <w:r>
        <w:t xml:space="preserve"> </w:t>
      </w:r>
      <w:r>
        <w:t xml:space="preserve">— two months</w:t>
      </w:r>
      <w:r>
        <w:t xml:space="preserve"> </w:t>
      </w:r>
      <w:r>
        <w:rPr>
          <w:i/>
          <w:iCs/>
        </w:rPr>
        <w:t xml:space="preserve">after</w:t>
      </w:r>
      <w:r>
        <w:t xml:space="preserve"> </w:t>
      </w:r>
      <w:r>
        <w:t xml:space="preserve">the Policy’s last update — and that the Policy</w:t>
      </w:r>
      <w:r>
        <w:t xml:space="preserve"> </w:t>
      </w:r>
      <w:r>
        <w:t xml:space="preserve">“</w:t>
      </w:r>
      <w:r>
        <w:t xml:space="preserve">contains zero mention of biometric data collection.</w:t>
      </w:r>
      <w:r>
        <w:t xml:space="preserve">”</w:t>
      </w:r>
      <w:r>
        <w:t xml:space="preserve"> </w:t>
      </w:r>
      <w:r>
        <w:t xml:space="preserve">Approximately</w:t>
      </w:r>
      <w:r>
        <w:t xml:space="preserve"> </w:t>
      </w:r>
      <w:r>
        <w:rPr>
          <w:b/>
          <w:bCs/>
        </w:rPr>
        <w:t xml:space="preserve">1,900,000 users</w:t>
      </w:r>
      <w:r>
        <w:t xml:space="preserve"> </w:t>
      </w:r>
      <w:r>
        <w:t xml:space="preserve">have used the feature. Facial geometry templates are stored for</w:t>
      </w:r>
      <w:r>
        <w:t xml:space="preserve"> </w:t>
      </w:r>
      <w:r>
        <w:rPr>
          <w:b/>
          <w:bCs/>
        </w:rPr>
        <w:t xml:space="preserve">5 years</w:t>
      </w:r>
      <w:r>
        <w:t xml:space="preserve"> </w:t>
      </w:r>
      <w:r>
        <w:t xml:space="preserve">after account creation on CloudFort’s Ashburn, Virginia infrastructure. The Inventory classifies the data as CPRA Sensitive Personal Information and GDPR Article 9 special-category data, and states:</w:t>
      </w:r>
      <w:r>
        <w:t xml:space="preserve"> </w:t>
      </w:r>
      <w:r>
        <w:t xml:space="preserve">“</w:t>
      </w:r>
      <w:r>
        <w:t xml:space="preserve">NO written consent obtained</w:t>
      </w:r>
      <w:r>
        <w:t xml:space="preserve">”</w:t>
      </w:r>
      <w:r>
        <w:t xml:space="preserve">;</w:t>
      </w:r>
      <w:r>
        <w:t xml:space="preserve"> </w:t>
      </w:r>
      <w:r>
        <w:t xml:space="preserve">“</w:t>
      </w:r>
      <w:r>
        <w:t xml:space="preserve">NO publicly available retention/destruction policy published</w:t>
      </w:r>
      <w:r>
        <w:t xml:space="preserve">”</w:t>
      </w:r>
      <w:r>
        <w:t xml:space="preserve">; and</w:t>
      </w:r>
      <w:r>
        <w:t xml:space="preserve"> </w:t>
      </w:r>
      <w:r>
        <w:t xml:space="preserve">“</w:t>
      </w:r>
      <w:r>
        <w:t xml:space="preserve">BIPA Compliance Status: NON-COMPLIANT.</w:t>
      </w:r>
      <w:r>
        <w:t xml:space="preserve">”</w:t>
      </w:r>
    </w:p>
    <w:p>
      <w:pPr>
        <w:pStyle w:val="Compact"/>
        <w:numPr>
          <w:ilvl w:val="0"/>
          <w:numId w:val="1003"/>
        </w:numPr>
      </w:pPr>
      <w:r>
        <w:rPr>
          <w:i/>
          <w:iCs/>
        </w:rPr>
        <w:t xml:space="preserve">Breach Log</w:t>
      </w:r>
      <w:r>
        <w:t xml:space="preserve">: Section 3 confirms that biometric template data exists in Vaultline’s environment (it was confirmed</w:t>
      </w:r>
      <w:r>
        <w:t xml:space="preserve"> </w:t>
      </w:r>
      <w:r>
        <w:rPr>
          <w:i/>
          <w:iCs/>
        </w:rPr>
        <w:t xml:space="preserve">not accessed</w:t>
      </w:r>
      <w:r>
        <w:t xml:space="preserve"> </w:t>
      </w:r>
      <w:r>
        <w:t xml:space="preserve">in the August 2024 incident), corroborating that the data is in fact collected and stored.</w:t>
      </w:r>
    </w:p>
    <w:p>
      <w:pPr>
        <w:pStyle w:val="Compact"/>
        <w:numPr>
          <w:ilvl w:val="0"/>
          <w:numId w:val="1003"/>
        </w:numPr>
      </w:pPr>
      <w:r>
        <w:rPr>
          <w:i/>
          <w:iCs/>
        </w:rPr>
        <w:t xml:space="preserve">Diligence Email</w:t>
      </w:r>
      <w:r>
        <w:t xml:space="preserve">: Section 5 flags the Selfie Verify feature and requests review under BIPA and other state biometric statutes.</w:t>
      </w:r>
    </w:p>
    <w:p>
      <w:pPr>
        <w:pStyle w:val="FirstParagraph"/>
      </w:pPr>
      <w:r>
        <w:rPr>
          <w:b/>
          <w:bCs/>
        </w:rPr>
        <w:t xml:space="preserve">Analysis.</w:t>
      </w:r>
      <w:r>
        <w:t xml:space="preserve"> </w:t>
      </w:r>
      <w:r>
        <w:t xml:space="preserve">Three distinct statutory regimes are implicated:</w:t>
      </w:r>
    </w:p>
    <w:p>
      <w:pPr>
        <w:pStyle w:val="Compact"/>
        <w:numPr>
          <w:ilvl w:val="0"/>
          <w:numId w:val="1004"/>
        </w:numPr>
      </w:pPr>
      <w:r>
        <w:rPr>
          <w:b/>
          <w:bCs/>
        </w:rPr>
        <w:t xml:space="preserve">BIPA (740 ILCS 14/10 et seq.)</w:t>
      </w:r>
      <w:r>
        <w:t xml:space="preserve"> </w:t>
      </w:r>
      <w:r>
        <w:t xml:space="preserve">— The Inventory estimates approximately</w:t>
      </w:r>
      <w:r>
        <w:t xml:space="preserve"> </w:t>
      </w:r>
      <w:r>
        <w:rPr>
          <w:b/>
          <w:bCs/>
        </w:rPr>
        <w:t xml:space="preserve">87,000 Illinois users</w:t>
      </w:r>
      <w:r>
        <w:t xml:space="preserve"> </w:t>
      </w:r>
      <w:r>
        <w:t xml:space="preserve">have used Selfie Verify. BIPA § 15(b) requires written informed consent</w:t>
      </w:r>
      <w:r>
        <w:t xml:space="preserve"> </w:t>
      </w:r>
      <w:r>
        <w:rPr>
          <w:i/>
          <w:iCs/>
        </w:rPr>
        <w:t xml:space="preserve">before</w:t>
      </w:r>
      <w:r>
        <w:t xml:space="preserve"> </w:t>
      </w:r>
      <w:r>
        <w:t xml:space="preserve">collection, and § 15(a) requires a publicly available written policy establishing a retention schedule and destruction guidelines. The Inventory confirms neither exists; consent was obtained only via a browsewrap</w:t>
      </w:r>
      <w:r>
        <w:t xml:space="preserve"> </w:t>
      </w:r>
      <w:r>
        <w:t xml:space="preserve">“</w:t>
      </w:r>
      <w:r>
        <w:t xml:space="preserve">Continue</w:t>
      </w:r>
      <w:r>
        <w:t xml:space="preserve">”</w:t>
      </w:r>
      <w:r>
        <w:t xml:space="preserve"> </w:t>
      </w:r>
      <w:r>
        <w:t xml:space="preserve">tap. BIPA carries a private right of action at</w:t>
      </w:r>
      <w:r>
        <w:t xml:space="preserve"> </w:t>
      </w:r>
      <w:r>
        <w:rPr>
          <w:b/>
          <w:bCs/>
        </w:rPr>
        <w:t xml:space="preserve">$1,000 per negligent violation</w:t>
      </w:r>
      <w:r>
        <w:t xml:space="preserve"> </w:t>
      </w:r>
      <w:r>
        <w:t xml:space="preserve">and</w:t>
      </w:r>
      <w:r>
        <w:t xml:space="preserve"> </w:t>
      </w:r>
      <w:r>
        <w:rPr>
          <w:b/>
          <w:bCs/>
        </w:rPr>
        <w:t xml:space="preserve">$5,000 per intentional or reckless violation</w:t>
      </w:r>
      <w:r>
        <w:t xml:space="preserve">, yielding estimated aggregate statutory exposure of</w:t>
      </w:r>
      <w:r>
        <w:t xml:space="preserve"> </w:t>
      </w:r>
      <w:r>
        <w:rPr>
          <w:b/>
          <w:bCs/>
        </w:rPr>
        <w:t xml:space="preserve">$87,000,000 (negligent) to $435,000,000 (intentional/reckless)</w:t>
      </w:r>
      <w:r>
        <w:t xml:space="preserve">. BIPA litigation has produced numerous nine- and ten-figure settlements and judgments in Illinois.</w:t>
      </w:r>
    </w:p>
    <w:p>
      <w:pPr>
        <w:pStyle w:val="Compact"/>
        <w:numPr>
          <w:ilvl w:val="0"/>
          <w:numId w:val="1004"/>
        </w:numPr>
      </w:pPr>
      <w:r>
        <w:rPr>
          <w:b/>
          <w:bCs/>
        </w:rPr>
        <w:t xml:space="preserve">GDPR Article 9</w:t>
      </w:r>
      <w:r>
        <w:t xml:space="preserve"> </w:t>
      </w:r>
      <w:r>
        <w:t xml:space="preserve">— Facial geometry processed for identification is special-category data requiring an Article 9(2) exception (typically explicit consent). Browsewrap consent is insufficient. The Inventory estimates approximately</w:t>
      </w:r>
      <w:r>
        <w:t xml:space="preserve"> </w:t>
      </w:r>
      <w:r>
        <w:rPr>
          <w:b/>
          <w:bCs/>
        </w:rPr>
        <w:t xml:space="preserve">11,500 EU-resident users</w:t>
      </w:r>
      <w:r>
        <w:t xml:space="preserve"> </w:t>
      </w:r>
      <w:r>
        <w:t xml:space="preserve">are affected, a population that will grow sharply with the Q3 2025 EU launch.</w:t>
      </w:r>
    </w:p>
    <w:p>
      <w:pPr>
        <w:pStyle w:val="Compact"/>
        <w:numPr>
          <w:ilvl w:val="0"/>
          <w:numId w:val="1004"/>
        </w:numPr>
      </w:pPr>
      <w:r>
        <w:rPr>
          <w:b/>
          <w:bCs/>
        </w:rPr>
        <w:t xml:space="preserve">CPRA</w:t>
      </w:r>
      <w:r>
        <w:t xml:space="preserve"> </w:t>
      </w:r>
      <w:r>
        <w:t xml:space="preserve">— Biometric information is</w:t>
      </w:r>
      <w:r>
        <w:t xml:space="preserve"> </w:t>
      </w:r>
      <w:r>
        <w:t xml:space="preserve">“</w:t>
      </w:r>
      <w:r>
        <w:t xml:space="preserve">sensitive personal information</w:t>
      </w:r>
      <w:r>
        <w:t xml:space="preserve">”</w:t>
      </w:r>
      <w:r>
        <w:t xml:space="preserve"> </w:t>
      </w:r>
      <w:r>
        <w:t xml:space="preserve">under the CPRA, triggering the right to limit use and disclosure and corresponding disclosure obligations, none of which the Policy addresses.</w:t>
      </w:r>
    </w:p>
    <w:p>
      <w:pPr>
        <w:pStyle w:val="FirstParagraph"/>
      </w:pPr>
      <w:r>
        <w:t xml:space="preserve">The cross-document gap is acute: the Policy affirmatively enumerates the categories of data collected but omits a category that the Inventory confirms is collected at scale, that the Breach Log confirms is stored, and that the Diligence Email independently flags.</w:t>
      </w:r>
    </w:p>
    <w:p>
      <w:pPr>
        <w:pStyle w:val="BodyText"/>
      </w:pPr>
      <w:r>
        <w:rPr>
          <w:b/>
          <w:bCs/>
        </w:rPr>
        <w:t xml:space="preserve">Risk assessment.</w:t>
      </w:r>
      <w:r>
        <w:t xml:space="preserve"> </w:t>
      </w:r>
      <w:r>
        <w:rPr>
          <w:b/>
          <w:bCs/>
        </w:rPr>
        <w:t xml:space="preserve">Critical.</w:t>
      </w:r>
      <w:r>
        <w:t xml:space="preserve"> </w:t>
      </w:r>
      <w:r>
        <w:t xml:space="preserve">The BIPA private right of action is the single largest quantified exposure in this review and is not covered by the typical insurance exclusions for biometric claims. The GDPR Article 9 violation is aggravated by the planned EU launch.</w:t>
      </w:r>
    </w:p>
    <w:p>
      <w:pPr>
        <w:pStyle w:val="BodyText"/>
      </w:pPr>
      <w:r>
        <w:rPr>
          <w:b/>
          <w:bCs/>
        </w:rPr>
        <w:t xml:space="preserve">Recommended remediation.</w:t>
      </w:r>
    </w:p>
    <w:p>
      <w:pPr>
        <w:pStyle w:val="Compact"/>
        <w:numPr>
          <w:ilvl w:val="0"/>
          <w:numId w:val="1005"/>
        </w:numPr>
      </w:pPr>
      <w:r>
        <w:t xml:space="preserve">Immediately publish a publicly available biometric retention-and-destruction policy satisfying BIPA § 15(a).</w:t>
      </w:r>
    </w:p>
    <w:p>
      <w:pPr>
        <w:pStyle w:val="Compact"/>
        <w:numPr>
          <w:ilvl w:val="0"/>
          <w:numId w:val="1005"/>
        </w:numPr>
      </w:pPr>
      <w:r>
        <w:t xml:space="preserve">Implement a standalone, written, informed biometric consent flow (not browsewrap) for all new and existing Selfie Verify users, with disclosure of purpose, duration, and destruction; obtain fresh consent from the existing 1.9 million users or cease processing and delete templates for those who do not consent.</w:t>
      </w:r>
    </w:p>
    <w:p>
      <w:pPr>
        <w:pStyle w:val="Compact"/>
        <w:numPr>
          <w:ilvl w:val="0"/>
          <w:numId w:val="1005"/>
        </w:numPr>
      </w:pPr>
      <w:r>
        <w:t xml:space="preserve">Update the Privacy Policy to disclose biometric data collection, classification as sensitive PI, retention period, and the CPRA right to limit use.</w:t>
      </w:r>
    </w:p>
    <w:p>
      <w:pPr>
        <w:pStyle w:val="Compact"/>
        <w:numPr>
          <w:ilvl w:val="0"/>
          <w:numId w:val="1005"/>
        </w:numPr>
      </w:pPr>
      <w:r>
        <w:t xml:space="preserve">Conduct the mandatory DPIA for PA-001 (see Issue 3 / DPIA Status tab).</w:t>
      </w:r>
    </w:p>
    <w:p>
      <w:pPr>
        <w:pStyle w:val="Compact"/>
        <w:numPr>
          <w:ilvl w:val="0"/>
          <w:numId w:val="1005"/>
        </w:numPr>
      </w:pPr>
      <w:r>
        <w:t xml:space="preserve">Engage Illinois counsel to assess BIPA exposure and settlement strategy; consider whether the Selfie Verify feature should be suspended in Illinois pending remediation.</w:t>
      </w:r>
    </w:p>
    <w:p>
      <w:r>
        <w:pict>
          <v:rect style="width:0;height:1.5pt" o:hralign="center" o:hrstd="t" o:hr="t"/>
        </w:pict>
      </w:r>
    </w:p>
    <w:bookmarkEnd w:id="24"/>
    <w:bookmarkStart w:id="25" w:name="Xd2e19b6ad3901d51df05ccc567e6298c93d5b93"/>
    <w:p>
      <w:pPr>
        <w:pStyle w:val="Heading3"/>
      </w:pPr>
      <w:r>
        <w:t xml:space="preserve">Issue 2 — Invalidated International Data-Transfer Mechanism</w:t>
      </w:r>
    </w:p>
    <w:p>
      <w:pPr>
        <w:pStyle w:val="FirstParagraph"/>
      </w:pPr>
      <w:r>
        <w:rPr>
          <w:b/>
          <w:bCs/>
        </w:rPr>
        <w:t xml:space="preserve">Documents and provisions at issue.</w:t>
      </w:r>
    </w:p>
    <w:p>
      <w:pPr>
        <w:pStyle w:val="Compact"/>
        <w:numPr>
          <w:ilvl w:val="0"/>
          <w:numId w:val="1006"/>
        </w:numPr>
      </w:pPr>
      <w:r>
        <w:rPr>
          <w:i/>
          <w:iCs/>
        </w:rPr>
        <w:t xml:space="preserve">Privacy Policy</w:t>
      </w:r>
      <w:r>
        <w:t xml:space="preserve">: The</w:t>
      </w:r>
      <w:r>
        <w:t xml:space="preserve"> </w:t>
      </w:r>
      <w:r>
        <w:t xml:space="preserve">“</w:t>
      </w:r>
      <w:r>
        <w:t xml:space="preserve">International Data Transfers</w:t>
      </w:r>
      <w:r>
        <w:t xml:space="preserve">”</w:t>
      </w:r>
      <w:r>
        <w:t xml:space="preserve"> </w:t>
      </w:r>
      <w:r>
        <w:t xml:space="preserve">section states that, for EU/EEA/UK users,</w:t>
      </w:r>
      <w:r>
        <w:t xml:space="preserve"> </w:t>
      </w:r>
      <w:r>
        <w:t xml:space="preserve">“</w:t>
      </w:r>
      <w:r>
        <w:t xml:space="preserve">we transfer personal data to the United States in reliance on the</w:t>
      </w:r>
      <w:r>
        <w:t xml:space="preserve"> </w:t>
      </w:r>
      <w:r>
        <w:rPr>
          <w:b/>
          <w:bCs/>
        </w:rPr>
        <w:t xml:space="preserve">EU-US Privacy Shield Framework</w:t>
      </w:r>
      <w:r>
        <w:t xml:space="preserve">,</w:t>
      </w:r>
      <w:r>
        <w:t xml:space="preserve">”</w:t>
      </w:r>
      <w:r>
        <w:t xml:space="preserve"> </w:t>
      </w:r>
      <w:r>
        <w:t xml:space="preserve">and asserts that Vaultline</w:t>
      </w:r>
      <w:r>
        <w:t xml:space="preserve"> </w:t>
      </w:r>
      <w:r>
        <w:t xml:space="preserve">“</w:t>
      </w:r>
      <w:r>
        <w:t xml:space="preserve">has certified its compliance with the EU-US Privacy Shield Principles.</w:t>
      </w:r>
      <w:r>
        <w:t xml:space="preserve">”</w:t>
      </w:r>
      <w:r>
        <w:t xml:space="preserve"> </w:t>
      </w:r>
      <w:r>
        <w:t xml:space="preserve">The Policy also states that data is</w:t>
      </w:r>
      <w:r>
        <w:t xml:space="preserve"> </w:t>
      </w:r>
      <w:r>
        <w:t xml:space="preserve">“</w:t>
      </w:r>
      <w:r>
        <w:t xml:space="preserve">primarily processed and stored on servers located in Ashburn, Virginia.</w:t>
      </w:r>
      <w:r>
        <w:t xml:space="preserve">”</w:t>
      </w:r>
    </w:p>
    <w:p>
      <w:pPr>
        <w:pStyle w:val="Compact"/>
        <w:numPr>
          <w:ilvl w:val="0"/>
          <w:numId w:val="1006"/>
        </w:numPr>
      </w:pPr>
      <w:r>
        <w:rPr>
          <w:i/>
          <w:iCs/>
        </w:rPr>
        <w:t xml:space="preserve">Data Inventory</w:t>
      </w:r>
      <w:r>
        <w:t xml:space="preserve">: The</w:t>
      </w:r>
      <w:r>
        <w:t xml:space="preserve"> </w:t>
      </w:r>
      <w:r>
        <w:t xml:space="preserve">“</w:t>
      </w:r>
      <w:r>
        <w:t xml:space="preserve">International Transfers</w:t>
      </w:r>
      <w:r>
        <w:t xml:space="preserve">”</w:t>
      </w:r>
      <w:r>
        <w:t xml:space="preserve"> </w:t>
      </w:r>
      <w:r>
        <w:t xml:space="preserve">tab (IT-001) and Processing Activity PA-007 state that the transfer mechanism is</w:t>
      </w:r>
      <w:r>
        <w:t xml:space="preserve"> </w:t>
      </w:r>
      <w:r>
        <w:t xml:space="preserve">“</w:t>
      </w:r>
      <w:r>
        <w:t xml:space="preserve">None — privacy policy references EU-US Privacy Shield (INVALIDATED by CJEU in</w:t>
      </w:r>
      <w:r>
        <w:t xml:space="preserve"> </w:t>
      </w:r>
      <w:r>
        <w:rPr>
          <w:i/>
          <w:iCs/>
        </w:rPr>
        <w:t xml:space="preserve">Schrems II</w:t>
      </w:r>
      <w:r>
        <w:t xml:space="preserve">, Case C-311/18, July 16, 2020).</w:t>
      </w:r>
      <w:r>
        <w:t xml:space="preserve">”</w:t>
      </w:r>
      <w:r>
        <w:t xml:space="preserve"> </w:t>
      </w:r>
      <w:r>
        <w:t xml:space="preserve">SCCs: No. DPF certification: No. BCRs: No. Transfer Impact Assessment: No. Approximately</w:t>
      </w:r>
      <w:r>
        <w:t xml:space="preserve"> </w:t>
      </w:r>
      <w:r>
        <w:rPr>
          <w:b/>
          <w:bCs/>
        </w:rPr>
        <w:t xml:space="preserve">23,000 EU-resident users</w:t>
      </w:r>
      <w:r>
        <w:t xml:space="preserve"> </w:t>
      </w:r>
      <w:r>
        <w:t xml:space="preserve">are processed on CloudFort’s Virginia servers. The Inventory notes that the EU-U.S. Data Privacy Framework adequacy decision (July 10, 2023) is available but Vaultline</w:t>
      </w:r>
      <w:r>
        <w:t xml:space="preserve"> </w:t>
      </w:r>
      <w:r>
        <w:t xml:space="preserve">“</w:t>
      </w:r>
      <w:r>
        <w:t xml:space="preserve">has not obtained DPF certification,</w:t>
      </w:r>
      <w:r>
        <w:t xml:space="preserve">”</w:t>
      </w:r>
      <w:r>
        <w:t xml:space="preserve"> </w:t>
      </w:r>
      <w:r>
        <w:t xml:space="preserve">and that CloudFort also operates a Dublin, Ireland data center to which EU data</w:t>
      </w:r>
      <w:r>
        <w:t xml:space="preserve"> </w:t>
      </w:r>
      <w:r>
        <w:t xml:space="preserve">“</w:t>
      </w:r>
      <w:r>
        <w:t xml:space="preserve">could potentially be migrated but no action taken.</w:t>
      </w:r>
      <w:r>
        <w:t xml:space="preserve">”</w:t>
      </w:r>
      <w:r>
        <w:t xml:space="preserve"> </w:t>
      </w:r>
      <w:r>
        <w:t xml:space="preserve">IT-002 and IT-003 confirm EU data is also transferred to Brightly (New York) and FinLink (San Francisco) with no transfer mechanism.</w:t>
      </w:r>
    </w:p>
    <w:p>
      <w:pPr>
        <w:pStyle w:val="Compact"/>
        <w:numPr>
          <w:ilvl w:val="0"/>
          <w:numId w:val="1006"/>
        </w:numPr>
      </w:pPr>
      <w:r>
        <w:rPr>
          <w:i/>
          <w:iCs/>
        </w:rPr>
        <w:t xml:space="preserve">Diligence Email</w:t>
      </w:r>
      <w:r>
        <w:t xml:space="preserve">: Section 2 flags this as a</w:t>
      </w:r>
      <w:r>
        <w:t xml:space="preserve"> </w:t>
      </w:r>
      <w:r>
        <w:t xml:space="preserve">“</w:t>
      </w:r>
      <w:r>
        <w:rPr>
          <w:b/>
          <w:bCs/>
        </w:rPr>
        <w:t xml:space="preserve">critical risk</w:t>
      </w:r>
      <w:r>
        <w:t xml:space="preserve">,</w:t>
      </w:r>
      <w:r>
        <w:t xml:space="preserve">”</w:t>
      </w:r>
      <w:r>
        <w:t xml:space="preserve"> </w:t>
      </w:r>
      <w:r>
        <w:t xml:space="preserve">noting the Privacy Shield invalidation, the availability of the DPF as a replacement, and the absence of SCCs or BCRs.</w:t>
      </w:r>
    </w:p>
    <w:p>
      <w:pPr>
        <w:pStyle w:val="FirstParagraph"/>
      </w:pPr>
      <w:r>
        <w:rPr>
          <w:b/>
          <w:bCs/>
        </w:rPr>
        <w:t xml:space="preserve">Analysis.</w:t>
      </w:r>
      <w:r>
        <w:t xml:space="preserve"> </w:t>
      </w:r>
      <w:r>
        <w:t xml:space="preserve">The Privacy Shield was invalidated nearly five years ago. Continued reliance on it — both as a contractual/transfer basis and as a consumer-facing representation — is a material misstatement and provides no lawful basis for the Chapter V transfer of EU personal data to the United States. Without a valid mechanism (DPF certification, SCCs + Transfer Impact Assessment, or BCRs),</w:t>
      </w:r>
      <w:r>
        <w:t xml:space="preserve"> </w:t>
      </w:r>
      <w:r>
        <w:rPr>
          <w:b/>
          <w:bCs/>
        </w:rPr>
        <w:t xml:space="preserve">all processing of EU-resident personal data in the United States is potentially unlawful</w:t>
      </w:r>
      <w:r>
        <w:t xml:space="preserve"> </w:t>
      </w:r>
      <w:r>
        <w:t xml:space="preserve">under GDPR Chapter V, exposing Vaultline to supervisory-authority enforcement and to data-subject claims. The exposure is amplified by (a) the planned Q3 2025 EU launch, (b) the onward transfers to Brightly and FinLink (also undocumented), and (c) the fact that the Privacy Policy</w:t>
      </w:r>
      <w:r>
        <w:t xml:space="preserve"> </w:t>
      </w:r>
      <w:r>
        <w:rPr>
          <w:i/>
          <w:iCs/>
        </w:rPr>
        <w:t xml:space="preserve">represents</w:t>
      </w:r>
      <w:r>
        <w:t xml:space="preserve"> </w:t>
      </w:r>
      <w:r>
        <w:t xml:space="preserve">to EU users that a valid mechanism is in place when none is.</w:t>
      </w:r>
    </w:p>
    <w:p>
      <w:pPr>
        <w:pStyle w:val="BodyText"/>
      </w:pPr>
      <w:r>
        <w:rPr>
          <w:b/>
          <w:bCs/>
        </w:rPr>
        <w:t xml:space="preserve">Risk assessment.</w:t>
      </w:r>
      <w:r>
        <w:t xml:space="preserve"> </w:t>
      </w:r>
      <w:r>
        <w:rPr>
          <w:b/>
          <w:bCs/>
        </w:rPr>
        <w:t xml:space="preserve">Critical.</w:t>
      </w:r>
      <w:r>
        <w:t xml:space="preserve"> </w:t>
      </w:r>
      <w:r>
        <w:t xml:space="preserve">GDPR Article 83(5) administrative fines reach up to 4% of annual global turnover; on FY 2024 revenue of $47.3 million, the theoretical maximum is approximately</w:t>
      </w:r>
      <w:r>
        <w:t xml:space="preserve"> </w:t>
      </w:r>
      <w:r>
        <w:rPr>
          <w:b/>
          <w:bCs/>
        </w:rPr>
        <w:t xml:space="preserve">$1.89 million</w:t>
      </w:r>
      <w:r>
        <w:t xml:space="preserve"> </w:t>
      </w:r>
      <w:r>
        <w:t xml:space="preserve">for this category alone (as the Diligence Email notes), before considering the compounding effect of the Article 9 and Article 22 violations. Injunctive relief (including potential orders to suspend EU processing) is the more strategically significant risk ahead of the EU launch.</w:t>
      </w:r>
    </w:p>
    <w:p>
      <w:pPr>
        <w:pStyle w:val="BodyText"/>
      </w:pPr>
      <w:r>
        <w:rPr>
          <w:b/>
          <w:bCs/>
        </w:rPr>
        <w:t xml:space="preserve">Recommended remediation.</w:t>
      </w:r>
    </w:p>
    <w:p>
      <w:pPr>
        <w:pStyle w:val="Compact"/>
        <w:numPr>
          <w:ilvl w:val="0"/>
          <w:numId w:val="1007"/>
        </w:numPr>
      </w:pPr>
      <w:r>
        <w:t xml:space="preserve">Remove all Privacy Shield references from the Privacy Policy immediately.</w:t>
      </w:r>
    </w:p>
    <w:p>
      <w:pPr>
        <w:pStyle w:val="Compact"/>
        <w:numPr>
          <w:ilvl w:val="0"/>
          <w:numId w:val="1007"/>
        </w:numPr>
      </w:pPr>
      <w:r>
        <w:t xml:space="preserve">Select and implement a valid transfer mechanism. The fastest defensible path is likely (i) executing EU SCCs (2021 modules) with CloudFort, Brightly, and FinLink, supplemented by Transfer Impact Assessments, and/or (ii) pursuing DPF certification (which would also benefit the U.S. privacy posture).</w:t>
      </w:r>
    </w:p>
    <w:p>
      <w:pPr>
        <w:pStyle w:val="Compact"/>
        <w:numPr>
          <w:ilvl w:val="0"/>
          <w:numId w:val="1007"/>
        </w:numPr>
      </w:pPr>
      <w:r>
        <w:t xml:space="preserve">Evaluate migrating EU-resident data to the Dublin data center to reduce the volume of transfers requiring a mechanism (subject to the factual reconciliation in Issue 13).</w:t>
      </w:r>
    </w:p>
    <w:p>
      <w:pPr>
        <w:pStyle w:val="Compact"/>
        <w:numPr>
          <w:ilvl w:val="0"/>
          <w:numId w:val="1007"/>
        </w:numPr>
      </w:pPr>
      <w:r>
        <w:t xml:space="preserve">Update the Privacy Policy’s International Data Transfers section to accurately describe the mechanism(s) in place.</w:t>
      </w:r>
    </w:p>
    <w:p>
      <w:pPr>
        <w:pStyle w:val="Compact"/>
        <w:numPr>
          <w:ilvl w:val="0"/>
          <w:numId w:val="1007"/>
        </w:numPr>
      </w:pPr>
      <w:r>
        <w:t xml:space="preserve">Complete the mandatory DPIA for PA-007 (international transfers without safeguards — risk rated</w:t>
      </w:r>
      <w:r>
        <w:t xml:space="preserve"> </w:t>
      </w:r>
      <w:r>
        <w:t xml:space="preserve">“</w:t>
      </w:r>
      <w:r>
        <w:t xml:space="preserve">Critical</w:t>
      </w:r>
      <w:r>
        <w:t xml:space="preserve">”</w:t>
      </w:r>
      <w:r>
        <w:t xml:space="preserve"> </w:t>
      </w:r>
      <w:r>
        <w:t xml:space="preserve">in the Inventory).</w:t>
      </w:r>
    </w:p>
    <w:p>
      <w:r>
        <w:pict>
          <v:rect style="width:0;height:1.5pt" o:hralign="center" o:hrstd="t" o:hr="t"/>
        </w:pict>
      </w:r>
    </w:p>
    <w:bookmarkEnd w:id="25"/>
    <w:bookmarkStart w:id="26" w:name="X22f0e83fd88d2bcab8141413b4054606ba1b456"/>
    <w:p>
      <w:pPr>
        <w:pStyle w:val="Heading3"/>
      </w:pPr>
      <w:r>
        <w:t xml:space="preserve">Issue 3 — Undisclosed Automated Decision-Making (Smart Insights)</w:t>
      </w:r>
    </w:p>
    <w:p>
      <w:pPr>
        <w:pStyle w:val="FirstParagraph"/>
      </w:pPr>
      <w:r>
        <w:rPr>
          <w:b/>
          <w:bCs/>
        </w:rPr>
        <w:t xml:space="preserve">Documents and provisions at issue.</w:t>
      </w:r>
    </w:p>
    <w:p>
      <w:pPr>
        <w:pStyle w:val="Compact"/>
        <w:numPr>
          <w:ilvl w:val="0"/>
          <w:numId w:val="1008"/>
        </w:numPr>
      </w:pPr>
      <w:r>
        <w:rPr>
          <w:i/>
          <w:iCs/>
        </w:rPr>
        <w:t xml:space="preserve">Privacy Policy</w:t>
      </w:r>
      <w:r>
        <w:t xml:space="preserve">: The Policy contains no reference to</w:t>
      </w:r>
      <w:r>
        <w:t xml:space="preserve"> </w:t>
      </w:r>
      <w:r>
        <w:t xml:space="preserve">“</w:t>
      </w:r>
      <w:r>
        <w:t xml:space="preserve">Smart Insights,</w:t>
      </w:r>
      <w:r>
        <w:t xml:space="preserve">”</w:t>
      </w:r>
      <w:r>
        <w:t xml:space="preserve"> </w:t>
      </w:r>
      <w:r>
        <w:t xml:space="preserve">artificial intelligence, machine learning, profiling, automated decision-making, or the targeting/withholding of credit-product offers. The</w:t>
      </w:r>
      <w:r>
        <w:t xml:space="preserve"> </w:t>
      </w:r>
      <w:r>
        <w:t xml:space="preserve">“</w:t>
      </w:r>
      <w:r>
        <w:t xml:space="preserve">How We Use Your Information</w:t>
      </w:r>
      <w:r>
        <w:t xml:space="preserve">”</w:t>
      </w:r>
      <w:r>
        <w:t xml:space="preserve"> </w:t>
      </w:r>
      <w:r>
        <w:t xml:space="preserve">section references</w:t>
      </w:r>
      <w:r>
        <w:t xml:space="preserve"> </w:t>
      </w:r>
      <w:r>
        <w:t xml:space="preserve">“</w:t>
      </w:r>
      <w:r>
        <w:t xml:space="preserve">personalized financial insights and recommendations</w:t>
      </w:r>
      <w:r>
        <w:t xml:space="preserve">”</w:t>
      </w:r>
      <w:r>
        <w:t xml:space="preserve"> </w:t>
      </w:r>
      <w:r>
        <w:t xml:space="preserve">generically but does not disclose that such recommendations are produced by fully automated means or that they govern credit-product eligibility.</w:t>
      </w:r>
    </w:p>
    <w:p>
      <w:pPr>
        <w:pStyle w:val="Compact"/>
        <w:numPr>
          <w:ilvl w:val="0"/>
          <w:numId w:val="1008"/>
        </w:numPr>
      </w:pPr>
      <w:r>
        <w:rPr>
          <w:i/>
          <w:iCs/>
        </w:rPr>
        <w:t xml:space="preserve">Data Inventory</w:t>
      </w:r>
      <w:r>
        <w:t xml:space="preserve">: Processing Activity</w:t>
      </w:r>
      <w:r>
        <w:t xml:space="preserve"> </w:t>
      </w:r>
      <w:r>
        <w:rPr>
          <w:b/>
          <w:bCs/>
        </w:rPr>
        <w:t xml:space="preserve">PA-003</w:t>
      </w:r>
      <w:r>
        <w:t xml:space="preserve"> </w:t>
      </w:r>
      <w:r>
        <w:t xml:space="preserve">(</w:t>
      </w:r>
      <w:r>
        <w:t xml:space="preserve">“</w:t>
      </w:r>
      <w:r>
        <w:t xml:space="preserve">Smart Insights — AI-Powered Financial Analysis &amp; Recommendations</w:t>
      </w:r>
      <w:r>
        <w:t xml:space="preserve">”</w:t>
      </w:r>
      <w:r>
        <w:t xml:space="preserve">) states that ML models analyze transaction, income, and spending data to generate personalized recommendations and that</w:t>
      </w:r>
      <w:r>
        <w:t xml:space="preserve"> </w:t>
      </w:r>
      <w:r>
        <w:t xml:space="preserve">“</w:t>
      </w:r>
      <w:r>
        <w:t xml:space="preserve">AI determines which credit product partner offers to show or hide based on assessment of user’s financial profile.</w:t>
      </w:r>
      <w:r>
        <w:t xml:space="preserve">”</w:t>
      </w:r>
      <w:r>
        <w:t xml:space="preserve"> </w:t>
      </w:r>
      <w:r>
        <w:t xml:space="preserve">“</w:t>
      </w:r>
      <w:r>
        <w:t xml:space="preserve">Automated Decision-Making?</w:t>
      </w:r>
      <w:r>
        <w:t xml:space="preserve"> </w:t>
      </w:r>
      <w:r>
        <w:rPr>
          <w:b/>
          <w:bCs/>
        </w:rPr>
        <w:t xml:space="preserve">YES — Fully Automated</w:t>
      </w:r>
      <w:r>
        <w:t xml:space="preserve">.</w:t>
      </w:r>
      <w:r>
        <w:t xml:space="preserve">”</w:t>
      </w:r>
      <w:r>
        <w:t xml:space="preserve"> </w:t>
      </w:r>
      <w:r>
        <w:t xml:space="preserve">“</w:t>
      </w:r>
      <w:r>
        <w:t xml:space="preserve">Produces Legal/Significant Effects?</w:t>
      </w:r>
      <w:r>
        <w:t xml:space="preserve"> </w:t>
      </w:r>
      <w:r>
        <w:rPr>
          <w:b/>
          <w:bCs/>
        </w:rPr>
        <w:t xml:space="preserve">YES</w:t>
      </w:r>
      <w:r>
        <w:t xml:space="preserve"> </w:t>
      </w:r>
      <w:r>
        <w:t xml:space="preserve">— Recommends or withholds credit product offers; determines eligibility visibility for partner financial products.</w:t>
      </w:r>
      <w:r>
        <w:t xml:space="preserve">”</w:t>
      </w:r>
      <w:r>
        <w:t xml:space="preserve"> </w:t>
      </w:r>
      <w:r>
        <w:t xml:space="preserve">Approximately</w:t>
      </w:r>
      <w:r>
        <w:t xml:space="preserve"> </w:t>
      </w:r>
      <w:r>
        <w:rPr>
          <w:b/>
          <w:bCs/>
        </w:rPr>
        <w:t xml:space="preserve">2,800,000 active users</w:t>
      </w:r>
      <w:r>
        <w:t xml:space="preserve"> </w:t>
      </w:r>
      <w:r>
        <w:t xml:space="preserve">are exposed. The Inventory notes:</w:t>
      </w:r>
      <w:r>
        <w:t xml:space="preserve"> </w:t>
      </w:r>
      <w:r>
        <w:t xml:space="preserve">“</w:t>
      </w:r>
      <w:r>
        <w:t xml:space="preserve">No disclosure of automated decision-making in privacy policy. No opt-out mechanism provided. No human review option offered.</w:t>
      </w:r>
      <w:r>
        <w:t xml:space="preserve">”</w:t>
      </w:r>
      <w:r>
        <w:t xml:space="preserve"> </w:t>
      </w:r>
      <w:r>
        <w:t xml:space="preserve">The DPIA Status tab rates PA-003</w:t>
      </w:r>
      <w:r>
        <w:t xml:space="preserve"> </w:t>
      </w:r>
      <w:r>
        <w:rPr>
          <w:b/>
          <w:bCs/>
        </w:rPr>
        <w:t xml:space="preserve">Critical</w:t>
      </w:r>
      <w:r>
        <w:t xml:space="preserve"> </w:t>
      </w:r>
      <w:r>
        <w:t xml:space="preserve">and identifies it as a mandatory DPIA trigger under GDPR Article 35(3)(a).</w:t>
      </w:r>
    </w:p>
    <w:p>
      <w:pPr>
        <w:pStyle w:val="Compact"/>
        <w:numPr>
          <w:ilvl w:val="0"/>
          <w:numId w:val="1008"/>
        </w:numPr>
      </w:pPr>
      <w:r>
        <w:rPr>
          <w:i/>
          <w:iCs/>
        </w:rPr>
        <w:t xml:space="preserve">Diligence Email</w:t>
      </w:r>
      <w:r>
        <w:t xml:space="preserve">: Section 5 flags Smart Insights as automated decision-making producing legal or similarly significant effects, raising concerns under GDPR Article 22 and emerging U.S. state AI-governance requirements.</w:t>
      </w:r>
    </w:p>
    <w:p>
      <w:pPr>
        <w:pStyle w:val="FirstParagraph"/>
      </w:pPr>
      <w:r>
        <w:rPr>
          <w:b/>
          <w:bCs/>
        </w:rPr>
        <w:t xml:space="preserve">Analysis.</w:t>
      </w:r>
      <w:r>
        <w:t xml:space="preserve"> </w:t>
      </w:r>
      <w:r>
        <w:t xml:space="preserve">GDPR Article 22 grants data subjects the right not to be subject to solely automated decisions producing legal or similarly significant effects, with corresponding safeguards (human intervention, ability to contest, opt-out). GDPR Articles 13(2)(f) and 15(1)(h) require disclosure of the existence of such processing, the logic involved, and the envisaged consequences. The Inventory’s own characterization — fully automated, no human review, governs credit-product visibility for 2.8 million users — squarely triggers these provisions, yet the Policy is silent. The credit-product dimension also implicates the Fair Credit Reporting Act (</w:t>
      </w:r>
      <w:r>
        <w:t xml:space="preserve">“</w:t>
      </w:r>
      <w:r>
        <w:t xml:space="preserve">FCRA</w:t>
      </w:r>
      <w:r>
        <w:t xml:space="preserve">”</w:t>
      </w:r>
      <w:r>
        <w:t xml:space="preserve">) and state AI/credit laws to the extent the system affects consumers’ access to credit offers. The Inventory confirms no DPIA has been conducted despite the mandatory trigger.</w:t>
      </w:r>
    </w:p>
    <w:p>
      <w:pPr>
        <w:pStyle w:val="BodyText"/>
      </w:pPr>
      <w:r>
        <w:rPr>
          <w:b/>
          <w:bCs/>
        </w:rPr>
        <w:t xml:space="preserve">Risk assessment.</w:t>
      </w:r>
      <w:r>
        <w:t xml:space="preserve"> </w:t>
      </w:r>
      <w:r>
        <w:rPr>
          <w:b/>
          <w:bCs/>
        </w:rPr>
        <w:t xml:space="preserve">Critical.</w:t>
      </w:r>
      <w:r>
        <w:t xml:space="preserve"> </w:t>
      </w:r>
      <w:r>
        <w:t xml:space="preserve">This is a mandatory-DPIA failure layered on an Article 22 disclosure-and-safeguard failure affecting 2.8 million users, with a credit-access dimension that may draw FCRA and state-law scrutiny in addition to GDPR exposure.</w:t>
      </w:r>
    </w:p>
    <w:p>
      <w:pPr>
        <w:pStyle w:val="BodyText"/>
      </w:pPr>
      <w:r>
        <w:rPr>
          <w:b/>
          <w:bCs/>
        </w:rPr>
        <w:t xml:space="preserve">Recommended remediation.</w:t>
      </w:r>
    </w:p>
    <w:p>
      <w:pPr>
        <w:pStyle w:val="Compact"/>
        <w:numPr>
          <w:ilvl w:val="0"/>
          <w:numId w:val="1009"/>
        </w:numPr>
      </w:pPr>
      <w:r>
        <w:t xml:space="preserve">Disclose Smart Insights automated decision-making in the Privacy Policy, including the logic, significance, and consequences, and the right to request human review and to contest/opt out.</w:t>
      </w:r>
    </w:p>
    <w:p>
      <w:pPr>
        <w:pStyle w:val="Compact"/>
        <w:numPr>
          <w:ilvl w:val="0"/>
          <w:numId w:val="1009"/>
        </w:numPr>
      </w:pPr>
      <w:r>
        <w:t xml:space="preserve">Implement a human-review and opt-out mechanism for the credit-offer-targeting function.</w:t>
      </w:r>
    </w:p>
    <w:p>
      <w:pPr>
        <w:pStyle w:val="Compact"/>
        <w:numPr>
          <w:ilvl w:val="0"/>
          <w:numId w:val="1009"/>
        </w:numPr>
      </w:pPr>
      <w:r>
        <w:t xml:space="preserve">Conduct the mandatory DPIA for PA-003 before any further reliance on the feature, and certainly before the EU launch.</w:t>
      </w:r>
    </w:p>
    <w:p>
      <w:pPr>
        <w:pStyle w:val="Compact"/>
        <w:numPr>
          <w:ilvl w:val="0"/>
          <w:numId w:val="1009"/>
        </w:numPr>
      </w:pPr>
      <w:r>
        <w:t xml:space="preserve">Assess FCRA and state AI/credit-law applicability with counsel.</w:t>
      </w:r>
    </w:p>
    <w:p>
      <w:r>
        <w:pict>
          <v:rect style="width:0;height:1.5pt" o:hralign="center" o:hrstd="t" o:hr="t"/>
        </w:pict>
      </w:r>
    </w:p>
    <w:bookmarkEnd w:id="26"/>
    <w:bookmarkStart w:id="27" w:name="Xbd0d004d128e96b9c2efda47101b384bb0190d5"/>
    <w:p>
      <w:pPr>
        <w:pStyle w:val="Heading3"/>
      </w:pPr>
      <w:r>
        <w:t xml:space="preserve">Issue 4 — Regulatory Notification Gaps in the August 2024 Breach</w:t>
      </w:r>
    </w:p>
    <w:p>
      <w:pPr>
        <w:pStyle w:val="FirstParagraph"/>
      </w:pPr>
      <w:r>
        <w:rPr>
          <w:b/>
          <w:bCs/>
        </w:rPr>
        <w:t xml:space="preserve">Documents and provisions at issue.</w:t>
      </w:r>
    </w:p>
    <w:p>
      <w:pPr>
        <w:pStyle w:val="Compact"/>
        <w:numPr>
          <w:ilvl w:val="0"/>
          <w:numId w:val="1010"/>
        </w:numPr>
      </w:pPr>
      <w:r>
        <w:rPr>
          <w:i/>
          <w:iCs/>
        </w:rPr>
        <w:t xml:space="preserve">Breach Log</w:t>
      </w:r>
      <w:r>
        <w:t xml:space="preserve">: The incident was discovered</w:t>
      </w:r>
      <w:r>
        <w:t xml:space="preserve"> </w:t>
      </w:r>
      <w:r>
        <w:rPr>
          <w:b/>
          <w:bCs/>
        </w:rPr>
        <w:t xml:space="preserve">August 12, 2024</w:t>
      </w:r>
      <w:r>
        <w:t xml:space="preserve">; consumer notification was distributed</w:t>
      </w:r>
      <w:r>
        <w:t xml:space="preserve"> </w:t>
      </w:r>
      <w:r>
        <w:rPr>
          <w:b/>
          <w:bCs/>
        </w:rPr>
        <w:t xml:space="preserve">September 28, 2024</w:t>
      </w:r>
      <w:r>
        <w:t xml:space="preserve"> </w:t>
      </w:r>
      <w:r>
        <w:t xml:space="preserve">—</w:t>
      </w:r>
      <w:r>
        <w:t xml:space="preserve"> </w:t>
      </w:r>
      <w:r>
        <w:rPr>
          <w:b/>
          <w:bCs/>
        </w:rPr>
        <w:t xml:space="preserve">47 days</w:t>
      </w:r>
      <w:r>
        <w:t xml:space="preserve"> </w:t>
      </w:r>
      <w:r>
        <w:t xml:space="preserve">later. Approximately</w:t>
      </w:r>
      <w:r>
        <w:t xml:space="preserve"> </w:t>
      </w:r>
      <w:r>
        <w:rPr>
          <w:b/>
          <w:bCs/>
        </w:rPr>
        <w:t xml:space="preserve">84,000</w:t>
      </w:r>
      <w:r>
        <w:t xml:space="preserve"> </w:t>
      </w:r>
      <w:r>
        <w:t xml:space="preserve">records were affected (full legal names, email addresses, last-four SSN digits, transaction histories). Entry 6 (August 14) states that California Civil Code § 1798.82(f) requires Attorney General notification when a breach affects more than 500 California residents, that approximately</w:t>
      </w:r>
      <w:r>
        <w:t xml:space="preserve"> </w:t>
      </w:r>
      <w:r>
        <w:rPr>
          <w:b/>
          <w:bCs/>
        </w:rPr>
        <w:t xml:space="preserve">3,100</w:t>
      </w:r>
      <w:r>
        <w:t xml:space="preserve"> </w:t>
      </w:r>
      <w:r>
        <w:t xml:space="preserve">California residents were affected (exceeding the threshold), and that the obligation is</w:t>
      </w:r>
      <w:r>
        <w:t xml:space="preserve"> </w:t>
      </w:r>
      <w:r>
        <w:t xml:space="preserve">“</w:t>
      </w:r>
      <w:r>
        <w:t xml:space="preserve">under review.</w:t>
      </w:r>
      <w:r>
        <w:t xml:space="preserve">”</w:t>
      </w:r>
      <w:r>
        <w:t xml:space="preserve"> </w:t>
      </w:r>
      <w:r>
        <w:t xml:space="preserve">Entry 7 (August 16) states that</w:t>
      </w:r>
      <w:r>
        <w:t xml:space="preserve"> </w:t>
      </w:r>
      <w:r>
        <w:t xml:space="preserve">“</w:t>
      </w:r>
      <w:r>
        <w:t xml:space="preserve">EU breach notification obligations under GDPR Article 33 (72-hour supervisory authority notification requirement) have been flagged for Priya Venkatesh’s review,</w:t>
      </w:r>
      <w:r>
        <w:t xml:space="preserve">”</w:t>
      </w:r>
      <w:r>
        <w:t xml:space="preserve"> </w:t>
      </w:r>
      <w:r>
        <w:t xml:space="preserve">with approximately</w:t>
      </w:r>
      <w:r>
        <w:t xml:space="preserve"> </w:t>
      </w:r>
      <w:r>
        <w:rPr>
          <w:b/>
          <w:bCs/>
        </w:rPr>
        <w:t xml:space="preserve">510</w:t>
      </w:r>
      <w:r>
        <w:t xml:space="preserve"> </w:t>
      </w:r>
      <w:r>
        <w:t xml:space="preserve">EU-resident users affected. The</w:t>
      </w:r>
      <w:r>
        <w:t xml:space="preserve"> </w:t>
      </w:r>
      <w:r>
        <w:rPr>
          <w:b/>
          <w:bCs/>
        </w:rPr>
        <w:t xml:space="preserve">Notification Log (Section 6)</w:t>
      </w:r>
      <w:r>
        <w:t xml:space="preserve"> </w:t>
      </w:r>
      <w:r>
        <w:t xml:space="preserve">lists notifications to: Affected Users (Sept 28); CloudFort (Aug 13); the cyber insurance carrier (Aug 19); Thornbury &amp; Locke (Aug 14); and the CEO (Aug 12). The Notification Log does</w:t>
      </w:r>
      <w:r>
        <w:t xml:space="preserve"> </w:t>
      </w:r>
      <w:r>
        <w:rPr>
          <w:b/>
          <w:bCs/>
        </w:rPr>
        <w:t xml:space="preserve">not</w:t>
      </w:r>
      <w:r>
        <w:t xml:space="preserve"> </w:t>
      </w:r>
      <w:r>
        <w:t xml:space="preserve">list the California Attorney General, any other state Attorney General, or any EU supervisory authority. Entry 14 (October 11) notes only that</w:t>
      </w:r>
      <w:r>
        <w:t xml:space="preserve"> </w:t>
      </w:r>
      <w:r>
        <w:t xml:space="preserve">“</w:t>
      </w:r>
      <w:r>
        <w:t xml:space="preserve">no regulatory inquiries have been received.</w:t>
      </w:r>
      <w:r>
        <w:t xml:space="preserve">”</w:t>
      </w:r>
    </w:p>
    <w:p>
      <w:pPr>
        <w:pStyle w:val="Compact"/>
        <w:numPr>
          <w:ilvl w:val="0"/>
          <w:numId w:val="1010"/>
        </w:numPr>
      </w:pPr>
      <w:r>
        <w:rPr>
          <w:i/>
          <w:iCs/>
        </w:rPr>
        <w:t xml:space="preserve">Privacy Policy</w:t>
      </w:r>
      <w:r>
        <w:t xml:space="preserve">: The Data Security section places the breach-notification burden on the user (</w:t>
      </w:r>
      <w:r>
        <w:t xml:space="preserve">“</w:t>
      </w:r>
      <w:r>
        <w:t xml:space="preserve">you agree to notify Vaultline immediately of any unauthorized use of your account or any other breach of security</w:t>
      </w:r>
      <w:r>
        <w:t xml:space="preserve">”</w:t>
      </w:r>
      <w:r>
        <w:t xml:space="preserve">) but makes no reciprocal commitment to notify users or regulators.</w:t>
      </w:r>
    </w:p>
    <w:p>
      <w:pPr>
        <w:pStyle w:val="Compact"/>
        <w:numPr>
          <w:ilvl w:val="0"/>
          <w:numId w:val="1010"/>
        </w:numPr>
      </w:pPr>
      <w:r>
        <w:rPr>
          <w:i/>
          <w:iCs/>
        </w:rPr>
        <w:t xml:space="preserve">Data Inventory</w:t>
      </w:r>
      <w:r>
        <w:t xml:space="preserve">: Revision Log v3.0 (September 30, 2024) notes</w:t>
      </w:r>
      <w:r>
        <w:t xml:space="preserve"> </w:t>
      </w:r>
      <w:r>
        <w:t xml:space="preserve">“</w:t>
      </w:r>
      <w:r>
        <w:t xml:space="preserve">Added breach-related notes,</w:t>
      </w:r>
      <w:r>
        <w:t xml:space="preserve">”</w:t>
      </w:r>
      <w:r>
        <w:t xml:space="preserve"> </w:t>
      </w:r>
      <w:r>
        <w:t xml:space="preserve">confirming the Inventory was updated post-incident.</w:t>
      </w:r>
    </w:p>
    <w:p>
      <w:pPr>
        <w:pStyle w:val="Compact"/>
        <w:numPr>
          <w:ilvl w:val="0"/>
          <w:numId w:val="1010"/>
        </w:numPr>
      </w:pPr>
      <w:r>
        <w:rPr>
          <w:i/>
          <w:iCs/>
        </w:rPr>
        <w:t xml:space="preserve">Diligence Email</w:t>
      </w:r>
      <w:r>
        <w:t xml:space="preserve">: Section 5 requests confirmation of compliance with all applicable state data breach notification laws.</w:t>
      </w:r>
    </w:p>
    <w:p>
      <w:pPr>
        <w:pStyle w:val="FirstParagraph"/>
      </w:pPr>
      <w:r>
        <w:rPr>
          <w:b/>
          <w:bCs/>
        </w:rPr>
        <w:t xml:space="preserve">Analysis.</w:t>
      </w:r>
      <w:r>
        <w:t xml:space="preserve"> </w:t>
      </w:r>
      <w:r>
        <w:t xml:space="preserve">Three distinct notification concerns arise:</w:t>
      </w:r>
    </w:p>
    <w:p>
      <w:pPr>
        <w:pStyle w:val="Compact"/>
        <w:numPr>
          <w:ilvl w:val="0"/>
          <w:numId w:val="1011"/>
        </w:numPr>
      </w:pPr>
      <w:r>
        <w:rPr>
          <w:b/>
          <w:bCs/>
        </w:rPr>
        <w:t xml:space="preserve">GDPR Article 33 (supervisory authority).</w:t>
      </w:r>
      <w:r>
        <w:t xml:space="preserve"> </w:t>
      </w:r>
      <w:r>
        <w:t xml:space="preserve">The 72-hour clock ran from August 12 (discovery) and expired on or about</w:t>
      </w:r>
      <w:r>
        <w:t xml:space="preserve"> </w:t>
      </w:r>
      <w:r>
        <w:rPr>
          <w:b/>
          <w:bCs/>
        </w:rPr>
        <w:t xml:space="preserve">August 15, 2024</w:t>
      </w:r>
      <w:r>
        <w:t xml:space="preserve">. The Breach Log flags the obligation but the Notification Log contains no entry showing any EU supervisory authority was notified. Given that the compromised data included SSN-last-4 and full transaction histories for 510 EU data subjects, the</w:t>
      </w:r>
      <w:r>
        <w:t xml:space="preserve"> </w:t>
      </w:r>
      <w:r>
        <w:t xml:space="preserve">“</w:t>
      </w:r>
      <w:r>
        <w:t xml:space="preserve">unlikely to result in a risk</w:t>
      </w:r>
      <w:r>
        <w:t xml:space="preserve">”</w:t>
      </w:r>
      <w:r>
        <w:t xml:space="preserve"> </w:t>
      </w:r>
      <w:r>
        <w:t xml:space="preserve">exemption is not available. Article 34 (notification to data subjects without undue delay where high risk) is likewise implicated; the 47-day consumer notice is difficult to defend as</w:t>
      </w:r>
      <w:r>
        <w:t xml:space="preserve"> </w:t>
      </w:r>
      <w:r>
        <w:t xml:space="preserve">“</w:t>
      </w:r>
      <w:r>
        <w:t xml:space="preserve">without undue delay.</w:t>
      </w:r>
      <w:r>
        <w:t xml:space="preserve">”</w:t>
      </w:r>
    </w:p>
    <w:p>
      <w:pPr>
        <w:pStyle w:val="Compact"/>
        <w:numPr>
          <w:ilvl w:val="0"/>
          <w:numId w:val="1011"/>
        </w:numPr>
      </w:pPr>
      <w:r>
        <w:rPr>
          <w:b/>
          <w:bCs/>
        </w:rPr>
        <w:t xml:space="preserve">California Attorney General.</w:t>
      </w:r>
      <w:r>
        <w:t xml:space="preserve"> </w:t>
      </w:r>
      <w:r>
        <w:t xml:space="preserve">Cal. Civ. Code § 1798.82(f) requires AG notification (using the AG’s format) when a breach affects more than 500 California residents; the obligation arises contemporaneously with consumer notice. The Breach Log identifies the ~3,100-resident figure and the threshold but the Notification Log does not document AG notification. Similar obligations exist in numerous other states (e.g., New York, Illinois, Florida — all of which had affected residents per the geographic breakdown).</w:t>
      </w:r>
    </w:p>
    <w:p>
      <w:pPr>
        <w:pStyle w:val="Compact"/>
        <w:numPr>
          <w:ilvl w:val="0"/>
          <w:numId w:val="1011"/>
        </w:numPr>
      </w:pPr>
      <w:r>
        <w:rPr>
          <w:b/>
          <w:bCs/>
        </w:rPr>
        <w:t xml:space="preserve">47-day consumer-notification timeline.</w:t>
      </w:r>
      <w:r>
        <w:t xml:space="preserve"> </w:t>
      </w:r>
      <w:r>
        <w:t xml:space="preserve">California and most state breach-notification statutes require notice</w:t>
      </w:r>
      <w:r>
        <w:t xml:space="preserve"> </w:t>
      </w:r>
      <w:r>
        <w:t xml:space="preserve">“</w:t>
      </w:r>
      <w:r>
        <w:t xml:space="preserve">in the most expedient time possible and without unreasonable delay</w:t>
      </w:r>
      <w:r>
        <w:t xml:space="preserve">”</w:t>
      </w:r>
      <w:r>
        <w:t xml:space="preserve"> </w:t>
      </w:r>
      <w:r>
        <w:t xml:space="preserve">(some states impose 30–60 day outer limits). A 47-day interval — particularly where SSN-last-4 and transaction histories were exposed — is vulnerable to challenge as unreasonable delay.</w:t>
      </w:r>
    </w:p>
    <w:p>
      <w:pPr>
        <w:pStyle w:val="FirstParagraph"/>
      </w:pPr>
      <w:r>
        <w:t xml:space="preserve">The cross-document gap is that the Breach Log</w:t>
      </w:r>
      <w:r>
        <w:t xml:space="preserve"> </w:t>
      </w:r>
      <w:r>
        <w:rPr>
          <w:i/>
          <w:iCs/>
        </w:rPr>
        <w:t xml:space="preserve">identifies</w:t>
      </w:r>
      <w:r>
        <w:t xml:space="preserve"> </w:t>
      </w:r>
      <w:r>
        <w:t xml:space="preserve">the regulatory obligations but does not</w:t>
      </w:r>
      <w:r>
        <w:t xml:space="preserve"> </w:t>
      </w:r>
      <w:r>
        <w:rPr>
          <w:i/>
          <w:iCs/>
        </w:rPr>
        <w:t xml:space="preserve">document their fulfillment</w:t>
      </w:r>
      <w:r>
        <w:t xml:space="preserve">, while the Notification Log affirmatively omits every regulator. This is both a compliance gap and a diligence-representation risk: the Diligence Email expressly asks us to</w:t>
      </w:r>
      <w:r>
        <w:t xml:space="preserve"> </w:t>
      </w:r>
      <w:r>
        <w:t xml:space="preserve">“</w:t>
      </w:r>
      <w:r>
        <w:t xml:space="preserve">confirm compliance with all applicable state data breach notification laws,</w:t>
      </w:r>
      <w:r>
        <w:t xml:space="preserve">”</w:t>
      </w:r>
      <w:r>
        <w:t xml:space="preserve"> </w:t>
      </w:r>
      <w:r>
        <w:t xml:space="preserve">and the current record does not support an unqualified confirmation.</w:t>
      </w:r>
    </w:p>
    <w:p>
      <w:pPr>
        <w:pStyle w:val="BodyText"/>
      </w:pPr>
      <w:r>
        <w:rPr>
          <w:b/>
          <w:bCs/>
        </w:rPr>
        <w:t xml:space="preserve">Risk assessment.</w:t>
      </w:r>
      <w:r>
        <w:t xml:space="preserve"> </w:t>
      </w:r>
      <w:r>
        <w:rPr>
          <w:b/>
          <w:bCs/>
        </w:rPr>
        <w:t xml:space="preserve">Critical.</w:t>
      </w:r>
      <w:r>
        <w:t xml:space="preserve"> </w:t>
      </w:r>
      <w:r>
        <w:t xml:space="preserve">GDPR Articles 33/34 violations carry fines up to €10 million or 2% of global turnover (Article 83(4)). State breach-notification violations carry statutory penalties and AG enforcement risk, and the 47-day delay is a litigation magnet in any putative class action arising from the breach.</w:t>
      </w:r>
    </w:p>
    <w:p>
      <w:pPr>
        <w:pStyle w:val="BodyText"/>
      </w:pPr>
      <w:r>
        <w:rPr>
          <w:b/>
          <w:bCs/>
        </w:rPr>
        <w:t xml:space="preserve">Recommended remediation.</w:t>
      </w:r>
    </w:p>
    <w:p>
      <w:pPr>
        <w:pStyle w:val="Compact"/>
        <w:numPr>
          <w:ilvl w:val="0"/>
          <w:numId w:val="1012"/>
        </w:numPr>
      </w:pPr>
      <w:r>
        <w:t xml:space="preserve">Reconstruct and document the complete regulator-notification record. If the California AG, other state AGs, and the lead EU supervisory authority were</w:t>
      </w:r>
      <w:r>
        <w:t xml:space="preserve"> </w:t>
      </w:r>
      <w:r>
        <w:rPr>
          <w:i/>
          <w:iCs/>
        </w:rPr>
        <w:t xml:space="preserve">not</w:t>
      </w:r>
      <w:r>
        <w:t xml:space="preserve"> </w:t>
      </w:r>
      <w:r>
        <w:t xml:space="preserve">notified, assess cure options (e.g., late notification with explanation) immediately with breach-notification counsel.</w:t>
      </w:r>
    </w:p>
    <w:p>
      <w:pPr>
        <w:pStyle w:val="Compact"/>
        <w:numPr>
          <w:ilvl w:val="0"/>
          <w:numId w:val="1012"/>
        </w:numPr>
      </w:pPr>
      <w:r>
        <w:t xml:space="preserve">If notifications</w:t>
      </w:r>
      <w:r>
        <w:t xml:space="preserve"> </w:t>
      </w:r>
      <w:r>
        <w:rPr>
          <w:i/>
          <w:iCs/>
        </w:rPr>
        <w:t xml:space="preserve">were</w:t>
      </w:r>
      <w:r>
        <w:t xml:space="preserve"> </w:t>
      </w:r>
      <w:r>
        <w:t xml:space="preserve">made but not logged, update the Breach Log’s Notification Log to reflect dates, recipients, and methods, and preserve evidence of transmission.</w:t>
      </w:r>
    </w:p>
    <w:p>
      <w:pPr>
        <w:pStyle w:val="Compact"/>
        <w:numPr>
          <w:ilvl w:val="0"/>
          <w:numId w:val="1012"/>
        </w:numPr>
      </w:pPr>
      <w:r>
        <w:t xml:space="preserve">Re-evaluate the 47-day timeline against each affected state’s statute and document the legal basis for any delay (e.g., law-enforcement coordination); if the basis is weak, prepare a defensive analysis.</w:t>
      </w:r>
    </w:p>
    <w:p>
      <w:pPr>
        <w:pStyle w:val="Compact"/>
        <w:numPr>
          <w:ilvl w:val="0"/>
          <w:numId w:val="1012"/>
        </w:numPr>
      </w:pPr>
      <w:r>
        <w:t xml:space="preserve">Add a reciprocal breach-notification commitment to the Privacy Policy and align the Policy’s Data Security section with actual practice.</w:t>
      </w:r>
    </w:p>
    <w:p>
      <w:pPr>
        <w:pStyle w:val="Compact"/>
        <w:numPr>
          <w:ilvl w:val="0"/>
          <w:numId w:val="1012"/>
        </w:numPr>
      </w:pPr>
      <w:r>
        <w:t xml:space="preserve">Confirm whether the breach has been disclosed (or must be disclosed) in the Series C diligence representations.</w:t>
      </w:r>
    </w:p>
    <w:p>
      <w:r>
        <w:pict>
          <v:rect style="width:0;height:1.5pt" o:hralign="center" o:hrstd="t" o:hr="t"/>
        </w:pict>
      </w:r>
    </w:p>
    <w:bookmarkEnd w:id="27"/>
    <w:bookmarkEnd w:id="28"/>
    <w:bookmarkStart w:id="33" w:name="v.-high-severity-issues"/>
    <w:p>
      <w:pPr>
        <w:pStyle w:val="Heading2"/>
      </w:pPr>
      <w:r>
        <w:t xml:space="preserve">V. High-Severity Issues</w:t>
      </w:r>
    </w:p>
    <w:bookmarkStart w:id="29" w:name="Xb68b281da709a0d537be3c14edfbf30a5a14af4"/>
    <w:p>
      <w:pPr>
        <w:pStyle w:val="Heading3"/>
      </w:pPr>
      <w:r>
        <w:t xml:space="preserve">Issue 5 — Brightly Analytics</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Without Opt-Out; Data Sharing Agreement Defects</w:t>
      </w:r>
    </w:p>
    <w:p>
      <w:pPr>
        <w:pStyle w:val="FirstParagraph"/>
      </w:pPr>
      <w:r>
        <w:rPr>
          <w:b/>
          <w:bCs/>
        </w:rPr>
        <w:t xml:space="preserve">Documents and provisions at issue.</w:t>
      </w:r>
    </w:p>
    <w:p>
      <w:pPr>
        <w:pStyle w:val="Compact"/>
        <w:numPr>
          <w:ilvl w:val="0"/>
          <w:numId w:val="1013"/>
        </w:numPr>
      </w:pPr>
      <w:r>
        <w:rPr>
          <w:i/>
          <w:iCs/>
        </w:rPr>
        <w:t xml:space="preserve">Privacy Policy</w:t>
      </w:r>
      <w:r>
        <w:t xml:space="preserve">: The</w:t>
      </w:r>
      <w:r>
        <w:t xml:space="preserve"> </w:t>
      </w:r>
      <w:r>
        <w:t xml:space="preserve">“</w:t>
      </w:r>
      <w:r>
        <w:t xml:space="preserve">How We Share Your Information</w:t>
      </w:r>
      <w:r>
        <w:t xml:space="preserve">”</w:t>
      </w:r>
      <w:r>
        <w:t xml:space="preserve"> </w:t>
      </w:r>
      <w:r>
        <w:t xml:space="preserve">section references</w:t>
      </w:r>
      <w:r>
        <w:t xml:space="preserve"> </w:t>
      </w:r>
      <w:r>
        <w:t xml:space="preserve">“</w:t>
      </w:r>
      <w:r>
        <w:t xml:space="preserve">analytics and advertising partners</w:t>
      </w:r>
      <w:r>
        <w:t xml:space="preserve">”</w:t>
      </w:r>
      <w:r>
        <w:t xml:space="preserve"> </w:t>
      </w:r>
      <w:r>
        <w:t xml:space="preserve">generically and states that such partners</w:t>
      </w:r>
      <w:r>
        <w:t xml:space="preserve"> </w:t>
      </w:r>
      <w:r>
        <w:t xml:space="preserve">“</w:t>
      </w:r>
      <w:r>
        <w:t xml:space="preserve">may utilize the information received from Vaultline in conjunction with information they have independently collected.</w:t>
      </w:r>
      <w:r>
        <w:t xml:space="preserve">”</w:t>
      </w:r>
      <w:r>
        <w:t xml:space="preserve"> </w:t>
      </w:r>
      <w:r>
        <w:t xml:space="preserve">The Policy does</w:t>
      </w:r>
      <w:r>
        <w:t xml:space="preserve"> </w:t>
      </w:r>
      <w:r>
        <w:rPr>
          <w:b/>
          <w:bCs/>
        </w:rPr>
        <w:t xml:space="preserve">not</w:t>
      </w:r>
      <w:r>
        <w:t xml:space="preserve"> </w:t>
      </w:r>
      <w:r>
        <w:t xml:space="preserve">name Brightly, does</w:t>
      </w:r>
      <w:r>
        <w:t xml:space="preserve"> </w:t>
      </w:r>
      <w:r>
        <w:rPr>
          <w:b/>
          <w:bCs/>
        </w:rPr>
        <w:t xml:space="preserve">not</w:t>
      </w:r>
      <w:r>
        <w:t xml:space="preserve"> </w:t>
      </w:r>
      <w:r>
        <w:t xml:space="preserve">disclose the revenue-share arrangement, does</w:t>
      </w:r>
      <w:r>
        <w:t xml:space="preserve"> </w:t>
      </w:r>
      <w:r>
        <w:rPr>
          <w:b/>
          <w:bCs/>
        </w:rPr>
        <w:t xml:space="preserve">not</w:t>
      </w:r>
      <w:r>
        <w:t xml:space="preserve"> </w:t>
      </w:r>
      <w:r>
        <w:t xml:space="preserve">disclose that Brightly is an independent controller (not a service provider), does</w:t>
      </w:r>
      <w:r>
        <w:t xml:space="preserve"> </w:t>
      </w:r>
      <w:r>
        <w:rPr>
          <w:b/>
          <w:bCs/>
        </w:rPr>
        <w:t xml:space="preserve">not</w:t>
      </w:r>
      <w:r>
        <w:t xml:space="preserve"> </w:t>
      </w:r>
      <w:r>
        <w:t xml:space="preserve">disclose that Brightly sells audience segments to third-party advertisers, does</w:t>
      </w:r>
      <w:r>
        <w:t xml:space="preserve"> </w:t>
      </w:r>
      <w:r>
        <w:rPr>
          <w:b/>
          <w:bCs/>
        </w:rPr>
        <w:t xml:space="preserve">not</w:t>
      </w:r>
      <w:r>
        <w:t xml:space="preserve"> </w:t>
      </w:r>
      <w:r>
        <w:t xml:space="preserve">disclose the specific data categories shared (hashed emails, age range, income bracket, spending summaries), and provides</w:t>
      </w:r>
      <w:r>
        <w:t xml:space="preserve"> </w:t>
      </w:r>
      <w:r>
        <w:rPr>
          <w:b/>
          <w:bCs/>
        </w:rPr>
        <w:t xml:space="preserve">no</w:t>
      </w:r>
      <w:r>
        <w:t xml:space="preserve"> </w:t>
      </w:r>
      <w:r>
        <w:t xml:space="preserve">“</w:t>
      </w:r>
      <w:r>
        <w:t xml:space="preserve">Do Not Sell or Share My Personal Information</w:t>
      </w:r>
      <w:r>
        <w:t xml:space="preserve">”</w:t>
      </w:r>
      <w:r>
        <w:t xml:space="preserve"> </w:t>
      </w:r>
      <w:r>
        <w:t xml:space="preserve">opt-out.</w:t>
      </w:r>
    </w:p>
    <w:p>
      <w:pPr>
        <w:pStyle w:val="Compact"/>
        <w:numPr>
          <w:ilvl w:val="0"/>
          <w:numId w:val="1013"/>
        </w:numPr>
      </w:pPr>
      <w:r>
        <w:rPr>
          <w:i/>
          <w:iCs/>
        </w:rPr>
        <w:t xml:space="preserve">Data Inventory</w:t>
      </w:r>
      <w:r>
        <w:t xml:space="preserve">: Third-Party Sharing</w:t>
      </w:r>
      <w:r>
        <w:t xml:space="preserve"> </w:t>
      </w:r>
      <w:r>
        <w:rPr>
          <w:b/>
          <w:bCs/>
        </w:rPr>
        <w:t xml:space="preserve">TS-002</w:t>
      </w:r>
      <w:r>
        <w:t xml:space="preserve"> </w:t>
      </w:r>
      <w:r>
        <w:t xml:space="preserve">classifies Brightly as an</w:t>
      </w:r>
      <w:r>
        <w:t xml:space="preserve"> </w:t>
      </w:r>
      <w:r>
        <w:t xml:space="preserve">“</w:t>
      </w:r>
      <w:r>
        <w:t xml:space="preserve">Independent Controller (per agreement terms)</w:t>
      </w:r>
      <w:r>
        <w:t xml:space="preserve">”</w:t>
      </w:r>
      <w:r>
        <w:t xml:space="preserve"> </w:t>
      </w:r>
      <w:r>
        <w:t xml:space="preserve">— explicitly</w:t>
      </w:r>
      <w:r>
        <w:t xml:space="preserve"> </w:t>
      </w:r>
      <w:r>
        <w:rPr>
          <w:i/>
          <w:iCs/>
        </w:rPr>
        <w:t xml:space="preserve">not</w:t>
      </w:r>
      <w:r>
        <w:t xml:space="preserve"> </w:t>
      </w:r>
      <w:r>
        <w:t xml:space="preserve">a service provider/processor. Data shared: hashed email addresses (SHA-256), age range, income bracket, spending category summaries; plus Brightly SDK independently collects device identifiers, IP addresses, approximate geolocation, and in-app behavioral events. CCPA Classification:</w:t>
      </w:r>
      <w:r>
        <w:t xml:space="preserve"> </w:t>
      </w:r>
      <w:r>
        <w:t xml:space="preserve">“</w:t>
      </w:r>
      <w:r>
        <w:rPr>
          <w:b/>
          <w:bCs/>
        </w:rPr>
        <w:t xml:space="preserve">NOT CLASSIFIED — No internal CCPA sale/sharing analysis performed.</w:t>
      </w:r>
      <w:r>
        <w:t xml:space="preserve">”</w:t>
      </w:r>
      <w:r>
        <w:t xml:space="preserve"> </w:t>
      </w:r>
      <w:r>
        <w:t xml:space="preserve">Monetary consideration:</w:t>
      </w:r>
      <w:r>
        <w:t xml:space="preserve"> </w:t>
      </w:r>
      <w:r>
        <w:t xml:space="preserve">“</w:t>
      </w:r>
      <w:r>
        <w:rPr>
          <w:b/>
          <w:bCs/>
        </w:rPr>
        <w:t xml:space="preserve">YES — $0.87 per MAU per month (~253,000 avg MAUs = ~$2,641,320 annually).</w:t>
      </w:r>
      <w:r>
        <w:t xml:space="preserve">”</w:t>
      </w:r>
      <w:r>
        <w:t xml:space="preserve"> </w:t>
      </w:r>
      <w:r>
        <w:t xml:space="preserve">Opt-out:</w:t>
      </w:r>
      <w:r>
        <w:t xml:space="preserve"> </w:t>
      </w:r>
      <w:r>
        <w:t xml:space="preserve">“</w:t>
      </w:r>
      <w:r>
        <w:rPr>
          <w:b/>
          <w:bCs/>
        </w:rPr>
        <w:t xml:space="preserve">NO.</w:t>
      </w:r>
      <w:r>
        <w:t xml:space="preserve">”</w:t>
      </w:r>
      <w:r>
        <w:t xml:space="preserve"> </w:t>
      </w:r>
      <w:r>
        <w:t xml:space="preserve">Notes:</w:t>
      </w:r>
      <w:r>
        <w:t xml:space="preserve"> </w:t>
      </w:r>
      <w:r>
        <w:t xml:space="preserve">“</w:t>
      </w:r>
      <w:r>
        <w:t xml:space="preserve">Revenue share constitutes monetary consideration — likely</w:t>
      </w:r>
      <w:r>
        <w:t xml:space="preserve"> </w:t>
      </w:r>
      <w:r>
        <w:t xml:space="preserve">‘</w:t>
      </w:r>
      <w:r>
        <w:t xml:space="preserve">sale</w:t>
      </w:r>
      <w:r>
        <w:t xml:space="preserve">’</w:t>
      </w:r>
      <w:r>
        <w:t xml:space="preserve"> </w:t>
      </w:r>
      <w:r>
        <w:t xml:space="preserve">under CPRA. Cross-app behavioral advertising use — likely</w:t>
      </w:r>
      <w:r>
        <w:t xml:space="preserve"> </w:t>
      </w:r>
      <w:r>
        <w:t xml:space="preserve">‘</w:t>
      </w:r>
      <w:r>
        <w:t xml:space="preserve">sharing</w:t>
      </w:r>
      <w:r>
        <w:t xml:space="preserve">’</w:t>
      </w:r>
      <w:r>
        <w:t xml:space="preserve"> </w:t>
      </w:r>
      <w:r>
        <w:t xml:space="preserve">under CPRA. No CCPA-specific provisions in agreement. No data processing addendum.</w:t>
      </w:r>
      <w:r>
        <w:t xml:space="preserve">”</w:t>
      </w:r>
      <w:r>
        <w:t xml:space="preserve"> </w:t>
      </w:r>
      <w:r>
        <w:t xml:space="preserve">Data Categories DC-008, DC-009, DC-014, and DC-015 are each marked</w:t>
      </w:r>
      <w:r>
        <w:t xml:space="preserve"> </w:t>
      </w:r>
      <w:r>
        <w:t xml:space="preserve">“</w:t>
      </w:r>
      <w:r>
        <w:t xml:space="preserve">not specifically disclosed as shared</w:t>
      </w:r>
      <w:r>
        <w:t xml:space="preserve">”</w:t>
      </w:r>
      <w:r>
        <w:t xml:space="preserve"> </w:t>
      </w:r>
      <w:r>
        <w:t xml:space="preserve">with Brightly. Processing Activity PA-004 confirms ~253,000 MAUs exposed and that Brightly</w:t>
      </w:r>
      <w:r>
        <w:t xml:space="preserve"> </w:t>
      </w:r>
      <w:r>
        <w:t xml:space="preserve">“</w:t>
      </w:r>
      <w:r>
        <w:t xml:space="preserve">sells aggregated (but not de-identified per CCPA standards) audience segments to third-party advertisers.</w:t>
      </w:r>
      <w:r>
        <w:t xml:space="preserve">”</w:t>
      </w:r>
    </w:p>
    <w:p>
      <w:pPr>
        <w:pStyle w:val="Compact"/>
        <w:numPr>
          <w:ilvl w:val="0"/>
          <w:numId w:val="1013"/>
        </w:numPr>
      </w:pPr>
      <w:r>
        <w:rPr>
          <w:i/>
          <w:iCs/>
        </w:rPr>
        <w:t xml:space="preserve">DSA</w:t>
      </w:r>
      <w:r>
        <w:t xml:space="preserve">: Section 4.1 designates Brightly an</w:t>
      </w:r>
      <w:r>
        <w:t xml:space="preserve"> </w:t>
      </w:r>
      <w:r>
        <w:t xml:space="preserve">“</w:t>
      </w:r>
      <w:r>
        <w:t xml:space="preserve">independent data controller (and not as a data processor, service provider, or contractor).</w:t>
      </w:r>
      <w:r>
        <w:t xml:space="preserve">”</w:t>
      </w:r>
      <w:r>
        <w:t xml:space="preserve"> </w:t>
      </w:r>
      <w:r>
        <w:t xml:space="preserve">Section 4.2 expressly disclaims any service-provider/contractor relationship</w:t>
      </w:r>
      <w:r>
        <w:t xml:space="preserve"> </w:t>
      </w:r>
      <w:r>
        <w:t xml:space="preserve">“</w:t>
      </w:r>
      <w:r>
        <w:t xml:space="preserve">under any applicable data privacy law.</w:t>
      </w:r>
      <w:r>
        <w:t xml:space="preserve">”</w:t>
      </w:r>
      <w:r>
        <w:t xml:space="preserve"> </w:t>
      </w:r>
      <w:r>
        <w:t xml:space="preserve">Section 3.1(c) authorizes Brightly to</w:t>
      </w:r>
      <w:r>
        <w:t xml:space="preserve"> </w:t>
      </w:r>
      <w:r>
        <w:t xml:space="preserve">“</w:t>
      </w:r>
      <w:r>
        <w:t xml:space="preserve">licens[e], sell[], or otherwise make available Audience Segments … to Third-Party Advertisers.</w:t>
      </w:r>
      <w:r>
        <w:t xml:space="preserve">”</w:t>
      </w:r>
      <w:r>
        <w:t xml:space="preserve"> </w:t>
      </w:r>
      <w:r>
        <w:t xml:space="preserve">Section 3.2 authorizes Brightly to combine Shared Data and SDK Data with data from other sources. Section 5.1 sets the revenue share at $0.87/MAU/month (amended from $0.62 effective June 15, 2024). Section 10.5(c) permits Brightly, upon termination, to</w:t>
      </w:r>
      <w:r>
        <w:t xml:space="preserve"> </w:t>
      </w:r>
      <w:r>
        <w:t xml:space="preserve">“</w:t>
      </w:r>
      <w:r>
        <w:t xml:space="preserve">continue to use, license, sell, and otherwise exploit Audience Segments created prior to the effective date of termination, and … retain Aggregate Data, analytical models, and all other derivative works … without restriction and in perpetuity.</w:t>
      </w:r>
      <w:r>
        <w:t xml:space="preserve">”</w:t>
      </w:r>
      <w:r>
        <w:t xml:space="preserve"> </w:t>
      </w:r>
      <w:r>
        <w:t xml:space="preserve">Section 14.3 confirms</w:t>
      </w:r>
      <w:r>
        <w:t xml:space="preserve"> </w:t>
      </w:r>
      <w:r>
        <w:t xml:space="preserve">“</w:t>
      </w:r>
      <w:r>
        <w:t xml:space="preserve">There are no data processing addenda … between the Parties.</w:t>
      </w:r>
      <w:r>
        <w:t xml:space="preserve">”</w:t>
      </w:r>
      <w:r>
        <w:t xml:space="preserve"> </w:t>
      </w:r>
      <w:r>
        <w:t xml:space="preserve">Section 7.1 contains Vaultline’s representations that the sharing is</w:t>
      </w:r>
      <w:r>
        <w:t xml:space="preserve"> </w:t>
      </w:r>
      <w:r>
        <w:t xml:space="preserve">“</w:t>
      </w:r>
      <w:r>
        <w:t xml:space="preserve">consistent with Vaultline’s privacy policy</w:t>
      </w:r>
      <w:r>
        <w:t xml:space="preserve">”</w:t>
      </w:r>
      <w:r>
        <w:t xml:space="preserve"> </w:t>
      </w:r>
      <w:r>
        <w:t xml:space="preserve">(7.1(b)), that Vaultline</w:t>
      </w:r>
      <w:r>
        <w:t xml:space="preserve"> </w:t>
      </w:r>
      <w:r>
        <w:t xml:space="preserve">“</w:t>
      </w:r>
      <w:r>
        <w:t xml:space="preserve">has obtained all necessary consents</w:t>
      </w:r>
      <w:r>
        <w:t xml:space="preserve">”</w:t>
      </w:r>
      <w:r>
        <w:t xml:space="preserve"> </w:t>
      </w:r>
      <w:r>
        <w:t xml:space="preserve">(7.1(c)), and that the sharing</w:t>
      </w:r>
      <w:r>
        <w:t xml:space="preserve"> </w:t>
      </w:r>
      <w:r>
        <w:t xml:space="preserve">“</w:t>
      </w:r>
      <w:r>
        <w:t xml:space="preserve">complies with all applicable … laws</w:t>
      </w:r>
      <w:r>
        <w:t xml:space="preserve">”</w:t>
      </w:r>
      <w:r>
        <w:t xml:space="preserve"> </w:t>
      </w:r>
      <w:r>
        <w:t xml:space="preserve">(7.1(d)). Section 11.1 obligates Vaultline to indemnify Brightly for claims arising from consent failures.</w:t>
      </w:r>
    </w:p>
    <w:p>
      <w:pPr>
        <w:pStyle w:val="Compact"/>
        <w:numPr>
          <w:ilvl w:val="0"/>
          <w:numId w:val="1013"/>
        </w:numPr>
      </w:pPr>
      <w:r>
        <w:rPr>
          <w:i/>
          <w:iCs/>
        </w:rPr>
        <w:t xml:space="preserve">Diligence Email</w:t>
      </w:r>
      <w:r>
        <w:t xml:space="preserve">: Section 5 requests analysis of whether the Brightly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the CPRA and whether disclosures and opt-outs are in place.</w:t>
      </w:r>
    </w:p>
    <w:p>
      <w:pPr>
        <w:pStyle w:val="FirstParagraph"/>
      </w:pPr>
      <w:r>
        <w:rPr>
          <w:b/>
          <w:bCs/>
        </w:rPr>
        <w:t xml:space="preserve">Analysis.</w:t>
      </w:r>
      <w:r>
        <w:t xml:space="preserve"> </w:t>
      </w:r>
      <w:r>
        <w:t xml:space="preserve">This is the most fully triangulated gap in the review, with all three operational documents (Policy, Inventory, DSA) and the Diligence Email converging on the same conclusion:</w:t>
      </w:r>
    </w:p>
    <w:p>
      <w:pPr>
        <w:pStyle w:val="Compact"/>
        <w:numPr>
          <w:ilvl w:val="0"/>
          <w:numId w:val="1014"/>
        </w:numPr>
      </w:pPr>
      <w:r>
        <w:rPr>
          <w:b/>
          <w:bCs/>
        </w:rPr>
        <w:t xml:space="preserve">CPRA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t xml:space="preserve"> </w:t>
      </w:r>
      <w:r>
        <w:t xml:space="preserve">The $0.87/MAU/month revenue share (~$2.64M/year) is monetary consideration for personal information — the statutory definition of a</w:t>
      </w:r>
      <w:r>
        <w:t xml:space="preserve"> </w:t>
      </w:r>
      <w:r>
        <w:t xml:space="preserve">“</w:t>
      </w:r>
      <w:r>
        <w:t xml:space="preserve">sale</w:t>
      </w:r>
      <w:r>
        <w:t xml:space="preserve">”</w:t>
      </w:r>
      <w:r>
        <w:t xml:space="preserve"> </w:t>
      </w:r>
      <w:r>
        <w:t xml:space="preserve">under the CPRA. The cross-app behavioral advertising use (serving ads to Vaultline users across third-party apps based on behavioral profiles) is</w:t>
      </w:r>
      <w:r>
        <w:t xml:space="preserve"> </w:t>
      </w:r>
      <w:r>
        <w:t xml:space="preserve">“</w:t>
      </w:r>
      <w:r>
        <w:t xml:space="preserve">sharing</w:t>
      </w:r>
      <w:r>
        <w:t xml:space="preserve">”</w:t>
      </w:r>
      <w:r>
        <w:t xml:space="preserve"> </w:t>
      </w:r>
      <w:r>
        <w:t xml:space="preserve">(cross-context behavioral advertising) under the CPRA. The Inventory’s own assessment reaches the same conclusion. The Policy discloses neither, and no</w:t>
      </w:r>
      <w:r>
        <w:t xml:space="preserve"> </w:t>
      </w:r>
      <w:r>
        <w:t xml:space="preserve">“</w:t>
      </w:r>
      <w:r>
        <w:t xml:space="preserve">Do Not Sell or Share My Personal Information</w:t>
      </w:r>
      <w:r>
        <w:t xml:space="preserve">”</w:t>
      </w:r>
      <w:r>
        <w:t xml:space="preserve"> </w:t>
      </w:r>
      <w:r>
        <w:t xml:space="preserve">opt-out link exists. Because Brightly is contractually designated an independent controller (not a service provider/contractor), the CPRA service-provider exemption is unavailable.</w:t>
      </w:r>
    </w:p>
    <w:p>
      <w:pPr>
        <w:pStyle w:val="Compact"/>
        <w:numPr>
          <w:ilvl w:val="0"/>
          <w:numId w:val="1014"/>
        </w:numPr>
      </w:pPr>
      <w:r>
        <w:rPr>
          <w:b/>
          <w:bCs/>
        </w:rPr>
        <w:t xml:space="preserve">DSA representations appear inaccurate.</w:t>
      </w:r>
      <w:r>
        <w:t xml:space="preserve"> </w:t>
      </w:r>
      <w:r>
        <w:t xml:space="preserve">Section 7.1(b) represents that the sharing is</w:t>
      </w:r>
      <w:r>
        <w:t xml:space="preserve"> </w:t>
      </w:r>
      <w:r>
        <w:t xml:space="preserve">“</w:t>
      </w:r>
      <w:r>
        <w:t xml:space="preserve">consistent with Vaultline’s privacy policy.</w:t>
      </w:r>
      <w:r>
        <w:t xml:space="preserve">”</w:t>
      </w:r>
      <w:r>
        <w:t xml:space="preserve"> </w:t>
      </w:r>
      <w:r>
        <w:t xml:space="preserve">It is not — the Policy does not disclose the revenue share, the controller status, the sale of segments, the specific data categories, the combination with other data, or the perpetual post-termination rights. Section 7.1(c) represents that Vaultline</w:t>
      </w:r>
      <w:r>
        <w:t xml:space="preserve"> </w:t>
      </w:r>
      <w:r>
        <w:t xml:space="preserve">“</w:t>
      </w:r>
      <w:r>
        <w:t xml:space="preserve">has obtained all necessary consents</w:t>
      </w:r>
      <w:r>
        <w:t xml:space="preserve">”</w:t>
      </w:r>
      <w:r>
        <w:t xml:space="preserve">; only browsewrap consent exists, with no opt-out. Section 7.1(d) represents compliance with</w:t>
      </w:r>
      <w:r>
        <w:t xml:space="preserve"> </w:t>
      </w:r>
      <w:r>
        <w:t xml:space="preserve">“</w:t>
      </w:r>
      <w:r>
        <w:t xml:space="preserve">all applicable … laws</w:t>
      </w:r>
      <w:r>
        <w:t xml:space="preserve">”</w:t>
      </w:r>
      <w:r>
        <w:t xml:space="preserve">; the CPRA sale/sharing analysis (per the Inventory) has not even been performed. These representations are likely breached, and Section 11.1 shifts the resulting liability to Vaultline.</w:t>
      </w:r>
    </w:p>
    <w:p>
      <w:pPr>
        <w:pStyle w:val="Compact"/>
        <w:numPr>
          <w:ilvl w:val="0"/>
          <w:numId w:val="1014"/>
        </w:numPr>
      </w:pPr>
      <w:r>
        <w:rPr>
          <w:b/>
          <w:bCs/>
        </w:rPr>
        <w:t xml:space="preserve">Structural DSA defects.</w:t>
      </w:r>
      <w:r>
        <w:t xml:space="preserve"> </w:t>
      </w:r>
      <w:r>
        <w:t xml:space="preserve">The DSA contains no CCPA-specific provisions, no data processing addendum, and — most concerningly — Section 10.5(c) grants Brightly</w:t>
      </w:r>
      <w:r>
        <w:t xml:space="preserve"> </w:t>
      </w:r>
      <w:r>
        <w:rPr>
          <w:b/>
          <w:bCs/>
        </w:rPr>
        <w:t xml:space="preserve">perpetual</w:t>
      </w:r>
      <w:r>
        <w:t xml:space="preserve"> </w:t>
      </w:r>
      <w:r>
        <w:t xml:space="preserve">rights to exploit audience segments and derivative works even after termination. This means the data monetization cannot be fully unwound by terminating the agreement, a material diligence concern for an acquirer/investor.</w:t>
      </w:r>
    </w:p>
    <w:p>
      <w:pPr>
        <w:pStyle w:val="Compact"/>
        <w:numPr>
          <w:ilvl w:val="0"/>
          <w:numId w:val="1014"/>
        </w:numPr>
      </w:pPr>
      <w:r>
        <w:rPr>
          <w:b/>
          <w:bCs/>
        </w:rPr>
        <w:t xml:space="preserve">GDPR Article 26 (joint/parallel controllers).</w:t>
      </w:r>
      <w:r>
        <w:t xml:space="preserve"> </w:t>
      </w:r>
      <w:r>
        <w:t xml:space="preserve">Because Brightly is an independent controller determining its own purposes, the relationship is a parallel-controller arrangement; GDPR Article 26 requires an arrangement allocating compliance responsibilities, which the DSA does not address in GDPR terms.</w:t>
      </w:r>
    </w:p>
    <w:p>
      <w:pPr>
        <w:pStyle w:val="FirstParagraph"/>
      </w:pPr>
      <w:r>
        <w:rPr>
          <w:b/>
          <w:bCs/>
        </w:rPr>
        <w:t xml:space="preserve">Risk assessment.</w:t>
      </w:r>
      <w:r>
        <w:t xml:space="preserve"> </w:t>
      </w:r>
      <w:r>
        <w:rPr>
          <w:b/>
          <w:bCs/>
        </w:rPr>
        <w:t xml:space="preserve">High.</w:t>
      </w:r>
      <w:r>
        <w:t xml:space="preserve"> </w:t>
      </w:r>
      <w:r>
        <w:t xml:space="preserve">CPRA sale/sharing without disclosure or opt-out is a direct statutory violation enforceable by the California AG and via the CPRA’s private right of action for data breaches (and, for non-breach violations, by the AG/CPPA at civil penalties up to $7,500 per intentional violation). The inaccurate DSA representations create indemnity exposure to Brightly under Section 11.1 and potential fraud/misrepresentation exposure. The perpetual post-termination rights are a transactional deal-risk.</w:t>
      </w:r>
    </w:p>
    <w:p>
      <w:pPr>
        <w:pStyle w:val="BodyText"/>
      </w:pPr>
      <w:r>
        <w:rPr>
          <w:b/>
          <w:bCs/>
        </w:rPr>
        <w:t xml:space="preserve">Recommended remediation.</w:t>
      </w:r>
    </w:p>
    <w:p>
      <w:pPr>
        <w:pStyle w:val="Compact"/>
        <w:numPr>
          <w:ilvl w:val="0"/>
          <w:numId w:val="1015"/>
        </w:numPr>
      </w:pPr>
      <w:r>
        <w:t xml:space="preserve">Conduct and document the formal CPRA sale/sharing analysis for the Brightly relationship (and for the 14 partner referrals — see Issue 7).</w:t>
      </w:r>
    </w:p>
    <w:p>
      <w:pPr>
        <w:pStyle w:val="Compact"/>
        <w:numPr>
          <w:ilvl w:val="0"/>
          <w:numId w:val="1015"/>
        </w:numPr>
      </w:pPr>
      <w:r>
        <w:t xml:space="preserve">Add a</w:t>
      </w:r>
      <w:r>
        <w:t xml:space="preserve"> </w:t>
      </w:r>
      <w:r>
        <w:t xml:space="preserve">“</w:t>
      </w:r>
      <w:r>
        <w:t xml:space="preserve">Do Not Sell or Share My Personal Information</w:t>
      </w:r>
      <w:r>
        <w:t xml:space="preserve">”</w:t>
      </w:r>
      <w:r>
        <w:t xml:space="preserve"> </w:t>
      </w:r>
      <w:r>
        <w:t xml:space="preserve">opt-out mechanism and a</w:t>
      </w:r>
      <w:r>
        <w:t xml:space="preserve"> </w:t>
      </w:r>
      <w:r>
        <w:t xml:space="preserve">“</w:t>
      </w:r>
      <w:r>
        <w:t xml:space="preserve">Limit the Use of My Sensitive Personal Information</w:t>
      </w:r>
      <w:r>
        <w:t xml:space="preserve">”</w:t>
      </w:r>
      <w:r>
        <w:t xml:space="preserve"> </w:t>
      </w:r>
      <w:r>
        <w:t xml:space="preserve">mechanism, and honor Global Privacy Control signals.</w:t>
      </w:r>
    </w:p>
    <w:p>
      <w:pPr>
        <w:pStyle w:val="Compact"/>
        <w:numPr>
          <w:ilvl w:val="0"/>
          <w:numId w:val="1015"/>
        </w:numPr>
      </w:pPr>
      <w:r>
        <w:t xml:space="preserve">Update the Privacy Policy to disclose Brightly by category, the fact of monetary consideration, the independent-controller status, the sale of audience segments, the combination with other data, and the opt-out.</w:t>
      </w:r>
    </w:p>
    <w:p>
      <w:pPr>
        <w:pStyle w:val="Compact"/>
        <w:numPr>
          <w:ilvl w:val="0"/>
          <w:numId w:val="1015"/>
        </w:numPr>
      </w:pPr>
      <w:r>
        <w:t xml:space="preserve">Renegotiate the DSA to (i) add CCPA/CPRA and GDPR provisions and a data processing addendum or Article 26 controller arrangement, (ii) cure or qualify the Section 7.1 representations, (iii) cap or sunset the Section 10.5(c) perpetual exploitation rights, and (iv) reallocate the Section 11.1 indemnity so Vaultline does not bear Brightly’s independent-controller compliance risk.</w:t>
      </w:r>
    </w:p>
    <w:p>
      <w:pPr>
        <w:pStyle w:val="Compact"/>
        <w:numPr>
          <w:ilvl w:val="0"/>
          <w:numId w:val="1015"/>
        </w:numPr>
      </w:pPr>
      <w:r>
        <w:t xml:space="preserve">Evaluate whether the revenue-share model should be restructured to qualify Brightly as a service provider/contractor (which would require Brightly to use the data only on Vaultline’s behalf and to refrain from selling segments).</w:t>
      </w:r>
    </w:p>
    <w:p>
      <w:r>
        <w:pict>
          <v:rect style="width:0;height:1.5pt" o:hralign="center" o:hrstd="t" o:hr="t"/>
        </w:pict>
      </w:r>
    </w:p>
    <w:bookmarkEnd w:id="29"/>
    <w:bookmarkStart w:id="30" w:name="X05496cd8e8624928741ba2b514cb9cf42befdd4"/>
    <w:p>
      <w:pPr>
        <w:pStyle w:val="Heading3"/>
      </w:pPr>
      <w:r>
        <w:t xml:space="preserve">Issue 6 — GDPR Transparency Failures; No DPO; No Article 27 Representative</w:t>
      </w:r>
    </w:p>
    <w:p>
      <w:pPr>
        <w:pStyle w:val="FirstParagraph"/>
      </w:pPr>
      <w:r>
        <w:rPr>
          <w:b/>
          <w:bCs/>
        </w:rPr>
        <w:t xml:space="preserve">Documents and provisions at issue.</w:t>
      </w:r>
    </w:p>
    <w:p>
      <w:pPr>
        <w:pStyle w:val="Compact"/>
        <w:numPr>
          <w:ilvl w:val="0"/>
          <w:numId w:val="1016"/>
        </w:numPr>
      </w:pPr>
      <w:r>
        <w:rPr>
          <w:i/>
          <w:iCs/>
        </w:rPr>
        <w:t xml:space="preserve">Privacy Policy</w:t>
      </w:r>
      <w:r>
        <w:t xml:space="preserve">: The entire EU disclosure is a single sentence:</w:t>
      </w:r>
      <w:r>
        <w:t xml:space="preserve"> </w:t>
      </w:r>
      <w:r>
        <w:t xml:space="preserve">“</w:t>
      </w:r>
      <w:r>
        <w:t xml:space="preserve">If you are located in the European Union, you may have additional rights under applicable law. We encourage you to review the laws of your jurisdiction to understand your rights.</w:t>
      </w:r>
      <w:r>
        <w:t xml:space="preserve">”</w:t>
      </w:r>
      <w:r>
        <w:t xml:space="preserve"> </w:t>
      </w:r>
      <w:r>
        <w:t xml:space="preserve">No DPO contact, no EU representative, no lawful bases, no data-subject rights enumeration, no recipient categories, no retention periods, no automated-decision-making disclosure, no right-to-complain information.</w:t>
      </w:r>
    </w:p>
    <w:p>
      <w:pPr>
        <w:pStyle w:val="Compact"/>
        <w:numPr>
          <w:ilvl w:val="0"/>
          <w:numId w:val="1016"/>
        </w:numPr>
      </w:pPr>
      <w:r>
        <w:rPr>
          <w:i/>
          <w:iCs/>
        </w:rPr>
        <w:t xml:space="preserve">Data Inventory</w:t>
      </w:r>
      <w:r>
        <w:t xml:space="preserve">: The</w:t>
      </w:r>
      <w:r>
        <w:t xml:space="preserve"> </w:t>
      </w:r>
      <w:r>
        <w:t xml:space="preserve">“</w:t>
      </w:r>
      <w:r>
        <w:t xml:space="preserve">EU Processing Summary</w:t>
      </w:r>
      <w:r>
        <w:t xml:space="preserve">”</w:t>
      </w:r>
      <w:r>
        <w:t xml:space="preserve"> </w:t>
      </w:r>
      <w:r>
        <w:t xml:space="preserve">tab states: DPO —</w:t>
      </w:r>
      <w:r>
        <w:t xml:space="preserve"> </w:t>
      </w:r>
      <w:r>
        <w:t xml:space="preserve">“</w:t>
      </w:r>
      <w:r>
        <w:rPr>
          <w:b/>
          <w:bCs/>
        </w:rPr>
        <w:t xml:space="preserve">NOT APPOINTED</w:t>
      </w:r>
      <w:r>
        <w:t xml:space="preserve">”</w:t>
      </w:r>
      <w:r>
        <w:t xml:space="preserve">; EU Representative (Art. 27) —</w:t>
      </w:r>
      <w:r>
        <w:t xml:space="preserve"> </w:t>
      </w:r>
      <w:r>
        <w:t xml:space="preserve">“</w:t>
      </w:r>
      <w:r>
        <w:rPr>
          <w:b/>
          <w:bCs/>
        </w:rPr>
        <w:t xml:space="preserve">NOT APPOINTED</w:t>
      </w:r>
      <w:r>
        <w:t xml:space="preserve">”</w:t>
      </w:r>
      <w:r>
        <w:t xml:space="preserve"> </w:t>
      </w:r>
      <w:r>
        <w:t xml:space="preserve">(Vaultline is a Delaware corporation with no EU establishment); Lawful Basis —</w:t>
      </w:r>
      <w:r>
        <w:t xml:space="preserve"> </w:t>
      </w:r>
      <w:r>
        <w:t xml:space="preserve">“</w:t>
      </w:r>
      <w:r>
        <w:rPr>
          <w:b/>
          <w:bCs/>
        </w:rPr>
        <w:t xml:space="preserve">NOT DOCUMENTED — privacy policy relies solely on browsewrap consent for all processing</w:t>
      </w:r>
      <w:r>
        <w:t xml:space="preserve">”</w:t>
      </w:r>
      <w:r>
        <w:t xml:space="preserve">; DPIA —</w:t>
      </w:r>
      <w:r>
        <w:t xml:space="preserve"> </w:t>
      </w:r>
      <w:r>
        <w:t xml:space="preserve">“</w:t>
      </w:r>
      <w:r>
        <w:rPr>
          <w:b/>
          <w:bCs/>
        </w:rPr>
        <w:t xml:space="preserve">NOT CONDUCTED</w:t>
      </w:r>
      <w:r>
        <w:t xml:space="preserve"> </w:t>
      </w:r>
      <w:r>
        <w:t xml:space="preserve">for any processing activity</w:t>
      </w:r>
      <w:r>
        <w:t xml:space="preserve">”</w:t>
      </w:r>
      <w:r>
        <w:t xml:space="preserve">; Privacy Policy GDPR Disclosures (Arts. 13/14) —</w:t>
      </w:r>
      <w:r>
        <w:t xml:space="preserve"> </w:t>
      </w:r>
      <w:r>
        <w:t xml:space="preserve">“</w:t>
      </w:r>
      <w:r>
        <w:rPr>
          <w:b/>
          <w:bCs/>
        </w:rPr>
        <w:t xml:space="preserve">MINIMAL — single sentence … Virtually all Art. 13/14 requirements unmet</w:t>
      </w:r>
      <w:r>
        <w:t xml:space="preserve">”</w:t>
      </w:r>
      <w:r>
        <w:t xml:space="preserve">; Automated Decision-Making Disclosure —</w:t>
      </w:r>
      <w:r>
        <w:t xml:space="preserve"> </w:t>
      </w:r>
      <w:r>
        <w:t xml:space="preserve">“</w:t>
      </w:r>
      <w:r>
        <w:rPr>
          <w:b/>
          <w:bCs/>
        </w:rPr>
        <w:t xml:space="preserve">NOT DISCLOSED</w:t>
      </w:r>
      <w:r>
        <w:t xml:space="preserve">”</w:t>
      </w:r>
      <w:r>
        <w:t xml:space="preserve">; Biometric Data Processing —</w:t>
      </w:r>
      <w:r>
        <w:t xml:space="preserve"> </w:t>
      </w:r>
      <w:r>
        <w:t xml:space="preserve">“</w:t>
      </w:r>
      <w:r>
        <w:rPr>
          <w:b/>
          <w:bCs/>
        </w:rPr>
        <w:t xml:space="preserve">NO EXPLICIT CONSENT</w:t>
      </w:r>
      <w:r>
        <w:t xml:space="preserve"> </w:t>
      </w:r>
      <w:r>
        <w:t xml:space="preserve">obtained.</w:t>
      </w:r>
      <w:r>
        <w:t xml:space="preserve">”</w:t>
      </w:r>
    </w:p>
    <w:p>
      <w:pPr>
        <w:pStyle w:val="Compact"/>
        <w:numPr>
          <w:ilvl w:val="0"/>
          <w:numId w:val="1016"/>
        </w:numPr>
      </w:pPr>
      <w:r>
        <w:rPr>
          <w:i/>
          <w:iCs/>
        </w:rPr>
        <w:t xml:space="preserve">Diligence Email</w:t>
      </w:r>
      <w:r>
        <w:t xml:space="preserve">: Section 3 enumerates the specific GDPR Article 13/14 failures and notes potential fines up to 4% of annual global turnover (~$1.89M on $47.3M revenue).</w:t>
      </w:r>
    </w:p>
    <w:p>
      <w:pPr>
        <w:pStyle w:val="FirstParagraph"/>
      </w:pPr>
      <w:r>
        <w:rPr>
          <w:b/>
          <w:bCs/>
        </w:rPr>
        <w:t xml:space="preserve">Analysis.</w:t>
      </w:r>
      <w:r>
        <w:t xml:space="preserve"> </w:t>
      </w:r>
      <w:r>
        <w:t xml:space="preserve">GDPR Articles 13 and 14 require controllers to disclose, at the time of collection: the controller’s identity and contact; the DPO’s contact (if any); the purposes and legal basis for each processing activity; the recipients/categories of recipients; international-transfer details and safeguards; retention periods; the existence of automated decision-making (Article 22); and the data-subject rights (access, rectification, erasure, portability, restriction, objection, and the right to lodge a complaint with a supervisory authority). The Privacy Policy satisfies virtually none of these. Separately, GDPR Article 37 requires a DPO where there is large-scale processing of special-category data (biometrics — confirmed) or large-scale systematic monitoring; Article 27 requires an EU representative for a non-EU controller offering services to EU data subjects at scale. Neither is appointed. The Inventory confirms no DPIA has been conducted for any of the eight processing activities, several of which are mandatory DPIA triggers (biometrics under Art. 35(3)(b); automated decision-making under Art. 35(3)(a); international transfers without safeguards).</w:t>
      </w:r>
    </w:p>
    <w:p>
      <w:pPr>
        <w:pStyle w:val="BodyText"/>
      </w:pPr>
      <w:r>
        <w:rPr>
          <w:b/>
          <w:bCs/>
        </w:rPr>
        <w:t xml:space="preserve">Risk assessment.</w:t>
      </w:r>
      <w:r>
        <w:t xml:space="preserve"> </w:t>
      </w:r>
      <w:r>
        <w:rPr>
          <w:b/>
          <w:bCs/>
        </w:rPr>
        <w:t xml:space="preserve">High.</w:t>
      </w:r>
      <w:r>
        <w:t xml:space="preserve"> </w:t>
      </w:r>
      <w:r>
        <w:t xml:space="preserve">Transparency and data-subject-rights violations are among the most commonly enforced GDPR provisions. The fine exposure (up to 4% of global turnover) is compounded by the Article 9, Article 22, and Chapter V violations identified elsewhere in this memo, and by the imminent EU launch.</w:t>
      </w:r>
    </w:p>
    <w:p>
      <w:pPr>
        <w:pStyle w:val="BodyText"/>
      </w:pPr>
      <w:r>
        <w:rPr>
          <w:b/>
          <w:bCs/>
        </w:rPr>
        <w:t xml:space="preserve">Recommended remediation.</w:t>
      </w:r>
    </w:p>
    <w:p>
      <w:pPr>
        <w:pStyle w:val="Compact"/>
        <w:numPr>
          <w:ilvl w:val="0"/>
          <w:numId w:val="1017"/>
        </w:numPr>
      </w:pPr>
      <w:r>
        <w:t xml:space="preserve">Appoint a DPO and an Article 27 EU representative; publish their contact details in the Privacy Policy.</w:t>
      </w:r>
    </w:p>
    <w:p>
      <w:pPr>
        <w:pStyle w:val="Compact"/>
        <w:numPr>
          <w:ilvl w:val="0"/>
          <w:numId w:val="1017"/>
        </w:numPr>
      </w:pPr>
      <w:r>
        <w:t xml:space="preserve">Rewrite the EU section of the Privacy Policy to provide full Article 13/14 disclosures (purposes, legal bases per activity, recipients, transfers and safeguards, retention periods, rights, complaint right, automated decision-making).</w:t>
      </w:r>
    </w:p>
    <w:p>
      <w:pPr>
        <w:pStyle w:val="Compact"/>
        <w:numPr>
          <w:ilvl w:val="0"/>
          <w:numId w:val="1017"/>
        </w:numPr>
      </w:pPr>
      <w:r>
        <w:t xml:space="preserve">Conduct and document lawful-basis analyses (Article 6) and, for biometrics, an Article 9(2) explicit-consent analysis (see Issue 11).</w:t>
      </w:r>
    </w:p>
    <w:p>
      <w:pPr>
        <w:pStyle w:val="Compact"/>
        <w:numPr>
          <w:ilvl w:val="0"/>
          <w:numId w:val="1017"/>
        </w:numPr>
      </w:pPr>
      <w:r>
        <w:t xml:space="preserve">Conduct the mandatory DPIAs (see Issue 3 and the DPIA Status tab).</w:t>
      </w:r>
    </w:p>
    <w:p>
      <w:r>
        <w:pict>
          <v:rect style="width:0;height:1.5pt" o:hralign="center" o:hrstd="t" o:hr="t"/>
        </w:pict>
      </w:r>
    </w:p>
    <w:bookmarkEnd w:id="30"/>
    <w:bookmarkStart w:id="31" w:name="Xb89ec6119f81ac80cd9e5ca2602a471f763274a"/>
    <w:p>
      <w:pPr>
        <w:pStyle w:val="Heading3"/>
      </w:pPr>
      <w:r>
        <w:t xml:space="preserve">Issue 7 — Incomplete CCPA/CPRA Consumer-Rights Disclosures</w:t>
      </w:r>
    </w:p>
    <w:p>
      <w:pPr>
        <w:pStyle w:val="FirstParagraph"/>
      </w:pPr>
      <w:r>
        <w:rPr>
          <w:b/>
          <w:bCs/>
        </w:rPr>
        <w:t xml:space="preserve">Documents and provisions at issue.</w:t>
      </w:r>
    </w:p>
    <w:p>
      <w:pPr>
        <w:pStyle w:val="Compact"/>
        <w:numPr>
          <w:ilvl w:val="0"/>
          <w:numId w:val="1018"/>
        </w:numPr>
      </w:pPr>
      <w:r>
        <w:rPr>
          <w:i/>
          <w:iCs/>
        </w:rPr>
        <w:t xml:space="preserve">Privacy Policy</w:t>
      </w:r>
      <w:r>
        <w:t xml:space="preserve">: The</w:t>
      </w:r>
      <w:r>
        <w:t xml:space="preserve"> </w:t>
      </w:r>
      <w:r>
        <w:t xml:space="preserve">“</w:t>
      </w:r>
      <w:r>
        <w:t xml:space="preserve">Your Rights — California Residents</w:t>
      </w:r>
      <w:r>
        <w:t xml:space="preserve">”</w:t>
      </w:r>
      <w:r>
        <w:t xml:space="preserve"> </w:t>
      </w:r>
      <w:r>
        <w:t xml:space="preserve">section references only the right to know (request categories/specific pieces of personal information collected). It does not mention the rights to deletion, correction, opt-out of sale or sharing, limitation of the use and disclosure of sensitive personal information, or non-discrimination. No</w:t>
      </w:r>
      <w:r>
        <w:t xml:space="preserve"> </w:t>
      </w:r>
      <w:r>
        <w:t xml:space="preserve">“</w:t>
      </w:r>
      <w:r>
        <w:t xml:space="preserve">Do Not Sell or Share My Personal Information</w:t>
      </w:r>
      <w:r>
        <w:t xml:space="preserve">”</w:t>
      </w:r>
      <w:r>
        <w:t xml:space="preserve"> </w:t>
      </w:r>
      <w:r>
        <w:t xml:space="preserve">link and no</w:t>
      </w:r>
      <w:r>
        <w:t xml:space="preserve"> </w:t>
      </w:r>
      <w:r>
        <w:t xml:space="preserve">“</w:t>
      </w:r>
      <w:r>
        <w:t xml:space="preserve">Limit the Use of My Sensitive Personal Information</w:t>
      </w:r>
      <w:r>
        <w:t xml:space="preserve">”</w:t>
      </w:r>
      <w:r>
        <w:t xml:space="preserve"> </w:t>
      </w:r>
      <w:r>
        <w:t xml:space="preserve">link are provided.</w:t>
      </w:r>
    </w:p>
    <w:p>
      <w:pPr>
        <w:pStyle w:val="Compact"/>
        <w:numPr>
          <w:ilvl w:val="0"/>
          <w:numId w:val="1018"/>
        </w:numPr>
      </w:pPr>
      <w:r>
        <w:rPr>
          <w:i/>
          <w:iCs/>
        </w:rPr>
        <w:t xml:space="preserve">Data Inventory</w:t>
      </w:r>
      <w:r>
        <w:t xml:space="preserve">: Multiple data categories are classified as CPRA Sensitive Personal Information but are not flagged as such in the Policy: DC-003 (SSN last-4 —</w:t>
      </w:r>
      <w:r>
        <w:t xml:space="preserve"> </w:t>
      </w:r>
      <w:r>
        <w:t xml:space="preserve">“</w:t>
      </w:r>
      <w:r>
        <w:t xml:space="preserve">Privacy policy does not classify as sensitive PI</w:t>
      </w:r>
      <w:r>
        <w:t xml:space="preserve">”</w:t>
      </w:r>
      <w:r>
        <w:t xml:space="preserve">); DC-004 (financial account information —</w:t>
      </w:r>
      <w:r>
        <w:t xml:space="preserve"> </w:t>
      </w:r>
      <w:r>
        <w:t xml:space="preserve">“</w:t>
      </w:r>
      <w:r>
        <w:t xml:space="preserve">general reference only</w:t>
      </w:r>
      <w:r>
        <w:t xml:space="preserve">”</w:t>
      </w:r>
      <w:r>
        <w:t xml:space="preserve">); DC-005 (transaction history —</w:t>
      </w:r>
      <w:r>
        <w:t xml:space="preserve"> </w:t>
      </w:r>
      <w:r>
        <w:t xml:space="preserve">“</w:t>
      </w:r>
      <w:r>
        <w:t xml:space="preserve">general reference only</w:t>
      </w:r>
      <w:r>
        <w:t xml:space="preserve">”</w:t>
      </w:r>
      <w:r>
        <w:t xml:space="preserve">); DC-010 (precise geolocation —</w:t>
      </w:r>
      <w:r>
        <w:t xml:space="preserve"> </w:t>
      </w:r>
      <w:r>
        <w:t xml:space="preserve">“</w:t>
      </w:r>
      <w:r>
        <w:t xml:space="preserve">not flagged as sensitive PI</w:t>
      </w:r>
      <w:r>
        <w:t xml:space="preserve">”</w:t>
      </w:r>
      <w:r>
        <w:t xml:space="preserve">); DC-011 (biometric — not disclosed at all). Third-Party Sharing TS-002 (Brightly) and TS-003 (14 partner companies) are each marked as potentially a</w:t>
      </w:r>
      <w:r>
        <w:t xml:space="preserve"> </w:t>
      </w:r>
      <w:r>
        <w:t xml:space="preserve">“</w:t>
      </w:r>
      <w:r>
        <w:t xml:space="preserve">sale</w:t>
      </w:r>
      <w:r>
        <w:t xml:space="preserve">”</w:t>
      </w:r>
      <w:r>
        <w:t xml:space="preserve"> </w:t>
      </w:r>
      <w:r>
        <w:t xml:space="preserve">(monetary consideration received) with</w:t>
      </w:r>
      <w:r>
        <w:t xml:space="preserve"> </w:t>
      </w:r>
      <w:r>
        <w:t xml:space="preserve">“</w:t>
      </w:r>
      <w:r>
        <w:t xml:space="preserve">No</w:t>
      </w:r>
      <w:r>
        <w:t xml:space="preserve">”</w:t>
      </w:r>
      <w:r>
        <w:t xml:space="preserve"> </w:t>
      </w:r>
      <w:r>
        <w:t xml:space="preserve">opt-out mechanism.</w:t>
      </w:r>
    </w:p>
    <w:p>
      <w:pPr>
        <w:pStyle w:val="Compact"/>
        <w:numPr>
          <w:ilvl w:val="0"/>
          <w:numId w:val="1018"/>
        </w:numPr>
      </w:pPr>
      <w:r>
        <w:rPr>
          <w:i/>
          <w:iCs/>
        </w:rPr>
        <w:t xml:space="preserve">Diligence Email</w:t>
      </w:r>
      <w:r>
        <w:t xml:space="preserve">: Section 5 requests verification of compliance with the full suite of CPRA consumer-rights requirements.</w:t>
      </w:r>
    </w:p>
    <w:p>
      <w:pPr>
        <w:pStyle w:val="FirstParagraph"/>
      </w:pPr>
      <w:r>
        <w:rPr>
          <w:b/>
          <w:bCs/>
        </w:rPr>
        <w:t xml:space="preserve">Analysis.</w:t>
      </w:r>
      <w:r>
        <w:t xml:space="preserve"> </w:t>
      </w:r>
      <w:r>
        <w:t xml:space="preserve">The CPRA requires businesses to disclose and operationalize the full set of consumer rights, including the right to limit the use and disclosure of sensitive personal information and the right to opt out of sale/sharing, each via a designated mechanism. The Policy discloses only the right to know. The Inventory confirms that Vaultline collects multiple categories of sensitive personal information (SSN last-4, financial account information, transaction history, precise geolocation, biometric data) that are not properly classified or disclosed as sensitive, and that it engages in arrangements (Brightly revenue share; 14 partner referral fees) that likely constitute sales/sharing for which no opt-out is provided. The Policy also does not address the CPRA’s notice-at-collection, financial-incentive, or non-discrimination requirements.</w:t>
      </w:r>
    </w:p>
    <w:p>
      <w:pPr>
        <w:pStyle w:val="BodyText"/>
      </w:pPr>
      <w:r>
        <w:rPr>
          <w:b/>
          <w:bCs/>
        </w:rPr>
        <w:t xml:space="preserve">Risk assessment.</w:t>
      </w:r>
      <w:r>
        <w:t xml:space="preserve"> </w:t>
      </w:r>
      <w:r>
        <w:rPr>
          <w:b/>
          <w:bCs/>
        </w:rPr>
        <w:t xml:space="preserve">High.</w:t>
      </w:r>
      <w:r>
        <w:t xml:space="preserve"> </w:t>
      </w:r>
      <w:r>
        <w:t xml:space="preserve">CPRA violations are enforceable by the California AG and the California Privacy Protection Agency, with civil penalties up to $7,500 per intentional violation, and the sensitive-PI and sale/sharing failures are the most likely enforcement targets given the financial-data and biometric context.</w:t>
      </w:r>
    </w:p>
    <w:p>
      <w:pPr>
        <w:pStyle w:val="BodyText"/>
      </w:pPr>
      <w:r>
        <w:rPr>
          <w:b/>
          <w:bCs/>
        </w:rPr>
        <w:t xml:space="preserve">Recommended remediation.</w:t>
      </w:r>
    </w:p>
    <w:p>
      <w:pPr>
        <w:pStyle w:val="Compact"/>
        <w:numPr>
          <w:ilvl w:val="0"/>
          <w:numId w:val="1019"/>
        </w:numPr>
      </w:pPr>
      <w:r>
        <w:t xml:space="preserve">Expand the California section to enumerate all CPRA rights and provide the two required opt-out links (sale/sharing; sensitive-PI limitation), plus Global Privacy Control honoring.</w:t>
      </w:r>
    </w:p>
    <w:p>
      <w:pPr>
        <w:pStyle w:val="Compact"/>
        <w:numPr>
          <w:ilvl w:val="0"/>
          <w:numId w:val="1019"/>
        </w:numPr>
      </w:pPr>
      <w:r>
        <w:t xml:space="preserve">Reclassify and disclose sensitive personal information (SSN last-4, financial account information, transaction history, precise geolocation, biometric data) as sensitive in the Policy.</w:t>
      </w:r>
    </w:p>
    <w:p>
      <w:pPr>
        <w:pStyle w:val="Compact"/>
        <w:numPr>
          <w:ilvl w:val="0"/>
          <w:numId w:val="1019"/>
        </w:numPr>
      </w:pPr>
      <w:r>
        <w:t xml:space="preserve">Conduct the sale/sharing analysis for Brightly and the 14 partners (see Issue 5) and disclose accordingly.</w:t>
      </w:r>
    </w:p>
    <w:p>
      <w:pPr>
        <w:pStyle w:val="Compact"/>
        <w:numPr>
          <w:ilvl w:val="0"/>
          <w:numId w:val="1019"/>
        </w:numPr>
      </w:pPr>
      <w:r>
        <w:t xml:space="preserve">Add notice-at-collection and non-discrimination disclosures.</w:t>
      </w:r>
    </w:p>
    <w:p>
      <w:r>
        <w:pict>
          <v:rect style="width:0;height:1.5pt" o:hralign="center" o:hrstd="t" o:hr="t"/>
        </w:pict>
      </w:r>
    </w:p>
    <w:bookmarkEnd w:id="31"/>
    <w:bookmarkStart w:id="32" w:name="X3618b0e0be30645ce042a329347f12a384889db"/>
    <w:p>
      <w:pPr>
        <w:pStyle w:val="Heading3"/>
      </w:pPr>
      <w:r>
        <w:t xml:space="preserve">Issue 8 — Indefinite Retention of Sensitive Data; No Retention Disclosure</w:t>
      </w:r>
    </w:p>
    <w:p>
      <w:pPr>
        <w:pStyle w:val="FirstParagraph"/>
      </w:pPr>
      <w:r>
        <w:rPr>
          <w:b/>
          <w:bCs/>
        </w:rPr>
        <w:t xml:space="preserve">Documents and provisions at issue.</w:t>
      </w:r>
    </w:p>
    <w:p>
      <w:pPr>
        <w:pStyle w:val="Compact"/>
        <w:numPr>
          <w:ilvl w:val="0"/>
          <w:numId w:val="1020"/>
        </w:numPr>
      </w:pPr>
      <w:r>
        <w:rPr>
          <w:i/>
          <w:iCs/>
        </w:rPr>
        <w:t xml:space="preserve">Privacy Policy</w:t>
      </w:r>
      <w:r>
        <w:t xml:space="preserve">: The</w:t>
      </w:r>
      <w:r>
        <w:t xml:space="preserve"> </w:t>
      </w:r>
      <w:r>
        <w:t xml:space="preserve">“</w:t>
      </w:r>
      <w:r>
        <w:t xml:space="preserve">Data Retention</w:t>
      </w:r>
      <w:r>
        <w:t xml:space="preserve">”</w:t>
      </w:r>
      <w:r>
        <w:t xml:space="preserve"> </w:t>
      </w:r>
      <w:r>
        <w:t xml:space="preserve">section states that Vaultline retains personal information</w:t>
      </w:r>
      <w:r>
        <w:t xml:space="preserve"> </w:t>
      </w:r>
      <w:r>
        <w:t xml:space="preserve">“</w:t>
      </w:r>
      <w:r>
        <w:t xml:space="preserve">for as long as necessary to fulfill the purposes for which it was collected</w:t>
      </w:r>
      <w:r>
        <w:t xml:space="preserve">”</w:t>
      </w:r>
      <w:r>
        <w:t xml:space="preserve"> </w:t>
      </w:r>
      <w:r>
        <w:t xml:space="preserve">and that</w:t>
      </w:r>
      <w:r>
        <w:t xml:space="preserve"> </w:t>
      </w:r>
      <w:r>
        <w:t xml:space="preserve">“</w:t>
      </w:r>
      <w:r>
        <w:t xml:space="preserve">the retention period may vary,</w:t>
      </w:r>
      <w:r>
        <w:t xml:space="preserve">”</w:t>
      </w:r>
      <w:r>
        <w:t xml:space="preserve"> </w:t>
      </w:r>
      <w:r>
        <w:t xml:space="preserve">but discloses</w:t>
      </w:r>
      <w:r>
        <w:t xml:space="preserve"> </w:t>
      </w:r>
      <w:r>
        <w:rPr>
          <w:b/>
          <w:bCs/>
        </w:rPr>
        <w:t xml:space="preserve">no specific retention periods</w:t>
      </w:r>
      <w:r>
        <w:t xml:space="preserve"> </w:t>
      </w:r>
      <w:r>
        <w:t xml:space="preserve">for any category and does not describe deletion upon account closure.</w:t>
      </w:r>
    </w:p>
    <w:p>
      <w:pPr>
        <w:pStyle w:val="Compact"/>
        <w:numPr>
          <w:ilvl w:val="0"/>
          <w:numId w:val="1020"/>
        </w:numPr>
      </w:pPr>
      <w:r>
        <w:rPr>
          <w:i/>
          <w:iCs/>
        </w:rPr>
        <w:t xml:space="preserve">Data Inventory</w:t>
      </w:r>
      <w:r>
        <w:t xml:space="preserve">: The</w:t>
      </w:r>
      <w:r>
        <w:t xml:space="preserve"> </w:t>
      </w:r>
      <w:r>
        <w:t xml:space="preserve">“</w:t>
      </w:r>
      <w:r>
        <w:t xml:space="preserve">Data Retention</w:t>
      </w:r>
      <w:r>
        <w:t xml:space="preserve">”</w:t>
      </w:r>
      <w:r>
        <w:t xml:space="preserve"> </w:t>
      </w:r>
      <w:r>
        <w:t xml:space="preserve">tab shows that</w:t>
      </w:r>
      <w:r>
        <w:t xml:space="preserve"> </w:t>
      </w:r>
      <w:r>
        <w:rPr>
          <w:b/>
          <w:bCs/>
        </w:rPr>
        <w:t xml:space="preserve">every</w:t>
      </w:r>
      <w:r>
        <w:t xml:space="preserve"> </w:t>
      </w:r>
      <w:r>
        <w:t xml:space="preserve">data category (DC-001 through DC-010, DC-012 through DC-015) is retained</w:t>
      </w:r>
      <w:r>
        <w:t xml:space="preserve"> </w:t>
      </w:r>
      <w:r>
        <w:t xml:space="preserve">“</w:t>
      </w:r>
      <w:r>
        <w:rPr>
          <w:b/>
          <w:bCs/>
        </w:rPr>
        <w:t xml:space="preserve">Indefinite</w:t>
      </w:r>
      <w:r>
        <w:t xml:space="preserve">”</w:t>
      </w:r>
      <w:r>
        <w:t xml:space="preserve"> </w:t>
      </w:r>
      <w:r>
        <w:t xml:space="preserve">with</w:t>
      </w:r>
      <w:r>
        <w:t xml:space="preserve"> </w:t>
      </w:r>
      <w:r>
        <w:t xml:space="preserve">“</w:t>
      </w:r>
      <w:r>
        <w:rPr>
          <w:b/>
          <w:bCs/>
        </w:rPr>
        <w:t xml:space="preserve">No — retained indefinitely after account deletion</w:t>
      </w:r>
      <w:r>
        <w:t xml:space="preserve">,</w:t>
      </w:r>
      <w:r>
        <w:t xml:space="preserve">”</w:t>
      </w:r>
      <w:r>
        <w:t xml:space="preserve"> </w:t>
      </w:r>
      <w:r>
        <w:t xml:space="preserve">“</w:t>
      </w:r>
      <w:r>
        <w:rPr>
          <w:b/>
          <w:bCs/>
        </w:rPr>
        <w:t xml:space="preserve">Formal Retention Schedule Documented? No</w:t>
      </w:r>
      <w:r>
        <w:t xml:space="preserve">,</w:t>
      </w:r>
      <w:r>
        <w:t xml:space="preserve">”</w:t>
      </w:r>
      <w:r>
        <w:t xml:space="preserve"> </w:t>
      </w:r>
      <w:r>
        <w:t xml:space="preserve">and</w:t>
      </w:r>
      <w:r>
        <w:t xml:space="preserve"> </w:t>
      </w:r>
      <w:r>
        <w:t xml:space="preserve">“</w:t>
      </w:r>
      <w:r>
        <w:rPr>
          <w:b/>
          <w:bCs/>
        </w:rPr>
        <w:t xml:space="preserve">Destruction Method: Not defined</w:t>
      </w:r>
      <w:r>
        <w:t xml:space="preserve">.</w:t>
      </w:r>
      <w:r>
        <w:t xml:space="preserve">”</w:t>
      </w:r>
      <w:r>
        <w:t xml:space="preserve"> </w:t>
      </w:r>
      <w:r>
        <w:t xml:space="preserve">This includes sensitive categories: SSN last-4 (DC-003), financial account information (DC-004), transaction history (DC-005), and precise geolocation (DC-010). DC-011 (biometric) is retained 5 years after account creation with</w:t>
      </w:r>
      <w:r>
        <w:t xml:space="preserve"> </w:t>
      </w:r>
      <w:r>
        <w:t xml:space="preserve">“</w:t>
      </w:r>
      <w:r>
        <w:t xml:space="preserve">no publicly available written retention/destruction policy</w:t>
      </w:r>
      <w:r>
        <w:t xml:space="preserve">”</w:t>
      </w:r>
      <w:r>
        <w:t xml:space="preserve"> </w:t>
      </w:r>
      <w:r>
        <w:t xml:space="preserve">and</w:t>
      </w:r>
      <w:r>
        <w:t xml:space="preserve"> </w:t>
      </w:r>
      <w:r>
        <w:t xml:space="preserve">“</w:t>
      </w:r>
      <w:r>
        <w:t xml:space="preserve">no destruction guidelines established</w:t>
      </w:r>
      <w:r>
        <w:t xml:space="preserve">”</w:t>
      </w:r>
      <w:r>
        <w:t xml:space="preserve"> </w:t>
      </w:r>
      <w:r>
        <w:t xml:space="preserve">— a BIPA § 15(a) failure (see Issue 1).</w:t>
      </w:r>
    </w:p>
    <w:p>
      <w:pPr>
        <w:pStyle w:val="Compact"/>
        <w:numPr>
          <w:ilvl w:val="0"/>
          <w:numId w:val="1020"/>
        </w:numPr>
      </w:pPr>
      <w:r>
        <w:rPr>
          <w:i/>
          <w:iCs/>
        </w:rPr>
        <w:t xml:space="preserve">Diligence Email</w:t>
      </w:r>
      <w:r>
        <w:t xml:space="preserve">: Section 5 flags the absence of retention periods as both a CPRA disclosure requirement and a GDPR Article 5(1)(e) storage-limitation issue.</w:t>
      </w:r>
    </w:p>
    <w:p>
      <w:pPr>
        <w:pStyle w:val="FirstParagraph"/>
      </w:pPr>
      <w:r>
        <w:rPr>
          <w:b/>
          <w:bCs/>
        </w:rPr>
        <w:t xml:space="preserve">Analysis.</w:t>
      </w:r>
      <w:r>
        <w:t xml:space="preserve"> </w:t>
      </w:r>
      <w:r>
        <w:t xml:space="preserve">Three regimes are implicated. (1)</w:t>
      </w:r>
      <w:r>
        <w:t xml:space="preserve"> </w:t>
      </w:r>
      <w:r>
        <w:rPr>
          <w:b/>
          <w:bCs/>
        </w:rPr>
        <w:t xml:space="preserve">CPRA</w:t>
      </w:r>
      <w:r>
        <w:t xml:space="preserve"> </w:t>
      </w:r>
      <w:r>
        <w:t xml:space="preserve">requires disclosure of retention periods for each category of personal information; the Policy discloses none. (2)</w:t>
      </w:r>
      <w:r>
        <w:t xml:space="preserve"> </w:t>
      </w:r>
      <w:r>
        <w:rPr>
          <w:b/>
          <w:bCs/>
        </w:rPr>
        <w:t xml:space="preserve">GDPR Article 5(1)(e)</w:t>
      </w:r>
      <w:r>
        <w:t xml:space="preserve"> </w:t>
      </w:r>
      <w:r>
        <w:t xml:space="preserve">(storage limitation) requires that personal data be kept no longer than necessary; indefinite retention of sensitive financial and biometric data, including after account deletion, is difficult to justify. (3)</w:t>
      </w:r>
      <w:r>
        <w:t xml:space="preserve"> </w:t>
      </w:r>
      <w:r>
        <w:rPr>
          <w:b/>
          <w:bCs/>
        </w:rPr>
        <w:t xml:space="preserve">BIPA § 15(a)</w:t>
      </w:r>
      <w:r>
        <w:t xml:space="preserve"> </w:t>
      </w:r>
      <w:r>
        <w:t xml:space="preserve">requires a publicly available retention schedule and destruction guidelines for biometric data; the Inventory confirms neither exists. The indefinite retention of sensitive personal information after account closure is particularly problematic because it maximizes the population at risk in any future breach (as the August 2024 incident illustrates) and undermines any</w:t>
      </w:r>
      <w:r>
        <w:t xml:space="preserve"> </w:t>
      </w:r>
      <w:r>
        <w:t xml:space="preserve">“</w:t>
      </w:r>
      <w:r>
        <w:t xml:space="preserve">purpose limitation</w:t>
      </w:r>
      <w:r>
        <w:t xml:space="preserve">”</w:t>
      </w:r>
      <w:r>
        <w:t xml:space="preserve"> </w:t>
      </w:r>
      <w:r>
        <w:t xml:space="preserve">defense.</w:t>
      </w:r>
    </w:p>
    <w:p>
      <w:pPr>
        <w:pStyle w:val="BodyText"/>
      </w:pPr>
      <w:r>
        <w:rPr>
          <w:b/>
          <w:bCs/>
        </w:rPr>
        <w:t xml:space="preserve">Risk assessment.</w:t>
      </w:r>
      <w:r>
        <w:t xml:space="preserve"> </w:t>
      </w:r>
      <w:r>
        <w:rPr>
          <w:b/>
          <w:bCs/>
        </w:rPr>
        <w:t xml:space="preserve">High.</w:t>
      </w:r>
      <w:r>
        <w:t xml:space="preserve"> </w:t>
      </w:r>
      <w:r>
        <w:t xml:space="preserve">The retention gap compounds the biometric, transfer, and breach exposures: the larger and longer-lived the data store, the greater the harm in any incident and the harder the storage-limitation defense.</w:t>
      </w:r>
    </w:p>
    <w:p>
      <w:pPr>
        <w:pStyle w:val="BodyText"/>
      </w:pPr>
      <w:r>
        <w:rPr>
          <w:b/>
          <w:bCs/>
        </w:rPr>
        <w:t xml:space="preserve">Recommended remediation.</w:t>
      </w:r>
    </w:p>
    <w:p>
      <w:pPr>
        <w:pStyle w:val="Compact"/>
        <w:numPr>
          <w:ilvl w:val="0"/>
          <w:numId w:val="1021"/>
        </w:numPr>
      </w:pPr>
      <w:r>
        <w:t xml:space="preserve">Establish and document a formal retention schedule with defined periods and destruction methods for each data category, with shorter periods for sensitive categories.</w:t>
      </w:r>
    </w:p>
    <w:p>
      <w:pPr>
        <w:pStyle w:val="Compact"/>
        <w:numPr>
          <w:ilvl w:val="0"/>
          <w:numId w:val="1021"/>
        </w:numPr>
      </w:pPr>
      <w:r>
        <w:t xml:space="preserve">Implement deletion (or anonymization) upon account closure except where a specific legal basis for continued retention is documented.</w:t>
      </w:r>
    </w:p>
    <w:p>
      <w:pPr>
        <w:pStyle w:val="Compact"/>
        <w:numPr>
          <w:ilvl w:val="0"/>
          <w:numId w:val="1021"/>
        </w:numPr>
      </w:pPr>
      <w:r>
        <w:t xml:space="preserve">Publish the biometric retention-and-destruction policy (BIPA § 15(a)) and the general retention periods in the Privacy Policy (CPRA).</w:t>
      </w:r>
    </w:p>
    <w:p>
      <w:pPr>
        <w:pStyle w:val="Compact"/>
        <w:numPr>
          <w:ilvl w:val="0"/>
          <w:numId w:val="1021"/>
        </w:numPr>
      </w:pPr>
      <w:r>
        <w:t xml:space="preserve">Conduct a data-minimization review to justify each indefinite-retention decision or convert it to a defined period.</w:t>
      </w:r>
    </w:p>
    <w:p>
      <w:r>
        <w:pict>
          <v:rect style="width:0;height:1.5pt" o:hralign="center" o:hrstd="t" o:hr="t"/>
        </w:pict>
      </w:r>
    </w:p>
    <w:bookmarkEnd w:id="32"/>
    <w:bookmarkEnd w:id="33"/>
    <w:bookmarkStart w:id="37" w:name="vi.-medium-severity-issues"/>
    <w:p>
      <w:pPr>
        <w:pStyle w:val="Heading2"/>
      </w:pPr>
      <w:r>
        <w:t xml:space="preserve">VI. Medium-Severity Issues</w:t>
      </w:r>
    </w:p>
    <w:bookmarkStart w:id="34" w:name="Xa9657ecabe06919c9da004c78853e44f09804c9"/>
    <w:p>
      <w:pPr>
        <w:pStyle w:val="Heading3"/>
      </w:pPr>
      <w:r>
        <w:t xml:space="preserve">Issue 9 — Potential GLBA Applicability; No Financial-Privacy Notices or Opt-Outs</w:t>
      </w:r>
    </w:p>
    <w:p>
      <w:pPr>
        <w:pStyle w:val="FirstParagraph"/>
      </w:pPr>
      <w:r>
        <w:rPr>
          <w:b/>
          <w:bCs/>
        </w:rPr>
        <w:t xml:space="preserve">Documents and provisions at issue.</w:t>
      </w:r>
    </w:p>
    <w:p>
      <w:pPr>
        <w:pStyle w:val="Compact"/>
        <w:numPr>
          <w:ilvl w:val="0"/>
          <w:numId w:val="1022"/>
        </w:numPr>
      </w:pPr>
      <w:r>
        <w:rPr>
          <w:i/>
          <w:iCs/>
        </w:rPr>
        <w:t xml:space="preserve">Privacy Policy</w:t>
      </w:r>
      <w:r>
        <w:t xml:space="preserve">: Contains no GLBA-related disclosures, no reference to financial-privacy obligations, and no opt-out for the sharing of nonpublic personal information with non-affiliated third parties.</w:t>
      </w:r>
    </w:p>
    <w:p>
      <w:pPr>
        <w:pStyle w:val="Compact"/>
        <w:numPr>
          <w:ilvl w:val="0"/>
          <w:numId w:val="1022"/>
        </w:numPr>
      </w:pPr>
      <w:r>
        <w:rPr>
          <w:i/>
          <w:iCs/>
        </w:rPr>
        <w:t xml:space="preserve">Data Inventory</w:t>
      </w:r>
      <w:r>
        <w:t xml:space="preserve">: Data Categories DC-003, DC-004, DC-005, DC-006, and DC-007 each list GLBA among the applicable regulations. The Cover &amp; Metadata and Processing Activities tabs confirm Vaultline aggregates financial data from 4,200+ financial institutions via FinLink and shares financial data with 14 partner financial-product companies for referral fees and with Brightly for advertising.</w:t>
      </w:r>
    </w:p>
    <w:p>
      <w:pPr>
        <w:pStyle w:val="Compact"/>
        <w:numPr>
          <w:ilvl w:val="0"/>
          <w:numId w:val="1022"/>
        </w:numPr>
      </w:pPr>
      <w:r>
        <w:rPr>
          <w:i/>
          <w:iCs/>
        </w:rPr>
        <w:t xml:space="preserve">DSA</w:t>
      </w:r>
      <w:r>
        <w:t xml:space="preserve">: Confirms the sharing of financial-profile data (income bracket, spending summaries) with Brightly, an independent controller, for monetary consideration.</w:t>
      </w:r>
    </w:p>
    <w:p>
      <w:pPr>
        <w:pStyle w:val="Compact"/>
        <w:numPr>
          <w:ilvl w:val="0"/>
          <w:numId w:val="1022"/>
        </w:numPr>
      </w:pPr>
      <w:r>
        <w:rPr>
          <w:i/>
          <w:iCs/>
        </w:rPr>
        <w:t xml:space="preserve">Diligence Email</w:t>
      </w:r>
      <w:r>
        <w:t xml:space="preserve">: Section 4 flags the threshold GLBA characterization question — whether Vaultline is a</w:t>
      </w:r>
      <w:r>
        <w:t xml:space="preserve"> </w:t>
      </w:r>
      <w:r>
        <w:t xml:space="preserve">“</w:t>
      </w:r>
      <w:r>
        <w:t xml:space="preserve">financial institution</w:t>
      </w:r>
      <w:r>
        <w:t xml:space="preserve">”</w:t>
      </w:r>
      <w:r>
        <w:t xml:space="preserve"> </w:t>
      </w:r>
      <w:r>
        <w:t xml:space="preserve">under 15 U.S.C. § 6809(3) because it is</w:t>
      </w:r>
      <w:r>
        <w:t xml:space="preserve"> </w:t>
      </w:r>
      <w:r>
        <w:t xml:space="preserve">“</w:t>
      </w:r>
      <w:r>
        <w:t xml:space="preserve">significantly engaged</w:t>
      </w:r>
      <w:r>
        <w:t xml:space="preserve">”</w:t>
      </w:r>
      <w:r>
        <w:t xml:space="preserve"> </w:t>
      </w:r>
      <w:r>
        <w:t xml:space="preserve">in financial activities including financial data processing — and notes the resulting obligations (initial and annual privacy notices, opt-out of sharing nonpublic personal information with non-affiliated third parties, and the FTC’s Financial Privacy Rule, Reg. P, 16 C.F.R. Part 313).</w:t>
      </w:r>
    </w:p>
    <w:p>
      <w:pPr>
        <w:pStyle w:val="FirstParagraph"/>
      </w:pPr>
      <w:r>
        <w:rPr>
          <w:b/>
          <w:bCs/>
        </w:rPr>
        <w:t xml:space="preserve">Analysis.</w:t>
      </w:r>
      <w:r>
        <w:t xml:space="preserve"> </w:t>
      </w:r>
      <w:r>
        <w:t xml:space="preserve">The GLBA</w:t>
      </w:r>
      <w:r>
        <w:t xml:space="preserve"> </w:t>
      </w:r>
      <w:r>
        <w:t xml:space="preserve">“</w:t>
      </w:r>
      <w:r>
        <w:t xml:space="preserve">financial institution</w:t>
      </w:r>
      <w:r>
        <w:t xml:space="preserve">”</w:t>
      </w:r>
      <w:r>
        <w:t xml:space="preserve"> </w:t>
      </w:r>
      <w:r>
        <w:t xml:space="preserve">definition is broad and captures entities significantly engaged in financial data processing. Vaultline’s core business — aggregating, analyzing, and monetizing consumer financial data, and facilitating financial-product referrals for fees — presents a credible argument that it qualifies. If it does, the Policy’s complete absence of GLBA notices and opt-outs is a compliance gap. We note the related nuance that GLBA-covered data is exempt from the CCPA, which could</w:t>
      </w:r>
      <w:r>
        <w:t xml:space="preserve"> </w:t>
      </w:r>
      <w:r>
        <w:rPr>
          <w:i/>
          <w:iCs/>
        </w:rPr>
        <w:t xml:space="preserve">reduce</w:t>
      </w:r>
      <w:r>
        <w:t xml:space="preserve"> </w:t>
      </w:r>
      <w:r>
        <w:t xml:space="preserve">CCPA exposure for the financial data but only if GLBA compliance is actually achieved — an analysis the Policy does not address either way. This is a characterization question that warrants a focused opinion rather than a definitive conclusion here.</w:t>
      </w:r>
    </w:p>
    <w:p>
      <w:pPr>
        <w:pStyle w:val="BodyText"/>
      </w:pPr>
      <w:r>
        <w:rPr>
          <w:b/>
          <w:bCs/>
        </w:rPr>
        <w:t xml:space="preserve">Risk assessment.</w:t>
      </w:r>
      <w:r>
        <w:t xml:space="preserve"> </w:t>
      </w:r>
      <w:r>
        <w:rPr>
          <w:b/>
          <w:bCs/>
        </w:rPr>
        <w:t xml:space="preserve">Medium</w:t>
      </w:r>
      <w:r>
        <w:t xml:space="preserve"> </w:t>
      </w:r>
      <w:r>
        <w:t xml:space="preserve">(pending characterization). If GLBA applies, the exposure includes FTC enforcement and state AG action; the characterization itself is the gating question.</w:t>
      </w:r>
    </w:p>
    <w:p>
      <w:pPr>
        <w:pStyle w:val="BodyText"/>
      </w:pPr>
      <w:r>
        <w:rPr>
          <w:b/>
          <w:bCs/>
        </w:rPr>
        <w:t xml:space="preserve">Recommended remediation.</w:t>
      </w:r>
    </w:p>
    <w:p>
      <w:pPr>
        <w:pStyle w:val="Compact"/>
        <w:numPr>
          <w:ilvl w:val="0"/>
          <w:numId w:val="1023"/>
        </w:numPr>
      </w:pPr>
      <w:r>
        <w:t xml:space="preserve">Obtain a focused GLBA characterization opinion.</w:t>
      </w:r>
    </w:p>
    <w:p>
      <w:pPr>
        <w:pStyle w:val="Compact"/>
        <w:numPr>
          <w:ilvl w:val="0"/>
          <w:numId w:val="1023"/>
        </w:numPr>
      </w:pPr>
      <w:r>
        <w:t xml:space="preserve">If GLBA applies: implement initial and annual privacy notices, the non-affiliated-third-party opt-out, and Reg. P compliance; reconcile the GLBA/CCPA exemption for covered financial data.</w:t>
      </w:r>
    </w:p>
    <w:p>
      <w:pPr>
        <w:pStyle w:val="Compact"/>
        <w:numPr>
          <w:ilvl w:val="0"/>
          <w:numId w:val="1023"/>
        </w:numPr>
      </w:pPr>
      <w:r>
        <w:t xml:space="preserve">If GLBA does not apply: document the analysis to support the diligence record.</w:t>
      </w:r>
    </w:p>
    <w:p>
      <w:r>
        <w:pict>
          <v:rect style="width:0;height:1.5pt" o:hralign="center" o:hrstd="t" o:hr="t"/>
        </w:pict>
      </w:r>
    </w:p>
    <w:bookmarkEnd w:id="34"/>
    <w:bookmarkStart w:id="35" w:name="Xe319db5d25107c3f269f913ebbedca6a955eb3b"/>
    <w:p>
      <w:pPr>
        <w:pStyle w:val="Heading3"/>
      </w:pPr>
      <w:r>
        <w:t xml:space="preserve">Issue 10 — Non-Compliant Cookie Consent; Undisclosed Ad-Tech Partners</w:t>
      </w:r>
    </w:p>
    <w:p>
      <w:pPr>
        <w:pStyle w:val="FirstParagraph"/>
      </w:pPr>
      <w:r>
        <w:rPr>
          <w:b/>
          <w:bCs/>
        </w:rPr>
        <w:t xml:space="preserve">Documents and provisions at issue.</w:t>
      </w:r>
    </w:p>
    <w:p>
      <w:pPr>
        <w:pStyle w:val="Compact"/>
        <w:numPr>
          <w:ilvl w:val="0"/>
          <w:numId w:val="1024"/>
        </w:numPr>
      </w:pPr>
      <w:r>
        <w:rPr>
          <w:i/>
          <w:iCs/>
        </w:rPr>
        <w:t xml:space="preserve">Privacy Policy</w:t>
      </w:r>
      <w:r>
        <w:t xml:space="preserve">: The</w:t>
      </w:r>
      <w:r>
        <w:t xml:space="preserve"> </w:t>
      </w:r>
      <w:r>
        <w:t xml:space="preserve">“</w:t>
      </w:r>
      <w:r>
        <w:t xml:space="preserve">Cookies and Tracking Technologies</w:t>
      </w:r>
      <w:r>
        <w:t xml:space="preserve">”</w:t>
      </w:r>
      <w:r>
        <w:t xml:space="preserve"> </w:t>
      </w:r>
      <w:r>
        <w:t xml:space="preserve">section acknowledges that third-party analytics and advertising partners place cookies and that users</w:t>
      </w:r>
      <w:r>
        <w:t xml:space="preserve"> </w:t>
      </w:r>
      <w:r>
        <w:t xml:space="preserve">“</w:t>
      </w:r>
      <w:r>
        <w:t xml:space="preserve">may adjust your browser settings to refuse cookies.</w:t>
      </w:r>
      <w:r>
        <w:t xml:space="preserve">”</w:t>
      </w:r>
      <w:r>
        <w:t xml:space="preserve"> </w:t>
      </w:r>
      <w:r>
        <w:t xml:space="preserve">It does not describe a consent banner, does not name the third-party advertising partners, and contains no CalOPPA Do-Not-Track disclosure.</w:t>
      </w:r>
    </w:p>
    <w:p>
      <w:pPr>
        <w:pStyle w:val="Compact"/>
        <w:numPr>
          <w:ilvl w:val="0"/>
          <w:numId w:val="1024"/>
        </w:numPr>
      </w:pPr>
      <w:r>
        <w:rPr>
          <w:i/>
          <w:iCs/>
        </w:rPr>
        <w:t xml:space="preserve">Data Inventory</w:t>
      </w:r>
      <w:r>
        <w:t xml:space="preserve">: The</w:t>
      </w:r>
      <w:r>
        <w:t xml:space="preserve"> </w:t>
      </w:r>
      <w:r>
        <w:t xml:space="preserve">“</w:t>
      </w:r>
      <w:r>
        <w:t xml:space="preserve">Cookie Inventory</w:t>
      </w:r>
      <w:r>
        <w:t xml:space="preserve">”</w:t>
      </w:r>
      <w:r>
        <w:t xml:space="preserve"> </w:t>
      </w:r>
      <w:r>
        <w:t xml:space="preserve">tab identifies</w:t>
      </w:r>
      <w:r>
        <w:t xml:space="preserve"> </w:t>
      </w:r>
      <w:r>
        <w:rPr>
          <w:b/>
          <w:bCs/>
        </w:rPr>
        <w:t xml:space="preserve">34 cookies</w:t>
      </w:r>
      <w:r>
        <w:t xml:space="preserve">: 2 strictly necessary, 2 functional, 1 analytics, and</w:t>
      </w:r>
      <w:r>
        <w:t xml:space="preserve"> </w:t>
      </w:r>
      <w:r>
        <w:rPr>
          <w:b/>
          <w:bCs/>
        </w:rPr>
        <w:t xml:space="preserve">29 advertising/tracking</w:t>
      </w:r>
      <w:r>
        <w:t xml:space="preserve"> </w:t>
      </w:r>
      <w:r>
        <w:t xml:space="preserve">(4 Brightly + 25 other third-party ad networks, exchanges, DMPs, and identity-resolution vendors, including AdNetwork Alpha–Epsilon, AdExchange One/Two, RetargetPro, Social Ads Platform, VideoAdsNet, DMP Insights, AffiliateTrack, IdentityGraph, FinServAds, ConsentBypass Media, DataCoop Alliance, and others).</w:t>
      </w:r>
      <w:r>
        <w:t xml:space="preserve"> </w:t>
      </w:r>
      <w:r>
        <w:rPr>
          <w:b/>
          <w:bCs/>
        </w:rPr>
        <w:t xml:space="preserve">32 of 34</w:t>
      </w:r>
      <w:r>
        <w:t xml:space="preserve"> </w:t>
      </w:r>
      <w:r>
        <w:t xml:space="preserve">require consent. The consent banner is described as</w:t>
      </w:r>
      <w:r>
        <w:t xml:space="preserve"> </w:t>
      </w:r>
      <w:r>
        <w:t xml:space="preserve">“</w:t>
      </w:r>
      <w:r>
        <w:rPr>
          <w:b/>
          <w:bCs/>
        </w:rPr>
        <w:t xml:space="preserve">Accept All Button Only</w:t>
      </w:r>
      <w:r>
        <w:t xml:space="preserve">”</w:t>
      </w:r>
      <w:r>
        <w:t xml:space="preserve"> </w:t>
      </w:r>
      <w:r>
        <w:t xml:space="preserve">with</w:t>
      </w:r>
      <w:r>
        <w:t xml:space="preserve"> </w:t>
      </w:r>
      <w:r>
        <w:t xml:space="preserve">“</w:t>
      </w:r>
      <w:r>
        <w:rPr>
          <w:b/>
          <w:bCs/>
        </w:rPr>
        <w:t xml:space="preserve">NO</w:t>
      </w:r>
      <w:r>
        <w:t xml:space="preserve">”</w:t>
      </w:r>
      <w:r>
        <w:t xml:space="preserve"> </w:t>
      </w:r>
      <w:r>
        <w:t xml:space="preserve">reject option,</w:t>
      </w:r>
      <w:r>
        <w:t xml:space="preserve"> </w:t>
      </w:r>
      <w:r>
        <w:t xml:space="preserve">“</w:t>
      </w:r>
      <w:r>
        <w:rPr>
          <w:b/>
          <w:bCs/>
        </w:rPr>
        <w:t xml:space="preserve">NO</w:t>
      </w:r>
      <w:r>
        <w:t xml:space="preserve">”</w:t>
      </w:r>
      <w:r>
        <w:t xml:space="preserve"> </w:t>
      </w:r>
      <w:r>
        <w:t xml:space="preserve">customize/preferences option,</w:t>
      </w:r>
      <w:r>
        <w:t xml:space="preserve"> </w:t>
      </w:r>
      <w:r>
        <w:t xml:space="preserve">“</w:t>
      </w:r>
      <w:r>
        <w:rPr>
          <w:b/>
          <w:bCs/>
        </w:rPr>
        <w:t xml:space="preserve">NO</w:t>
      </w:r>
      <w:r>
        <w:t xml:space="preserve">”</w:t>
      </w:r>
      <w:r>
        <w:t xml:space="preserve"> </w:t>
      </w:r>
      <w:r>
        <w:t xml:space="preserve">granular category consent, and</w:t>
      </w:r>
      <w:r>
        <w:t xml:space="preserve"> </w:t>
      </w:r>
      <w:r>
        <w:t xml:space="preserve">“</w:t>
      </w:r>
      <w:r>
        <w:rPr>
          <w:b/>
          <w:bCs/>
        </w:rPr>
        <w:t xml:space="preserve">NO — all cookies fire on page load regardless of banner interaction</w:t>
      </w:r>
      <w:r>
        <w:t xml:space="preserve">”</w:t>
      </w:r>
      <w:r>
        <w:t xml:space="preserve"> </w:t>
      </w:r>
      <w:r>
        <w:t xml:space="preserve">(i.e., cookies load before consent). The Inventory concludes this violates the ePrivacy Directive’s freely-given/specific/informed-consent requirement and the GDPR Article 4(11) consent standard for EU users, and notes</w:t>
      </w:r>
      <w:r>
        <w:t xml:space="preserve"> </w:t>
      </w:r>
      <w:r>
        <w:t xml:space="preserve">“</w:t>
      </w:r>
      <w:r>
        <w:t xml:space="preserve">No Do Not Track signal detection implemented. CalOPPA DNT disclosure not included in privacy policy.</w:t>
      </w:r>
      <w:r>
        <w:t xml:space="preserve">”</w:t>
      </w:r>
    </w:p>
    <w:p>
      <w:pPr>
        <w:pStyle w:val="FirstParagraph"/>
      </w:pPr>
      <w:r>
        <w:rPr>
          <w:b/>
          <w:bCs/>
        </w:rPr>
        <w:t xml:space="preserve">Analysis.</w:t>
      </w:r>
      <w:r>
        <w:t xml:space="preserve"> </w:t>
      </w:r>
      <w:r>
        <w:t xml:space="preserve">The Privacy Policy’s representation that users can manage cookies via browser settings is inconsistent with the Inventory’s finding that 29 third-party advertising cookies fire on page load before any consent interaction, and that the banner offers no reject or granular option. For EU users this violates the ePrivacy Directive and the GDPR consent standard; for California users the breadth of undisclosed third-party ad-tech sharing (25 entities beyond Brightly) is inconsistent with the Policy’s generic</w:t>
      </w:r>
      <w:r>
        <w:t xml:space="preserve"> </w:t>
      </w:r>
      <w:r>
        <w:t xml:space="preserve">“</w:t>
      </w:r>
      <w:r>
        <w:t xml:space="preserve">analytics and advertising partners</w:t>
      </w:r>
      <w:r>
        <w:t xml:space="preserve">”</w:t>
      </w:r>
      <w:r>
        <w:t xml:space="preserve"> </w:t>
      </w:r>
      <w:r>
        <w:t xml:space="preserve">reference. The absence of a CalOPPA Do-Not-Track disclosure is a separate California gap. The presence of a vendor literally named</w:t>
      </w:r>
      <w:r>
        <w:t xml:space="preserve"> </w:t>
      </w:r>
      <w:r>
        <w:t xml:space="preserve">“</w:t>
      </w:r>
      <w:r>
        <w:t xml:space="preserve">ConsentBypass Media</w:t>
      </w:r>
      <w:r>
        <w:t xml:space="preserve">”</w:t>
      </w:r>
      <w:r>
        <w:t xml:space="preserve"> </w:t>
      </w:r>
      <w:r>
        <w:t xml:space="preserve">in the cookie inventory is a particular diligence red flag.</w:t>
      </w:r>
    </w:p>
    <w:p>
      <w:pPr>
        <w:pStyle w:val="BodyText"/>
      </w:pPr>
      <w:r>
        <w:rPr>
          <w:b/>
          <w:bCs/>
        </w:rPr>
        <w:t xml:space="preserve">Risk assessment.</w:t>
      </w:r>
      <w:r>
        <w:t xml:space="preserve"> </w:t>
      </w:r>
      <w:r>
        <w:rPr>
          <w:b/>
          <w:bCs/>
        </w:rPr>
        <w:t xml:space="preserve">Medium.</w:t>
      </w:r>
      <w:r>
        <w:t xml:space="preserve"> </w:t>
      </w:r>
      <w:r>
        <w:t xml:space="preserve">Cookie-consent enforcement is active in the EU (e.g., CNIL, Garante) and increasingly in U.S. states; the undisclosed breadth of ad-tech sharing also feeds the CPRA sale/sharing analysis.</w:t>
      </w:r>
    </w:p>
    <w:p>
      <w:pPr>
        <w:pStyle w:val="BodyText"/>
      </w:pPr>
      <w:r>
        <w:rPr>
          <w:b/>
          <w:bCs/>
        </w:rPr>
        <w:t xml:space="preserve">Recommended remediation.</w:t>
      </w:r>
    </w:p>
    <w:p>
      <w:pPr>
        <w:pStyle w:val="Compact"/>
        <w:numPr>
          <w:ilvl w:val="0"/>
          <w:numId w:val="1025"/>
        </w:numPr>
      </w:pPr>
      <w:r>
        <w:t xml:space="preserve">Replace the consent banner with a compliant solution: block non-essential cookies until consent, offer a reject-all option equal in prominence to accept-all, and provide granular category controls.</w:t>
      </w:r>
    </w:p>
    <w:p>
      <w:pPr>
        <w:pStyle w:val="Compact"/>
        <w:numPr>
          <w:ilvl w:val="0"/>
          <w:numId w:val="1025"/>
        </w:numPr>
      </w:pPr>
      <w:r>
        <w:t xml:space="preserve">Detect and honor Do-Not-Track / Global Privacy Control signals; add the CalOPPA DNT disclosure.</w:t>
      </w:r>
    </w:p>
    <w:p>
      <w:pPr>
        <w:pStyle w:val="Compact"/>
        <w:numPr>
          <w:ilvl w:val="0"/>
          <w:numId w:val="1025"/>
        </w:numPr>
      </w:pPr>
      <w:r>
        <w:t xml:space="preserve">Disclose the categories of third-party advertising partners in the Privacy Policy (and consider whether the 25+ ad-tech relationships should be reduced).</w:t>
      </w:r>
    </w:p>
    <w:p>
      <w:pPr>
        <w:pStyle w:val="Compact"/>
        <w:numPr>
          <w:ilvl w:val="0"/>
          <w:numId w:val="1025"/>
        </w:numPr>
      </w:pPr>
      <w:r>
        <w:t xml:space="preserve">Audit the</w:t>
      </w:r>
      <w:r>
        <w:t xml:space="preserve"> </w:t>
      </w:r>
      <w:r>
        <w:t xml:space="preserve">“</w:t>
      </w:r>
      <w:r>
        <w:t xml:space="preserve">ConsentBypass Media</w:t>
      </w:r>
      <w:r>
        <w:t xml:space="preserve">”</w:t>
      </w:r>
      <w:r>
        <w:t xml:space="preserve"> </w:t>
      </w:r>
      <w:r>
        <w:t xml:space="preserve">integration specifically.</w:t>
      </w:r>
    </w:p>
    <w:p>
      <w:r>
        <w:pict>
          <v:rect style="width:0;height:1.5pt" o:hralign="center" o:hrstd="t" o:hr="t"/>
        </w:pict>
      </w:r>
    </w:p>
    <w:bookmarkEnd w:id="35"/>
    <w:bookmarkStart w:id="36" w:name="X7f516d193b05557bfc28395688fce207e406e8a"/>
    <w:p>
      <w:pPr>
        <w:pStyle w:val="Heading3"/>
      </w:pPr>
      <w:r>
        <w:t xml:space="preserve">Issue 11 — Browsewrap-Only Lawful Basis; No Article 6/9 Analysis</w:t>
      </w:r>
    </w:p>
    <w:p>
      <w:pPr>
        <w:pStyle w:val="FirstParagraph"/>
      </w:pPr>
      <w:r>
        <w:rPr>
          <w:b/>
          <w:bCs/>
        </w:rPr>
        <w:t xml:space="preserve">Documents and provisions at issue.</w:t>
      </w:r>
    </w:p>
    <w:p>
      <w:pPr>
        <w:pStyle w:val="Compact"/>
        <w:numPr>
          <w:ilvl w:val="0"/>
          <w:numId w:val="1026"/>
        </w:numPr>
      </w:pPr>
      <w:r>
        <w:rPr>
          <w:i/>
          <w:iCs/>
        </w:rPr>
        <w:t xml:space="preserve">Privacy Policy</w:t>
      </w:r>
      <w:r>
        <w:t xml:space="preserve">: States that</w:t>
      </w:r>
      <w:r>
        <w:t xml:space="preserve"> </w:t>
      </w:r>
      <w:r>
        <w:t xml:space="preserve">“</w:t>
      </w:r>
      <w:r>
        <w:t xml:space="preserve">[y]our continued use of our services constitutes your consent to all data collection, use, processing, and sharing practices described herein</w:t>
      </w:r>
      <w:r>
        <w:t xml:space="preserve">”</w:t>
      </w:r>
      <w:r>
        <w:t xml:space="preserve"> </w:t>
      </w:r>
      <w:r>
        <w:t xml:space="preserve">(browsewrap consent).</w:t>
      </w:r>
    </w:p>
    <w:p>
      <w:pPr>
        <w:pStyle w:val="Compact"/>
        <w:numPr>
          <w:ilvl w:val="0"/>
          <w:numId w:val="1026"/>
        </w:numPr>
      </w:pPr>
      <w:r>
        <w:rPr>
          <w:i/>
          <w:iCs/>
        </w:rPr>
        <w:t xml:space="preserve">Data Inventory</w:t>
      </w:r>
      <w:r>
        <w:t xml:space="preserve">: The Processing Activities tab lists</w:t>
      </w:r>
      <w:r>
        <w:t xml:space="preserve"> </w:t>
      </w:r>
      <w:r>
        <w:t xml:space="preserve">“</w:t>
      </w:r>
      <w:r>
        <w:t xml:space="preserve">Consent (browsewrap — app usage)</w:t>
      </w:r>
      <w:r>
        <w:t xml:space="preserve">”</w:t>
      </w:r>
      <w:r>
        <w:t xml:space="preserve"> </w:t>
      </w:r>
      <w:r>
        <w:t xml:space="preserve">as the legal basis for PA-001 through PA-007 (PA-008 claims</w:t>
      </w:r>
      <w:r>
        <w:t xml:space="preserve"> </w:t>
      </w:r>
      <w:r>
        <w:t xml:space="preserve">“</w:t>
      </w:r>
      <w:r>
        <w:t xml:space="preserve">legitimate interest</w:t>
      </w:r>
      <w:r>
        <w:t xml:space="preserve">”</w:t>
      </w:r>
      <w:r>
        <w:t xml:space="preserve">). The EU Processing Summary states:</w:t>
      </w:r>
      <w:r>
        <w:t xml:space="preserve"> </w:t>
      </w:r>
      <w:r>
        <w:t xml:space="preserve">“</w:t>
      </w:r>
      <w:r>
        <w:t xml:space="preserve">NOT DOCUMENTED — privacy policy relies solely on browsewrap consent for all processing. No lawful basis analysis performed. Browsewrap likely insufficient for GDPR consent standard (Art. 7). No legitimate interest assessment conducted.</w:t>
      </w:r>
      <w:r>
        <w:t xml:space="preserve">”</w:t>
      </w:r>
    </w:p>
    <w:p>
      <w:pPr>
        <w:pStyle w:val="Compact"/>
        <w:numPr>
          <w:ilvl w:val="0"/>
          <w:numId w:val="1026"/>
        </w:numPr>
      </w:pPr>
      <w:r>
        <w:rPr>
          <w:i/>
          <w:iCs/>
        </w:rPr>
        <w:t xml:space="preserve">Diligence Email</w:t>
      </w:r>
      <w:r>
        <w:t xml:space="preserve">: Section 3 flags the failure to identify a lawful basis for each processing activity under GDPR Article 6.</w:t>
      </w:r>
    </w:p>
    <w:p>
      <w:pPr>
        <w:pStyle w:val="FirstParagraph"/>
      </w:pPr>
      <w:r>
        <w:rPr>
          <w:b/>
          <w:bCs/>
        </w:rPr>
        <w:t xml:space="preserve">Analysis.</w:t>
      </w:r>
      <w:r>
        <w:t xml:space="preserve"> </w:t>
      </w:r>
      <w:r>
        <w:t xml:space="preserve">GDPR Article 6 requires a documented lawful basis for each processing activity; Article 7 requires consent to be freely given, specific, informed, and unambiguous (and demonstrable). Browsewrap consent — deemed given by continued use — is widely regarded as insufficient under the GDPR standard, and is categorically insufficient for Article 9 special-category data (biometrics), which requires explicit consent. The Inventory’s own assessment concedes browsewrap is</w:t>
      </w:r>
      <w:r>
        <w:t xml:space="preserve"> </w:t>
      </w:r>
      <w:r>
        <w:t xml:space="preserve">“</w:t>
      </w:r>
      <w:r>
        <w:t xml:space="preserve">likely insufficient.</w:t>
      </w:r>
      <w:r>
        <w:t xml:space="preserve">”</w:t>
      </w:r>
      <w:r>
        <w:t xml:space="preserve"> </w:t>
      </w:r>
      <w:r>
        <w:t xml:space="preserve">The absence of any legitimate-interest assessment for PA-008 (and potentially others) leaves that basis undocumented as well.</w:t>
      </w:r>
    </w:p>
    <w:p>
      <w:pPr>
        <w:pStyle w:val="BodyText"/>
      </w:pPr>
      <w:r>
        <w:rPr>
          <w:b/>
          <w:bCs/>
        </w:rPr>
        <w:t xml:space="preserve">Risk assessment.</w:t>
      </w:r>
      <w:r>
        <w:t xml:space="preserve"> </w:t>
      </w:r>
      <w:r>
        <w:rPr>
          <w:b/>
          <w:bCs/>
        </w:rPr>
        <w:t xml:space="preserve">Medium</w:t>
      </w:r>
      <w:r>
        <w:t xml:space="preserve"> </w:t>
      </w:r>
      <w:r>
        <w:t xml:space="preserve">(standing alone), but it is the</w:t>
      </w:r>
      <w:r>
        <w:t xml:space="preserve"> </w:t>
      </w:r>
      <w:r>
        <w:rPr>
          <w:i/>
          <w:iCs/>
        </w:rPr>
        <w:t xml:space="preserve">foundation</w:t>
      </w:r>
      <w:r>
        <w:t xml:space="preserve"> </w:t>
      </w:r>
      <w:r>
        <w:t xml:space="preserve">of the Article 9 (Issue 1), Article 22 (Issue 3), and sale/sharing (Issue 5) exposures — if the consent basis fails, every dependent processing activity is unlawful.</w:t>
      </w:r>
    </w:p>
    <w:p>
      <w:pPr>
        <w:pStyle w:val="BodyText"/>
      </w:pPr>
      <w:r>
        <w:rPr>
          <w:b/>
          <w:bCs/>
        </w:rPr>
        <w:t xml:space="preserve">Recommended remediation.</w:t>
      </w:r>
    </w:p>
    <w:p>
      <w:pPr>
        <w:pStyle w:val="Compact"/>
        <w:numPr>
          <w:ilvl w:val="0"/>
          <w:numId w:val="1027"/>
        </w:numPr>
      </w:pPr>
      <w:r>
        <w:t xml:space="preserve">Conduct and document a lawful-basis analysis (Article 6) for each processing activity.</w:t>
      </w:r>
    </w:p>
    <w:p>
      <w:pPr>
        <w:pStyle w:val="Compact"/>
        <w:numPr>
          <w:ilvl w:val="0"/>
          <w:numId w:val="1027"/>
        </w:numPr>
      </w:pPr>
      <w:r>
        <w:t xml:space="preserve">For biometric processing, implement explicit, opt-in Article 9(2)(a) consent (see Issue 1).</w:t>
      </w:r>
    </w:p>
    <w:p>
      <w:pPr>
        <w:pStyle w:val="Compact"/>
        <w:numPr>
          <w:ilvl w:val="0"/>
          <w:numId w:val="1027"/>
        </w:numPr>
      </w:pPr>
      <w:r>
        <w:t xml:space="preserve">For activities relying on legitimate interests, conduct and document legitimate-interest assessments.</w:t>
      </w:r>
    </w:p>
    <w:p>
      <w:pPr>
        <w:pStyle w:val="Compact"/>
        <w:numPr>
          <w:ilvl w:val="0"/>
          <w:numId w:val="1027"/>
        </w:numPr>
      </w:pPr>
      <w:r>
        <w:t xml:space="preserve">Replace browsewrap with affirmative, granular consent where consent is the basis, and align the Privacy Policy’s consent language accordingly.</w:t>
      </w:r>
    </w:p>
    <w:p>
      <w:r>
        <w:pict>
          <v:rect style="width:0;height:1.5pt" o:hralign="center" o:hrstd="t" o:hr="t"/>
        </w:pict>
      </w:r>
    </w:p>
    <w:bookmarkEnd w:id="36"/>
    <w:bookmarkEnd w:id="37"/>
    <w:bookmarkStart w:id="42" w:name="vii.-lower-priority-observations"/>
    <w:p>
      <w:pPr>
        <w:pStyle w:val="Heading2"/>
      </w:pPr>
      <w:r>
        <w:t xml:space="preserve">VII. Lower-Priority Observations</w:t>
      </w:r>
    </w:p>
    <w:bookmarkStart w:id="38" w:name="Xba092fc27b145072980b3367b7255f414105bff"/>
    <w:p>
      <w:pPr>
        <w:pStyle w:val="Heading3"/>
      </w:pPr>
      <w:r>
        <w:t xml:space="preserve">Issue 12 — Privacy Policy Staleness and Readability</w:t>
      </w:r>
    </w:p>
    <w:p>
      <w:pPr>
        <w:pStyle w:val="FirstParagraph"/>
      </w:pPr>
      <w:r>
        <w:rPr>
          <w:b/>
          <w:bCs/>
        </w:rPr>
        <w:t xml:space="preserve">Documents and provisions at issue.</w:t>
      </w:r>
      <w:r>
        <w:t xml:space="preserve"> </w:t>
      </w:r>
      <w:r>
        <w:t xml:space="preserve">The Privacy Policy is dated January 15, 2023 — over two years old. The Diligence Email reports it is approximately 9,200 words of dense, unformatted prose with an estimated Flesch-Kincaid grade level of 18.2 (post-graduate), raising FTC</w:t>
      </w:r>
      <w:r>
        <w:t xml:space="preserve"> </w:t>
      </w:r>
      <w:r>
        <w:t xml:space="preserve">“</w:t>
      </w:r>
      <w:r>
        <w:t xml:space="preserve">clear and conspicuous</w:t>
      </w:r>
      <w:r>
        <w:t xml:space="preserve">”</w:t>
      </w:r>
      <w:r>
        <w:t xml:space="preserve"> </w:t>
      </w:r>
      <w:r>
        <w:t xml:space="preserve">disclosure concerns. The Data Inventory confirms multiple material events post-dating the Policy that are not reflected in it: Selfie Verify (March 8, 2023); the amended Brightly DSA (June 15, 2024); the August 2024 breach; the planned Q3 2025 EU launch; CPRA implementing regulations finalized after January 2023; and the Privacy Shield invalidation (July 2020) / DPF adequacy decision (July 2023).</w:t>
      </w:r>
    </w:p>
    <w:p>
      <w:pPr>
        <w:pStyle w:val="BodyText"/>
      </w:pPr>
      <w:r>
        <w:rPr>
          <w:b/>
          <w:bCs/>
        </w:rPr>
        <w:t xml:space="preserve">Analysis.</w:t>
      </w:r>
      <w:r>
        <w:t xml:space="preserve"> </w:t>
      </w:r>
      <w:r>
        <w:t xml:space="preserve">A stale, unreadable policy undermines every disclosure-based defense (CPRA, GDPR, FTC). The staleness is not merely cosmetic: it is the common cause of Issues 1, 2, 3, 5, 6, 7, 8, and 10, each of which is, at root, a non-disclosure traceable to a Policy that has not been updated to reflect actual practices.</w:t>
      </w:r>
    </w:p>
    <w:p>
      <w:pPr>
        <w:pStyle w:val="BodyText"/>
      </w:pPr>
      <w:r>
        <w:rPr>
          <w:b/>
          <w:bCs/>
        </w:rPr>
        <w:t xml:space="preserve">Risk assessment.</w:t>
      </w:r>
      <w:r>
        <w:t xml:space="preserve"> </w:t>
      </w:r>
      <w:r>
        <w:rPr>
          <w:b/>
          <w:bCs/>
        </w:rPr>
        <w:t xml:space="preserve">Lower</w:t>
      </w:r>
      <w:r>
        <w:t xml:space="preserve"> </w:t>
      </w:r>
      <w:r>
        <w:t xml:space="preserve">in isolation, but it is the enabling condition for the higher-severity issues.</w:t>
      </w:r>
    </w:p>
    <w:p>
      <w:pPr>
        <w:pStyle w:val="BodyText"/>
      </w:pPr>
      <w:r>
        <w:rPr>
          <w:b/>
          <w:bCs/>
        </w:rPr>
        <w:t xml:space="preserve">Recommended remediation.</w:t>
      </w:r>
      <w:r>
        <w:t xml:space="preserve"> </w:t>
      </w:r>
      <w:r>
        <w:t xml:space="preserve">Comprehensive Policy rewrite with layered structure, plain-language summaries, and a table of contents; establish a review cadence (at least annual and upon any material practice change); implement the</w:t>
      </w:r>
      <w:r>
        <w:t xml:space="preserve"> </w:t>
      </w:r>
      <w:r>
        <w:t xml:space="preserve">“</w:t>
      </w:r>
      <w:r>
        <w:t xml:space="preserve">Changes to This Privacy Policy</w:t>
      </w:r>
      <w:r>
        <w:t xml:space="preserve">”</w:t>
      </w:r>
      <w:r>
        <w:t xml:space="preserve"> </w:t>
      </w:r>
      <w:r>
        <w:t xml:space="preserve">notice obligations for material changes (the current Policy disclaims any duty to notify users of material changes, which is itself a CPRA/GDPR concern).</w:t>
      </w:r>
    </w:p>
    <w:p>
      <w:r>
        <w:pict>
          <v:rect style="width:0;height:1.5pt" o:hralign="center" o:hrstd="t" o:hr="t"/>
        </w:pict>
      </w:r>
    </w:p>
    <w:bookmarkEnd w:id="38"/>
    <w:bookmarkStart w:id="39" w:name="X2ff6a5b49da9eadc22d92085780a51ff4b396b2"/>
    <w:p>
      <w:pPr>
        <w:pStyle w:val="Heading3"/>
      </w:pPr>
      <w:r>
        <w:t xml:space="preserve">Issue 13 — Cross-Document Factual Inconsistency: EU Data Location (Virginia vs. Dublin)</w:t>
      </w:r>
    </w:p>
    <w:p>
      <w:pPr>
        <w:pStyle w:val="FirstParagraph"/>
      </w:pPr>
      <w:r>
        <w:rPr>
          <w:b/>
          <w:bCs/>
        </w:rPr>
        <w:t xml:space="preserve">Documents and provisions at issue.</w:t>
      </w:r>
      <w:r>
        <w:t xml:space="preserve"> </w:t>
      </w:r>
      <w:r>
        <w:t xml:space="preserve">The Data Inventory (IT-001 and PA-007) states that</w:t>
      </w:r>
      <w:r>
        <w:t xml:space="preserve"> </w:t>
      </w:r>
      <w:r>
        <w:t xml:space="preserve">“</w:t>
      </w:r>
      <w:r>
        <w:rPr>
          <w:b/>
          <w:bCs/>
        </w:rPr>
        <w:t xml:space="preserve">all</w:t>
      </w:r>
      <w:r>
        <w:t xml:space="preserve"> </w:t>
      </w:r>
      <w:r>
        <w:t xml:space="preserve">EU-resident user data is processed and stored on CloudFort Virginia servers</w:t>
      </w:r>
      <w:r>
        <w:t xml:space="preserve">”</w:t>
      </w:r>
      <w:r>
        <w:t xml:space="preserve"> </w:t>
      </w:r>
      <w:r>
        <w:t xml:space="preserve">and that the Dublin data center is available but unused for EU data. The Breach Log (Entry 5) states that CloudFort</w:t>
      </w:r>
      <w:r>
        <w:t xml:space="preserve"> </w:t>
      </w:r>
      <w:r>
        <w:t xml:space="preserve">“</w:t>
      </w:r>
      <w:r>
        <w:t xml:space="preserve">confirmed that … no access anomalies were detected on its Dublin, Ireland infrastructure,</w:t>
      </w:r>
      <w:r>
        <w:t xml:space="preserve"> </w:t>
      </w:r>
      <w:r>
        <w:rPr>
          <w:b/>
          <w:bCs/>
        </w:rPr>
        <w:t xml:space="preserve">where EU-resident user data is partially replicated</w:t>
      </w:r>
      <w:r>
        <w:t xml:space="preserve">.</w:t>
      </w:r>
      <w:r>
        <w:t xml:space="preserve">”</w:t>
      </w:r>
    </w:p>
    <w:p>
      <w:pPr>
        <w:pStyle w:val="BodyText"/>
      </w:pPr>
      <w:r>
        <w:rPr>
          <w:b/>
          <w:bCs/>
        </w:rPr>
        <w:t xml:space="preserve">Analysis.</w:t>
      </w:r>
      <w:r>
        <w:t xml:space="preserve"> </w:t>
      </w:r>
      <w:r>
        <w:t xml:space="preserve">These statements are inconsistent. If EU data is in fact partially replicated to Dublin, then (a) the Inventory’s transfer analysis (which assumes all EU data is in Virginia) understates the EU-side processing and may misstate the transfer volume, and (b) the Breach Log’s scope analysis should have expressly considered whether the Dublin replica was within the attacker’s reach (CloudFort reported no anomalies, but the inconsistency itself undermines the reliability of the record). If EU data is</w:t>
      </w:r>
      <w:r>
        <w:t xml:space="preserve"> </w:t>
      </w:r>
      <w:r>
        <w:rPr>
          <w:i/>
          <w:iCs/>
        </w:rPr>
        <w:t xml:space="preserve">not</w:t>
      </w:r>
      <w:r>
        <w:t xml:space="preserve"> </w:t>
      </w:r>
      <w:r>
        <w:t xml:space="preserve">replicated to Dublin, then the Breach Log contains an inaccurate statement. Either way, the discrepancy must be reconciled before any diligence representation about EU data location or transfer volume is made, and before the Issue 2 remediation (migrating EU data to Dublin) is planned.</w:t>
      </w:r>
    </w:p>
    <w:p>
      <w:pPr>
        <w:pStyle w:val="BodyText"/>
      </w:pPr>
      <w:r>
        <w:rPr>
          <w:b/>
          <w:bCs/>
        </w:rPr>
        <w:t xml:space="preserve">Risk assessment.</w:t>
      </w:r>
      <w:r>
        <w:t xml:space="preserve"> </w:t>
      </w:r>
      <w:r>
        <w:rPr>
          <w:b/>
          <w:bCs/>
        </w:rPr>
        <w:t xml:space="preserve">Lower</w:t>
      </w:r>
      <w:r>
        <w:t xml:space="preserve"> </w:t>
      </w:r>
      <w:r>
        <w:t xml:space="preserve">as a standalone item, but it directly affects the accuracy of the Issue 2 transfer analysis and the Issue 4 breach-scope analysis.</w:t>
      </w:r>
    </w:p>
    <w:p>
      <w:pPr>
        <w:pStyle w:val="BodyText"/>
      </w:pPr>
      <w:r>
        <w:rPr>
          <w:b/>
          <w:bCs/>
        </w:rPr>
        <w:t xml:space="preserve">Recommended remediation.</w:t>
      </w:r>
      <w:r>
        <w:t xml:space="preserve"> </w:t>
      </w:r>
      <w:r>
        <w:t xml:space="preserve">Reconcile the actual EU data location with CloudFort in writing; correct whichever document is inaccurate; re-baseline the transfer and breach-scope analyses accordingly.</w:t>
      </w:r>
    </w:p>
    <w:p>
      <w:r>
        <w:pict>
          <v:rect style="width:0;height:1.5pt" o:hralign="center" o:hrstd="t" o:hr="t"/>
        </w:pict>
      </w:r>
    </w:p>
    <w:bookmarkEnd w:id="39"/>
    <w:bookmarkStart w:id="40" w:name="X66cd2346bfbb87cf0966ec26a4ec4ff59b6ccd2"/>
    <w:p>
      <w:pPr>
        <w:pStyle w:val="Heading3"/>
      </w:pPr>
      <w:r>
        <w:t xml:space="preserve">Issue 14 — DSA 72-Hour Breach Notice to Brightly Not Documented</w:t>
      </w:r>
    </w:p>
    <w:p>
      <w:pPr>
        <w:pStyle w:val="FirstParagraph"/>
      </w:pPr>
      <w:r>
        <w:rPr>
          <w:b/>
          <w:bCs/>
        </w:rPr>
        <w:t xml:space="preserve">Documents and provisions at issue.</w:t>
      </w:r>
      <w:r>
        <w:t xml:space="preserve"> </w:t>
      </w:r>
      <w:r>
        <w:t xml:space="preserve">DSA Section 9.2 requires either party to notify the other in writing within 72 hours of discovering a security breach</w:t>
      </w:r>
      <w:r>
        <w:t xml:space="preserve"> </w:t>
      </w:r>
      <w:r>
        <w:t xml:space="preserve">“</w:t>
      </w:r>
      <w:r>
        <w:t xml:space="preserve">involving Shared Data or SDK Data.</w:t>
      </w:r>
      <w:r>
        <w:t xml:space="preserve">”</w:t>
      </w:r>
      <w:r>
        <w:t xml:space="preserve"> </w:t>
      </w:r>
      <w:r>
        <w:t xml:space="preserve">The Breach Log’s Notification Log (Section 6) lists CloudFort, the cyber insurer, Thornbury &amp; Locke, the CEO, and affected users — but</w:t>
      </w:r>
      <w:r>
        <w:t xml:space="preserve"> </w:t>
      </w:r>
      <w:r>
        <w:rPr>
          <w:b/>
          <w:bCs/>
        </w:rPr>
        <w:t xml:space="preserve">not Brightly</w:t>
      </w:r>
      <w:r>
        <w:t xml:space="preserve">.</w:t>
      </w:r>
    </w:p>
    <w:p>
      <w:pPr>
        <w:pStyle w:val="BodyText"/>
      </w:pPr>
      <w:r>
        <w:rPr>
          <w:b/>
          <w:bCs/>
        </w:rPr>
        <w:t xml:space="preserve">Analysis.</w:t>
      </w:r>
      <w:r>
        <w:t xml:space="preserve"> </w:t>
      </w:r>
      <w:r>
        <w:t xml:space="preserve">The August 2024 breach exposed the</w:t>
      </w:r>
      <w:r>
        <w:t xml:space="preserve"> </w:t>
      </w:r>
      <w:r>
        <w:rPr>
          <w:rStyle w:val="VerbatimChar"/>
        </w:rPr>
        <w:t xml:space="preserve">users</w:t>
      </w:r>
      <w:r>
        <w:t xml:space="preserve"> </w:t>
      </w:r>
      <w:r>
        <w:t xml:space="preserve">and</w:t>
      </w:r>
      <w:r>
        <w:t xml:space="preserve"> </w:t>
      </w:r>
      <w:r>
        <w:rPr>
          <w:rStyle w:val="VerbatimChar"/>
        </w:rPr>
        <w:t xml:space="preserve">transactions</w:t>
      </w:r>
      <w:r>
        <w:t xml:space="preserve"> </w:t>
      </w:r>
      <w:r>
        <w:t xml:space="preserve">tables (full names, emails, SSN-last-4, transaction histories). The</w:t>
      </w:r>
      <w:r>
        <w:t xml:space="preserve"> </w:t>
      </w:r>
      <w:r>
        <w:t xml:space="preserve">“</w:t>
      </w:r>
      <w:r>
        <w:t xml:space="preserve">Shared Data</w:t>
      </w:r>
      <w:r>
        <w:t xml:space="preserve">”</w:t>
      </w:r>
      <w:r>
        <w:t xml:space="preserve"> </w:t>
      </w:r>
      <w:r>
        <w:t xml:space="preserve">transmitted to Brightly (hashed emails, age range, income bracket, spending summaries) is</w:t>
      </w:r>
      <w:r>
        <w:t xml:space="preserve"> </w:t>
      </w:r>
      <w:r>
        <w:rPr>
          <w:i/>
          <w:iCs/>
        </w:rPr>
        <w:t xml:space="preserve">derived from</w:t>
      </w:r>
      <w:r>
        <w:t xml:space="preserve"> </w:t>
      </w:r>
      <w:r>
        <w:t xml:space="preserve">these source fields, and the SDK Data (device identifiers, IP, geolocation, behavioral events) is collected independently by Brightly. Whether the breach</w:t>
      </w:r>
      <w:r>
        <w:t xml:space="preserve"> </w:t>
      </w:r>
      <w:r>
        <w:t xml:space="preserve">“</w:t>
      </w:r>
      <w:r>
        <w:t xml:space="preserve">involved</w:t>
      </w:r>
      <w:r>
        <w:t xml:space="preserve">”</w:t>
      </w:r>
      <w:r>
        <w:t xml:space="preserve"> </w:t>
      </w:r>
      <w:r>
        <w:t xml:space="preserve">Shared Data or SDK Data within the meaning of Section 9.2 is debatable, but the Breach Log does not address the question or document any Brightly notification. Given that Vaultline indemnifies Brightly under Section 11.1 for consent-related claims, and that Brightly’s independent-controller status makes its own breach obligations independent, the ambiguity should be resolved affirmatively on the record.</w:t>
      </w:r>
    </w:p>
    <w:p>
      <w:pPr>
        <w:pStyle w:val="BodyText"/>
      </w:pPr>
      <w:r>
        <w:rPr>
          <w:b/>
          <w:bCs/>
        </w:rPr>
        <w:t xml:space="preserve">Risk assessment.</w:t>
      </w:r>
      <w:r>
        <w:t xml:space="preserve"> </w:t>
      </w:r>
      <w:r>
        <w:rPr>
          <w:b/>
          <w:bCs/>
        </w:rPr>
        <w:t xml:space="preserve">Lower</w:t>
      </w:r>
      <w:r>
        <w:t xml:space="preserve">, but it is a contractual-compliance gap that a diligence reviewer could surface.</w:t>
      </w:r>
    </w:p>
    <w:p>
      <w:pPr>
        <w:pStyle w:val="BodyText"/>
      </w:pPr>
      <w:r>
        <w:rPr>
          <w:b/>
          <w:bCs/>
        </w:rPr>
        <w:t xml:space="preserve">Recommended remediation.</w:t>
      </w:r>
      <w:r>
        <w:t xml:space="preserve"> </w:t>
      </w:r>
      <w:r>
        <w:t xml:space="preserve">Confirm in writing whether the breach</w:t>
      </w:r>
      <w:r>
        <w:t xml:space="preserve"> </w:t>
      </w:r>
      <w:r>
        <w:t xml:space="preserve">“</w:t>
      </w:r>
      <w:r>
        <w:t xml:space="preserve">involved</w:t>
      </w:r>
      <w:r>
        <w:t xml:space="preserve">”</w:t>
      </w:r>
      <w:r>
        <w:t xml:space="preserve"> </w:t>
      </w:r>
      <w:r>
        <w:t xml:space="preserve">Shared Data/SDK Data under Section 9.2; if so, document the (late) Brightly notification and the rationale; if not, document the analysis supporting that conclusion. Add Brightly to the Notification Log with the disposition.</w:t>
      </w:r>
    </w:p>
    <w:p>
      <w:r>
        <w:pict>
          <v:rect style="width:0;height:1.5pt" o:hralign="center" o:hrstd="t" o:hr="t"/>
        </w:pict>
      </w:r>
    </w:p>
    <w:bookmarkEnd w:id="40"/>
    <w:bookmarkStart w:id="41" w:name="X79d093b03b8e493515e043c8f596ee9e6f92e52"/>
    <w:p>
      <w:pPr>
        <w:pStyle w:val="Heading3"/>
      </w:pPr>
      <w:r>
        <w:t xml:space="preserve">Issue 15 — Governing-Law Inconsistency (Texas vs. New York/Arbitration)</w:t>
      </w:r>
    </w:p>
    <w:p>
      <w:pPr>
        <w:pStyle w:val="FirstParagraph"/>
      </w:pPr>
      <w:r>
        <w:rPr>
          <w:b/>
          <w:bCs/>
        </w:rPr>
        <w:t xml:space="preserve">Documents and provisions at issue.</w:t>
      </w:r>
      <w:r>
        <w:t xml:space="preserve"> </w:t>
      </w:r>
      <w:r>
        <w:t xml:space="preserve">The Privacy Policy’s</w:t>
      </w:r>
      <w:r>
        <w:t xml:space="preserve"> </w:t>
      </w:r>
      <w:r>
        <w:t xml:space="preserve">“</w:t>
      </w:r>
      <w:r>
        <w:t xml:space="preserve">Additional Legal Provisions</w:t>
      </w:r>
      <w:r>
        <w:t xml:space="preserve">”</w:t>
      </w:r>
      <w:r>
        <w:t xml:space="preserve"> </w:t>
      </w:r>
      <w:r>
        <w:t xml:space="preserve">section selects Texas law and the exclusive jurisdiction of the state and federal courts in Travis County, Texas. The DSA (Section 14.1–14.2) selects New York law and binding AAA arbitration in New York, New York.</w:t>
      </w:r>
    </w:p>
    <w:p>
      <w:pPr>
        <w:pStyle w:val="BodyText"/>
      </w:pPr>
      <w:r>
        <w:rPr>
          <w:b/>
          <w:bCs/>
        </w:rPr>
        <w:t xml:space="preserve">Analysis.</w:t>
      </w:r>
      <w:r>
        <w:t xml:space="preserve"> </w:t>
      </w:r>
      <w:r>
        <w:t xml:space="preserve">The two documents impose different governing law and different dispute-resolution fora on privacy-related disputes. While not a statutory compliance violation, the inconsistency could complicate enforcement of consumer privacy rights (which the Policy purports to govern under Texas law and Texas courts) where the underlying data-sharing conduct is governed by the DSA’s New York arbitration regime. It also creates a perception of forum-shopping that a regulator or plaintiff could exploit. We flag it for harmonization.</w:t>
      </w:r>
    </w:p>
    <w:p>
      <w:pPr>
        <w:pStyle w:val="BodyText"/>
      </w:pPr>
      <w:r>
        <w:rPr>
          <w:b/>
          <w:bCs/>
        </w:rPr>
        <w:t xml:space="preserve">Risk assessment.</w:t>
      </w:r>
      <w:r>
        <w:t xml:space="preserve"> </w:t>
      </w:r>
      <w:r>
        <w:rPr>
          <w:b/>
          <w:bCs/>
        </w:rPr>
        <w:t xml:space="preserve">Lower.</w:t>
      </w:r>
    </w:p>
    <w:p>
      <w:pPr>
        <w:pStyle w:val="BodyText"/>
      </w:pPr>
      <w:r>
        <w:rPr>
          <w:b/>
          <w:bCs/>
        </w:rPr>
        <w:t xml:space="preserve">Recommended remediation.</w:t>
      </w:r>
      <w:r>
        <w:t xml:space="preserve"> </w:t>
      </w:r>
      <w:r>
        <w:t xml:space="preserve">Consider aligning the dispute-resolution provisions (or at minimum documenting the intended relationship between them); confirm that the consumer-facing Policy terms are not inadvertently displaced by the B2B DSA’s arbitration clause in any consumer dispute.</w:t>
      </w:r>
    </w:p>
    <w:p>
      <w:r>
        <w:pict>
          <v:rect style="width:0;height:1.5pt" o:hralign="center" o:hrstd="t" o:hr="t"/>
        </w:pict>
      </w:r>
    </w:p>
    <w:bookmarkEnd w:id="41"/>
    <w:bookmarkEnd w:id="42"/>
    <w:bookmarkStart w:id="43" w:name="viii.-prioritized-remediation-roadmap"/>
    <w:p>
      <w:pPr>
        <w:pStyle w:val="Heading2"/>
      </w:pPr>
      <w:r>
        <w:t xml:space="preserve">VIII. Prioritized Remediation Roadmap</w:t>
      </w:r>
    </w:p>
    <w:p>
      <w:pPr>
        <w:pStyle w:val="FirstParagraph"/>
      </w:pPr>
      <w:r>
        <w:t xml:space="preserve">The following roadmap is sequenced to address the highest exposure first and to align with the</w:t>
      </w:r>
      <w:r>
        <w:t xml:space="preserve"> </w:t>
      </w:r>
      <w:r>
        <w:rPr>
          <w:b/>
          <w:bCs/>
        </w:rPr>
        <w:t xml:space="preserve">March 31, 2025</w:t>
      </w:r>
      <w:r>
        <w:t xml:space="preserve"> </w:t>
      </w:r>
      <w:r>
        <w:t xml:space="preserve">assessment deadline, the</w:t>
      </w:r>
      <w:r>
        <w:t xml:space="preserve"> </w:t>
      </w:r>
      <w:r>
        <w:rPr>
          <w:b/>
          <w:bCs/>
        </w:rPr>
        <w:t xml:space="preserve">April 15, 2025</w:t>
      </w:r>
      <w:r>
        <w:t xml:space="preserve"> </w:t>
      </w:r>
      <w:r>
        <w:t xml:space="preserve">Series C diligence deadline, and the</w:t>
      </w:r>
      <w:r>
        <w:t xml:space="preserve"> </w:t>
      </w:r>
      <w:r>
        <w:rPr>
          <w:b/>
          <w:bCs/>
        </w:rPr>
        <w:t xml:space="preserve">Q3 2025</w:t>
      </w:r>
      <w:r>
        <w:t xml:space="preserve"> </w:t>
      </w:r>
      <w:r>
        <w:t xml:space="preserve">EU launch. Items marked</w:t>
      </w:r>
      <w:r>
        <w:t xml:space="preserve"> </w:t>
      </w:r>
      <w:r>
        <w:rPr>
          <w:b/>
          <w:bCs/>
        </w:rPr>
        <w:t xml:space="preserve">[Pre-Closing]</w:t>
      </w:r>
      <w:r>
        <w:t xml:space="preserve"> </w:t>
      </w:r>
      <w:r>
        <w:t xml:space="preserve">are likely to be required or conditioned by the investor; items marked</w:t>
      </w:r>
      <w:r>
        <w:t xml:space="preserve"> </w:t>
      </w:r>
      <w:r>
        <w:rPr>
          <w:b/>
          <w:bCs/>
        </w:rPr>
        <w:t xml:space="preserve">[Pre-EU-Launch]</w:t>
      </w:r>
      <w:r>
        <w:t xml:space="preserve"> </w:t>
      </w:r>
      <w:r>
        <w:t xml:space="preserve">must precede the EU market entry.</w:t>
      </w:r>
    </w:p>
    <w:p>
      <w:pPr>
        <w:pStyle w:val="BodyText"/>
      </w:pPr>
      <w:r>
        <w:rPr>
          <w:b/>
          <w:bCs/>
        </w:rPr>
        <w:t xml:space="preserve">Immediate (0–2 weeks; on or before March 24, 2025):</w:t>
      </w:r>
    </w:p>
    <w:p>
      <w:pPr>
        <w:pStyle w:val="Compact"/>
        <w:numPr>
          <w:ilvl w:val="0"/>
          <w:numId w:val="1028"/>
        </w:numPr>
      </w:pPr>
      <w:r>
        <w:rPr>
          <w:b/>
          <w:bCs/>
        </w:rPr>
        <w:t xml:space="preserve">Biometric triage (Issue 1) [Pre-Closing].</w:t>
      </w:r>
      <w:r>
        <w:t xml:space="preserve"> </w:t>
      </w:r>
      <w:r>
        <w:t xml:space="preserve">Publish the BIPA § 15(a) retention-and-destruction policy; suspend or gate Selfie Verify in Illinois pending consent remediation; engage Illinois counsel on BIPA exposure; begin the mandatory DPIA for PA-001.</w:t>
      </w:r>
    </w:p>
    <w:p>
      <w:pPr>
        <w:pStyle w:val="Compact"/>
        <w:numPr>
          <w:ilvl w:val="0"/>
          <w:numId w:val="1028"/>
        </w:numPr>
      </w:pPr>
      <w:r>
        <w:rPr>
          <w:b/>
          <w:bCs/>
        </w:rPr>
        <w:t xml:space="preserve">Transfer-mechanism decision (Issue 2) [Pre-EU-Launch].</w:t>
      </w:r>
      <w:r>
        <w:t xml:space="preserve"> </w:t>
      </w:r>
      <w:r>
        <w:t xml:space="preserve">Select SCCs vs. DPF; initiate SCC drafting with CloudFort, Brightly, and FinLink; remove Privacy Shield references from the Policy.</w:t>
      </w:r>
    </w:p>
    <w:p>
      <w:pPr>
        <w:pStyle w:val="Compact"/>
        <w:numPr>
          <w:ilvl w:val="0"/>
          <w:numId w:val="1028"/>
        </w:numPr>
      </w:pPr>
      <w:r>
        <w:rPr>
          <w:b/>
          <w:bCs/>
        </w:rPr>
        <w:t xml:space="preserve">Breach-notification record reconstruction (Issue 4) [Pre-Closing].</w:t>
      </w:r>
      <w:r>
        <w:t xml:space="preserve"> </w:t>
      </w:r>
      <w:r>
        <w:t xml:space="preserve">Determine whether the CA AG, other state AGs, and the EU supervisory authority were notified; cure or document; update the Notification Log.</w:t>
      </w:r>
    </w:p>
    <w:p>
      <w:pPr>
        <w:pStyle w:val="Compact"/>
        <w:numPr>
          <w:ilvl w:val="0"/>
          <w:numId w:val="1028"/>
        </w:numPr>
      </w:pPr>
      <w:r>
        <w:rPr>
          <w:b/>
          <w:bCs/>
        </w:rPr>
        <w:t xml:space="preserve">Reconcile EU data location (Issue 13).</w:t>
      </w:r>
      <w:r>
        <w:t xml:space="preserve"> </w:t>
      </w:r>
      <w:r>
        <w:t xml:space="preserve">Obtain CloudFort’s written confirmation; correct the inaccurate document.</w:t>
      </w:r>
    </w:p>
    <w:p>
      <w:pPr>
        <w:pStyle w:val="FirstParagraph"/>
      </w:pPr>
      <w:r>
        <w:rPr>
          <w:b/>
          <w:bCs/>
        </w:rPr>
        <w:t xml:space="preserve">Near-term (2–6 weeks; on or before April 15, 2025):</w:t>
      </w:r>
    </w:p>
    <w:p>
      <w:pPr>
        <w:pStyle w:val="Compact"/>
        <w:numPr>
          <w:ilvl w:val="0"/>
          <w:numId w:val="1029"/>
        </w:numPr>
      </w:pPr>
      <w:r>
        <w:rPr>
          <w:b/>
          <w:bCs/>
        </w:rPr>
        <w:t xml:space="preserve">Privacy Policy rewrite (Issues 1, 2, 3, 5, 6, 7, 8, 10, 12) [Pre-Closing].</w:t>
      </w:r>
      <w:r>
        <w:t xml:space="preserve"> </w:t>
      </w:r>
      <w:r>
        <w:t xml:space="preserve">Comprehensive rewrite: add biometric disclosure; fix the transfer section; add Smart Insights/automated-decision-making disclosure; add Brightly sale/sharing disclosure and opt-out links; add full GDPR Article 13/14 disclosures; expand CPRA rights and sensitive-PI classification; add retention periods; add cookie/ad-tech partner disclosure and CalOPPA DNT; improve readability and structure.</w:t>
      </w:r>
    </w:p>
    <w:p>
      <w:pPr>
        <w:pStyle w:val="Compact"/>
        <w:numPr>
          <w:ilvl w:val="0"/>
          <w:numId w:val="1029"/>
        </w:numPr>
      </w:pPr>
      <w:r>
        <w:rPr>
          <w:b/>
          <w:bCs/>
        </w:rPr>
        <w:t xml:space="preserve">Opt-out mechanisms (Issues 5, 7, 10) [Pre-Closing].</w:t>
      </w:r>
      <w:r>
        <w:t xml:space="preserve"> </w:t>
      </w:r>
      <w:r>
        <w:t xml:space="preserve">Deploy</w:t>
      </w:r>
      <w:r>
        <w:t xml:space="preserve"> </w:t>
      </w:r>
      <w:r>
        <w:t xml:space="preserve">“</w:t>
      </w:r>
      <w:r>
        <w:t xml:space="preserve">Do Not Sell or Share,</w:t>
      </w:r>
      <w:r>
        <w:t xml:space="preserve">”</w:t>
      </w:r>
      <w:r>
        <w:t xml:space="preserve"> </w:t>
      </w:r>
      <w:r>
        <w:t xml:space="preserve">“</w:t>
      </w:r>
      <w:r>
        <w:t xml:space="preserve">Limit the Use of My Sensitive Personal Information,</w:t>
      </w:r>
      <w:r>
        <w:t xml:space="preserve">”</w:t>
      </w:r>
      <w:r>
        <w:t xml:space="preserve"> </w:t>
      </w:r>
      <w:r>
        <w:t xml:space="preserve">and Global Privacy Control; deploy a compliant cookie consent banner.</w:t>
      </w:r>
    </w:p>
    <w:p>
      <w:pPr>
        <w:pStyle w:val="Compact"/>
        <w:numPr>
          <w:ilvl w:val="0"/>
          <w:numId w:val="1029"/>
        </w:numPr>
      </w:pPr>
      <w:r>
        <w:rPr>
          <w:b/>
          <w:bCs/>
        </w:rPr>
        <w:t xml:space="preserve">DSA renegotiation (Issue 5) [Pre-Closing].</w:t>
      </w:r>
      <w:r>
        <w:t xml:space="preserve"> </w:t>
      </w:r>
      <w:r>
        <w:t xml:space="preserve">Add CCPA/GDPR provisions and a DPA/Article 26 arrangement; cure Section 7.1 representations; sunset Section 10.5(c) perpetual rights; reallocate Section 11.1 indemnity.</w:t>
      </w:r>
    </w:p>
    <w:p>
      <w:pPr>
        <w:pStyle w:val="Compact"/>
        <w:numPr>
          <w:ilvl w:val="0"/>
          <w:numId w:val="1029"/>
        </w:numPr>
      </w:pPr>
      <w:r>
        <w:rPr>
          <w:b/>
          <w:bCs/>
        </w:rPr>
        <w:t xml:space="preserve">Smart Insights safeguards (Issue 3) [Pre-Closing/Pre-EU-Launch].</w:t>
      </w:r>
      <w:r>
        <w:t xml:space="preserve"> </w:t>
      </w:r>
      <w:r>
        <w:t xml:space="preserve">Add human-review and opt-out; complete the PA-003 DPIA; assess FCRA/state-AI exposure.</w:t>
      </w:r>
    </w:p>
    <w:p>
      <w:pPr>
        <w:pStyle w:val="Compact"/>
        <w:numPr>
          <w:ilvl w:val="0"/>
          <w:numId w:val="1029"/>
        </w:numPr>
      </w:pPr>
      <w:r>
        <w:rPr>
          <w:b/>
          <w:bCs/>
        </w:rPr>
        <w:t xml:space="preserve">Retention schedule (Issue 8) [Pre-Closing].</w:t>
      </w:r>
      <w:r>
        <w:t xml:space="preserve"> </w:t>
      </w:r>
      <w:r>
        <w:t xml:space="preserve">Establish defined retention periods and deletion-on-closure; publish biometric retention policy.</w:t>
      </w:r>
    </w:p>
    <w:p>
      <w:pPr>
        <w:pStyle w:val="FirstParagraph"/>
      </w:pPr>
      <w:r>
        <w:rPr>
          <w:b/>
          <w:bCs/>
        </w:rPr>
        <w:t xml:space="preserve">Medium-term (6–12 weeks; on or before Q3 2025 EU launch):</w:t>
      </w:r>
    </w:p>
    <w:p>
      <w:pPr>
        <w:pStyle w:val="Compact"/>
        <w:numPr>
          <w:ilvl w:val="0"/>
          <w:numId w:val="1030"/>
        </w:numPr>
      </w:pPr>
      <w:r>
        <w:rPr>
          <w:b/>
          <w:bCs/>
        </w:rPr>
        <w:t xml:space="preserve">GDPR program (Issues 2, 6, 11) [Pre-EU-Launch].</w:t>
      </w:r>
      <w:r>
        <w:t xml:space="preserve"> </w:t>
      </w:r>
      <w:r>
        <w:t xml:space="preserve">Appoint DPO and Article 27 EU representative; complete all mandatory DPIAs; complete lawful-basis and legitimate-interest assessments; replace browsewrap with compliant consent.</w:t>
      </w:r>
    </w:p>
    <w:p>
      <w:pPr>
        <w:pStyle w:val="Compact"/>
        <w:numPr>
          <w:ilvl w:val="0"/>
          <w:numId w:val="1030"/>
        </w:numPr>
      </w:pPr>
      <w:r>
        <w:rPr>
          <w:b/>
          <w:bCs/>
        </w:rPr>
        <w:t xml:space="preserve">GLBA characterization (Issue 9).</w:t>
      </w:r>
      <w:r>
        <w:t xml:space="preserve"> </w:t>
      </w:r>
      <w:r>
        <w:t xml:space="preserve">Obtain the focused opinion; implement GLBA notices/opt-outs if applicable.</w:t>
      </w:r>
    </w:p>
    <w:p>
      <w:pPr>
        <w:pStyle w:val="Compact"/>
        <w:numPr>
          <w:ilvl w:val="0"/>
          <w:numId w:val="1030"/>
        </w:numPr>
      </w:pPr>
      <w:r>
        <w:rPr>
          <w:b/>
          <w:bCs/>
        </w:rPr>
        <w:t xml:space="preserve">Cookie/ad-tech reduction (Issue 10).</w:t>
      </w:r>
      <w:r>
        <w:t xml:space="preserve"> </w:t>
      </w:r>
      <w:r>
        <w:t xml:space="preserve">Audit and reduce the 25+ third-party ad-tech relationships; remediate the</w:t>
      </w:r>
      <w:r>
        <w:t xml:space="preserve"> </w:t>
      </w:r>
      <w:r>
        <w:t xml:space="preserve">“</w:t>
      </w:r>
      <w:r>
        <w:t xml:space="preserve">ConsentBypass Media</w:t>
      </w:r>
      <w:r>
        <w:t xml:space="preserve">”</w:t>
      </w:r>
      <w:r>
        <w:t xml:space="preserve"> </w:t>
      </w:r>
      <w:r>
        <w:t xml:space="preserve">integration.</w:t>
      </w:r>
    </w:p>
    <w:p>
      <w:pPr>
        <w:pStyle w:val="FirstParagraph"/>
      </w:pPr>
      <w:r>
        <w:rPr>
          <w:b/>
          <w:bCs/>
        </w:rPr>
        <w:t xml:space="preserve">Ongoing:</w:t>
      </w:r>
    </w:p>
    <w:p>
      <w:pPr>
        <w:pStyle w:val="Compact"/>
        <w:numPr>
          <w:ilvl w:val="0"/>
          <w:numId w:val="1031"/>
        </w:numPr>
      </w:pPr>
      <w:r>
        <w:t xml:space="preserve">Establish an annual Policy review cadence and a material-change notification process (Issue 12).</w:t>
      </w:r>
    </w:p>
    <w:p>
      <w:pPr>
        <w:pStyle w:val="Compact"/>
        <w:numPr>
          <w:ilvl w:val="0"/>
          <w:numId w:val="1031"/>
        </w:numPr>
      </w:pPr>
      <w:r>
        <w:t xml:space="preserve">Harmonize governing-law/dispute provisions (Issue 15); resolve the DSA Brightly breach-notice ambiguity (Issue 14).</w:t>
      </w:r>
    </w:p>
    <w:p>
      <w:r>
        <w:pict>
          <v:rect style="width:0;height:1.5pt" o:hralign="center" o:hrstd="t" o:hr="t"/>
        </w:pict>
      </w:r>
    </w:p>
    <w:bookmarkEnd w:id="43"/>
    <w:bookmarkStart w:id="44" w:name="ix.-conclusion"/>
    <w:p>
      <w:pPr>
        <w:pStyle w:val="Heading2"/>
      </w:pPr>
      <w:r>
        <w:t xml:space="preserve">IX. Conclusion</w:t>
      </w:r>
    </w:p>
    <w:p>
      <w:pPr>
        <w:pStyle w:val="FirstParagraph"/>
      </w:pPr>
      <w:r>
        <w:t xml:space="preserve">The reviewed documents, read together, reveal a pattern in which the consumer-facing Privacy Policy has not kept pace with the Company’s actual data practices as documented in the internal Data Inventory and operationalized through the Brightly DSA, and in which the August 2024 breach response identified but did not fully discharge certain regulatory-notification obligations. The most significant exposures — undisclosed biometric processing (BIPA exposure of $87M–$435M), the invalidated Privacy Shield transfer mechanism, undisclosed automated decision-making affecting 2.8 million users, and the breach-notification gaps — are each corroborated by two or more documents and are squarely within the scope of the investor’s diligence request.</w:t>
      </w:r>
    </w:p>
    <w:p>
      <w:pPr>
        <w:pStyle w:val="BodyText"/>
      </w:pPr>
      <w:r>
        <w:t xml:space="preserve">None of the issues identified is, in our preliminary view, unremediable, and several can be substantially mitigated before the April 15, 2025 diligence deadline. However, the breadth and severity of the findings — particularly the BIPA and EU-transfer exposures — are likely to be material to the investor’s decision and may warrant remediation conditions, holdback/escrow provisions, or valuation adjustments as foreshadowed in the Diligence Email. We recommend that Vaultline authorize the immediate-action items in Section VIII and that we reconvene with the deal team to scope the pre-closing remediation plan and the corresponding diligence disclosures.</w:t>
      </w:r>
    </w:p>
    <w:p>
      <w:pPr>
        <w:pStyle w:val="BodyText"/>
      </w:pPr>
      <w:r>
        <w:t xml:space="preserve">This memorandum is preliminary, is based on the five documents identified in Section II, and is subject to refinement as additional facts are developed. It is privileged and confidential, prepared at the direction of and in coordination with Vaultline’s General Counsel, and is protected by the attorney-client privilege and the work product doctrine. It should not be disclosed outside the authorized distribution list without our prior consent.</w:t>
      </w:r>
    </w:p>
    <w:p>
      <w:r>
        <w:pict>
          <v:rect style="width:0;height:1.5pt" o:hralign="center" o:hrstd="t" o:hr="t"/>
        </w:pict>
      </w:r>
    </w:p>
    <w:p>
      <w:pPr>
        <w:pStyle w:val="FirstParagraph"/>
      </w:pPr>
      <w:r>
        <w:rPr>
          <w:i/>
          <w:iCs/>
        </w:rPr>
        <w:t xml:space="preserve">Respectfully submitted,</w:t>
      </w:r>
    </w:p>
    <w:p>
      <w:pPr>
        <w:pStyle w:val="BodyText"/>
      </w:pPr>
      <w:r>
        <w:rPr>
          <w:b/>
          <w:bCs/>
        </w:rPr>
        <w:t xml:space="preserve">Thornbury &amp; Locke LLP</w:t>
      </w:r>
    </w:p>
    <w:p>
      <w:pPr>
        <w:pStyle w:val="BodyText"/>
      </w:pPr>
      <w:r>
        <w:t xml:space="preserve">Catherine Aldridge, Partner</w:t>
      </w:r>
      <w:r>
        <w:t xml:space="preserve"> </w:t>
      </w:r>
      <w:r>
        <w:t xml:space="preserve">Daniel Fong, Associate</w:t>
      </w:r>
      <w:r>
        <w:t xml:space="preserve"> </w:t>
      </w:r>
      <w:r>
        <w:t xml:space="preserve">Privacy &amp; Data Protection Practice Group</w:t>
      </w:r>
    </w:p>
    <w:p>
      <w:r>
        <w:pict>
          <v:rect style="width:0;height:1.5pt" o:hralign="center" o:hrstd="t" o:hr="t"/>
        </w:pict>
      </w:r>
    </w:p>
    <w:p>
      <w:pPr>
        <w:pStyle w:val="FirstParagraph"/>
      </w:pPr>
      <w:r>
        <w:rPr>
          <w:b/>
          <w:bCs/>
        </w:rPr>
        <w:t xml:space="preserve">ATTACHMENT A — Issue-to-Document Cross-Reference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Privacy Policy</w:t>
            </w:r>
          </w:p>
        </w:tc>
        <w:tc>
          <w:tcPr/>
          <w:p>
            <w:pPr>
              <w:pStyle w:val="Compact"/>
              <w:jc w:val="left"/>
            </w:pPr>
            <w:r>
              <w:t xml:space="preserve">Data Inventory</w:t>
            </w:r>
          </w:p>
        </w:tc>
        <w:tc>
          <w:tcPr/>
          <w:p>
            <w:pPr>
              <w:pStyle w:val="Compact"/>
              <w:jc w:val="left"/>
            </w:pPr>
            <w:r>
              <w:t xml:space="preserve">DSA</w:t>
            </w:r>
          </w:p>
        </w:tc>
        <w:tc>
          <w:tcPr/>
          <w:p>
            <w:pPr>
              <w:pStyle w:val="Compact"/>
              <w:jc w:val="left"/>
            </w:pPr>
            <w:r>
              <w:t xml:space="preserve">Breach Log</w:t>
            </w:r>
          </w:p>
        </w:tc>
        <w:tc>
          <w:tcPr/>
          <w:p>
            <w:pPr>
              <w:pStyle w:val="Compact"/>
              <w:jc w:val="left"/>
            </w:pPr>
            <w:r>
              <w:t xml:space="preserve">Diligence Email</w:t>
            </w:r>
          </w:p>
        </w:tc>
      </w:tr>
      <w:tr>
        <w:tc>
          <w:tcPr/>
          <w:p>
            <w:pPr>
              <w:pStyle w:val="Compact"/>
              <w:jc w:val="left"/>
            </w:pPr>
            <w:r>
              <w:t xml:space="preserve">1 Biometric / Selfie Verify</w:t>
            </w:r>
          </w:p>
        </w:tc>
        <w:tc>
          <w:tcPr/>
          <w:p>
            <w:pPr>
              <w:pStyle w:val="Compact"/>
              <w:jc w:val="left"/>
            </w:pPr>
            <w:r>
              <w:t xml:space="preserve">Silent (no mention)</w:t>
            </w:r>
          </w:p>
        </w:tc>
        <w:tc>
          <w:tcPr/>
          <w:p>
            <w:pPr>
              <w:pStyle w:val="Compact"/>
              <w:jc w:val="left"/>
            </w:pPr>
            <w:r>
              <w:t xml:space="preserve">DC-011; Selfie Verify Details tab</w:t>
            </w:r>
          </w:p>
        </w:tc>
        <w:tc>
          <w:tcPr/>
          <w:p>
            <w:pPr>
              <w:pStyle w:val="Compact"/>
              <w:jc w:val="left"/>
            </w:pPr>
            <w:r>
              <w:t xml:space="preserve">—</w:t>
            </w:r>
          </w:p>
        </w:tc>
        <w:tc>
          <w:tcPr/>
          <w:p>
            <w:pPr>
              <w:pStyle w:val="Compact"/>
              <w:jc w:val="left"/>
            </w:pPr>
            <w:r>
              <w:t xml:space="preserve">§3 (templates exist, not accessed)</w:t>
            </w:r>
          </w:p>
        </w:tc>
        <w:tc>
          <w:tcPr/>
          <w:p>
            <w:pPr>
              <w:pStyle w:val="Compact"/>
              <w:jc w:val="left"/>
            </w:pPr>
            <w:r>
              <w:t xml:space="preserve">§5</w:t>
            </w:r>
          </w:p>
        </w:tc>
      </w:tr>
      <w:tr>
        <w:tc>
          <w:tcPr/>
          <w:p>
            <w:pPr>
              <w:pStyle w:val="Compact"/>
              <w:jc w:val="left"/>
            </w:pPr>
            <w:r>
              <w:t xml:space="preserve">2 Privacy Shield / transfers</w:t>
            </w:r>
          </w:p>
        </w:tc>
        <w:tc>
          <w:tcPr/>
          <w:p>
            <w:pPr>
              <w:pStyle w:val="Compact"/>
              <w:jc w:val="left"/>
            </w:pPr>
            <w:r>
              <w:t xml:space="preserve">“</w:t>
            </w:r>
            <w:r>
              <w:t xml:space="preserve">International Data Transfers</w:t>
            </w:r>
            <w:r>
              <w:t xml:space="preserve">”</w:t>
            </w:r>
            <w:r>
              <w:t xml:space="preserve"> </w:t>
            </w:r>
            <w:r>
              <w:t xml:space="preserve">section</w:t>
            </w:r>
          </w:p>
        </w:tc>
        <w:tc>
          <w:tcPr/>
          <w:p>
            <w:pPr>
              <w:pStyle w:val="Compact"/>
              <w:jc w:val="left"/>
            </w:pPr>
            <w:r>
              <w:t xml:space="preserve">IT-001/002/003; PA-007; EU Summary</w:t>
            </w:r>
          </w:p>
        </w:tc>
        <w:tc>
          <w:tcPr/>
          <w:p>
            <w:pPr>
              <w:pStyle w:val="Compact"/>
              <w:jc w:val="left"/>
            </w:pPr>
            <w:r>
              <w:t xml:space="preserve">—</w:t>
            </w:r>
          </w:p>
        </w:tc>
        <w:tc>
          <w:tcPr/>
          <w:p>
            <w:pPr>
              <w:pStyle w:val="Compact"/>
              <w:jc w:val="left"/>
            </w:pPr>
            <w:r>
              <w:t xml:space="preserve">Entry 5 (Dublin replication)</w:t>
            </w:r>
          </w:p>
        </w:tc>
        <w:tc>
          <w:tcPr/>
          <w:p>
            <w:pPr>
              <w:pStyle w:val="Compact"/>
              <w:jc w:val="left"/>
            </w:pPr>
            <w:r>
              <w:t xml:space="preserve">§2</w:t>
            </w:r>
          </w:p>
        </w:tc>
      </w:tr>
      <w:tr>
        <w:tc>
          <w:tcPr/>
          <w:p>
            <w:pPr>
              <w:pStyle w:val="Compact"/>
              <w:jc w:val="left"/>
            </w:pPr>
            <w:r>
              <w:t xml:space="preserve">3 Smart Insights / ADM</w:t>
            </w:r>
          </w:p>
        </w:tc>
        <w:tc>
          <w:tcPr/>
          <w:p>
            <w:pPr>
              <w:pStyle w:val="Compact"/>
              <w:jc w:val="left"/>
            </w:pPr>
            <w:r>
              <w:t xml:space="preserve">Silent</w:t>
            </w:r>
          </w:p>
        </w:tc>
        <w:tc>
          <w:tcPr/>
          <w:p>
            <w:pPr>
              <w:pStyle w:val="Compact"/>
              <w:jc w:val="left"/>
            </w:pPr>
            <w:r>
              <w:t xml:space="preserve">PA-003; DPIA Status</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4 Breach notification</w:t>
            </w:r>
          </w:p>
        </w:tc>
        <w:tc>
          <w:tcPr/>
          <w:p>
            <w:pPr>
              <w:pStyle w:val="Compact"/>
              <w:jc w:val="left"/>
            </w:pPr>
            <w:r>
              <w:t xml:space="preserve">Data Security section (user-burden only)</w:t>
            </w:r>
          </w:p>
        </w:tc>
        <w:tc>
          <w:tcPr/>
          <w:p>
            <w:pPr>
              <w:pStyle w:val="Compact"/>
              <w:jc w:val="left"/>
            </w:pPr>
            <w:r>
              <w:t xml:space="preserve">Revision Log v3.0</w:t>
            </w:r>
          </w:p>
        </w:tc>
        <w:tc>
          <w:tcPr/>
          <w:p>
            <w:pPr>
              <w:pStyle w:val="Compact"/>
              <w:jc w:val="left"/>
            </w:pPr>
            <w:r>
              <w:t xml:space="preserve">§9.2 (Brightly notice)</w:t>
            </w:r>
          </w:p>
        </w:tc>
        <w:tc>
          <w:tcPr/>
          <w:p>
            <w:pPr>
              <w:pStyle w:val="Compact"/>
              <w:jc w:val="left"/>
            </w:pPr>
            <w:r>
              <w:t xml:space="preserve">Entries 6, 7; §6 Notification Log</w:t>
            </w:r>
          </w:p>
        </w:tc>
        <w:tc>
          <w:tcPr/>
          <w:p>
            <w:pPr>
              <w:pStyle w:val="Compact"/>
              <w:jc w:val="left"/>
            </w:pPr>
            <w:r>
              <w:t xml:space="preserve">§5</w:t>
            </w:r>
          </w:p>
        </w:tc>
      </w:tr>
      <w:tr>
        <w:tc>
          <w:tcPr/>
          <w:p>
            <w:pPr>
              <w:pStyle w:val="Compact"/>
              <w:jc w:val="left"/>
            </w:pPr>
            <w:r>
              <w:t xml:space="preserve">5 Brightly sale/sharing</w:t>
            </w:r>
          </w:p>
        </w:tc>
        <w:tc>
          <w:tcPr/>
          <w:p>
            <w:pPr>
              <w:pStyle w:val="Compact"/>
              <w:jc w:val="left"/>
            </w:pPr>
            <w:r>
              <w:t xml:space="preserve">“</w:t>
            </w:r>
            <w:r>
              <w:t xml:space="preserve">How We Share</w:t>
            </w:r>
            <w:r>
              <w:t xml:space="preserve">”</w:t>
            </w:r>
            <w:r>
              <w:t xml:space="preserve"> </w:t>
            </w:r>
            <w:r>
              <w:t xml:space="preserve">(generic)</w:t>
            </w:r>
          </w:p>
        </w:tc>
        <w:tc>
          <w:tcPr/>
          <w:p>
            <w:pPr>
              <w:pStyle w:val="Compact"/>
              <w:jc w:val="left"/>
            </w:pPr>
            <w:r>
              <w:t xml:space="preserve">TS-002; DC-008/009/014/015; PA-004</w:t>
            </w:r>
          </w:p>
        </w:tc>
        <w:tc>
          <w:tcPr/>
          <w:p>
            <w:pPr>
              <w:pStyle w:val="Compact"/>
              <w:jc w:val="left"/>
            </w:pPr>
            <w:r>
              <w:t xml:space="preserve">§§3, 4, 5, 7, 10, 11, 12</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6 GDPR transparency / DPO</w:t>
            </w:r>
          </w:p>
        </w:tc>
        <w:tc>
          <w:tcPr/>
          <w:p>
            <w:pPr>
              <w:pStyle w:val="Compact"/>
              <w:jc w:val="left"/>
            </w:pPr>
            <w:r>
              <w:t xml:space="preserve">EU section (one sentence)</w:t>
            </w:r>
          </w:p>
        </w:tc>
        <w:tc>
          <w:tcPr/>
          <w:p>
            <w:pPr>
              <w:pStyle w:val="Compact"/>
              <w:jc w:val="left"/>
            </w:pPr>
            <w:r>
              <w:t xml:space="preserve">EU Processing Summary</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7 CCPA/CPRA rights</w:t>
            </w:r>
          </w:p>
        </w:tc>
        <w:tc>
          <w:tcPr/>
          <w:p>
            <w:pPr>
              <w:pStyle w:val="Compact"/>
              <w:jc w:val="left"/>
            </w:pPr>
            <w:r>
              <w:t xml:space="preserve">CA section (right to know only)</w:t>
            </w:r>
          </w:p>
        </w:tc>
        <w:tc>
          <w:tcPr/>
          <w:p>
            <w:pPr>
              <w:pStyle w:val="Compact"/>
              <w:jc w:val="left"/>
            </w:pPr>
            <w:r>
              <w:t xml:space="preserve">DC-003/004/005/010/011; TS-002/003</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8 Retention</w:t>
            </w:r>
          </w:p>
        </w:tc>
        <w:tc>
          <w:tcPr/>
          <w:p>
            <w:pPr>
              <w:pStyle w:val="Compact"/>
              <w:jc w:val="left"/>
            </w:pPr>
            <w:r>
              <w:t xml:space="preserve">Data Retention section (no periods)</w:t>
            </w:r>
          </w:p>
        </w:tc>
        <w:tc>
          <w:tcPr/>
          <w:p>
            <w:pPr>
              <w:pStyle w:val="Compact"/>
              <w:jc w:val="left"/>
            </w:pPr>
            <w:r>
              <w:t xml:space="preserve">Data Retention tab (all indefinite)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9 GLBA</w:t>
            </w:r>
          </w:p>
        </w:tc>
        <w:tc>
          <w:tcPr/>
          <w:p>
            <w:pPr>
              <w:pStyle w:val="Compact"/>
              <w:jc w:val="left"/>
            </w:pPr>
            <w:r>
              <w:t xml:space="preserve">No GLBA disclosures</w:t>
            </w:r>
          </w:p>
        </w:tc>
        <w:tc>
          <w:tcPr/>
          <w:p>
            <w:pPr>
              <w:pStyle w:val="Compact"/>
              <w:jc w:val="left"/>
            </w:pPr>
            <w:r>
              <w:t xml:space="preserve">DC-003–007 (GLBA flagged)</w:t>
            </w:r>
          </w:p>
        </w:tc>
        <w:tc>
          <w:tcPr/>
          <w:p>
            <w:pPr>
              <w:pStyle w:val="Compact"/>
              <w:jc w:val="left"/>
            </w:pPr>
            <w:r>
              <w:t xml:space="preserve">§§2.1, 3 (financial data)</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10 Cookies / consent</w:t>
            </w:r>
          </w:p>
        </w:tc>
        <w:tc>
          <w:tcPr/>
          <w:p>
            <w:pPr>
              <w:pStyle w:val="Compact"/>
              <w:jc w:val="left"/>
            </w:pPr>
            <w:r>
              <w:t xml:space="preserve">Cookies section</w:t>
            </w:r>
          </w:p>
        </w:tc>
        <w:tc>
          <w:tcPr/>
          <w:p>
            <w:pPr>
              <w:pStyle w:val="Compact"/>
              <w:jc w:val="left"/>
            </w:pPr>
            <w:r>
              <w:t xml:space="preserve">Cookie Inventory tab</w:t>
            </w:r>
          </w:p>
        </w:tc>
        <w:tc>
          <w:tcPr/>
          <w:p>
            <w:pPr>
              <w:pStyle w:val="Compact"/>
              <w:jc w:val="left"/>
            </w:pPr>
            <w:r>
              <w:t xml:space="preserve">§6 (SDK)</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 Lawful basis / browsewrap</w:t>
            </w:r>
          </w:p>
        </w:tc>
        <w:tc>
          <w:tcPr/>
          <w:p>
            <w:pPr>
              <w:pStyle w:val="Compact"/>
              <w:jc w:val="left"/>
            </w:pPr>
            <w:r>
              <w:t xml:space="preserve">“</w:t>
            </w:r>
            <w:r>
              <w:t xml:space="preserve">continued use constitutes consent</w:t>
            </w:r>
            <w:r>
              <w:t xml:space="preserve">”</w:t>
            </w:r>
          </w:p>
        </w:tc>
        <w:tc>
          <w:tcPr/>
          <w:p>
            <w:pPr>
              <w:pStyle w:val="Compact"/>
              <w:jc w:val="left"/>
            </w:pPr>
            <w:r>
              <w:t xml:space="preserve">PA-001–008; EU Summary</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12 Staleness / readability</w:t>
            </w:r>
          </w:p>
        </w:tc>
        <w:tc>
          <w:tcPr/>
          <w:p>
            <w:pPr>
              <w:pStyle w:val="Compact"/>
              <w:jc w:val="left"/>
            </w:pPr>
            <w:r>
              <w:t xml:space="preserve">Jan 15, 2023 date; ~9,200 words</w:t>
            </w:r>
          </w:p>
        </w:tc>
        <w:tc>
          <w:tcPr/>
          <w:p>
            <w:pPr>
              <w:pStyle w:val="Compact"/>
              <w:jc w:val="left"/>
            </w:pPr>
            <w:r>
              <w:t xml:space="preserve">Revision Log (post-dating events)</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13 EU data-location conflict</w:t>
            </w:r>
          </w:p>
        </w:tc>
        <w:tc>
          <w:tcPr/>
          <w:p>
            <w:pPr>
              <w:pStyle w:val="Compact"/>
              <w:jc w:val="left"/>
            </w:pPr>
            <w:r>
              <w:t xml:space="preserve">“</w:t>
            </w:r>
            <w:r>
              <w:t xml:space="preserve">Ashburn, Virginia</w:t>
            </w:r>
            <w:r>
              <w:t xml:space="preserve">”</w:t>
            </w:r>
          </w:p>
        </w:tc>
        <w:tc>
          <w:tcPr/>
          <w:p>
            <w:pPr>
              <w:pStyle w:val="Compact"/>
              <w:jc w:val="left"/>
            </w:pPr>
            <w:r>
              <w:t xml:space="preserve">IT-001/PA-007 (all Virginia)</w:t>
            </w:r>
          </w:p>
        </w:tc>
        <w:tc>
          <w:tcPr/>
          <w:p>
            <w:pPr>
              <w:pStyle w:val="Compact"/>
              <w:jc w:val="left"/>
            </w:pPr>
            <w:r>
              <w:t xml:space="preserve">—</w:t>
            </w:r>
          </w:p>
        </w:tc>
        <w:tc>
          <w:tcPr/>
          <w:p>
            <w:pPr>
              <w:pStyle w:val="Compact"/>
              <w:jc w:val="left"/>
            </w:pPr>
            <w:r>
              <w:t xml:space="preserve">Entry 5 (Dublin replication)</w:t>
            </w:r>
          </w:p>
        </w:tc>
        <w:tc>
          <w:tcPr/>
          <w:p>
            <w:pPr>
              <w:pStyle w:val="Compact"/>
              <w:jc w:val="left"/>
            </w:pPr>
            <w:r>
              <w:t xml:space="preserve">§2</w:t>
            </w:r>
          </w:p>
        </w:tc>
      </w:tr>
      <w:tr>
        <w:tc>
          <w:tcPr/>
          <w:p>
            <w:pPr>
              <w:pStyle w:val="Compact"/>
              <w:jc w:val="left"/>
            </w:pPr>
            <w:r>
              <w:t xml:space="preserve">14 DSA Brightly breach notice</w:t>
            </w:r>
          </w:p>
        </w:tc>
        <w:tc>
          <w:tcPr/>
          <w:p>
            <w:pPr>
              <w:pStyle w:val="Compact"/>
              <w:jc w:val="left"/>
            </w:pPr>
            <w:r>
              <w:t xml:space="preserve">—</w:t>
            </w:r>
          </w:p>
        </w:tc>
        <w:tc>
          <w:tcPr/>
          <w:p>
            <w:pPr>
              <w:pStyle w:val="Compact"/>
              <w:jc w:val="left"/>
            </w:pPr>
            <w:r>
              <w:t xml:space="preserve">—</w:t>
            </w:r>
          </w:p>
        </w:tc>
        <w:tc>
          <w:tcPr/>
          <w:p>
            <w:pPr>
              <w:pStyle w:val="Compact"/>
              <w:jc w:val="left"/>
            </w:pPr>
            <w:r>
              <w:t xml:space="preserve">§9.2</w:t>
            </w:r>
          </w:p>
        </w:tc>
        <w:tc>
          <w:tcPr/>
          <w:p>
            <w:pPr>
              <w:pStyle w:val="Compact"/>
              <w:jc w:val="left"/>
            </w:pPr>
            <w:r>
              <w:t xml:space="preserve">§6 Notification Log (omits Brightly)</w:t>
            </w:r>
          </w:p>
        </w:tc>
        <w:tc>
          <w:tcPr/>
          <w:p>
            <w:pPr>
              <w:pStyle w:val="Compact"/>
              <w:jc w:val="left"/>
            </w:pPr>
            <w:r>
              <w:t xml:space="preserve">—</w:t>
            </w:r>
          </w:p>
        </w:tc>
      </w:tr>
      <w:tr>
        <w:tc>
          <w:tcPr/>
          <w:p>
            <w:pPr>
              <w:pStyle w:val="Compact"/>
              <w:jc w:val="left"/>
            </w:pPr>
            <w:r>
              <w:t xml:space="preserve">15 Governing law</w:t>
            </w:r>
          </w:p>
        </w:tc>
        <w:tc>
          <w:tcPr/>
          <w:p>
            <w:pPr>
              <w:pStyle w:val="Compact"/>
              <w:jc w:val="left"/>
            </w:pPr>
            <w:r>
              <w:t xml:space="preserve">Texas / Travis County</w:t>
            </w:r>
          </w:p>
        </w:tc>
        <w:tc>
          <w:tcPr/>
          <w:p>
            <w:pPr>
              <w:pStyle w:val="Compact"/>
              <w:jc w:val="left"/>
            </w:pPr>
            <w:r>
              <w:t xml:space="preserve">—</w:t>
            </w:r>
          </w:p>
        </w:tc>
        <w:tc>
          <w:tcPr/>
          <w:p>
            <w:pPr>
              <w:pStyle w:val="Compact"/>
              <w:jc w:val="left"/>
            </w:pPr>
            <w:r>
              <w:t xml:space="preserve">§§14.1–14.2 (NY / arbitration)</w:t>
            </w:r>
          </w:p>
        </w:tc>
        <w:tc>
          <w:tcPr/>
          <w:p>
            <w:pPr>
              <w:pStyle w:val="Compact"/>
              <w:jc w:val="left"/>
            </w:pPr>
            <w:r>
              <w:t xml:space="preserve">—</w:t>
            </w:r>
          </w:p>
        </w:tc>
        <w:tc>
          <w:tcPr/>
          <w:p>
            <w:pPr>
              <w:pStyle w:val="Compact"/>
              <w:jc w:val="left"/>
            </w:pPr>
            <w:r>
              <w:t xml:space="preserve">—</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2026-06-28T18:20:02Z</dcterms:created>
  <dcterms:modified xsi:type="dcterms:W3CDTF">2026-06-28T18:20:02Z</dcterms:modified>
</cp:coreProperties>
</file>

<file path=docProps/custom.xml><?xml version="1.0" encoding="utf-8"?>
<Properties xmlns="http://schemas.openxmlformats.org/officeDocument/2006/custom-properties" xmlns:vt="http://schemas.openxmlformats.org/officeDocument/2006/docPropsVTypes"/>
</file>