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42" w:name="issues-memorandum"/>
    <w:p>
      <w:pPr>
        <w:pStyle w:val="Heading1"/>
      </w:pPr>
      <w:r>
        <w:t xml:space="preserve">ISSUES MEMORANDUM</w:t>
      </w:r>
    </w:p>
    <w:p>
      <w:pPr>
        <w:pStyle w:val="FirstParagraph"/>
      </w:pPr>
      <w:r>
        <w:rPr>
          <w:b/>
          <w:bCs/>
        </w:rPr>
        <w:t xml:space="preserve">TO:</w:t>
      </w:r>
      <w:r>
        <w:t xml:space="preserve"> </w:t>
      </w:r>
      <w:r>
        <w:t xml:space="preserve">Priya Venkatesh, General Counsel, Vaultline Technologies, Inc.</w:t>
      </w:r>
    </w:p>
    <w:p>
      <w:pPr>
        <w:pStyle w:val="BodyText"/>
      </w:pPr>
      <w:r>
        <w:rPr>
          <w:b/>
          <w:bCs/>
        </w:rPr>
        <w:t xml:space="preserve">CC:</w:t>
      </w:r>
      <w:r>
        <w:t xml:space="preserve"> </w:t>
      </w:r>
      <w:r>
        <w:t xml:space="preserve">Marcus Reinholt, Chief Executive Officer; Series C Deal Team</w:t>
      </w:r>
    </w:p>
    <w:p>
      <w:pPr>
        <w:pStyle w:val="BodyText"/>
      </w:pPr>
      <w:r>
        <w:rPr>
          <w:b/>
          <w:bCs/>
        </w:rPr>
        <w:t xml:space="preserve">FROM:</w:t>
      </w:r>
      <w:r>
        <w:t xml:space="preserve"> </w:t>
      </w:r>
      <w:r>
        <w:t xml:space="preserve">Privacy Compliance Review (Outside Privacy Counsel)</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Cross-Document Privacy Compliance Gap Analysis — Vaultline Technologies, Inc. (Series C Due Diligence; EU Market Launch Q3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cross-document privacy and data-protection compliance gaps arising from a review of five Vaultline Technologies, Inc. (</w:t>
      </w:r>
      <w:r>
        <w:t xml:space="preserve">“</w:t>
      </w:r>
      <w:r>
        <w:t xml:space="preserve">Vaultline</w:t>
      </w:r>
      <w:r>
        <w:t xml:space="preserve">”</w:t>
      </w:r>
      <w:r>
        <w:t xml:space="preserve">) documents: (1) the consumer-facing Privacy Policy (last updated January 15, 2023); (2) the Internal Data Inventory (v3.4, last updated February 18, 2025); (3) the Data Sharing Agreement with Brightly Analytics, Inc. (effective September 1, 2022, as amended June 15, 2024); (4) the August 2024 Incident Response Log (VT-IRL-2024-003); and (5) the March 3, 2025 investor-counsel email from Ashford Barnes LLP (counsel to Kessler Whitman Ventures) to Thornbury &amp; Locke LLP.</w:t>
      </w:r>
    </w:p>
    <w:p>
      <w:pPr>
        <w:pStyle w:val="BodyText"/>
      </w:pPr>
      <w:r>
        <w:t xml:space="preserve">The review was undertaken in connection with the Series C due diligence (deadline April 15, 2025) and the planned Q3 2025 EU market launch. The central finding is that</w:t>
      </w:r>
      <w:r>
        <w:t xml:space="preserve"> </w:t>
      </w:r>
      <w:r>
        <w:rPr>
          <w:b/>
          <w:bCs/>
        </w:rPr>
        <w:t xml:space="preserve">the consumer-facing Privacy Policy is materially out of sync with Vaultline’s actual data practices as documented internally and contractually.</w:t>
      </w:r>
      <w:r>
        <w:t xml:space="preserve"> </w:t>
      </w:r>
      <w:r>
        <w:t xml:space="preserve">The Policy has not been updated in over two years, predates the launch of a biometric identity-verification feature, fails to disclose a revenue-generating data-sharing arrangement that is very likely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the CPRA, relies on a data-transfer mechanism invalidated in 2020, and omits nearly all GDPR transparency disclosures. The Internal Data Inventory — maintained by the same data team and approved by the General Counsel — independently confirms each of these gaps and, in several places, expressly states that the conduct is not disclosed in the Privacy Policy.</w:t>
      </w:r>
    </w:p>
    <w:p>
      <w:pPr>
        <w:pStyle w:val="BodyText"/>
      </w:pPr>
      <w:r>
        <w:t xml:space="preserve">We identify</w:t>
      </w:r>
      <w:r>
        <w:t xml:space="preserve"> </w:t>
      </w:r>
      <w:r>
        <w:rPr>
          <w:b/>
          <w:bCs/>
        </w:rPr>
        <w:t xml:space="preserve">eighteen (18) discrete compliance issues</w:t>
      </w:r>
      <w:r>
        <w:t xml:space="preserve">, rated by severity:</w:t>
      </w:r>
    </w:p>
    <w:p>
      <w:pPr>
        <w:pStyle w:val="Compact"/>
        <w:numPr>
          <w:ilvl w:val="0"/>
          <w:numId w:val="1001"/>
        </w:numPr>
      </w:pPr>
      <w:r>
        <w:rPr>
          <w:b/>
          <w:bCs/>
        </w:rPr>
        <w:t xml:space="preserve">Critical (4):</w:t>
      </w:r>
      <w:r>
        <w:t xml:space="preserve"> </w:t>
      </w:r>
      <w:r>
        <w:t xml:space="preserve">invalidated EU–US Privacy Shield reliance / absence of any valid EU transfer mechanism; undisclosed biometric data collection (Selfie Verify) under BIPA and GDPR Article 9; undisclosed CPRA</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of personal information to Brightly Analytics; and wholesale failure of GDPR Articles 13/14 transparency obligations (including no Data Protection Officer and no Article 27 EU representative).</w:t>
      </w:r>
    </w:p>
    <w:p>
      <w:pPr>
        <w:pStyle w:val="Compact"/>
        <w:numPr>
          <w:ilvl w:val="0"/>
          <w:numId w:val="1001"/>
        </w:numPr>
      </w:pPr>
      <w:r>
        <w:rPr>
          <w:b/>
          <w:bCs/>
        </w:rPr>
        <w:t xml:space="preserve">High (9):</w:t>
      </w:r>
      <w:r>
        <w:t xml:space="preserve"> </w:t>
      </w:r>
      <w:r>
        <w:t xml:space="preserve">undisclosed automated decision-making (Smart Insights) under GDPR Article 22; August 2024 breach-notification gaps (47-day consumer notice; no documented California Attorney General or GDPR Article 33 notifications; no Brightly notification under the Data Sharing Agreement); potential GLBA applicability with no financial-privacy notices or opt-out; incomplete CCPA/CPRA consumer-rights disclosures; indefinite data retention contradicting the Policy; non-compliant cookie consent; likely-false compliance representations in the Data Sharing Agreement; failure to conduct mandatory DPIAs; and reliance on legally insufficient browsewrap consent.</w:t>
      </w:r>
    </w:p>
    <w:p>
      <w:pPr>
        <w:pStyle w:val="Compact"/>
        <w:numPr>
          <w:ilvl w:val="0"/>
          <w:numId w:val="1001"/>
        </w:numPr>
      </w:pPr>
      <w:r>
        <w:rPr>
          <w:b/>
          <w:bCs/>
        </w:rPr>
        <w:t xml:space="preserve">Medium (5):</w:t>
      </w:r>
      <w:r>
        <w:t xml:space="preserve"> </w:t>
      </w:r>
      <w:r>
        <w:t xml:space="preserve">undisclosed potential</w:t>
      </w:r>
      <w:r>
        <w:t xml:space="preserve"> </w:t>
      </w:r>
      <w:r>
        <w:t xml:space="preserve">“</w:t>
      </w:r>
      <w:r>
        <w:t xml:space="preserve">sale</w:t>
      </w:r>
      <w:r>
        <w:t xml:space="preserve">”</w:t>
      </w:r>
      <w:r>
        <w:t xml:space="preserve"> </w:t>
      </w:r>
      <w:r>
        <w:t xml:space="preserve">via the 14 partner financial-product referrals; failure to classify sensitive personal information and provide the CPRA</w:t>
      </w:r>
      <w:r>
        <w:t xml:space="preserve"> </w:t>
      </w:r>
      <w:r>
        <w:t xml:space="preserve">“</w:t>
      </w:r>
      <w:r>
        <w:t xml:space="preserve">limit use of sensitive PI</w:t>
      </w:r>
      <w:r>
        <w:t xml:space="preserve">”</w:t>
      </w:r>
      <w:r>
        <w:t xml:space="preserve"> </w:t>
      </w:r>
      <w:r>
        <w:t xml:space="preserve">opt-out; perpetual post-termination exploitation of audience segments by Brightly; Privacy Policy staleness and readability (Flesch–Kincaid grade 18.2); and a cross-document factual inconsistency regarding where EU-resident data is stored.</w:t>
      </w:r>
    </w:p>
    <w:p>
      <w:pPr>
        <w:pStyle w:val="FirstParagraph"/>
      </w:pPr>
      <w:r>
        <w:t xml:space="preserve">Quantified exposure referenced in the source documents includes: estimated BIPA statutory damages of</w:t>
      </w:r>
      <w:r>
        <w:t xml:space="preserve"> </w:t>
      </w:r>
      <w:r>
        <w:rPr>
          <w:b/>
          <w:bCs/>
        </w:rPr>
        <w:t xml:space="preserve">$87 million to $435 million</w:t>
      </w:r>
      <w:r>
        <w:t xml:space="preserve"> </w:t>
      </w:r>
      <w:r>
        <w:t xml:space="preserve">(87,000 Illinois users × $1,000–$5,000 per violation); GDPR administrative-fine exposure of up to</w:t>
      </w:r>
      <w:r>
        <w:t xml:space="preserve"> </w:t>
      </w:r>
      <w:r>
        <w:rPr>
          <w:b/>
          <w:bCs/>
        </w:rPr>
        <w:t xml:space="preserve">4% of annual global turnover (~$1.89 million)</w:t>
      </w:r>
      <w:r>
        <w:t xml:space="preserve"> </w:t>
      </w:r>
      <w:r>
        <w:t xml:space="preserve">based on FY 2024 revenue of $47.3 million; and a Brightly revenue-share stream of approximately</w:t>
      </w:r>
      <w:r>
        <w:t xml:space="preserve"> </w:t>
      </w:r>
      <w:r>
        <w:rPr>
          <w:b/>
          <w:bCs/>
        </w:rPr>
        <w:t xml:space="preserve">$2.64 million annually</w:t>
      </w:r>
      <w:r>
        <w:t xml:space="preserve"> </w:t>
      </w:r>
      <w:r>
        <w:t xml:space="preserve">that itself evidences a</w:t>
      </w:r>
      <w:r>
        <w:t xml:space="preserve"> </w:t>
      </w:r>
      <w:r>
        <w:t xml:space="preserve">“</w:t>
      </w:r>
      <w:r>
        <w:t xml:space="preserve">sale</w:t>
      </w:r>
      <w:r>
        <w:t xml:space="preserve">”</w:t>
      </w:r>
      <w:r>
        <w:t xml:space="preserve"> </w:t>
      </w:r>
      <w:r>
        <w:t xml:space="preserve">of personal information. The lead investor has indicated it may condition its investment on remediation or require escrow/holdback provisions.</w:t>
      </w:r>
    </w:p>
    <w:p>
      <w:pPr>
        <w:pStyle w:val="BodyText"/>
      </w:pPr>
      <w:r>
        <w:t xml:space="preserve">A prioritized remediation roadmap appears in Part V. Several Critical items (transfer mechanism, biometric consent/retention policy, CPRA sale/sharing opt-out, GDPR transparency) should be addressed before the April 15, 2025 diligence deadline and in any event before the Q3 2025 EU launch.</w:t>
      </w:r>
    </w:p>
    <w:p>
      <w:r>
        <w:pict>
          <v:rect style="width:0;height:1.5pt" o:hralign="center" o:hrstd="t" o:hr="t"/>
        </w:pict>
      </w:r>
    </w:p>
    <w:bookmarkEnd w:id="21"/>
    <w:bookmarkStart w:id="22"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 Version</w:t>
            </w:r>
          </w:p>
        </w:tc>
        <w:tc>
          <w:tcPr/>
          <w:p>
            <w:pPr>
              <w:pStyle w:val="Compact"/>
              <w:jc w:val="left"/>
            </w:pPr>
            <w:r>
              <w:t xml:space="preserve">Custodian / Author</w:t>
            </w:r>
          </w:p>
        </w:tc>
      </w:tr>
      <w:tr>
        <w:tc>
          <w:tcPr/>
          <w:p>
            <w:pPr>
              <w:pStyle w:val="Compact"/>
              <w:jc w:val="left"/>
            </w:pPr>
            <w:r>
              <w:t xml:space="preserve">1</w:t>
            </w:r>
          </w:p>
        </w:tc>
        <w:tc>
          <w:tcPr/>
          <w:p>
            <w:pPr>
              <w:pStyle w:val="Compact"/>
              <w:jc w:val="left"/>
            </w:pPr>
            <w:r>
              <w:t xml:space="preserve">Vaultline Privacy Policy</w:t>
            </w:r>
          </w:p>
        </w:tc>
        <w:tc>
          <w:tcPr/>
          <w:p>
            <w:pPr>
              <w:pStyle w:val="Compact"/>
              <w:jc w:val="left"/>
            </w:pPr>
            <w:r>
              <w:t xml:space="preserve">Last Updated January 15, 2023</w:t>
            </w:r>
          </w:p>
        </w:tc>
        <w:tc>
          <w:tcPr/>
          <w:p>
            <w:pPr>
              <w:pStyle w:val="Compact"/>
              <w:jc w:val="left"/>
            </w:pPr>
            <w:r>
              <w:t xml:space="preserve">Published at vaultline.com</w:t>
            </w:r>
          </w:p>
        </w:tc>
      </w:tr>
      <w:tr>
        <w:tc>
          <w:tcPr/>
          <w:p>
            <w:pPr>
              <w:pStyle w:val="Compact"/>
              <w:jc w:val="left"/>
            </w:pPr>
            <w:r>
              <w:t xml:space="preserve">2</w:t>
            </w:r>
          </w:p>
        </w:tc>
        <w:tc>
          <w:tcPr/>
          <w:p>
            <w:pPr>
              <w:pStyle w:val="Compact"/>
              <w:jc w:val="left"/>
            </w:pPr>
            <w:r>
              <w:t xml:space="preserve">Internal Data Inventory</w:t>
            </w:r>
          </w:p>
        </w:tc>
        <w:tc>
          <w:tcPr/>
          <w:p>
            <w:pPr>
              <w:pStyle w:val="Compact"/>
              <w:jc w:val="left"/>
            </w:pPr>
            <w:r>
              <w:t xml:space="preserve">v3.4, last updated February 18, 2025</w:t>
            </w:r>
          </w:p>
        </w:tc>
        <w:tc>
          <w:tcPr/>
          <w:p>
            <w:pPr>
              <w:pStyle w:val="Compact"/>
              <w:jc w:val="left"/>
            </w:pPr>
            <w:r>
              <w:t xml:space="preserve">Sandra Linh, Head of Data &amp; Analytics; approved by Priya Venkatesh, General Counsel</w:t>
            </w:r>
          </w:p>
        </w:tc>
      </w:tr>
      <w:tr>
        <w:tc>
          <w:tcPr/>
          <w:p>
            <w:pPr>
              <w:pStyle w:val="Compact"/>
              <w:jc w:val="left"/>
            </w:pPr>
            <w:r>
              <w:t xml:space="preserve">3</w:t>
            </w:r>
          </w:p>
        </w:tc>
        <w:tc>
          <w:tcPr/>
          <w:p>
            <w:pPr>
              <w:pStyle w:val="Compact"/>
              <w:jc w:val="left"/>
            </w:pPr>
            <w:r>
              <w:t xml:space="preserve">Data Sharing Agreement (Vaultline–Brightly Analytics)</w:t>
            </w:r>
          </w:p>
        </w:tc>
        <w:tc>
          <w:tcPr/>
          <w:p>
            <w:pPr>
              <w:pStyle w:val="Compact"/>
              <w:jc w:val="left"/>
            </w:pPr>
            <w:r>
              <w:t xml:space="preserve">Effective September 1, 2022; First Amendment June 15, 2024</w:t>
            </w:r>
          </w:p>
        </w:tc>
        <w:tc>
          <w:tcPr/>
          <w:p>
            <w:pPr>
              <w:pStyle w:val="Compact"/>
              <w:jc w:val="left"/>
            </w:pPr>
            <w:r>
              <w:t xml:space="preserve">Signed by Sandra Linh (Vaultline) and Jordan Kessler-Park (Brightly)</w:t>
            </w:r>
          </w:p>
        </w:tc>
      </w:tr>
      <w:tr>
        <w:tc>
          <w:tcPr/>
          <w:p>
            <w:pPr>
              <w:pStyle w:val="Compact"/>
              <w:jc w:val="left"/>
            </w:pPr>
            <w:r>
              <w:t xml:space="preserve">4</w:t>
            </w:r>
          </w:p>
        </w:tc>
        <w:tc>
          <w:tcPr/>
          <w:p>
            <w:pPr>
              <w:pStyle w:val="Compact"/>
              <w:jc w:val="left"/>
            </w:pPr>
            <w:r>
              <w:t xml:space="preserve">Incident Response Log VT-IRL-2024-003</w:t>
            </w:r>
          </w:p>
        </w:tc>
        <w:tc>
          <w:tcPr/>
          <w:p>
            <w:pPr>
              <w:pStyle w:val="Compact"/>
              <w:jc w:val="left"/>
            </w:pPr>
            <w:r>
              <w:t xml:space="preserve">August–October 2024 (closed October 11, 2024)</w:t>
            </w:r>
          </w:p>
        </w:tc>
        <w:tc>
          <w:tcPr/>
          <w:p>
            <w:pPr>
              <w:pStyle w:val="Compact"/>
              <w:jc w:val="left"/>
            </w:pPr>
            <w:r>
              <w:t xml:space="preserve">Tomás Guerrero, VP Engineering; Priya Venkatesh, General Counsel</w:t>
            </w:r>
          </w:p>
        </w:tc>
      </w:tr>
      <w:tr>
        <w:tc>
          <w:tcPr/>
          <w:p>
            <w:pPr>
              <w:pStyle w:val="Compact"/>
              <w:jc w:val="left"/>
            </w:pPr>
            <w:r>
              <w:t xml:space="preserve">5</w:t>
            </w:r>
          </w:p>
        </w:tc>
        <w:tc>
          <w:tcPr/>
          <w:p>
            <w:pPr>
              <w:pStyle w:val="Compact"/>
              <w:jc w:val="left"/>
            </w:pPr>
            <w:r>
              <w:t xml:space="preserve">Investor due-diligence email</w:t>
            </w:r>
          </w:p>
        </w:tc>
        <w:tc>
          <w:tcPr/>
          <w:p>
            <w:pPr>
              <w:pStyle w:val="Compact"/>
              <w:jc w:val="left"/>
            </w:pPr>
            <w:r>
              <w:t xml:space="preserve">March 3, 2025</w:t>
            </w:r>
          </w:p>
        </w:tc>
        <w:tc>
          <w:tcPr/>
          <w:p>
            <w:pPr>
              <w:pStyle w:val="Compact"/>
              <w:jc w:val="left"/>
            </w:pPr>
            <w:r>
              <w:t xml:space="preserve">Elena Marchetti, Ashford Barnes LLP → Catherine Aldridge, Thornbury &amp; Locke LLP</w:t>
            </w:r>
          </w:p>
        </w:tc>
      </w:tr>
    </w:tbl>
    <w:p>
      <w:pPr>
        <w:pStyle w:val="BodyText"/>
      </w:pPr>
      <w:r>
        <w:rPr>
          <w:b/>
          <w:bCs/>
        </w:rPr>
        <w:t xml:space="preserve">Corporate context (from Data Inventory, Cover &amp; Metadata):</w:t>
      </w:r>
      <w:r>
        <w:t xml:space="preserve"> </w:t>
      </w:r>
      <w:r>
        <w:t xml:space="preserve">3,800,000 registered users; ~142,000 California users; ~23,000 EU-resident users; ~87,000 Illinois users; FY 2024 revenue $47,300,000; EIN 84-2917653; Delaware corporation, HQ Austin, TX. Series C diligence deadline April 15, 2025; EU market launch planned Q3 2025.</w:t>
      </w:r>
    </w:p>
    <w:p>
      <w:r>
        <w:pict>
          <v:rect style="width:0;height:1.5pt" o:hralign="center" o:hrstd="t" o:hr="t"/>
        </w:pict>
      </w:r>
    </w:p>
    <w:bookmarkEnd w:id="22"/>
    <w:bookmarkStart w:id="23" w:name="iii.-summary-of-issues"/>
    <w:p>
      <w:pPr>
        <w:pStyle w:val="Heading2"/>
      </w:pPr>
      <w:r>
        <w:t xml:space="preserve">III. Summary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Documents Implicated</w:t>
            </w:r>
          </w:p>
        </w:tc>
        <w:tc>
          <w:tcPr/>
          <w:p>
            <w:pPr>
              <w:pStyle w:val="Compact"/>
              <w:jc w:val="left"/>
            </w:pPr>
            <w:r>
              <w:t xml:space="preserve">Key Legal Framework</w:t>
            </w:r>
          </w:p>
        </w:tc>
      </w:tr>
      <w:tr>
        <w:tc>
          <w:tcPr/>
          <w:p>
            <w:pPr>
              <w:pStyle w:val="Compact"/>
              <w:jc w:val="left"/>
            </w:pPr>
            <w:r>
              <w:t xml:space="preserve">1</w:t>
            </w:r>
          </w:p>
        </w:tc>
        <w:tc>
          <w:tcPr/>
          <w:p>
            <w:pPr>
              <w:pStyle w:val="Compact"/>
              <w:jc w:val="left"/>
            </w:pPr>
            <w:r>
              <w:t xml:space="preserve">Reliance on invalidated EU–US Privacy Shield; no valid EU transfer mechanism (no SCCs, no DPF certification)</w:t>
            </w:r>
          </w:p>
        </w:tc>
        <w:tc>
          <w:tcPr/>
          <w:p>
            <w:pPr>
              <w:pStyle w:val="Compact"/>
              <w:jc w:val="left"/>
            </w:pPr>
            <w:r>
              <w:t xml:space="preserve">Critical</w:t>
            </w:r>
          </w:p>
        </w:tc>
        <w:tc>
          <w:tcPr/>
          <w:p>
            <w:pPr>
              <w:pStyle w:val="Compact"/>
              <w:jc w:val="left"/>
            </w:pPr>
            <w:r>
              <w:t xml:space="preserve">Privacy Policy; Data Inventory (IT-001, PA-007, EU Summary); Investor Email §2</w:t>
            </w:r>
          </w:p>
        </w:tc>
        <w:tc>
          <w:tcPr/>
          <w:p>
            <w:pPr>
              <w:pStyle w:val="Compact"/>
              <w:jc w:val="left"/>
            </w:pPr>
            <w:r>
              <w:t xml:space="preserve">GDPR Ch. V; Schrems II (C-311/18)</w:t>
            </w:r>
          </w:p>
        </w:tc>
      </w:tr>
      <w:tr>
        <w:tc>
          <w:tcPr/>
          <w:p>
            <w:pPr>
              <w:pStyle w:val="Compact"/>
              <w:jc w:val="left"/>
            </w:pPr>
            <w:r>
              <w:t xml:space="preserve">2</w:t>
            </w:r>
          </w:p>
        </w:tc>
        <w:tc>
          <w:tcPr/>
          <w:p>
            <w:pPr>
              <w:pStyle w:val="Compact"/>
              <w:jc w:val="left"/>
            </w:pPr>
            <w:r>
              <w:t xml:space="preserve">Biometric data (Selfie Verify) collected at scale but wholly undisclosed; no written consent; no retention/destruction policy</w:t>
            </w:r>
          </w:p>
        </w:tc>
        <w:tc>
          <w:tcPr/>
          <w:p>
            <w:pPr>
              <w:pStyle w:val="Compact"/>
              <w:jc w:val="left"/>
            </w:pPr>
            <w:r>
              <w:t xml:space="preserve">Critical</w:t>
            </w:r>
          </w:p>
        </w:tc>
        <w:tc>
          <w:tcPr/>
          <w:p>
            <w:pPr>
              <w:pStyle w:val="Compact"/>
              <w:jc w:val="left"/>
            </w:pPr>
            <w:r>
              <w:t xml:space="preserve">Privacy Policy; Data Inventory (DC-011, Selfie Verify tab); Investor Email §5</w:t>
            </w:r>
          </w:p>
        </w:tc>
        <w:tc>
          <w:tcPr/>
          <w:p>
            <w:pPr>
              <w:pStyle w:val="Compact"/>
              <w:jc w:val="left"/>
            </w:pPr>
            <w:r>
              <w:t xml:space="preserve">BIPA (740 ILCS 14); GDPR Art. 9; CPRA; TX CUBI</w:t>
            </w:r>
          </w:p>
        </w:tc>
      </w:tr>
      <w:tr>
        <w:tc>
          <w:tcPr/>
          <w:p>
            <w:pPr>
              <w:pStyle w:val="Compact"/>
              <w:jc w:val="left"/>
            </w:pPr>
            <w:r>
              <w:t xml:space="preserve">3</w:t>
            </w:r>
          </w:p>
        </w:tc>
        <w:tc>
          <w:tcPr/>
          <w:p>
            <w:pPr>
              <w:pStyle w:val="Compact"/>
              <w:jc w:val="left"/>
            </w:pPr>
            <w:r>
              <w:t xml:space="preserve">Brightly data sharing is an undisclosed CPRA</w:t>
            </w:r>
            <w:r>
              <w:t xml:space="preserve"> </w:t>
            </w:r>
            <w:r>
              <w:t xml:space="preserve">“</w:t>
            </w:r>
            <w:r>
              <w:t xml:space="preserve">sale</w:t>
            </w:r>
            <w:r>
              <w:t xml:space="preserve">”</w:t>
            </w:r>
            <w:r>
              <w:t xml:space="preserve">/</w:t>
            </w:r>
            <w:r>
              <w:t xml:space="preserve">“</w:t>
            </w:r>
            <w:r>
              <w:t xml:space="preserve">sharing</w:t>
            </w:r>
            <w:r>
              <w:t xml:space="preserve">”</w:t>
            </w:r>
            <w:r>
              <w:t xml:space="preserve">; no opt-out; Brightly not named in Policy</w:t>
            </w:r>
          </w:p>
        </w:tc>
        <w:tc>
          <w:tcPr/>
          <w:p>
            <w:pPr>
              <w:pStyle w:val="Compact"/>
              <w:jc w:val="left"/>
            </w:pPr>
            <w:r>
              <w:t xml:space="preserve">Critical</w:t>
            </w:r>
          </w:p>
        </w:tc>
        <w:tc>
          <w:tcPr/>
          <w:p>
            <w:pPr>
              <w:pStyle w:val="Compact"/>
              <w:jc w:val="left"/>
            </w:pPr>
            <w:r>
              <w:t xml:space="preserve">Privacy Policy; DSA §§2.1, 3.1, 4, 5; Data Inventory (TS-002, PA-004, DC-014/015); Investor Email §5</w:t>
            </w:r>
          </w:p>
        </w:tc>
        <w:tc>
          <w:tcPr/>
          <w:p>
            <w:pPr>
              <w:pStyle w:val="Compact"/>
              <w:jc w:val="left"/>
            </w:pPr>
            <w:r>
              <w:t xml:space="preserve">CPRA; GDPR Art. 6/13/14</w:t>
            </w:r>
          </w:p>
        </w:tc>
      </w:tr>
      <w:tr>
        <w:tc>
          <w:tcPr/>
          <w:p>
            <w:pPr>
              <w:pStyle w:val="Compact"/>
              <w:jc w:val="left"/>
            </w:pPr>
            <w:r>
              <w:t xml:space="preserve">4</w:t>
            </w:r>
          </w:p>
        </w:tc>
        <w:tc>
          <w:tcPr/>
          <w:p>
            <w:pPr>
              <w:pStyle w:val="Compact"/>
              <w:jc w:val="left"/>
            </w:pPr>
            <w:r>
              <w:t xml:space="preserve">GDPR Art. 13/14 transparency failures; no DPO; no Art. 27 EU representative; no lawful basis documented</w:t>
            </w:r>
          </w:p>
        </w:tc>
        <w:tc>
          <w:tcPr/>
          <w:p>
            <w:pPr>
              <w:pStyle w:val="Compact"/>
              <w:jc w:val="left"/>
            </w:pPr>
            <w:r>
              <w:t xml:space="preserve">Critical</w:t>
            </w:r>
          </w:p>
        </w:tc>
        <w:tc>
          <w:tcPr/>
          <w:p>
            <w:pPr>
              <w:pStyle w:val="Compact"/>
              <w:jc w:val="left"/>
            </w:pPr>
            <w:r>
              <w:t xml:space="preserve">Privacy Policy; Data Inventory (EU Summary); Investor Email §3</w:t>
            </w:r>
          </w:p>
        </w:tc>
        <w:tc>
          <w:tcPr/>
          <w:p>
            <w:pPr>
              <w:pStyle w:val="Compact"/>
              <w:jc w:val="left"/>
            </w:pPr>
            <w:r>
              <w:t xml:space="preserve">GDPR Arts. 5, 6, 13, 14, 27, 37</w:t>
            </w:r>
          </w:p>
        </w:tc>
      </w:tr>
      <w:tr>
        <w:tc>
          <w:tcPr/>
          <w:p>
            <w:pPr>
              <w:pStyle w:val="Compact"/>
              <w:jc w:val="left"/>
            </w:pPr>
            <w:r>
              <w:t xml:space="preserve">5</w:t>
            </w:r>
          </w:p>
        </w:tc>
        <w:tc>
          <w:tcPr/>
          <w:p>
            <w:pPr>
              <w:pStyle w:val="Compact"/>
              <w:jc w:val="left"/>
            </w:pPr>
            <w:r>
              <w:t xml:space="preserve">Automated decision-making (Smart Insights) undisclosed; fully automated; produces significant effects; no human review/opt-out</w:t>
            </w:r>
          </w:p>
        </w:tc>
        <w:tc>
          <w:tcPr/>
          <w:p>
            <w:pPr>
              <w:pStyle w:val="Compact"/>
              <w:jc w:val="left"/>
            </w:pPr>
            <w:r>
              <w:t xml:space="preserve">High</w:t>
            </w:r>
          </w:p>
        </w:tc>
        <w:tc>
          <w:tcPr/>
          <w:p>
            <w:pPr>
              <w:pStyle w:val="Compact"/>
              <w:jc w:val="left"/>
            </w:pPr>
            <w:r>
              <w:t xml:space="preserve">Privacy Policy; Data Inventory (PA-003, DPIA tab); Investor Email §5</w:t>
            </w:r>
          </w:p>
        </w:tc>
        <w:tc>
          <w:tcPr/>
          <w:p>
            <w:pPr>
              <w:pStyle w:val="Compact"/>
              <w:jc w:val="left"/>
            </w:pPr>
            <w:r>
              <w:t xml:space="preserve">GDPR Arts. 22, 13(2)(f), 35(3)(a)</w:t>
            </w:r>
          </w:p>
        </w:tc>
      </w:tr>
      <w:tr>
        <w:tc>
          <w:tcPr/>
          <w:p>
            <w:pPr>
              <w:pStyle w:val="Compact"/>
              <w:jc w:val="left"/>
            </w:pPr>
            <w:r>
              <w:t xml:space="preserve">6</w:t>
            </w:r>
          </w:p>
        </w:tc>
        <w:tc>
          <w:tcPr/>
          <w:p>
            <w:pPr>
              <w:pStyle w:val="Compact"/>
              <w:jc w:val="left"/>
            </w:pPr>
            <w:r>
              <w:t xml:space="preserve">August 2024 breach: 47-day consumer notice; no documented CA AG or GDPR Art. 33 notice; no Brightly notice under DSA §9.2</w:t>
            </w:r>
          </w:p>
        </w:tc>
        <w:tc>
          <w:tcPr/>
          <w:p>
            <w:pPr>
              <w:pStyle w:val="Compact"/>
              <w:jc w:val="left"/>
            </w:pPr>
            <w:r>
              <w:t xml:space="preserve">High</w:t>
            </w:r>
          </w:p>
        </w:tc>
        <w:tc>
          <w:tcPr/>
          <w:p>
            <w:pPr>
              <w:pStyle w:val="Compact"/>
              <w:jc w:val="left"/>
            </w:pPr>
            <w:r>
              <w:t xml:space="preserve">Breach Log; DSA §9.2; Data Inventory; Investor Email §5</w:t>
            </w:r>
          </w:p>
        </w:tc>
        <w:tc>
          <w:tcPr/>
          <w:p>
            <w:pPr>
              <w:pStyle w:val="Compact"/>
              <w:jc w:val="left"/>
            </w:pPr>
            <w:r>
              <w:t xml:space="preserve">State breach laws; GDPR Arts. 33–34; DSA</w:t>
            </w:r>
          </w:p>
        </w:tc>
      </w:tr>
      <w:tr>
        <w:tc>
          <w:tcPr/>
          <w:p>
            <w:pPr>
              <w:pStyle w:val="Compact"/>
              <w:jc w:val="left"/>
            </w:pPr>
            <w:r>
              <w:t xml:space="preserve">7</w:t>
            </w:r>
          </w:p>
        </w:tc>
        <w:tc>
          <w:tcPr/>
          <w:p>
            <w:pPr>
              <w:pStyle w:val="Compact"/>
              <w:jc w:val="left"/>
            </w:pPr>
            <w:r>
              <w:t xml:space="preserve">Potential GLBA</w:t>
            </w:r>
            <w:r>
              <w:t xml:space="preserve"> </w:t>
            </w:r>
            <w:r>
              <w:t xml:space="preserve">“</w:t>
            </w:r>
            <w:r>
              <w:t xml:space="preserve">financial institution</w:t>
            </w:r>
            <w:r>
              <w:t xml:space="preserve">”</w:t>
            </w:r>
            <w:r>
              <w:t xml:space="preserve"> </w:t>
            </w:r>
            <w:r>
              <w:t xml:space="preserve">status; no financial-privacy notices or NPI opt-out</w:t>
            </w:r>
          </w:p>
        </w:tc>
        <w:tc>
          <w:tcPr/>
          <w:p>
            <w:pPr>
              <w:pStyle w:val="Compact"/>
              <w:jc w:val="left"/>
            </w:pPr>
            <w:r>
              <w:t xml:space="preserve">High</w:t>
            </w:r>
          </w:p>
        </w:tc>
        <w:tc>
          <w:tcPr/>
          <w:p>
            <w:pPr>
              <w:pStyle w:val="Compact"/>
              <w:jc w:val="left"/>
            </w:pPr>
            <w:r>
              <w:t xml:space="preserve">Privacy Policy; Data Inventory (DC-003–007); Investor Email §4</w:t>
            </w:r>
          </w:p>
        </w:tc>
        <w:tc>
          <w:tcPr/>
          <w:p>
            <w:pPr>
              <w:pStyle w:val="Compact"/>
              <w:jc w:val="left"/>
            </w:pPr>
            <w:r>
              <w:t xml:space="preserve">GLBA; Reg. P (16 C.F.R. Pt. 313)</w:t>
            </w:r>
          </w:p>
        </w:tc>
      </w:tr>
      <w:tr>
        <w:tc>
          <w:tcPr/>
          <w:p>
            <w:pPr>
              <w:pStyle w:val="Compact"/>
              <w:jc w:val="left"/>
            </w:pPr>
            <w:r>
              <w:t xml:space="preserve">8</w:t>
            </w:r>
          </w:p>
        </w:tc>
        <w:tc>
          <w:tcPr/>
          <w:p>
            <w:pPr>
              <w:pStyle w:val="Compact"/>
              <w:jc w:val="left"/>
            </w:pPr>
            <w:r>
              <w:t xml:space="preserve">CCPA/CPRA rights disclosures incomplete (no sale/sharing opt-out, no limit-sensitive-PI, no deletion/correction/non-discrimination)</w:t>
            </w:r>
          </w:p>
        </w:tc>
        <w:tc>
          <w:tcPr/>
          <w:p>
            <w:pPr>
              <w:pStyle w:val="Compact"/>
              <w:jc w:val="left"/>
            </w:pPr>
            <w:r>
              <w:t xml:space="preserve">High</w:t>
            </w:r>
          </w:p>
        </w:tc>
        <w:tc>
          <w:tcPr/>
          <w:p>
            <w:pPr>
              <w:pStyle w:val="Compact"/>
              <w:jc w:val="left"/>
            </w:pPr>
            <w:r>
              <w:t xml:space="preserve">Privacy Policy; Data Inventory; Investor Email §5</w:t>
            </w:r>
          </w:p>
        </w:tc>
        <w:tc>
          <w:tcPr/>
          <w:p>
            <w:pPr>
              <w:pStyle w:val="Compact"/>
              <w:jc w:val="left"/>
            </w:pPr>
            <w:r>
              <w:t xml:space="preserve">CPRA; 11 C.C.R. §§7000 et seq.</w:t>
            </w:r>
          </w:p>
        </w:tc>
      </w:tr>
      <w:tr>
        <w:tc>
          <w:tcPr/>
          <w:p>
            <w:pPr>
              <w:pStyle w:val="Compact"/>
              <w:jc w:val="left"/>
            </w:pPr>
            <w:r>
              <w:t xml:space="preserve">9</w:t>
            </w:r>
          </w:p>
        </w:tc>
        <w:tc>
          <w:tcPr/>
          <w:p>
            <w:pPr>
              <w:pStyle w:val="Compact"/>
              <w:jc w:val="left"/>
            </w:pPr>
            <w:r>
              <w:t xml:space="preserve">No data-retention periods disclosed; all categories retained indefinitely, including after account deletion</w:t>
            </w:r>
          </w:p>
        </w:tc>
        <w:tc>
          <w:tcPr/>
          <w:p>
            <w:pPr>
              <w:pStyle w:val="Compact"/>
              <w:jc w:val="left"/>
            </w:pPr>
            <w:r>
              <w:t xml:space="preserve">High</w:t>
            </w:r>
          </w:p>
        </w:tc>
        <w:tc>
          <w:tcPr/>
          <w:p>
            <w:pPr>
              <w:pStyle w:val="Compact"/>
              <w:jc w:val="left"/>
            </w:pPr>
            <w:r>
              <w:t xml:space="preserve">Privacy Policy; Data Inventory (Retention tab); Investor Email §5</w:t>
            </w:r>
          </w:p>
        </w:tc>
        <w:tc>
          <w:tcPr/>
          <w:p>
            <w:pPr>
              <w:pStyle w:val="Compact"/>
              <w:jc w:val="left"/>
            </w:pPr>
            <w:r>
              <w:t xml:space="preserve">CPRA; GDPR Art. 5(1)(e)</w:t>
            </w:r>
          </w:p>
        </w:tc>
      </w:tr>
      <w:tr>
        <w:tc>
          <w:tcPr/>
          <w:p>
            <w:pPr>
              <w:pStyle w:val="Compact"/>
              <w:jc w:val="left"/>
            </w:pPr>
            <w:r>
              <w:t xml:space="preserve">10</w:t>
            </w:r>
          </w:p>
        </w:tc>
        <w:tc>
          <w:tcPr/>
          <w:p>
            <w:pPr>
              <w:pStyle w:val="Compact"/>
              <w:jc w:val="left"/>
            </w:pPr>
            <w:r>
              <w:t xml:space="preserve">Cookie consent non-compliant: 29 third-party tracking cookies;</w:t>
            </w:r>
            <w:r>
              <w:t xml:space="preserve"> </w:t>
            </w:r>
            <w:r>
              <w:t xml:space="preserve">“</w:t>
            </w:r>
            <w:r>
              <w:t xml:space="preserve">Accept All</w:t>
            </w:r>
            <w:r>
              <w:t xml:space="preserve">”</w:t>
            </w:r>
            <w:r>
              <w:t xml:space="preserve">-only banner; cookies fire before consent</w:t>
            </w:r>
          </w:p>
        </w:tc>
        <w:tc>
          <w:tcPr/>
          <w:p>
            <w:pPr>
              <w:pStyle w:val="Compact"/>
              <w:jc w:val="left"/>
            </w:pPr>
            <w:r>
              <w:t xml:space="preserve">High</w:t>
            </w:r>
          </w:p>
        </w:tc>
        <w:tc>
          <w:tcPr/>
          <w:p>
            <w:pPr>
              <w:pStyle w:val="Compact"/>
              <w:jc w:val="left"/>
            </w:pPr>
            <w:r>
              <w:t xml:space="preserve">Privacy Policy; Data Inventory (Cookie Inventory tab)</w:t>
            </w:r>
          </w:p>
        </w:tc>
        <w:tc>
          <w:tcPr/>
          <w:p>
            <w:pPr>
              <w:pStyle w:val="Compact"/>
              <w:jc w:val="left"/>
            </w:pPr>
            <w:r>
              <w:t xml:space="preserve">ePrivacy Directive; GDPR Art. 4(11); CalOPPA</w:t>
            </w:r>
          </w:p>
        </w:tc>
      </w:tr>
      <w:tr>
        <w:tc>
          <w:tcPr/>
          <w:p>
            <w:pPr>
              <w:pStyle w:val="Compact"/>
              <w:jc w:val="left"/>
            </w:pPr>
            <w:r>
              <w:t xml:space="preserve">11</w:t>
            </w:r>
          </w:p>
        </w:tc>
        <w:tc>
          <w:tcPr/>
          <w:p>
            <w:pPr>
              <w:pStyle w:val="Compact"/>
              <w:jc w:val="left"/>
            </w:pPr>
            <w:r>
              <w:t xml:space="preserve">DSA §7.1(b)–(d) compliance representations likely false; indemnification exposure to Brightly</w:t>
            </w:r>
          </w:p>
        </w:tc>
        <w:tc>
          <w:tcPr/>
          <w:p>
            <w:pPr>
              <w:pStyle w:val="Compact"/>
              <w:jc w:val="left"/>
            </w:pPr>
            <w:r>
              <w:t xml:space="preserve">High</w:t>
            </w:r>
          </w:p>
        </w:tc>
        <w:tc>
          <w:tcPr/>
          <w:p>
            <w:pPr>
              <w:pStyle w:val="Compact"/>
              <w:jc w:val="left"/>
            </w:pPr>
            <w:r>
              <w:t xml:space="preserve">DSA §§7.1, 11.1; Privacy Policy; Data Inventory (TS-002)</w:t>
            </w:r>
          </w:p>
        </w:tc>
        <w:tc>
          <w:tcPr/>
          <w:p>
            <w:pPr>
              <w:pStyle w:val="Compact"/>
              <w:jc w:val="left"/>
            </w:pPr>
            <w:r>
              <w:t xml:space="preserve">Contract; CPRA; GDPR</w:t>
            </w:r>
          </w:p>
        </w:tc>
      </w:tr>
      <w:tr>
        <w:tc>
          <w:tcPr/>
          <w:p>
            <w:pPr>
              <w:pStyle w:val="Compact"/>
              <w:jc w:val="left"/>
            </w:pPr>
            <w:r>
              <w:t xml:space="preserve">12</w:t>
            </w:r>
          </w:p>
        </w:tc>
        <w:tc>
          <w:tcPr/>
          <w:p>
            <w:pPr>
              <w:pStyle w:val="Compact"/>
              <w:jc w:val="left"/>
            </w:pPr>
            <w:r>
              <w:t xml:space="preserve">No DPIAs conducted for any high-risk processing activity (multiple mandatory triggers)</w:t>
            </w:r>
          </w:p>
        </w:tc>
        <w:tc>
          <w:tcPr/>
          <w:p>
            <w:pPr>
              <w:pStyle w:val="Compact"/>
              <w:jc w:val="left"/>
            </w:pPr>
            <w:r>
              <w:t xml:space="preserve">High</w:t>
            </w:r>
          </w:p>
        </w:tc>
        <w:tc>
          <w:tcPr/>
          <w:p>
            <w:pPr>
              <w:pStyle w:val="Compact"/>
              <w:jc w:val="left"/>
            </w:pPr>
            <w:r>
              <w:t xml:space="preserve">Data Inventory (DPIA tab); Privacy Policy</w:t>
            </w:r>
          </w:p>
        </w:tc>
        <w:tc>
          <w:tcPr/>
          <w:p>
            <w:pPr>
              <w:pStyle w:val="Compact"/>
              <w:jc w:val="left"/>
            </w:pPr>
            <w:r>
              <w:t xml:space="preserve">GDPR Art. 35</w:t>
            </w:r>
          </w:p>
        </w:tc>
      </w:tr>
      <w:tr>
        <w:tc>
          <w:tcPr/>
          <w:p>
            <w:pPr>
              <w:pStyle w:val="Compact"/>
              <w:jc w:val="left"/>
            </w:pPr>
            <w:r>
              <w:t xml:space="preserve">13</w:t>
            </w:r>
          </w:p>
        </w:tc>
        <w:tc>
          <w:tcPr/>
          <w:p>
            <w:pPr>
              <w:pStyle w:val="Compact"/>
              <w:jc w:val="left"/>
            </w:pPr>
            <w:r>
              <w:t xml:space="preserve">Browsewrap</w:t>
            </w:r>
            <w:r>
              <w:t xml:space="preserve"> </w:t>
            </w:r>
            <w:r>
              <w:t xml:space="preserve">“</w:t>
            </w:r>
            <w:r>
              <w:t xml:space="preserve">continued-use</w:t>
            </w:r>
            <w:r>
              <w:t xml:space="preserve">”</w:t>
            </w:r>
            <w:r>
              <w:t xml:space="preserve"> </w:t>
            </w:r>
            <w:r>
              <w:t xml:space="preserve">consent legally insufficient for GDPR (Art. 7/9) and CPRA sale/sharing</w:t>
            </w:r>
          </w:p>
        </w:tc>
        <w:tc>
          <w:tcPr/>
          <w:p>
            <w:pPr>
              <w:pStyle w:val="Compact"/>
              <w:jc w:val="left"/>
            </w:pPr>
            <w:r>
              <w:t xml:space="preserve">High</w:t>
            </w:r>
          </w:p>
        </w:tc>
        <w:tc>
          <w:tcPr/>
          <w:p>
            <w:pPr>
              <w:pStyle w:val="Compact"/>
              <w:jc w:val="left"/>
            </w:pPr>
            <w:r>
              <w:t xml:space="preserve">Privacy Policy; Data Inventory (EU Summary, PA tabs)</w:t>
            </w:r>
          </w:p>
        </w:tc>
        <w:tc>
          <w:tcPr/>
          <w:p>
            <w:pPr>
              <w:pStyle w:val="Compact"/>
              <w:jc w:val="left"/>
            </w:pPr>
            <w:r>
              <w:t xml:space="preserve">GDPR Arts. 4(11), 7, 9; CPRA</w:t>
            </w:r>
          </w:p>
        </w:tc>
      </w:tr>
      <w:tr>
        <w:tc>
          <w:tcPr/>
          <w:p>
            <w:pPr>
              <w:pStyle w:val="Compact"/>
              <w:jc w:val="left"/>
            </w:pPr>
            <w:r>
              <w:t xml:space="preserve">14</w:t>
            </w:r>
          </w:p>
        </w:tc>
        <w:tc>
          <w:tcPr/>
          <w:p>
            <w:pPr>
              <w:pStyle w:val="Compact"/>
              <w:jc w:val="left"/>
            </w:pPr>
            <w:r>
              <w:t xml:space="preserve">14 partner financial-product referrals: potential undisclosed</w:t>
            </w:r>
            <w:r>
              <w:t xml:space="preserve"> </w:t>
            </w:r>
            <w:r>
              <w:t xml:space="preserve">“</w:t>
            </w:r>
            <w:r>
              <w:t xml:space="preserve">sale</w:t>
            </w:r>
            <w:r>
              <w:t xml:space="preserve">”</w:t>
            </w:r>
            <w:r>
              <w:t xml:space="preserve"> </w:t>
            </w:r>
            <w:r>
              <w:t xml:space="preserve">(referral fees); no opt-out</w:t>
            </w:r>
          </w:p>
        </w:tc>
        <w:tc>
          <w:tcPr/>
          <w:p>
            <w:pPr>
              <w:pStyle w:val="Compact"/>
              <w:jc w:val="left"/>
            </w:pPr>
            <w:r>
              <w:t xml:space="preserve">Medium</w:t>
            </w:r>
          </w:p>
        </w:tc>
        <w:tc>
          <w:tcPr/>
          <w:p>
            <w:pPr>
              <w:pStyle w:val="Compact"/>
              <w:jc w:val="left"/>
            </w:pPr>
            <w:r>
              <w:t xml:space="preserve">Privacy Policy; Data Inventory (TS-003, PA-005); Investor Email §4</w:t>
            </w:r>
          </w:p>
        </w:tc>
        <w:tc>
          <w:tcPr/>
          <w:p>
            <w:pPr>
              <w:pStyle w:val="Compact"/>
              <w:jc w:val="left"/>
            </w:pPr>
            <w:r>
              <w:t xml:space="preserve">CPRA; GLBA</w:t>
            </w:r>
          </w:p>
        </w:tc>
      </w:tr>
      <w:tr>
        <w:tc>
          <w:tcPr/>
          <w:p>
            <w:pPr>
              <w:pStyle w:val="Compact"/>
              <w:jc w:val="left"/>
            </w:pPr>
            <w:r>
              <w:t xml:space="preserve">15</w:t>
            </w:r>
          </w:p>
        </w:tc>
        <w:tc>
          <w:tcPr/>
          <w:p>
            <w:pPr>
              <w:pStyle w:val="Compact"/>
              <w:jc w:val="left"/>
            </w:pPr>
            <w:r>
              <w:t xml:space="preserve">Sensitive PI not classified in Policy; no</w:t>
            </w:r>
            <w:r>
              <w:t xml:space="preserve"> </w:t>
            </w:r>
            <w:r>
              <w:t xml:space="preserve">“</w:t>
            </w:r>
            <w:r>
              <w:t xml:space="preserve">Limit the Use of My Sensitive PI</w:t>
            </w:r>
            <w:r>
              <w:t xml:space="preserve">”</w:t>
            </w:r>
            <w:r>
              <w:t xml:space="preserve"> </w:t>
            </w:r>
            <w:r>
              <w:t xml:space="preserve">opt-out</w:t>
            </w:r>
          </w:p>
        </w:tc>
        <w:tc>
          <w:tcPr/>
          <w:p>
            <w:pPr>
              <w:pStyle w:val="Compact"/>
              <w:jc w:val="left"/>
            </w:pPr>
            <w:r>
              <w:t xml:space="preserve">Medium</w:t>
            </w:r>
          </w:p>
        </w:tc>
        <w:tc>
          <w:tcPr/>
          <w:p>
            <w:pPr>
              <w:pStyle w:val="Compact"/>
              <w:jc w:val="left"/>
            </w:pPr>
            <w:r>
              <w:t xml:space="preserve">Privacy Policy; Data Inventory (DC-003, 004, 005, 010, 011)</w:t>
            </w:r>
          </w:p>
        </w:tc>
        <w:tc>
          <w:tcPr/>
          <w:p>
            <w:pPr>
              <w:pStyle w:val="Compact"/>
              <w:jc w:val="left"/>
            </w:pPr>
            <w:r>
              <w:t xml:space="preserve">CPRA; 11 C.C.R. §7027</w:t>
            </w:r>
          </w:p>
        </w:tc>
      </w:tr>
      <w:tr>
        <w:tc>
          <w:tcPr/>
          <w:p>
            <w:pPr>
              <w:pStyle w:val="Compact"/>
              <w:jc w:val="left"/>
            </w:pPr>
            <w:r>
              <w:t xml:space="preserve">16</w:t>
            </w:r>
          </w:p>
        </w:tc>
        <w:tc>
          <w:tcPr/>
          <w:p>
            <w:pPr>
              <w:pStyle w:val="Compact"/>
              <w:jc w:val="left"/>
            </w:pPr>
            <w:r>
              <w:t xml:space="preserve">DSA §10.5(c): Brightly may perpetually exploit audience segments after termination; conflicts with storage limitation</w:t>
            </w:r>
          </w:p>
        </w:tc>
        <w:tc>
          <w:tcPr/>
          <w:p>
            <w:pPr>
              <w:pStyle w:val="Compact"/>
              <w:jc w:val="left"/>
            </w:pPr>
            <w:r>
              <w:t xml:space="preserve">Medium</w:t>
            </w:r>
          </w:p>
        </w:tc>
        <w:tc>
          <w:tcPr/>
          <w:p>
            <w:pPr>
              <w:pStyle w:val="Compact"/>
              <w:jc w:val="left"/>
            </w:pPr>
            <w:r>
              <w:t xml:space="preserve">DSA §10.5(c); Privacy Policy; Data Inventory (DC-014/015)</w:t>
            </w:r>
          </w:p>
        </w:tc>
        <w:tc>
          <w:tcPr/>
          <w:p>
            <w:pPr>
              <w:pStyle w:val="Compact"/>
              <w:jc w:val="left"/>
            </w:pPr>
            <w:r>
              <w:t xml:space="preserve">GDPR Art. 5(1)(e); CPRA</w:t>
            </w:r>
          </w:p>
        </w:tc>
      </w:tr>
      <w:tr>
        <w:tc>
          <w:tcPr/>
          <w:p>
            <w:pPr>
              <w:pStyle w:val="Compact"/>
              <w:jc w:val="left"/>
            </w:pPr>
            <w:r>
              <w:t xml:space="preserve">17</w:t>
            </w:r>
          </w:p>
        </w:tc>
        <w:tc>
          <w:tcPr/>
          <w:p>
            <w:pPr>
              <w:pStyle w:val="Compact"/>
              <w:jc w:val="left"/>
            </w:pPr>
            <w:r>
              <w:t xml:space="preserve">Privacy Policy &gt;2 years stale; ~9,200 words; Flesch–Kincaid grade 18.2; no headers/TOC</w:t>
            </w:r>
          </w:p>
        </w:tc>
        <w:tc>
          <w:tcPr/>
          <w:p>
            <w:pPr>
              <w:pStyle w:val="Compact"/>
              <w:jc w:val="left"/>
            </w:pPr>
            <w:r>
              <w:t xml:space="preserve">Medium</w:t>
            </w:r>
          </w:p>
        </w:tc>
        <w:tc>
          <w:tcPr/>
          <w:p>
            <w:pPr>
              <w:pStyle w:val="Compact"/>
              <w:jc w:val="left"/>
            </w:pPr>
            <w:r>
              <w:t xml:space="preserve">Privacy Policy; Data Inventory (Revision Log); Investor Email §1</w:t>
            </w:r>
          </w:p>
        </w:tc>
        <w:tc>
          <w:tcPr/>
          <w:p>
            <w:pPr>
              <w:pStyle w:val="Compact"/>
              <w:jc w:val="left"/>
            </w:pPr>
            <w:r>
              <w:t xml:space="preserve">FTC</w:t>
            </w:r>
            <w:r>
              <w:t xml:space="preserve"> </w:t>
            </w:r>
            <w:r>
              <w:t xml:space="preserve">“</w:t>
            </w:r>
            <w:r>
              <w:t xml:space="preserve">clear and conspicuous</w:t>
            </w:r>
            <w:r>
              <w:t xml:space="preserve">”</w:t>
            </w:r>
            <w:r>
              <w:t xml:space="preserve">; CPRA; GDPR</w:t>
            </w:r>
          </w:p>
        </w:tc>
      </w:tr>
      <w:tr>
        <w:tc>
          <w:tcPr/>
          <w:p>
            <w:pPr>
              <w:pStyle w:val="Compact"/>
              <w:jc w:val="left"/>
            </w:pPr>
            <w:r>
              <w:t xml:space="preserve">18</w:t>
            </w:r>
          </w:p>
        </w:tc>
        <w:tc>
          <w:tcPr/>
          <w:p>
            <w:pPr>
              <w:pStyle w:val="Compact"/>
              <w:jc w:val="left"/>
            </w:pPr>
            <w:r>
              <w:t xml:space="preserve">Cross-document inconsistency: EU data location (Dublin replication per Breach Log vs. Virginia-only per Data Inventory)</w:t>
            </w:r>
          </w:p>
        </w:tc>
        <w:tc>
          <w:tcPr/>
          <w:p>
            <w:pPr>
              <w:pStyle w:val="Compact"/>
              <w:jc w:val="left"/>
            </w:pPr>
            <w:r>
              <w:t xml:space="preserve">Medium</w:t>
            </w:r>
          </w:p>
        </w:tc>
        <w:tc>
          <w:tcPr/>
          <w:p>
            <w:pPr>
              <w:pStyle w:val="Compact"/>
              <w:jc w:val="left"/>
            </w:pPr>
            <w:r>
              <w:t xml:space="preserve">Breach Log Entry 5; Data Inventory (PA-007, IT-001, TS-004)</w:t>
            </w:r>
          </w:p>
        </w:tc>
        <w:tc>
          <w:tcPr/>
          <w:p>
            <w:pPr>
              <w:pStyle w:val="Compact"/>
              <w:jc w:val="left"/>
            </w:pPr>
            <w:r>
              <w:t xml:space="preserve">GDPR accountability (Art. 5(2))</w:t>
            </w:r>
          </w:p>
        </w:tc>
      </w:tr>
    </w:tbl>
    <w:p>
      <w:r>
        <w:pict>
          <v:rect style="width:0;height:1.5pt" o:hralign="center" o:hrstd="t" o:hr="t"/>
        </w:pict>
      </w:r>
    </w:p>
    <w:bookmarkEnd w:id="23"/>
    <w:bookmarkStart w:id="36" w:name="iv.-detailed-analysis"/>
    <w:p>
      <w:pPr>
        <w:pStyle w:val="Heading2"/>
      </w:pPr>
      <w:r>
        <w:t xml:space="preserve">IV. Detailed Analysis</w:t>
      </w:r>
    </w:p>
    <w:bookmarkStart w:id="24" w:name="X49559ab6a8a1dfb6f11df05303e5c0ca9899e4d"/>
    <w:p>
      <w:pPr>
        <w:pStyle w:val="Heading3"/>
      </w:pPr>
      <w:r>
        <w:t xml:space="preserve">A. International Data Transfers &amp; GDPR Compliance (Issues 1, 4, 12, 13)</w:t>
      </w:r>
    </w:p>
    <w:p>
      <w:pPr>
        <w:pStyle w:val="FirstParagraph"/>
      </w:pPr>
      <w:r>
        <w:rPr>
          <w:b/>
          <w:bCs/>
        </w:rPr>
        <w:t xml:space="preserve">Issue 1 — Reliance on invalidated EU–US Privacy Shield (Critical).</w:t>
      </w:r>
    </w:p>
    <w:p>
      <w:pPr>
        <w:pStyle w:val="BodyText"/>
      </w:pPr>
      <w:r>
        <w:t xml:space="preserve">The Privacy Policy’s</w:t>
      </w:r>
      <w:r>
        <w:t xml:space="preserve"> </w:t>
      </w:r>
      <w:r>
        <w:t xml:space="preserve">“</w:t>
      </w:r>
      <w:r>
        <w:t xml:space="preserve">International Data Transfers</w:t>
      </w:r>
      <w:r>
        <w:t xml:space="preserve">”</w:t>
      </w:r>
      <w:r>
        <w:t xml:space="preserve"> </w:t>
      </w:r>
      <w:r>
        <w:t xml:space="preserve">section states that, for EU/EEA/UK users,</w:t>
      </w:r>
      <w:r>
        <w:t xml:space="preserve"> </w:t>
      </w:r>
      <w:r>
        <w:t xml:space="preserve">“</w:t>
      </w:r>
      <w:r>
        <w:t xml:space="preserve">we transfer personal data to the United States in reliance on the EU-US Privacy Shield Framework</w:t>
      </w:r>
      <w:r>
        <w:t xml:space="preserve">”</w:t>
      </w:r>
      <w:r>
        <w:t xml:space="preserve"> </w:t>
      </w:r>
      <w:r>
        <w:t xml:space="preserve">and that</w:t>
      </w:r>
      <w:r>
        <w:t xml:space="preserve"> </w:t>
      </w:r>
      <w:r>
        <w:t xml:space="preserve">“</w:t>
      </w:r>
      <w:r>
        <w:t xml:space="preserve">Vaultline has certified its compliance with the EU-US Privacy Shield Principles.</w:t>
      </w:r>
      <w:r>
        <w:t xml:space="preserve">”</w:t>
      </w:r>
      <w:r>
        <w:t xml:space="preserve"> </w:t>
      </w:r>
      <w:r>
        <w:t xml:space="preserve">The EU–US Privacy Shield was invalidated by the Court of Justice of the European Union in</w:t>
      </w:r>
      <w:r>
        <w:t xml:space="preserve"> </w:t>
      </w:r>
      <w:r>
        <w:rPr>
          <w:i/>
          <w:iCs/>
        </w:rPr>
        <w:t xml:space="preserve">Data Protection Commissioner v. Facebook Ireland</w:t>
      </w:r>
      <w:r>
        <w:t xml:space="preserve"> </w:t>
      </w:r>
      <w:r>
        <w:t xml:space="preserve">(Schrems II), Case C-311/18, on July 16, 2020 — nearly two and a half years</w:t>
      </w:r>
      <w:r>
        <w:t xml:space="preserve"> </w:t>
      </w:r>
      <w:r>
        <w:rPr>
          <w:b/>
          <w:bCs/>
        </w:rPr>
        <w:t xml:space="preserve">before</w:t>
      </w:r>
      <w:r>
        <w:t xml:space="preserve"> </w:t>
      </w:r>
      <w:r>
        <w:t xml:space="preserve">the Policy’s January 15, 2023</w:t>
      </w:r>
      <w:r>
        <w:t xml:space="preserve"> </w:t>
      </w:r>
      <w:r>
        <w:t xml:space="preserve">“</w:t>
      </w:r>
      <w:r>
        <w:t xml:space="preserve">Last Updated</w:t>
      </w:r>
      <w:r>
        <w:t xml:space="preserve">”</w:t>
      </w:r>
      <w:r>
        <w:t xml:space="preserve"> </w:t>
      </w:r>
      <w:r>
        <w:t xml:space="preserve">date. The Policy therefore relies on a transfer mechanism that was already invalid when published.</w:t>
      </w:r>
    </w:p>
    <w:p>
      <w:pPr>
        <w:pStyle w:val="BodyText"/>
      </w:pPr>
      <w:r>
        <w:t xml:space="preserve">The Data Inventory confirms the substantive deficiency and the absence of any replacement mechanism:</w:t>
      </w:r>
    </w:p>
    <w:p>
      <w:pPr>
        <w:pStyle w:val="Compact"/>
        <w:numPr>
          <w:ilvl w:val="0"/>
          <w:numId w:val="1002"/>
        </w:numPr>
      </w:pPr>
      <w:r>
        <w:rPr>
          <w:b/>
          <w:bCs/>
        </w:rPr>
        <w:t xml:space="preserve">IT-001:</w:t>
      </w:r>
      <w:r>
        <w:t xml:space="preserve"> </w:t>
      </w:r>
      <w:r>
        <w:t xml:space="preserve">“</w:t>
      </w:r>
      <w:r>
        <w:t xml:space="preserve">None — privacy policy references EU-US Privacy Shield (INVALIDATED by CJEU in Schrems II … July 16, 2020).</w:t>
      </w:r>
      <w:r>
        <w:t xml:space="preserve">”</w:t>
      </w:r>
      <w:r>
        <w:t xml:space="preserve"> </w:t>
      </w:r>
      <w:r>
        <w:t xml:space="preserve">“</w:t>
      </w:r>
      <w:r>
        <w:t xml:space="preserve">No valid transfer mechanism in place.</w:t>
      </w:r>
      <w:r>
        <w:t xml:space="preserve">”</w:t>
      </w:r>
      <w:r>
        <w:t xml:space="preserve"> </w:t>
      </w:r>
      <w:r>
        <w:t xml:space="preserve">“</w:t>
      </w:r>
      <w:r>
        <w:t xml:space="preserve">EU-US Data Privacy Framework (adequacy decision July 10, 2023) is available but Vaultline has not obtained DPF certification. No Standard Contractual Clauses executed with CloudFort for EU data.</w:t>
      </w:r>
      <w:r>
        <w:t xml:space="preserve">”</w:t>
      </w:r>
    </w:p>
    <w:p>
      <w:pPr>
        <w:pStyle w:val="Compact"/>
        <w:numPr>
          <w:ilvl w:val="0"/>
          <w:numId w:val="1002"/>
        </w:numPr>
      </w:pPr>
      <w:r>
        <w:rPr>
          <w:b/>
          <w:bCs/>
        </w:rPr>
        <w:t xml:space="preserve">PA-007:</w:t>
      </w:r>
      <w:r>
        <w:t xml:space="preserve"> </w:t>
      </w:r>
      <w:r>
        <w:t xml:space="preserve">“</w:t>
      </w:r>
      <w:r>
        <w:t xml:space="preserve">EU-resident user data (~23,000 users) processed on Virginia servers. No Standard Contractual Clauses in place. No DPF certification.</w:t>
      </w:r>
      <w:r>
        <w:t xml:space="preserve">”</w:t>
      </w:r>
    </w:p>
    <w:p>
      <w:pPr>
        <w:pStyle w:val="Compact"/>
        <w:numPr>
          <w:ilvl w:val="0"/>
          <w:numId w:val="1002"/>
        </w:numPr>
      </w:pPr>
      <w:r>
        <w:rPr>
          <w:b/>
          <w:bCs/>
        </w:rPr>
        <w:t xml:space="preserve">TS-004 (CloudFort):</w:t>
      </w:r>
      <w:r>
        <w:t xml:space="preserve"> </w:t>
      </w:r>
      <w:r>
        <w:t xml:space="preserve">“</w:t>
      </w:r>
      <w:r>
        <w:t xml:space="preserve">No SCCs executed for EU data transfers.</w:t>
      </w:r>
      <w:r>
        <w:t xml:space="preserve">”</w:t>
      </w:r>
    </w:p>
    <w:p>
      <w:pPr>
        <w:pStyle w:val="FirstParagraph"/>
      </w:pPr>
      <w:r>
        <w:t xml:space="preserve">The investor email (§2) flags this as a</w:t>
      </w:r>
      <w:r>
        <w:t xml:space="preserve"> </w:t>
      </w:r>
      <w:r>
        <w:t xml:space="preserve">“</w:t>
      </w:r>
      <w:r>
        <w:t xml:space="preserve">critical risk,</w:t>
      </w:r>
      <w:r>
        <w:t xml:space="preserve">”</w:t>
      </w:r>
      <w:r>
        <w:t xml:space="preserve"> </w:t>
      </w:r>
      <w:r>
        <w:t xml:space="preserve">noting that without a valid mechanism</w:t>
      </w:r>
      <w:r>
        <w:t xml:space="preserve"> </w:t>
      </w:r>
      <w:r>
        <w:t xml:space="preserve">“</w:t>
      </w:r>
      <w:r>
        <w:t xml:space="preserve">all processing of EU-resident personal data in the United States is potentially unlawful under Chapter V of the GDPR.</w:t>
      </w:r>
      <w:r>
        <w:t xml:space="preserve">”</w:t>
      </w:r>
      <w:r>
        <w:t xml:space="preserve"> </w:t>
      </w:r>
      <w:r>
        <w:t xml:space="preserve">The Policy’s affirmative representation of Privacy Shield</w:t>
      </w:r>
      <w:r>
        <w:t xml:space="preserve"> </w:t>
      </w:r>
      <w:r>
        <w:t xml:space="preserve">“</w:t>
      </w:r>
      <w:r>
        <w:t xml:space="preserve">certification</w:t>
      </w:r>
      <w:r>
        <w:t xml:space="preserve">”</w:t>
      </w:r>
      <w:r>
        <w:t xml:space="preserve"> </w:t>
      </w:r>
      <w:r>
        <w:t xml:space="preserve">is not merely an omission but a potentially misleading statement to consumers, compounding the Chapter V violation. Remediation requires either DPF self-certification or execution of the European Commission’s 2021 Standard Contractual Clauses (with a transfer impact assessment), plus alignment of CloudFort’s data-residency configuration (see Issue 18).</w:t>
      </w:r>
    </w:p>
    <w:p>
      <w:pPr>
        <w:pStyle w:val="BodyText"/>
      </w:pPr>
      <w:r>
        <w:rPr>
          <w:b/>
          <w:bCs/>
        </w:rPr>
        <w:t xml:space="preserve">Issue 4 — GDPR Articles 13/14 transparency; no DPO; no Article 27 representative (Critical).</w:t>
      </w:r>
    </w:p>
    <w:p>
      <w:pPr>
        <w:pStyle w:val="BodyText"/>
      </w:pPr>
      <w:r>
        <w:t xml:space="preserve">The entirety of the Policy’s GDPR disclosure is a single sentence:</w:t>
      </w:r>
      <w:r>
        <w:t xml:space="preserve"> </w:t>
      </w:r>
      <w:r>
        <w:t xml:space="preserve">“</w:t>
      </w:r>
      <w:r>
        <w:t xml:space="preserve">If you are located in the European Union, you may have additional rights under applicable law. We encourage you to review the laws of your jurisdiction to understand your rights.</w:t>
      </w:r>
      <w:r>
        <w:t xml:space="preserve">”</w:t>
      </w:r>
      <w:r>
        <w:t xml:space="preserve"> </w:t>
      </w:r>
      <w:r>
        <w:t xml:space="preserve">The Data Inventory’s</w:t>
      </w:r>
      <w:r>
        <w:t xml:space="preserve"> </w:t>
      </w:r>
      <w:r>
        <w:t xml:space="preserve">“</w:t>
      </w:r>
      <w:r>
        <w:t xml:space="preserve">EU Processing Summary</w:t>
      </w:r>
      <w:r>
        <w:t xml:space="preserve">”</w:t>
      </w:r>
      <w:r>
        <w:t xml:space="preserve"> </w:t>
      </w:r>
      <w:r>
        <w:t xml:space="preserve">tab confirms that</w:t>
      </w:r>
      <w:r>
        <w:t xml:space="preserve"> </w:t>
      </w:r>
      <w:r>
        <w:t xml:space="preserve">“</w:t>
      </w:r>
      <w:r>
        <w:t xml:space="preserve">virtually all Art. 13/14 requirements [are] unmet,</w:t>
      </w:r>
      <w:r>
        <w:t xml:space="preserve">”</w:t>
      </w:r>
      <w:r>
        <w:t xml:space="preserve"> </w:t>
      </w:r>
      <w:r>
        <w:t xml:space="preserve">and specifically records:</w:t>
      </w:r>
    </w:p>
    <w:p>
      <w:pPr>
        <w:pStyle w:val="Compact"/>
        <w:numPr>
          <w:ilvl w:val="0"/>
          <w:numId w:val="1003"/>
        </w:numPr>
      </w:pPr>
      <w:r>
        <w:rPr>
          <w:b/>
          <w:bCs/>
        </w:rPr>
        <w:t xml:space="preserve">Data Protection Officer:</w:t>
      </w:r>
      <w:r>
        <w:t xml:space="preserve"> </w:t>
      </w:r>
      <w:r>
        <w:t xml:space="preserve">“</w:t>
      </w:r>
      <w:r>
        <w:t xml:space="preserve">NOT APPOINTED.</w:t>
      </w:r>
      <w:r>
        <w:t xml:space="preserve">”</w:t>
      </w:r>
      <w:r>
        <w:t xml:space="preserve"> </w:t>
      </w:r>
      <w:r>
        <w:t xml:space="preserve">GDPR Article 37 requires a DPO where the controller engages in large-scale processing of special-category data (here, biometric facial-geometry data of ~11,500 EU users) or large-scale systematic monitoring.</w:t>
      </w:r>
    </w:p>
    <w:p>
      <w:pPr>
        <w:pStyle w:val="Compact"/>
        <w:numPr>
          <w:ilvl w:val="0"/>
          <w:numId w:val="1003"/>
        </w:numPr>
      </w:pPr>
      <w:r>
        <w:rPr>
          <w:b/>
          <w:bCs/>
        </w:rPr>
        <w:t xml:space="preserve">EU Representative (Art. 27):</w:t>
      </w:r>
      <w:r>
        <w:t xml:space="preserve"> </w:t>
      </w:r>
      <w:r>
        <w:t xml:space="preserve">“</w:t>
      </w:r>
      <w:r>
        <w:t xml:space="preserve">NOT APPOINTED.</w:t>
      </w:r>
      <w:r>
        <w:t xml:space="preserve">”</w:t>
      </w:r>
      <w:r>
        <w:t xml:space="preserve"> </w:t>
      </w:r>
      <w:r>
        <w:t xml:space="preserve">Article 27 requires a non-EU-established controller processing EU residents’ data at scale to designate an EU representative. Vaultline is a Delaware corporation with no EU establishment and processes data of ~23,000 EU residents.</w:t>
      </w:r>
    </w:p>
    <w:p>
      <w:pPr>
        <w:pStyle w:val="Compact"/>
        <w:numPr>
          <w:ilvl w:val="0"/>
          <w:numId w:val="1003"/>
        </w:numPr>
      </w:pPr>
      <w:r>
        <w:rPr>
          <w:b/>
          <w:bCs/>
        </w:rPr>
        <w:t xml:space="preserve">Lawful basis:</w:t>
      </w:r>
      <w:r>
        <w:t xml:space="preserve"> </w:t>
      </w:r>
      <w:r>
        <w:t xml:space="preserve">“</w:t>
      </w:r>
      <w:r>
        <w:t xml:space="preserve">NOT DOCUMENTED — privacy policy relies solely on browsewrap consent for all processing.</w:t>
      </w:r>
      <w:r>
        <w:t xml:space="preserve">”</w:t>
      </w:r>
      <w:r>
        <w:t xml:space="preserve"> </w:t>
      </w:r>
      <w:r>
        <w:t xml:space="preserve">No Article 6 lawful basis is identified for any activity; no legitimate-interest assessment exists.</w:t>
      </w:r>
    </w:p>
    <w:p>
      <w:pPr>
        <w:pStyle w:val="Compact"/>
        <w:numPr>
          <w:ilvl w:val="0"/>
          <w:numId w:val="1003"/>
        </w:numPr>
      </w:pPr>
      <w:r>
        <w:rPr>
          <w:b/>
          <w:bCs/>
        </w:rPr>
        <w:t xml:space="preserve">Automated decision-making disclosure:</w:t>
      </w:r>
      <w:r>
        <w:t xml:space="preserve"> </w:t>
      </w:r>
      <w:r>
        <w:t xml:space="preserve">“</w:t>
      </w:r>
      <w:r>
        <w:t xml:space="preserve">NOT DISCLOSED</w:t>
      </w:r>
      <w:r>
        <w:t xml:space="preserve">”</w:t>
      </w:r>
      <w:r>
        <w:t xml:space="preserve"> </w:t>
      </w:r>
      <w:r>
        <w:t xml:space="preserve">(see Issue 5).</w:t>
      </w:r>
    </w:p>
    <w:p>
      <w:pPr>
        <w:pStyle w:val="Compact"/>
        <w:numPr>
          <w:ilvl w:val="0"/>
          <w:numId w:val="1003"/>
        </w:numPr>
      </w:pPr>
      <w:r>
        <w:rPr>
          <w:b/>
          <w:bCs/>
        </w:rPr>
        <w:t xml:space="preserve">Biometric processing:</w:t>
      </w:r>
      <w:r>
        <w:t xml:space="preserve"> </w:t>
      </w:r>
      <w:r>
        <w:t xml:space="preserve">“</w:t>
      </w:r>
      <w:r>
        <w:t xml:space="preserve">NO EXPLICIT CONSENT obtained</w:t>
      </w:r>
      <w:r>
        <w:t xml:space="preserve">”</w:t>
      </w:r>
      <w:r>
        <w:t xml:space="preserve"> </w:t>
      </w:r>
      <w:r>
        <w:t xml:space="preserve">(see Issue 2).</w:t>
      </w:r>
    </w:p>
    <w:p>
      <w:pPr>
        <w:pStyle w:val="FirstParagraph"/>
      </w:pPr>
      <w:r>
        <w:t xml:space="preserve">The investor email (§3) enumerates the specific Article 13/14 failures and estimates administrative-fine exposure of up to 4% of annual global turnover — approximately</w:t>
      </w:r>
      <w:r>
        <w:t xml:space="preserve"> </w:t>
      </w:r>
      <w:r>
        <w:rPr>
          <w:b/>
          <w:bCs/>
        </w:rPr>
        <w:t xml:space="preserve">$1.89 million</w:t>
      </w:r>
      <w:r>
        <w:t xml:space="preserve"> </w:t>
      </w:r>
      <w:r>
        <w:t xml:space="preserve">on FY 2024 revenue of $47.3 million — plus reputational harm and injunctive relief. With the Q3 2025 EU launch, this exposure scales materially.</w:t>
      </w:r>
    </w:p>
    <w:p>
      <w:pPr>
        <w:pStyle w:val="BodyText"/>
      </w:pPr>
      <w:r>
        <w:rPr>
          <w:b/>
          <w:bCs/>
        </w:rPr>
        <w:t xml:space="preserve">Issue 12 — No DPIAs conducted (High).</w:t>
      </w:r>
      <w:r>
        <w:t xml:space="preserve"> </w:t>
      </w:r>
      <w:r>
        <w:t xml:space="preserve">The Data Inventory’s</w:t>
      </w:r>
      <w:r>
        <w:t xml:space="preserve"> </w:t>
      </w:r>
      <w:r>
        <w:t xml:space="preserve">“</w:t>
      </w:r>
      <w:r>
        <w:t xml:space="preserve">DPIA Status</w:t>
      </w:r>
      <w:r>
        <w:t xml:space="preserve">”</w:t>
      </w:r>
      <w:r>
        <w:t xml:space="preserve"> </w:t>
      </w:r>
      <w:r>
        <w:t xml:space="preserve">tab records that</w:t>
      </w:r>
      <w:r>
        <w:t xml:space="preserve"> </w:t>
      </w:r>
      <w:r>
        <w:rPr>
          <w:b/>
          <w:bCs/>
        </w:rPr>
        <w:t xml:space="preserve">not a single</w:t>
      </w:r>
      <w:r>
        <w:t xml:space="preserve"> </w:t>
      </w:r>
      <w:r>
        <w:t xml:space="preserve">processing activity (PA-001 through PA-008) has undergone a Data Protection Impact Assessment, despite multiple mandatory Article 35(3) triggers: large-scale special-category (biometric) processing (PA-001, High); automated decision-making producing legal/significant effects (PA-003, Critical); large-scale profiling for behavioral advertising (PA-004, High); and international transfers of EU data without adequate safeguards (PA-007, Critical). The absence of DPIAs is both an independent procedural violation and a signal that the underlying risks have not been assessed or mitigated.</w:t>
      </w:r>
    </w:p>
    <w:p>
      <w:pPr>
        <w:pStyle w:val="BodyText"/>
      </w:pPr>
      <w:r>
        <w:rPr>
          <w:b/>
          <w:bCs/>
        </w:rPr>
        <w:t xml:space="preserve">Issue 13 — Browsewrap consent insufficient (High).</w:t>
      </w:r>
      <w:r>
        <w:t xml:space="preserve"> </w:t>
      </w:r>
      <w:r>
        <w:t xml:space="preserve">The Policy states that</w:t>
      </w:r>
      <w:r>
        <w:t xml:space="preserve"> </w:t>
      </w:r>
      <w:r>
        <w:t xml:space="preserve">“</w:t>
      </w:r>
      <w:r>
        <w:t xml:space="preserve">your continued use of our services constitutes your consent to all data collection, use, processing, and sharing practices described herein.</w:t>
      </w:r>
      <w:r>
        <w:t xml:space="preserve">”</w:t>
      </w:r>
      <w:r>
        <w:t xml:space="preserve"> </w:t>
      </w:r>
      <w:r>
        <w:t xml:space="preserve">The Data Inventory records that all processing activities claim</w:t>
      </w:r>
      <w:r>
        <w:t xml:space="preserve"> </w:t>
      </w:r>
      <w:r>
        <w:t xml:space="preserve">“</w:t>
      </w:r>
      <w:r>
        <w:t xml:space="preserve">Consent (browsewrap — app usage)</w:t>
      </w:r>
      <w:r>
        <w:t xml:space="preserve">”</w:t>
      </w:r>
      <w:r>
        <w:t xml:space="preserve"> </w:t>
      </w:r>
      <w:r>
        <w:t xml:space="preserve">as the legal basis and notes that</w:t>
      </w:r>
      <w:r>
        <w:t xml:space="preserve"> </w:t>
      </w:r>
      <w:r>
        <w:t xml:space="preserve">“</w:t>
      </w:r>
      <w:r>
        <w:t xml:space="preserve">browsewrap likely [is] insufficient [for the] GDPR consent standard (Art. 7).</w:t>
      </w:r>
      <w:r>
        <w:t xml:space="preserve">”</w:t>
      </w:r>
      <w:r>
        <w:t xml:space="preserve"> </w:t>
      </w:r>
      <w:r>
        <w:t xml:space="preserve">GDPR consent (Article 4(11), Article 7) must be freely given, specific, informed, and unambiguous, and demonstrable; browsewrap continued-use consent generally fails this standard. For special-category biometric data, Article 9(2)(a) requires</w:t>
      </w:r>
      <w:r>
        <w:t xml:space="preserve"> </w:t>
      </w:r>
      <w:r>
        <w:rPr>
          <w:b/>
          <w:bCs/>
        </w:rPr>
        <w:t xml:space="preserve">explicit</w:t>
      </w:r>
      <w:r>
        <w:t xml:space="preserve"> </w:t>
      </w:r>
      <w:r>
        <w:t xml:space="preserve">consent, which a</w:t>
      </w:r>
      <w:r>
        <w:t xml:space="preserve"> </w:t>
      </w:r>
      <w:r>
        <w:t xml:space="preserve">“</w:t>
      </w:r>
      <w:r>
        <w:t xml:space="preserve">Take a selfie to verify your identity</w:t>
      </w:r>
      <w:r>
        <w:t xml:space="preserve">”</w:t>
      </w:r>
      <w:r>
        <w:t xml:space="preserve"> </w:t>
      </w:r>
      <w:r>
        <w:t xml:space="preserve">prompt (per the Selfie Verify tab) does not satisfy. For the Brightly</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the CPRA requires an opt-out right rather than consent alone.</w:t>
      </w:r>
    </w:p>
    <w:bookmarkEnd w:id="24"/>
    <w:bookmarkStart w:id="25" w:name="b.-biometric-data-selfie-verify-issue-2"/>
    <w:p>
      <w:pPr>
        <w:pStyle w:val="Heading3"/>
      </w:pPr>
      <w:r>
        <w:t xml:space="preserve">B. Biometric Data — Selfie Verify (Issue 2)</w:t>
      </w:r>
    </w:p>
    <w:p>
      <w:pPr>
        <w:pStyle w:val="FirstParagraph"/>
      </w:pPr>
      <w:r>
        <w:rPr>
          <w:b/>
          <w:bCs/>
        </w:rPr>
        <w:t xml:space="preserve">Issue 2 — Undisclosed biometric data collection; BIPA non-compliance (Critical).</w:t>
      </w:r>
    </w:p>
    <w:p>
      <w:pPr>
        <w:pStyle w:val="BodyText"/>
      </w:pPr>
      <w:r>
        <w:t xml:space="preserve">The Privacy Policy contains</w:t>
      </w:r>
      <w:r>
        <w:t xml:space="preserve"> </w:t>
      </w:r>
      <w:r>
        <w:rPr>
          <w:b/>
          <w:bCs/>
        </w:rPr>
        <w:t xml:space="preserve">zero mention</w:t>
      </w:r>
      <w:r>
        <w:t xml:space="preserve"> </w:t>
      </w:r>
      <w:r>
        <w:t xml:space="preserve">of biometric data, facial geometry, faceprints, or the</w:t>
      </w:r>
      <w:r>
        <w:t xml:space="preserve"> </w:t>
      </w:r>
      <w:r>
        <w:t xml:space="preserve">“</w:t>
      </w:r>
      <w:r>
        <w:t xml:space="preserve">Selfie Verify</w:t>
      </w:r>
      <w:r>
        <w:t xml:space="preserve">”</w:t>
      </w:r>
      <w:r>
        <w:t xml:space="preserve"> </w:t>
      </w:r>
      <w:r>
        <w:t xml:space="preserve">feature. The Data Inventory documents that Selfie Verify launched</w:t>
      </w:r>
      <w:r>
        <w:t xml:space="preserve"> </w:t>
      </w:r>
      <w:r>
        <w:rPr>
          <w:b/>
          <w:bCs/>
        </w:rPr>
        <w:t xml:space="preserve">March 8, 2023</w:t>
      </w:r>
      <w:r>
        <w:t xml:space="preserve"> </w:t>
      </w:r>
      <w:r>
        <w:t xml:space="preserve">— approximately two months</w:t>
      </w:r>
      <w:r>
        <w:t xml:space="preserve"> </w:t>
      </w:r>
      <w:r>
        <w:rPr>
          <w:b/>
          <w:bCs/>
        </w:rPr>
        <w:t xml:space="preserve">after</w:t>
      </w:r>
      <w:r>
        <w:t xml:space="preserve"> </w:t>
      </w:r>
      <w:r>
        <w:t xml:space="preserve">the Policy’s last update — and that the Policy</w:t>
      </w:r>
      <w:r>
        <w:t xml:space="preserve"> </w:t>
      </w:r>
      <w:r>
        <w:t xml:space="preserve">“</w:t>
      </w:r>
      <w:r>
        <w:t xml:space="preserve">was never updated to reflect this new data collection.</w:t>
      </w:r>
      <w:r>
        <w:t xml:space="preserve">”</w:t>
      </w:r>
      <w:r>
        <w:t xml:space="preserve"> </w:t>
      </w:r>
      <w:r>
        <w:t xml:space="preserve">Key facts from the Data Inventory (DC-011 and the</w:t>
      </w:r>
      <w:r>
        <w:t xml:space="preserve"> </w:t>
      </w:r>
      <w:r>
        <w:t xml:space="preserve">“</w:t>
      </w:r>
      <w:r>
        <w:t xml:space="preserve">Selfie Verify Details</w:t>
      </w:r>
      <w:r>
        <w:t xml:space="preserve">”</w:t>
      </w:r>
      <w:r>
        <w:t xml:space="preserve"> </w:t>
      </w:r>
      <w:r>
        <w:t xml:space="preserve">tab):</w:t>
      </w:r>
    </w:p>
    <w:p>
      <w:pPr>
        <w:pStyle w:val="Compact"/>
        <w:numPr>
          <w:ilvl w:val="0"/>
          <w:numId w:val="1004"/>
        </w:numPr>
      </w:pPr>
      <w:r>
        <w:rPr>
          <w:b/>
          <w:bCs/>
        </w:rPr>
        <w:t xml:space="preserve">Scale:</w:t>
      </w:r>
      <w:r>
        <w:t xml:space="preserve"> </w:t>
      </w:r>
      <w:r>
        <w:t xml:space="preserve">~1,900,000 users have used the feature; ~87,000 Illinois users; ~71,000 California users; ~11,500 EU users; ~310,000 Texas users.</w:t>
      </w:r>
    </w:p>
    <w:p>
      <w:pPr>
        <w:pStyle w:val="Compact"/>
        <w:numPr>
          <w:ilvl w:val="0"/>
          <w:numId w:val="1004"/>
        </w:numPr>
      </w:pPr>
      <w:r>
        <w:rPr>
          <w:b/>
          <w:bCs/>
        </w:rPr>
        <w:t xml:space="preserve">Data:</w:t>
      </w:r>
      <w:r>
        <w:t xml:space="preserve"> </w:t>
      </w:r>
      <w:r>
        <w:t xml:space="preserve">Facial geometry template (a biometric identifier under BIPA 740 ILCS 14/10; CPRA sensitive PI; GDPR Article 9 special-category data).</w:t>
      </w:r>
    </w:p>
    <w:p>
      <w:pPr>
        <w:pStyle w:val="Compact"/>
        <w:numPr>
          <w:ilvl w:val="0"/>
          <w:numId w:val="1004"/>
        </w:numPr>
      </w:pPr>
      <w:r>
        <w:rPr>
          <w:b/>
          <w:bCs/>
        </w:rPr>
        <w:t xml:space="preserve">Retention:</w:t>
      </w:r>
      <w:r>
        <w:t xml:space="preserve"> </w:t>
      </w:r>
      <w:r>
        <w:t xml:space="preserve">5 years after account creation;</w:t>
      </w:r>
      <w:r>
        <w:t xml:space="preserve"> </w:t>
      </w:r>
      <w:r>
        <w:t xml:space="preserve">“</w:t>
      </w:r>
      <w:r>
        <w:t xml:space="preserve">no formal justification on file</w:t>
      </w:r>
      <w:r>
        <w:t xml:space="preserve">”</w:t>
      </w:r>
      <w:r>
        <w:t xml:space="preserve">;</w:t>
      </w:r>
      <w:r>
        <w:t xml:space="preserve"> </w:t>
      </w:r>
      <w:r>
        <w:t xml:space="preserve">“</w:t>
      </w:r>
      <w:r>
        <w:t xml:space="preserve">no destruction process or guidelines established.</w:t>
      </w:r>
      <w:r>
        <w:t xml:space="preserve">”</w:t>
      </w:r>
    </w:p>
    <w:p>
      <w:pPr>
        <w:pStyle w:val="Compact"/>
        <w:numPr>
          <w:ilvl w:val="0"/>
          <w:numId w:val="1004"/>
        </w:numPr>
      </w:pPr>
      <w:r>
        <w:rPr>
          <w:b/>
          <w:bCs/>
        </w:rPr>
        <w:t xml:space="preserve">Consent:</w:t>
      </w:r>
      <w:r>
        <w:t xml:space="preserve"> </w:t>
      </w:r>
      <w:r>
        <w:t xml:space="preserve">“</w:t>
      </w:r>
      <w:r>
        <w:t xml:space="preserve">NO — App displays brief in-app prompt … but no written informed consent document, no disclosure of purpose/duration/destruction, no signature/affirmative written consent mechanism.</w:t>
      </w:r>
      <w:r>
        <w:t xml:space="preserve">”</w:t>
      </w:r>
      <w:r>
        <w:t xml:space="preserve"> </w:t>
      </w:r>
      <w:r>
        <w:t xml:space="preserve">Consent mechanism:</w:t>
      </w:r>
      <w:r>
        <w:t xml:space="preserve"> </w:t>
      </w:r>
      <w:r>
        <w:t xml:space="preserve">“</w:t>
      </w:r>
      <w:r>
        <w:t xml:space="preserve">Browsewrap only.</w:t>
      </w:r>
      <w:r>
        <w:t xml:space="preserve">”</w:t>
      </w:r>
    </w:p>
    <w:p>
      <w:pPr>
        <w:pStyle w:val="Compact"/>
        <w:numPr>
          <w:ilvl w:val="0"/>
          <w:numId w:val="1004"/>
        </w:numPr>
      </w:pPr>
      <w:r>
        <w:rPr>
          <w:b/>
          <w:bCs/>
        </w:rPr>
        <w:t xml:space="preserve">Publicly available retention/destruction policy:</w:t>
      </w:r>
      <w:r>
        <w:t xml:space="preserve"> </w:t>
      </w:r>
      <w:r>
        <w:t xml:space="preserve">“</w:t>
      </w:r>
      <w:r>
        <w:t xml:space="preserve">NO — Does not exist.</w:t>
      </w:r>
      <w:r>
        <w:t xml:space="preserve">”</w:t>
      </w:r>
    </w:p>
    <w:p>
      <w:pPr>
        <w:pStyle w:val="Compact"/>
        <w:numPr>
          <w:ilvl w:val="0"/>
          <w:numId w:val="1004"/>
        </w:numPr>
      </w:pPr>
      <w:r>
        <w:rPr>
          <w:b/>
          <w:bCs/>
        </w:rPr>
        <w:t xml:space="preserve">BIPA compliance status:</w:t>
      </w:r>
      <w:r>
        <w:t xml:space="preserve"> </w:t>
      </w:r>
      <w:r>
        <w:t xml:space="preserve">“</w:t>
      </w:r>
      <w:r>
        <w:t xml:space="preserve">NON-COMPLIANT</w:t>
      </w:r>
      <w:r>
        <w:t xml:space="preserve">”</w:t>
      </w:r>
      <w:r>
        <w:t xml:space="preserve"> </w:t>
      </w:r>
      <w:r>
        <w:t xml:space="preserve">on all three statutory grounds: (1) no written informed consent (740 ILCS 14/15(b)); (2) no publicly available written retention schedule and destruction guidelines (740 ILCS 14/15(a)); (3) no privacy-policy disclosure.</w:t>
      </w:r>
    </w:p>
    <w:p>
      <w:pPr>
        <w:pStyle w:val="Compact"/>
        <w:numPr>
          <w:ilvl w:val="0"/>
          <w:numId w:val="1004"/>
        </w:numPr>
      </w:pPr>
      <w:r>
        <w:rPr>
          <w:b/>
          <w:bCs/>
        </w:rPr>
        <w:t xml:space="preserve">Estimated BIPA statutory damages:</w:t>
      </w:r>
      <w:r>
        <w:t xml:space="preserve"> </w:t>
      </w:r>
      <w:r>
        <w:rPr>
          <w:b/>
          <w:bCs/>
        </w:rPr>
        <w:t xml:space="preserve">$87,000,000</w:t>
      </w:r>
      <w:r>
        <w:t xml:space="preserve"> </w:t>
      </w:r>
      <w:r>
        <w:t xml:space="preserve">(negligent: 87,000 × $1,000) to</w:t>
      </w:r>
      <w:r>
        <w:t xml:space="preserve"> </w:t>
      </w:r>
      <w:r>
        <w:rPr>
          <w:b/>
          <w:bCs/>
        </w:rPr>
        <w:t xml:space="preserve">$435,000,000</w:t>
      </w:r>
      <w:r>
        <w:t xml:space="preserve"> </w:t>
      </w:r>
      <w:r>
        <w:t xml:space="preserve">(intentional/reckless: 87,000 × $5,000). BIPA carries a private right of action.</w:t>
      </w:r>
    </w:p>
    <w:p>
      <w:pPr>
        <w:pStyle w:val="FirstParagraph"/>
      </w:pPr>
      <w:r>
        <w:t xml:space="preserve">The investor email (§5) requests review under BIPA</w:t>
      </w:r>
      <w:r>
        <w:t xml:space="preserve"> </w:t>
      </w:r>
      <w:r>
        <w:t xml:space="preserve">“</w:t>
      </w:r>
      <w:r>
        <w:t xml:space="preserve">and other applicable state biometric privacy statutes.</w:t>
      </w:r>
      <w:r>
        <w:t xml:space="preserve">”</w:t>
      </w:r>
      <w:r>
        <w:t xml:space="preserve"> </w:t>
      </w:r>
      <w:r>
        <w:t xml:space="preserve">The Data Inventory also flags Texas CUBI and Washington biometric-law exposure (~310,000 Texas users). The cross-document gap is stark: the internal inventory classifies the data as CPRA sensitive PI and GDPR Article 9 special-category data and expressly states</w:t>
      </w:r>
      <w:r>
        <w:t xml:space="preserve"> </w:t>
      </w:r>
      <w:r>
        <w:t xml:space="preserve">“</w:t>
      </w:r>
      <w:r>
        <w:t xml:space="preserve">NO — NOT DISCLOSED IN PRIVACY POLICY,</w:t>
      </w:r>
      <w:r>
        <w:t xml:space="preserve">”</w:t>
      </w:r>
      <w:r>
        <w:t xml:space="preserve"> </w:t>
      </w:r>
      <w:r>
        <w:t xml:space="preserve">while the consumer-facing Policy is silent. Remediation requires (i) immediate publication of a written, publicly available biometric retention/destruction policy; (ii) a compliant written-consent flow with the disclosures required by 740 ILCS 14/15(b); (iii) Privacy Policy disclosure; and (iv) a state-by-state biometric-law analysis (Illinois, Texas, Washington, and others). Given the scale and the private right of action, this issue warrants urgent attention independent of the transaction.</w:t>
      </w:r>
    </w:p>
    <w:bookmarkEnd w:id="25"/>
    <w:bookmarkStart w:id="26" w:name="Xcd94494fe33db73761d53d2fc7acc4213608b20"/>
    <w:p>
      <w:pPr>
        <w:pStyle w:val="Heading3"/>
      </w:pPr>
      <w:r>
        <w:t xml:space="preserve">C. Brightly Analytics Data Sharing — Undisclosed CPRA</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(Issues 3, 11, 16)</w:t>
      </w:r>
    </w:p>
    <w:p>
      <w:pPr>
        <w:pStyle w:val="FirstParagraph"/>
      </w:pPr>
      <w:r>
        <w:rPr>
          <w:b/>
          <w:bCs/>
        </w:rPr>
        <w:t xml:space="preserve">Issue 3 — Undisclosed</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of personal information to Brightly (Critical).</w:t>
      </w:r>
    </w:p>
    <w:p>
      <w:pPr>
        <w:pStyle w:val="BodyText"/>
      </w:pPr>
      <w:r>
        <w:t xml:space="preserve">The Privacy Policy’s</w:t>
      </w:r>
      <w:r>
        <w:t xml:space="preserve"> </w:t>
      </w:r>
      <w:r>
        <w:t xml:space="preserve">“</w:t>
      </w:r>
      <w:r>
        <w:t xml:space="preserve">How We Share Your Information</w:t>
      </w:r>
      <w:r>
        <w:t xml:space="preserve">”</w:t>
      </w:r>
      <w:r>
        <w:t xml:space="preserve"> </w:t>
      </w:r>
      <w:r>
        <w:t xml:space="preserve">section refers generically to</w:t>
      </w:r>
      <w:r>
        <w:t xml:space="preserve"> </w:t>
      </w:r>
      <w:r>
        <w:t xml:space="preserve">“</w:t>
      </w:r>
      <w:r>
        <w:t xml:space="preserve">analytics and advertising partners</w:t>
      </w:r>
      <w:r>
        <w:t xml:space="preserve">”</w:t>
      </w:r>
      <w:r>
        <w:t xml:space="preserve"> </w:t>
      </w:r>
      <w:r>
        <w:t xml:space="preserve">but</w:t>
      </w:r>
      <w:r>
        <w:t xml:space="preserve"> </w:t>
      </w:r>
      <w:r>
        <w:rPr>
          <w:b/>
          <w:bCs/>
        </w:rPr>
        <w:t xml:space="preserve">does not name Brightly Analytics, Inc.</w:t>
      </w:r>
      <w:r>
        <w:t xml:space="preserve">, does not disclose the specific data categories shared, does not disclose the revenue-share arrangement, does not characterize the sharing as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and provides</w:t>
      </w:r>
      <w:r>
        <w:t xml:space="preserve"> </w:t>
      </w:r>
      <w:r>
        <w:rPr>
          <w:b/>
          <w:bCs/>
        </w:rPr>
        <w:t xml:space="preserve">no</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opt-out</w:t>
      </w:r>
      <w:r>
        <w:t xml:space="preserve">. The Data Sharing Agreement and Data Inventory reveal conduct that is very likely both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the CPRA:</w:t>
      </w:r>
    </w:p>
    <w:p>
      <w:pPr>
        <w:pStyle w:val="Compact"/>
        <w:numPr>
          <w:ilvl w:val="0"/>
          <w:numId w:val="1005"/>
        </w:numPr>
      </w:pPr>
      <w:r>
        <w:rPr>
          <w:b/>
          <w:bCs/>
        </w:rPr>
        <w:t xml:space="preserve">Shared Data (DSA §2.1), transmitted daily via API:</w:t>
      </w:r>
      <w:r>
        <w:t xml:space="preserve"> </w:t>
      </w:r>
      <w:r>
        <w:t xml:space="preserve">hashed email addresses (SHA-256); age range; income bracket; spending-category summaries. The Data Inventory (DC-014, DC-015) states these are</w:t>
      </w:r>
      <w:r>
        <w:t xml:space="preserve"> </w:t>
      </w:r>
      <w:r>
        <w:t xml:space="preserve">“</w:t>
      </w:r>
      <w:r>
        <w:t xml:space="preserve">No — not specifically disclosed as shared.</w:t>
      </w:r>
      <w:r>
        <w:t xml:space="preserve">”</w:t>
      </w:r>
    </w:p>
    <w:p>
      <w:pPr>
        <w:pStyle w:val="Compact"/>
        <w:numPr>
          <w:ilvl w:val="0"/>
          <w:numId w:val="1005"/>
        </w:numPr>
      </w:pPr>
      <w:r>
        <w:rPr>
          <w:b/>
          <w:bCs/>
        </w:rPr>
        <w:t xml:space="preserve">SDK Data (DSA §2.2), collected by Brightly’s SDK:</w:t>
      </w:r>
      <w:r>
        <w:t xml:space="preserve"> </w:t>
      </w:r>
      <w:r>
        <w:t xml:space="preserve">IDFA/GAID, IP addresses, approximate geolocation, in-app behavioral events.</w:t>
      </w:r>
    </w:p>
    <w:p>
      <w:pPr>
        <w:pStyle w:val="Compact"/>
        <w:numPr>
          <w:ilvl w:val="0"/>
          <w:numId w:val="1005"/>
        </w:numPr>
      </w:pPr>
      <w:r>
        <w:rPr>
          <w:b/>
          <w:bCs/>
        </w:rPr>
        <w:t xml:space="preserve">Permitted Uses (DSA §3.1):</w:t>
      </w:r>
      <w:r>
        <w:t xml:space="preserve"> </w:t>
      </w:r>
      <w:r>
        <w:t xml:space="preserve">cross-application behavioral advertising</w:t>
      </w:r>
      <w:r>
        <w:t xml:space="preserve"> </w:t>
      </w:r>
      <w:r>
        <w:rPr>
          <w:b/>
          <w:bCs/>
        </w:rPr>
        <w:t xml:space="preserve">outside</w:t>
      </w:r>
      <w:r>
        <w:t xml:space="preserve"> </w:t>
      </w:r>
      <w:r>
        <w:t xml:space="preserve">the Vaultline app; audience-segment creation;</w:t>
      </w:r>
      <w:r>
        <w:t xml:space="preserve"> </w:t>
      </w:r>
      <w:r>
        <w:rPr>
          <w:b/>
          <w:bCs/>
        </w:rPr>
        <w:t xml:space="preserve">licensing and sale of audience segments to Third-Party Advertisers</w:t>
      </w:r>
      <w:r>
        <w:t xml:space="preserve">; attribution; product improvement; aggregate reporting (added by the June 15, 2024 amendment).</w:t>
      </w:r>
    </w:p>
    <w:p>
      <w:pPr>
        <w:pStyle w:val="Compact"/>
        <w:numPr>
          <w:ilvl w:val="0"/>
          <w:numId w:val="1005"/>
        </w:numPr>
      </w:pPr>
      <w:r>
        <w:rPr>
          <w:b/>
          <w:bCs/>
        </w:rPr>
        <w:t xml:space="preserve">Monetary consideration (DSA §5.1):</w:t>
      </w:r>
      <w:r>
        <w:t xml:space="preserve"> </w:t>
      </w:r>
      <w:r>
        <w:t xml:space="preserve">$0.87 per Monthly Active User per month. The Data Inventory (TS-002, PA-004) quantifies this at ~253,000 average MAUs =</w:t>
      </w:r>
      <w:r>
        <w:t xml:space="preserve"> </w:t>
      </w:r>
      <w:r>
        <w:rPr>
          <w:b/>
          <w:bCs/>
        </w:rPr>
        <w:t xml:space="preserve">~$2,641,320 annually</w:t>
      </w:r>
      <w:r>
        <w:t xml:space="preserve">, and states:</w:t>
      </w:r>
      <w:r>
        <w:t xml:space="preserve"> </w:t>
      </w:r>
      <w:r>
        <w:t xml:space="preserve">“</w:t>
      </w:r>
      <w:r>
        <w:t xml:space="preserve">Revenue share constitutes monetary consideration — likely</w:t>
      </w:r>
      <w:r>
        <w:t xml:space="preserve"> </w:t>
      </w:r>
      <w:r>
        <w:t xml:space="preserve">‘</w:t>
      </w:r>
      <w:r>
        <w:t xml:space="preserve">sale</w:t>
      </w:r>
      <w:r>
        <w:t xml:space="preserve">’</w:t>
      </w:r>
      <w:r>
        <w:t xml:space="preserve"> </w:t>
      </w:r>
      <w:r>
        <w:t xml:space="preserve">under CPRA. Cross-app behavioral advertising use — likely</w:t>
      </w:r>
      <w:r>
        <w:t xml:space="preserve"> </w:t>
      </w:r>
      <w:r>
        <w:t xml:space="preserve">‘</w:t>
      </w:r>
      <w:r>
        <w:t xml:space="preserve">sharing</w:t>
      </w:r>
      <w:r>
        <w:t xml:space="preserve">’</w:t>
      </w:r>
      <w:r>
        <w:t xml:space="preserve"> </w:t>
      </w:r>
      <w:r>
        <w:t xml:space="preserve">under CPRA.</w:t>
      </w:r>
      <w:r>
        <w:t xml:space="preserve">”</w:t>
      </w:r>
    </w:p>
    <w:p>
      <w:pPr>
        <w:pStyle w:val="Compact"/>
        <w:numPr>
          <w:ilvl w:val="0"/>
          <w:numId w:val="1005"/>
        </w:numPr>
      </w:pPr>
      <w:r>
        <w:rPr>
          <w:b/>
          <w:bCs/>
        </w:rPr>
        <w:t xml:space="preserve">Controller status (DSA §§4.1–4.2):</w:t>
      </w:r>
      <w:r>
        <w:t xml:space="preserve"> </w:t>
      </w:r>
      <w:r>
        <w:t xml:space="preserve">Brightly is an</w:t>
      </w:r>
      <w:r>
        <w:t xml:space="preserve"> </w:t>
      </w:r>
      <w:r>
        <w:rPr>
          <w:b/>
          <w:bCs/>
        </w:rPr>
        <w:t xml:space="preserve">independent data controller</w:t>
      </w:r>
      <w:r>
        <w:t xml:space="preserve">,</w:t>
      </w:r>
      <w:r>
        <w:t xml:space="preserve"> </w:t>
      </w:r>
      <w:r>
        <w:t xml:space="preserve">“</w:t>
      </w:r>
      <w:r>
        <w:t xml:space="preserve">not 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w:t>
      </w:r>
      <w:r>
        <w:t xml:space="preserve"> </w:t>
      </w:r>
      <w:r>
        <w:t xml:space="preserve">The Data Inventory (TS-002) confirms:</w:t>
      </w:r>
      <w:r>
        <w:t xml:space="preserve"> </w:t>
      </w:r>
      <w:r>
        <w:t xml:space="preserve">“</w:t>
      </w:r>
      <w:r>
        <w:t xml:space="preserve">NOT CLASSIFIED — No internal CCPA sale/sharing analysis performed</w:t>
      </w:r>
      <w:r>
        <w:t xml:space="preserve">”</w:t>
      </w:r>
      <w:r>
        <w:t xml:space="preserve"> </w:t>
      </w:r>
      <w:r>
        <w:t xml:space="preserve">and</w:t>
      </w:r>
      <w:r>
        <w:t xml:space="preserve"> </w:t>
      </w:r>
      <w:r>
        <w:t xml:space="preserve">“</w:t>
      </w:r>
      <w:r>
        <w:t xml:space="preserve">NO — No opt-out mechanism provided to users.</w:t>
      </w:r>
      <w:r>
        <w:t xml:space="preserve">”</w:t>
      </w:r>
    </w:p>
    <w:p>
      <w:pPr>
        <w:pStyle w:val="FirstParagraph"/>
      </w:pPr>
      <w:r>
        <w:t xml:space="preserve">Under the CPRA, a</w:t>
      </w:r>
      <w:r>
        <w:t xml:space="preserve"> </w:t>
      </w:r>
      <w:r>
        <w:t xml:space="preserve">“</w:t>
      </w:r>
      <w:r>
        <w:t xml:space="preserve">sale</w:t>
      </w:r>
      <w:r>
        <w:t xml:space="preserve">”</w:t>
      </w:r>
      <w:r>
        <w:t xml:space="preserve"> </w:t>
      </w:r>
      <w:r>
        <w:t xml:space="preserve">is the exchange of personal information for monetary or other valuable consideration, and</w:t>
      </w:r>
      <w:r>
        <w:t xml:space="preserve"> </w:t>
      </w:r>
      <w:r>
        <w:t xml:space="preserve">“</w:t>
      </w:r>
      <w:r>
        <w:t xml:space="preserve">sharing</w:t>
      </w:r>
      <w:r>
        <w:t xml:space="preserve">”</w:t>
      </w:r>
      <w:r>
        <w:t xml:space="preserve"> </w:t>
      </w:r>
      <w:r>
        <w:t xml:space="preserve">is cross-context behavioral advertising. The Brightly arrangement satisfies both definitions. The Policy’s failure to disclose the sale/sharing, name Brightly, describe the categories shared, and provide the statutory opt-out link is a direct CPRA violation (Cal. Civ. Code § 1798.120; 11 C.C.R. §§7000 et seq.). The investor email (§5) expressly requests analysis of whether the arrangement is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and whether opt-outs are in place. The Policy’s description of service providers as parties</w:t>
      </w:r>
      <w:r>
        <w:t xml:space="preserve"> </w:t>
      </w:r>
      <w:r>
        <w:t xml:space="preserve">“</w:t>
      </w:r>
      <w:r>
        <w:t xml:space="preserve">contractually obligated to use information shared with them solely for the purpose of performing the services</w:t>
      </w:r>
      <w:r>
        <w:t xml:space="preserve">”</w:t>
      </w:r>
      <w:r>
        <w:t xml:space="preserve"> </w:t>
      </w:r>
      <w:r>
        <w:t xml:space="preserve">is also misleading as applied to Brightly, which is not a service provider and uses the data for its own commercial purposes (including selling audience segments to third parties).</w:t>
      </w:r>
    </w:p>
    <w:p>
      <w:pPr>
        <w:pStyle w:val="BodyText"/>
      </w:pPr>
      <w:r>
        <w:rPr>
          <w:b/>
          <w:bCs/>
        </w:rPr>
        <w:t xml:space="preserve">Issue 11 — DSA compliance representations likely false (High).</w:t>
      </w:r>
      <w:r>
        <w:t xml:space="preserve"> </w:t>
      </w:r>
      <w:r>
        <w:t xml:space="preserve">DSA §7.1 contains three representations that the cross-document record suggests are inaccurate: (b) that the sharing</w:t>
      </w:r>
      <w:r>
        <w:t xml:space="preserve"> </w:t>
      </w:r>
      <w:r>
        <w:t xml:space="preserve">“</w:t>
      </w:r>
      <w:r>
        <w:t xml:space="preserve">is consistent with Vaultline’s privacy policy</w:t>
      </w:r>
      <w:r>
        <w:t xml:space="preserve">”</w:t>
      </w:r>
      <w:r>
        <w:t xml:space="preserve"> </w:t>
      </w:r>
      <w:r>
        <w:t xml:space="preserve">(it is not — Brightly is unnamed, the categories and sale are undisclosed, and no opt-out exists); (c) that</w:t>
      </w:r>
      <w:r>
        <w:t xml:space="preserve"> </w:t>
      </w:r>
      <w:r>
        <w:t xml:space="preserve">“</w:t>
      </w:r>
      <w:r>
        <w:t xml:space="preserve">Vaultline has obtained all necessary consents, authorizations, and approvals from Company Users required for the sharing of Shared Data with Brightly for the Permitted Uses</w:t>
      </w:r>
      <w:r>
        <w:t xml:space="preserve">”</w:t>
      </w:r>
      <w:r>
        <w:t xml:space="preserve"> </w:t>
      </w:r>
      <w:r>
        <w:t xml:space="preserve">(browsewrap continued-use consent is unlikely to satisfy CPRA opt-out or GDPR consent standards); and (d) that the sharing</w:t>
      </w:r>
      <w:r>
        <w:t xml:space="preserve"> </w:t>
      </w:r>
      <w:r>
        <w:t xml:space="preserve">“</w:t>
      </w:r>
      <w:r>
        <w:t xml:space="preserve">complies with all applicable federal, state, and local laws.</w:t>
      </w:r>
      <w:r>
        <w:t xml:space="preserve">”</w:t>
      </w:r>
      <w:r>
        <w:t xml:space="preserve"> </w:t>
      </w:r>
      <w:r>
        <w:t xml:space="preserve">Under DSA §11.1, Vaultline indemnifies Brightly for claims arising from Vaultline’s failure to obtain required consents or breach of its representations — creating direct contractual and indemnification exposure if users or regulators challenge the sharing.</w:t>
      </w:r>
    </w:p>
    <w:p>
      <w:pPr>
        <w:pStyle w:val="BodyText"/>
      </w:pPr>
      <w:r>
        <w:rPr>
          <w:b/>
          <w:bCs/>
        </w:rPr>
        <w:t xml:space="preserve">Issue 16 — Perpetual post-termination exploitation of audience segments (Medium).</w:t>
      </w:r>
      <w:r>
        <w:t xml:space="preserve"> </w:t>
      </w:r>
      <w:r>
        <w:t xml:space="preserve">DSA §10.5(c) permits Brightly to</w:t>
      </w:r>
      <w:r>
        <w:t xml:space="preserve"> </w:t>
      </w:r>
      <w:r>
        <w:t xml:space="preserve">“</w:t>
      </w:r>
      <w:r>
        <w:t xml:space="preserve">continue to use, license, sell, and otherwise exploit Audience Segments created prior to the effective date of termination … without restriction and in perpetuity.</w:t>
      </w:r>
      <w:r>
        <w:t xml:space="preserve">”</w:t>
      </w:r>
      <w:r>
        <w:t xml:space="preserve"> </w:t>
      </w:r>
      <w:r>
        <w:t xml:space="preserve">The Data Inventory (DC-014, DC-015) notes these categories are</w:t>
      </w:r>
      <w:r>
        <w:t xml:space="preserve"> </w:t>
      </w:r>
      <w:r>
        <w:t xml:space="preserve">“</w:t>
      </w:r>
      <w:r>
        <w:t xml:space="preserve">also retained by Brightly per independent controller status</w:t>
      </w:r>
      <w:r>
        <w:t xml:space="preserve">”</w:t>
      </w:r>
      <w:r>
        <w:t xml:space="preserve"> </w:t>
      </w:r>
      <w:r>
        <w:t xml:space="preserve">and retained indefinitely. This perpetual downstream use conflicts with the GDPR storage-limitation principle (Article 5(1)(e)) and CPRA purpose-limitation, and is not reflected in the Policy’s retention statement. Users have no mechanism to compel deletion of data held by Brightly.</w:t>
      </w:r>
    </w:p>
    <w:bookmarkEnd w:id="26"/>
    <w:bookmarkStart w:id="27" w:name="X9758949c61d39c4ec5bed92a024da55d0a64467"/>
    <w:p>
      <w:pPr>
        <w:pStyle w:val="Heading3"/>
      </w:pPr>
      <w:r>
        <w:t xml:space="preserve">D. Automated Decision-Making — Smart Insights (Issue 5)</w:t>
      </w:r>
    </w:p>
    <w:p>
      <w:pPr>
        <w:pStyle w:val="FirstParagraph"/>
      </w:pPr>
      <w:r>
        <w:rPr>
          <w:b/>
          <w:bCs/>
        </w:rPr>
        <w:t xml:space="preserve">Issue 5 — Undisclosed automated decision-making producing significant effects (High).</w:t>
      </w:r>
    </w:p>
    <w:p>
      <w:pPr>
        <w:pStyle w:val="BodyText"/>
      </w:pPr>
      <w:r>
        <w:t xml:space="preserve">The Privacy Policy does not mention</w:t>
      </w:r>
      <w:r>
        <w:t xml:space="preserve"> </w:t>
      </w:r>
      <w:r>
        <w:t xml:space="preserve">“</w:t>
      </w:r>
      <w:r>
        <w:t xml:space="preserve">Smart Insights,</w:t>
      </w:r>
      <w:r>
        <w:t xml:space="preserve">”</w:t>
      </w:r>
      <w:r>
        <w:t xml:space="preserve"> </w:t>
      </w:r>
      <w:r>
        <w:t xml:space="preserve">artificial intelligence, profiling, or automated decision-making. The Data Inventory (PA-003) documents that Smart Insights is a</w:t>
      </w:r>
      <w:r>
        <w:t xml:space="preserve"> </w:t>
      </w:r>
      <w:r>
        <w:t xml:space="preserve">“</w:t>
      </w:r>
      <w:r>
        <w:t xml:space="preserve">Fully Automated</w:t>
      </w:r>
      <w:r>
        <w:t xml:space="preserve">”</w:t>
      </w:r>
      <w:r>
        <w:t xml:space="preserve"> </w:t>
      </w:r>
      <w:r>
        <w:t xml:space="preserve">machine-learning feature in which</w:t>
      </w:r>
      <w:r>
        <w:t xml:space="preserve"> </w:t>
      </w:r>
      <w:r>
        <w:t xml:space="preserve">“</w:t>
      </w:r>
      <w:r>
        <w:t xml:space="preserve">AI determines which credit product partner offers to show or hide based on assessment of the user’s financial profile,</w:t>
      </w:r>
      <w:r>
        <w:t xml:space="preserve">”</w:t>
      </w:r>
      <w:r>
        <w:t xml:space="preserve"> </w:t>
      </w:r>
      <w:r>
        <w:t xml:space="preserve">affecting ~2,800,000 active users, and that this</w:t>
      </w:r>
      <w:r>
        <w:t xml:space="preserve"> </w:t>
      </w:r>
      <w:r>
        <w:t xml:space="preserve">“</w:t>
      </w:r>
      <w:r>
        <w:t xml:space="preserve">Produces legal or similarly significant effects on users.</w:t>
      </w:r>
      <w:r>
        <w:t xml:space="preserve">”</w:t>
      </w:r>
      <w:r>
        <w:t xml:space="preserve"> </w:t>
      </w:r>
      <w:r>
        <w:t xml:space="preserve">The Inventory expressly states:</w:t>
      </w:r>
      <w:r>
        <w:t xml:space="preserve"> </w:t>
      </w:r>
      <w:r>
        <w:t xml:space="preserve">“</w:t>
      </w:r>
      <w:r>
        <w:t xml:space="preserve">No disclosure of automated decision-making in privacy policy. No opt-out mechanism provided. No human review option offered.</w:t>
      </w:r>
      <w:r>
        <w:t xml:space="preserve">”</w:t>
      </w:r>
      <w:r>
        <w:t xml:space="preserve"> </w:t>
      </w:r>
      <w:r>
        <w:t xml:space="preserve">The DPIA tab rates PA-003 as</w:t>
      </w:r>
      <w:r>
        <w:t xml:space="preserve"> </w:t>
      </w:r>
      <w:r>
        <w:rPr>
          <w:b/>
          <w:bCs/>
        </w:rPr>
        <w:t xml:space="preserve">Critical</w:t>
      </w:r>
      <w:r>
        <w:t xml:space="preserve"> </w:t>
      </w:r>
      <w:r>
        <w:t xml:space="preserve">risk and identifies it as a mandatory DPIA trigger under GDPR Article 35(3)(a) (systematic and extensive evaluation producing legal/significant effects) — which was not conducted (Issue 12).</w:t>
      </w:r>
    </w:p>
    <w:p>
      <w:pPr>
        <w:pStyle w:val="BodyText"/>
      </w:pPr>
      <w:r>
        <w:t xml:space="preserve">GDPR Article 22 grants data subjects the right not to be subject to solely automated decisions producing legal or similarly significant effects, together with safeguards including human intervention and the right to contest; Article 13(2)(f) requires disclosure of the existence of such processing, the logic involved, and the envisaged consequences. The Policy satisfies none of these. The investor email (§5) flags concerns under GDPR Article 22</w:t>
      </w:r>
      <w:r>
        <w:t xml:space="preserve"> </w:t>
      </w:r>
      <w:r>
        <w:t xml:space="preserve">“</w:t>
      </w:r>
      <w:r>
        <w:t xml:space="preserve">and emerging U.S. state AI governance requirements.</w:t>
      </w:r>
      <w:r>
        <w:t xml:space="preserve">”</w:t>
      </w:r>
      <w:r>
        <w:t xml:space="preserve"> </w:t>
      </w:r>
      <w:r>
        <w:t xml:space="preserve">Because the feature gates visibility of credit-product offers based on an AI financial-profile assessment, the</w:t>
      </w:r>
      <w:r>
        <w:t xml:space="preserve"> </w:t>
      </w:r>
      <w:r>
        <w:t xml:space="preserve">“</w:t>
      </w:r>
      <w:r>
        <w:t xml:space="preserve">significant effects</w:t>
      </w:r>
      <w:r>
        <w:t xml:space="preserve">”</w:t>
      </w:r>
      <w:r>
        <w:t xml:space="preserve"> </w:t>
      </w:r>
      <w:r>
        <w:t xml:space="preserve">threshold is plausibly met, heightening exposure.</w:t>
      </w:r>
    </w:p>
    <w:bookmarkEnd w:id="27"/>
    <w:bookmarkStart w:id="28" w:name="Xe5338cba1ade03179efc4191e12acada3b32af9"/>
    <w:p>
      <w:pPr>
        <w:pStyle w:val="Heading3"/>
      </w:pPr>
      <w:r>
        <w:t xml:space="preserve">E. August 2024 Data Breach — Notification Compliance Gaps (Issue 6)</w:t>
      </w:r>
    </w:p>
    <w:p>
      <w:pPr>
        <w:pStyle w:val="FirstParagraph"/>
      </w:pPr>
      <w:r>
        <w:rPr>
          <w:b/>
          <w:bCs/>
        </w:rPr>
        <w:t xml:space="preserve">Issue 6 — Breach-notification timing and scope deficiencies (High).</w:t>
      </w:r>
    </w:p>
    <w:p>
      <w:pPr>
        <w:pStyle w:val="BodyText"/>
      </w:pPr>
      <w:r>
        <w:t xml:space="preserve">The Incident Response Log (VT-IRL-2024-003) documents a Severity Level 2 incident: unauthorized access to the production user database (CloudFort, Ashburn, Virginia) via a phishing-compromised DevOps credential, discovered August 12, 2024, affecting ~84,000 records (full legal names, email addresses, last-4 SSN digits, and transaction histories). Cross-referencing the log against the Data Sharing Agreement and the Data Inventory reveals several notification gaps:</w:t>
      </w:r>
    </w:p>
    <w:p>
      <w:pPr>
        <w:numPr>
          <w:ilvl w:val="0"/>
          <w:numId w:val="1006"/>
        </w:numPr>
      </w:pPr>
      <w:r>
        <w:rPr>
          <w:b/>
          <w:bCs/>
        </w:rPr>
        <w:t xml:space="preserve">47-day consumer-notification delay.</w:t>
      </w:r>
      <w:r>
        <w:t xml:space="preserve"> </w:t>
      </w:r>
      <w:r>
        <w:t xml:space="preserve">Consumer notices were distributed September 28, 2024 — 47 days after discovery. California Civil Code § 1798.82 requires notification</w:t>
      </w:r>
      <w:r>
        <w:t xml:space="preserve"> </w:t>
      </w:r>
      <w:r>
        <w:t xml:space="preserve">“</w:t>
      </w:r>
      <w:r>
        <w:t xml:space="preserve">in the most expedient time possible and without unreasonable delay.</w:t>
      </w:r>
      <w:r>
        <w:t xml:space="preserve">”</w:t>
      </w:r>
      <w:r>
        <w:t xml:space="preserve"> </w:t>
      </w:r>
      <w:r>
        <w:t xml:space="preserve">Given the sensitivity of the compromised data (partial SSN plus full transaction histories), a 47-day delay is vulnerable to challenge as</w:t>
      </w:r>
      <w:r>
        <w:t xml:space="preserve"> </w:t>
      </w:r>
      <w:r>
        <w:t xml:space="preserve">“</w:t>
      </w:r>
      <w:r>
        <w:t xml:space="preserve">unreasonable delay.</w:t>
      </w:r>
      <w:r>
        <w:t xml:space="preserve">”</w:t>
      </w:r>
      <w:r>
        <w:t xml:space="preserve"> </w:t>
      </w:r>
      <w:r>
        <w:t xml:space="preserve">Most other state breach-notification statutes impose comparable</w:t>
      </w:r>
      <w:r>
        <w:t xml:space="preserve"> </w:t>
      </w:r>
      <w:r>
        <w:t xml:space="preserve">“</w:t>
      </w:r>
      <w:r>
        <w:t xml:space="preserve">without unreasonable delay</w:t>
      </w:r>
      <w:r>
        <w:t xml:space="preserve">”</w:t>
      </w:r>
      <w:r>
        <w:t xml:space="preserve"> </w:t>
      </w:r>
      <w:r>
        <w:t xml:space="preserve">standards. The GDPR Article 34 standard (</w:t>
      </w:r>
      <w:r>
        <w:t xml:space="preserve">“</w:t>
      </w:r>
      <w:r>
        <w:t xml:space="preserve">without undue delay</w:t>
      </w:r>
      <w:r>
        <w:t xml:space="preserve">”</w:t>
      </w:r>
      <w:r>
        <w:t xml:space="preserve">) is likewise strained by a 47-day interval.</w:t>
      </w:r>
    </w:p>
    <w:p>
      <w:pPr>
        <w:numPr>
          <w:ilvl w:val="0"/>
          <w:numId w:val="1006"/>
        </w:numPr>
      </w:pPr>
      <w:r>
        <w:rPr>
          <w:b/>
          <w:bCs/>
        </w:rPr>
        <w:t xml:space="preserve">No documented California Attorney General notification.</w:t>
      </w:r>
      <w:r>
        <w:t xml:space="preserve"> </w:t>
      </w:r>
      <w:r>
        <w:t xml:space="preserve">Entry 6 (August 14) recognizes that the ~3,100 affected California residents</w:t>
      </w:r>
      <w:r>
        <w:t xml:space="preserve"> </w:t>
      </w:r>
      <w:r>
        <w:t xml:space="preserve">“</w:t>
      </w:r>
      <w:r>
        <w:t xml:space="preserve">significantly exceeds</w:t>
      </w:r>
      <w:r>
        <w:t xml:space="preserve">”</w:t>
      </w:r>
      <w:r>
        <w:t xml:space="preserve"> </w:t>
      </w:r>
      <w:r>
        <w:t xml:space="preserve">the 500-resident threshold triggering notification to the California Attorney General under Cal. Civ. Code § 1798.82(f), and states that AG notification requirements are</w:t>
      </w:r>
      <w:r>
        <w:t xml:space="preserve"> </w:t>
      </w:r>
      <w:r>
        <w:t xml:space="preserve">“</w:t>
      </w:r>
      <w:r>
        <w:t xml:space="preserve">under review.</w:t>
      </w:r>
      <w:r>
        <w:t xml:space="preserve">”</w:t>
      </w:r>
      <w:r>
        <w:t xml:space="preserve"> </w:t>
      </w:r>
      <w:r>
        <w:t xml:space="preserve">However, the Notification Log (Section 6) lists</w:t>
      </w:r>
      <w:r>
        <w:t xml:space="preserve"> </w:t>
      </w:r>
      <w:r>
        <w:rPr>
          <w:b/>
          <w:bCs/>
        </w:rPr>
        <w:t xml:space="preserve">no</w:t>
      </w:r>
      <w:r>
        <w:t xml:space="preserve"> </w:t>
      </w:r>
      <w:r>
        <w:t xml:space="preserve">Attorney General notification as completed — only affected users, CloudFort, the cyber-insurance carrier, outside counsel, and the CEO. The absence of a documented AG notification is a specific statutory deficiency.</w:t>
      </w:r>
    </w:p>
    <w:p>
      <w:pPr>
        <w:numPr>
          <w:ilvl w:val="0"/>
          <w:numId w:val="1006"/>
        </w:numPr>
      </w:pPr>
      <w:r>
        <w:rPr>
          <w:b/>
          <w:bCs/>
        </w:rPr>
        <w:t xml:space="preserve">No documented GDPR Article 33 supervisory-authority notification.</w:t>
      </w:r>
      <w:r>
        <w:t xml:space="preserve"> </w:t>
      </w:r>
      <w:r>
        <w:t xml:space="preserve">Entry 7 (August 16) flags that</w:t>
      </w:r>
      <w:r>
        <w:t xml:space="preserve"> </w:t>
      </w:r>
      <w:r>
        <w:t xml:space="preserve">“</w:t>
      </w:r>
      <w:r>
        <w:t xml:space="preserve">EU breach notification obligations under GDPR Article 33 (72-hour supervisory authority notification requirement) have been flagged for Priya Venkatesh’s review,</w:t>
      </w:r>
      <w:r>
        <w:t xml:space="preserve">”</w:t>
      </w:r>
      <w:r>
        <w:t xml:space="preserve"> </w:t>
      </w:r>
      <w:r>
        <w:t xml:space="preserve">and notes ~510 affected EU-resident users. The 72-hour clock ran from August 12 (discovery) and expired August 15. The Notification Log records</w:t>
      </w:r>
      <w:r>
        <w:t xml:space="preserve"> </w:t>
      </w:r>
      <w:r>
        <w:rPr>
          <w:b/>
          <w:bCs/>
        </w:rPr>
        <w:t xml:space="preserve">no</w:t>
      </w:r>
      <w:r>
        <w:t xml:space="preserve"> </w:t>
      </w:r>
      <w:r>
        <w:t xml:space="preserve">supervisory-authority notification. Given that the compromised data includes partial government identifiers and financial transaction histories, the breach is unlikely to qualify for the</w:t>
      </w:r>
      <w:r>
        <w:t xml:space="preserve"> </w:t>
      </w:r>
      <w:r>
        <w:t xml:space="preserve">“</w:t>
      </w:r>
      <w:r>
        <w:t xml:space="preserve">unlikely to result in risk</w:t>
      </w:r>
      <w:r>
        <w:t xml:space="preserve">”</w:t>
      </w:r>
      <w:r>
        <w:t xml:space="preserve"> </w:t>
      </w:r>
      <w:r>
        <w:t xml:space="preserve">exception, making Article 33 notification likely required. Article 34 data-subject notification (absent an exception for high risk) is only partially addressed by the September 28 consumer notice, and not within</w:t>
      </w:r>
      <w:r>
        <w:t xml:space="preserve"> </w:t>
      </w:r>
      <w:r>
        <w:t xml:space="preserve">“</w:t>
      </w:r>
      <w:r>
        <w:t xml:space="preserve">undue delay.</w:t>
      </w:r>
      <w:r>
        <w:t xml:space="preserve">”</w:t>
      </w:r>
    </w:p>
    <w:p>
      <w:pPr>
        <w:numPr>
          <w:ilvl w:val="0"/>
          <w:numId w:val="1006"/>
        </w:numPr>
      </w:pPr>
      <w:r>
        <w:rPr>
          <w:b/>
          <w:bCs/>
        </w:rPr>
        <w:t xml:space="preserve">No documented notifications to other state regulators.</w:t>
      </w:r>
      <w:r>
        <w:t xml:space="preserve"> </w:t>
      </w:r>
      <w:r>
        <w:t xml:space="preserve">The geographic breakdown includes ~7,200 Texas, ~5,800 New York, ~4,500 Florida, and ~2,800 Illinois affected users. Several states (e.g., New York under the SHIELD Act) require notification to the state Attorney General and other officials above thresholds; the Notification Log reflects none.</w:t>
      </w:r>
    </w:p>
    <w:p>
      <w:pPr>
        <w:numPr>
          <w:ilvl w:val="0"/>
          <w:numId w:val="1006"/>
        </w:numPr>
      </w:pPr>
      <w:r>
        <w:rPr>
          <w:b/>
          <w:bCs/>
        </w:rPr>
        <w:t xml:space="preserve">No Brightly notification under DSA §9.2.</w:t>
      </w:r>
      <w:r>
        <w:t xml:space="preserve"> </w:t>
      </w:r>
      <w:r>
        <w:t xml:space="preserve">DSA §9.2 requires a party that</w:t>
      </w:r>
      <w:r>
        <w:t xml:space="preserve"> </w:t>
      </w:r>
      <w:r>
        <w:t xml:space="preserve">“</w:t>
      </w:r>
      <w:r>
        <w:t xml:space="preserve">discovers a security breach involving Shared Data or SDK Data</w:t>
      </w:r>
      <w:r>
        <w:t xml:space="preserve">”</w:t>
      </w:r>
      <w:r>
        <w:t xml:space="preserve"> </w:t>
      </w:r>
      <w:r>
        <w:t xml:space="preserve">to notify the other party</w:t>
      </w:r>
      <w:r>
        <w:t xml:space="preserve"> </w:t>
      </w:r>
      <w:r>
        <w:t xml:space="preserve">“</w:t>
      </w:r>
      <w:r>
        <w:t xml:space="preserve">within seventy-two (72) hours of discovery.</w:t>
      </w:r>
      <w:r>
        <w:t xml:space="preserve">”</w:t>
      </w:r>
      <w:r>
        <w:t xml:space="preserve"> </w:t>
      </w:r>
      <w:r>
        <w:t xml:space="preserve">The breached database fields (full name, email, last-4 SSN, transaction history) are the source data from which the Shared Data categories (hashed email, age range, income bracket, spending summaries) are derived, and the affected users overlap with the Brightly MAU population. Whether the breach strictly</w:t>
      </w:r>
      <w:r>
        <w:t xml:space="preserve"> </w:t>
      </w:r>
      <w:r>
        <w:t xml:space="preserve">“</w:t>
      </w:r>
      <w:r>
        <w:t xml:space="preserve">involved Shared Data or SDK Data</w:t>
      </w:r>
      <w:r>
        <w:t xml:space="preserve">”</w:t>
      </w:r>
      <w:r>
        <w:t xml:space="preserve"> </w:t>
      </w:r>
      <w:r>
        <w:t xml:space="preserve">as defined is a close question, but the Notification Log’s omission of Brightly — combined with DSA §9.3’s cooperation duty — is at minimum a documentation gap and potentially a contractual breach depending on interpretation. This should be analyzed and, if appropriate, cured.</w:t>
      </w:r>
    </w:p>
    <w:p>
      <w:pPr>
        <w:pStyle w:val="FirstParagraph"/>
      </w:pPr>
      <w:r>
        <w:t xml:space="preserve">The investor email (§5) requests confirmation of compliance</w:t>
      </w:r>
      <w:r>
        <w:t xml:space="preserve"> </w:t>
      </w:r>
      <w:r>
        <w:t xml:space="preserve">“</w:t>
      </w:r>
      <w:r>
        <w:t xml:space="preserve">with all applicable state data breach notification laws.</w:t>
      </w:r>
      <w:r>
        <w:t xml:space="preserve">”</w:t>
      </w:r>
      <w:r>
        <w:t xml:space="preserve"> </w:t>
      </w:r>
      <w:r>
        <w:t xml:space="preserve">The breach log is privileged and was prepared at the direction of the General Counsel; the notification deficiencies identified here should be evaluated for any curative regulatory notifications still available and for disclosure/representation implications in the Series C transaction.</w:t>
      </w:r>
    </w:p>
    <w:bookmarkEnd w:id="28"/>
    <w:bookmarkStart w:id="29" w:name="X1ed13ff62cdb3e75d5a9888f148c299ace5fdd8"/>
    <w:p>
      <w:pPr>
        <w:pStyle w:val="Heading3"/>
      </w:pPr>
      <w:r>
        <w:t xml:space="preserve">F. Gramm-Leach-Bliley Act Applicability (Issue 7)</w:t>
      </w:r>
    </w:p>
    <w:p>
      <w:pPr>
        <w:pStyle w:val="FirstParagraph"/>
      </w:pPr>
      <w:r>
        <w:rPr>
          <w:b/>
          <w:bCs/>
        </w:rPr>
        <w:t xml:space="preserve">Issue 7 — Potential GLBA</w:t>
      </w:r>
      <w:r>
        <w:rPr>
          <w:b/>
          <w:bCs/>
        </w:rPr>
        <w:t xml:space="preserve"> </w:t>
      </w:r>
      <w:r>
        <w:rPr>
          <w:b/>
          <w:bCs/>
        </w:rPr>
        <w:t xml:space="preserve">“</w:t>
      </w:r>
      <w:r>
        <w:rPr>
          <w:b/>
          <w:bCs/>
        </w:rPr>
        <w:t xml:space="preserve">financial institution</w:t>
      </w:r>
      <w:r>
        <w:rPr>
          <w:b/>
          <w:bCs/>
        </w:rPr>
        <w:t xml:space="preserve">”</w:t>
      </w:r>
      <w:r>
        <w:rPr>
          <w:b/>
          <w:bCs/>
        </w:rPr>
        <w:t xml:space="preserve"> </w:t>
      </w:r>
      <w:r>
        <w:rPr>
          <w:b/>
          <w:bCs/>
        </w:rPr>
        <w:t xml:space="preserve">status; no financial-privacy notices or opt-out (High).</w:t>
      </w:r>
    </w:p>
    <w:p>
      <w:pPr>
        <w:pStyle w:val="BodyText"/>
      </w:pPr>
      <w:r>
        <w:t xml:space="preserve">The Privacy Policy contains no GLBA-related disclosures, no financial-privacy notice, and no opt-out for the sharing of nonpublic personal information with non-affiliated third parties. The Data Inventory tags multiple data categories with</w:t>
      </w:r>
      <w:r>
        <w:t xml:space="preserve"> </w:t>
      </w:r>
      <w:r>
        <w:t xml:space="preserve">“</w:t>
      </w:r>
      <w:r>
        <w:t xml:space="preserve">GLBA</w:t>
      </w:r>
      <w:r>
        <w:t xml:space="preserve">”</w:t>
      </w:r>
      <w:r>
        <w:t xml:space="preserve"> </w:t>
      </w:r>
      <w:r>
        <w:t xml:space="preserve">as an applicable regulation (DC-003 last-4 SSN; DC-004 financial account information; DC-005 transaction history; DC-006 income data; DC-007 credit score), and the investor email (§4) analyzes whether Vaultline qualifies as a</w:t>
      </w:r>
      <w:r>
        <w:t xml:space="preserve"> </w:t>
      </w:r>
      <w:r>
        <w:t xml:space="preserve">“</w:t>
      </w:r>
      <w:r>
        <w:t xml:space="preserve">financial institution</w:t>
      </w:r>
      <w:r>
        <w:t xml:space="preserve">”</w:t>
      </w:r>
      <w:r>
        <w:t xml:space="preserve"> </w:t>
      </w:r>
      <w:r>
        <w:t xml:space="preserve">under 15 U.S.C. § 6809(3), which sweeps in entities</w:t>
      </w:r>
      <w:r>
        <w:t xml:space="preserve"> </w:t>
      </w:r>
      <w:r>
        <w:t xml:space="preserve">“</w:t>
      </w:r>
      <w:r>
        <w:t xml:space="preserve">significantly engaged</w:t>
      </w:r>
      <w:r>
        <w:t xml:space="preserve">”</w:t>
      </w:r>
      <w:r>
        <w:t xml:space="preserve"> </w:t>
      </w:r>
      <w:r>
        <w:t xml:space="preserve">in financial activities including financial data processing. Vaultline aggregates and analyzes consumer financial data from 4,200+ institutions via FinLink, derives revenue from 14 financial-product referrals, and separately monetizes financial-profile data via Brightly — facts that support a credible argument that GLBA applies.</w:t>
      </w:r>
    </w:p>
    <w:p>
      <w:pPr>
        <w:pStyle w:val="BodyText"/>
      </w:pPr>
      <w:r>
        <w:t xml:space="preserve">If GLBA applies, Vaultline must, among other things: (a) provide a clear and conspicuous initial privacy notice at the establishment of the customer relationship; (b) provide annual privacy notices; (c) provide a reasonable opt-out of the sharing of nonpublic personal information with non-affiliated third parties; and (d) comply with the FTC’s Financial Privacy Rule (Regulation P, 16 C.F.R. Part 313). None of these is present. The characterization question is nuanced (and GLBA’s applicability to data provided directly by consumers vs. obtained from financial institutions involves exceptions that require analysis), but the potential consequences — FTC enforcement and state-AG action — warrant a definitive analysis by company-side counsel. The 14-partner referral sharing and the Brightly sharing would both implicate GLBA opt-out obligations if GLBA applies.</w:t>
      </w:r>
    </w:p>
    <w:bookmarkEnd w:id="29"/>
    <w:bookmarkStart w:id="30" w:name="X785f7deb1fb30bbcec8f0de8582e9adfbfbad25"/>
    <w:p>
      <w:pPr>
        <w:pStyle w:val="Heading3"/>
      </w:pPr>
      <w:r>
        <w:t xml:space="preserve">G. CCPA/CPRA Consumer Rights &amp; Sensitive Personal Information (Issues 8, 15)</w:t>
      </w:r>
    </w:p>
    <w:p>
      <w:pPr>
        <w:pStyle w:val="FirstParagraph"/>
      </w:pPr>
      <w:r>
        <w:rPr>
          <w:b/>
          <w:bCs/>
        </w:rPr>
        <w:t xml:space="preserve">Issue 8 — Incomplete CCPA/CPRA rights disclosures (High).</w:t>
      </w:r>
      <w:r>
        <w:t xml:space="preserve"> </w:t>
      </w:r>
      <w:r>
        <w:t xml:space="preserve">The Policy’s</w:t>
      </w:r>
      <w:r>
        <w:t xml:space="preserve"> </w:t>
      </w:r>
      <w:r>
        <w:t xml:space="preserve">“</w:t>
      </w:r>
      <w:r>
        <w:t xml:space="preserve">Your Rights — California Residents</w:t>
      </w:r>
      <w:r>
        <w:t xml:space="preserve">”</w:t>
      </w:r>
      <w:r>
        <w:t xml:space="preserve"> </w:t>
      </w:r>
      <w:r>
        <w:t xml:space="preserve">section references only the right to request knowledge of collected personal information. It does not mention the rights to deletion, correction, opt-out of sale or sharing, limitation of the use and disclosure of sensitive personal information, or non-discrimination, and it provides no</w:t>
      </w:r>
      <w:r>
        <w:t xml:space="preserve"> </w:t>
      </w:r>
      <w:r>
        <w:t xml:space="preserve">“</w:t>
      </w:r>
      <w:r>
        <w:t xml:space="preserve">Do Not Sell or Share My Personal Information</w:t>
      </w:r>
      <w:r>
        <w:t xml:space="preserve">”</w:t>
      </w:r>
      <w:r>
        <w:t xml:space="preserve"> </w:t>
      </w:r>
      <w:r>
        <w:t xml:space="preserve">link and no</w:t>
      </w:r>
      <w:r>
        <w:t xml:space="preserve"> </w:t>
      </w:r>
      <w:r>
        <w:t xml:space="preserve">“</w:t>
      </w:r>
      <w:r>
        <w:t xml:space="preserve">Limit the Use of My Sensitive Personal Information</w:t>
      </w:r>
      <w:r>
        <w:t xml:space="preserve">”</w:t>
      </w:r>
      <w:r>
        <w:t xml:space="preserve"> </w:t>
      </w:r>
      <w:r>
        <w:t xml:space="preserve">link. Vaultline exceeds the CCPA applicability thresholds (FY 2024 revenue $47.3M &gt; $25M; ~142,000 California consumers; large-scale processing). The investor email (§5) requests verification of</w:t>
      </w:r>
      <w:r>
        <w:t xml:space="preserve"> </w:t>
      </w:r>
      <w:r>
        <w:t xml:space="preserve">“</w:t>
      </w:r>
      <w:r>
        <w:t xml:space="preserve">the full suite of CPRA consumer rights requirements.</w:t>
      </w:r>
      <w:r>
        <w:t xml:space="preserve">”</w:t>
      </w:r>
      <w:r>
        <w:t xml:space="preserve"> </w:t>
      </w:r>
      <w:r>
        <w:t xml:space="preserve">The Data Inventory confirms the operational absence of opt-outs (TS-002 Brightly:</w:t>
      </w:r>
      <w:r>
        <w:t xml:space="preserve"> </w:t>
      </w:r>
      <w:r>
        <w:t xml:space="preserve">“</w:t>
      </w:r>
      <w:r>
        <w:t xml:space="preserve">NO — No opt-out mechanism</w:t>
      </w:r>
      <w:r>
        <w:t xml:space="preserve">”</w:t>
      </w:r>
      <w:r>
        <w:t xml:space="preserve">; TS-003 partners:</w:t>
      </w:r>
      <w:r>
        <w:t xml:space="preserve"> </w:t>
      </w:r>
      <w:r>
        <w:t xml:space="preserve">“</w:t>
      </w:r>
      <w:r>
        <w:t xml:space="preserve">No</w:t>
      </w:r>
      <w:r>
        <w:t xml:space="preserve">”</w:t>
      </w:r>
      <w:r>
        <w:t xml:space="preserve">).</w:t>
      </w:r>
    </w:p>
    <w:p>
      <w:pPr>
        <w:pStyle w:val="BodyText"/>
      </w:pPr>
      <w:r>
        <w:rPr>
          <w:b/>
          <w:bCs/>
        </w:rPr>
        <w:t xml:space="preserve">Issue 15 — Sensitive PI not classified; no limit-sensitive-PI opt-out (Medium).</w:t>
      </w:r>
      <w:r>
        <w:t xml:space="preserve"> </w:t>
      </w:r>
      <w:r>
        <w:t xml:space="preserve">The Data Inventory classifies numerous categories as CPRA sensitive personal information — last-4 SSN (DC-003), financial account information (DC-004), transaction history (DC-005), income data (DC-006), precise geolocation (DC-010), and biometric data (DC-011) — and repeatedly notes that the Policy does not flag them as sensitive (</w:t>
      </w:r>
      <w:r>
        <w:t xml:space="preserve">“</w:t>
      </w:r>
      <w:r>
        <w:t xml:space="preserve">Privacy policy does not classify as sensitive PI</w:t>
      </w:r>
      <w:r>
        <w:t xml:space="preserve">”</w:t>
      </w:r>
      <w:r>
        <w:t xml:space="preserve">;</w:t>
      </w:r>
      <w:r>
        <w:t xml:space="preserve"> </w:t>
      </w:r>
      <w:r>
        <w:t xml:space="preserve">“</w:t>
      </w:r>
      <w:r>
        <w:t xml:space="preserve">not classified as sensitive in privacy policy</w:t>
      </w:r>
      <w:r>
        <w:t xml:space="preserve">”</w:t>
      </w:r>
      <w:r>
        <w:t xml:space="preserve">;</w:t>
      </w:r>
      <w:r>
        <w:t xml:space="preserve"> </w:t>
      </w:r>
      <w:r>
        <w:t xml:space="preserve">“</w:t>
      </w:r>
      <w:r>
        <w:t xml:space="preserve">NO — NOT DISCLOSED IN PRIVACY POLICY</w:t>
      </w:r>
      <w:r>
        <w:t xml:space="preserve">”</w:t>
      </w:r>
      <w:r>
        <w:t xml:space="preserve">). The CPRA requires businesses to disclose the categories of sensitive PI collected and to provide a mechanism to limit its use and disclosure (11 C.C.R. § 7027). The Policy does neither.</w:t>
      </w:r>
    </w:p>
    <w:bookmarkEnd w:id="30"/>
    <w:bookmarkStart w:id="31" w:name="h.-data-retention-issue-9"/>
    <w:p>
      <w:pPr>
        <w:pStyle w:val="Heading3"/>
      </w:pPr>
      <w:r>
        <w:t xml:space="preserve">H. Data Retention (Issue 9)</w:t>
      </w:r>
    </w:p>
    <w:p>
      <w:pPr>
        <w:pStyle w:val="FirstParagraph"/>
      </w:pPr>
      <w:r>
        <w:rPr>
          <w:b/>
          <w:bCs/>
        </w:rPr>
        <w:t xml:space="preserve">Issue 9 — No retention periods disclosed; indefinite retention contradicts the Policy (High).</w:t>
      </w:r>
    </w:p>
    <w:p>
      <w:pPr>
        <w:pStyle w:val="BodyText"/>
      </w:pPr>
      <w:r>
        <w:t xml:space="preserve">The Policy’s</w:t>
      </w:r>
      <w:r>
        <w:t xml:space="preserve"> </w:t>
      </w:r>
      <w:r>
        <w:t xml:space="preserve">“</w:t>
      </w:r>
      <w:r>
        <w:t xml:space="preserve">Data Retention</w:t>
      </w:r>
      <w:r>
        <w:t xml:space="preserve">”</w:t>
      </w:r>
      <w:r>
        <w:t xml:space="preserve"> </w:t>
      </w:r>
      <w:r>
        <w:t xml:space="preserve">section states only that information is retained</w:t>
      </w:r>
      <w:r>
        <w:t xml:space="preserve"> </w:t>
      </w:r>
      <w:r>
        <w:t xml:space="preserve">“</w:t>
      </w:r>
      <w:r>
        <w:t xml:space="preserve">for as long as necessary to fulfill the purposes for which it was collected</w:t>
      </w:r>
      <w:r>
        <w:t xml:space="preserve">”</w:t>
      </w:r>
      <w:r>
        <w:t xml:space="preserve"> </w:t>
      </w:r>
      <w:r>
        <w:t xml:space="preserve">and that, upon expiration, data</w:t>
      </w:r>
      <w:r>
        <w:t xml:space="preserve"> </w:t>
      </w:r>
      <w:r>
        <w:t xml:space="preserve">“</w:t>
      </w:r>
      <w:r>
        <w:t xml:space="preserve">will be securely deleted or anonymized.</w:t>
      </w:r>
      <w:r>
        <w:t xml:space="preserve">”</w:t>
      </w:r>
      <w:r>
        <w:t xml:space="preserve"> </w:t>
      </w:r>
      <w:r>
        <w:t xml:space="preserve">The Data Inventory’s</w:t>
      </w:r>
      <w:r>
        <w:t xml:space="preserve"> </w:t>
      </w:r>
      <w:r>
        <w:t xml:space="preserve">“</w:t>
      </w:r>
      <w:r>
        <w:t xml:space="preserve">Data Retention</w:t>
      </w:r>
      <w:r>
        <w:t xml:space="preserve">”</w:t>
      </w:r>
      <w:r>
        <w:t xml:space="preserve"> </w:t>
      </w:r>
      <w:r>
        <w:t xml:space="preserve">tab contradicts this:</w:t>
      </w:r>
      <w:r>
        <w:t xml:space="preserve"> </w:t>
      </w:r>
      <w:r>
        <w:rPr>
          <w:b/>
          <w:bCs/>
        </w:rPr>
        <w:t xml:space="preserve">every</w:t>
      </w:r>
      <w:r>
        <w:t xml:space="preserve"> </w:t>
      </w:r>
      <w:r>
        <w:t xml:space="preserve">category (DC-001 through DC-015) is retained</w:t>
      </w:r>
      <w:r>
        <w:t xml:space="preserve"> </w:t>
      </w:r>
      <w:r>
        <w:t xml:space="preserve">“</w:t>
      </w:r>
      <w:r>
        <w:t xml:space="preserve">Indefinite,</w:t>
      </w:r>
      <w:r>
        <w:t xml:space="preserve">”</w:t>
      </w:r>
      <w:r>
        <w:t xml:space="preserve"> </w:t>
      </w:r>
      <w:r>
        <w:t xml:space="preserve">with</w:t>
      </w:r>
      <w:r>
        <w:t xml:space="preserve"> </w:t>
      </w:r>
      <w:r>
        <w:t xml:space="preserve">“</w:t>
      </w:r>
      <w:r>
        <w:t xml:space="preserve">No — retained indefinitely after account deletion,</w:t>
      </w:r>
      <w:r>
        <w:t xml:space="preserve">”</w:t>
      </w:r>
      <w:r>
        <w:t xml:space="preserve"> </w:t>
      </w:r>
      <w:r>
        <w:t xml:space="preserve">“</w:t>
      </w:r>
      <w:r>
        <w:t xml:space="preserve">Formal Retention Schedule Documented? No,</w:t>
      </w:r>
      <w:r>
        <w:t xml:space="preserve">”</w:t>
      </w:r>
      <w:r>
        <w:t xml:space="preserve"> </w:t>
      </w:r>
      <w:r>
        <w:t xml:space="preserve">and</w:t>
      </w:r>
      <w:r>
        <w:t xml:space="preserve"> </w:t>
      </w:r>
      <w:r>
        <w:t xml:space="preserve">“</w:t>
      </w:r>
      <w:r>
        <w:t xml:space="preserve">Destruction Method: Not defined</w:t>
      </w:r>
      <w:r>
        <w:t xml:space="preserve">”</w:t>
      </w:r>
      <w:r>
        <w:t xml:space="preserve"> </w:t>
      </w:r>
      <w:r>
        <w:t xml:space="preserve">across the board. DC-005 (transaction history) is</w:t>
      </w:r>
      <w:r>
        <w:t xml:space="preserve"> </w:t>
      </w:r>
      <w:r>
        <w:t xml:space="preserve">“</w:t>
      </w:r>
      <w:r>
        <w:t xml:space="preserve">retained indefinitely</w:t>
      </w:r>
      <w:r>
        <w:t xml:space="preserve">”</w:t>
      </w:r>
      <w:r>
        <w:t xml:space="preserve">; DC-011 (biometric templates) is retained 5 years with no destruction guidelines. The Policy’s promise of secure deletion/anonymization is inconsistent with the Inventory’s admission of indefinite retention with no formal schedule and no deletion upon account closure. This violates the CPRA requirement to disclose retention periods (Cal. Civ. Code § 1798.100(c); 11 C.C.R. § 7012(c)) and the GDPR storage-limitation principle (Article 5(1)(e)). The investor email (§5) flags the absence of retention periods as both a CPRA and a GDPR gap.</w:t>
      </w:r>
    </w:p>
    <w:bookmarkEnd w:id="31"/>
    <w:bookmarkStart w:id="32" w:name="Xc37e2f330ae62a29c314cb94ac9d6041b6858d9"/>
    <w:p>
      <w:pPr>
        <w:pStyle w:val="Heading3"/>
      </w:pPr>
      <w:r>
        <w:t xml:space="preserve">I. Cookies &amp; Tracking Technologies (Issue 10)</w:t>
      </w:r>
    </w:p>
    <w:p>
      <w:pPr>
        <w:pStyle w:val="FirstParagraph"/>
      </w:pPr>
      <w:r>
        <w:rPr>
          <w:b/>
          <w:bCs/>
        </w:rPr>
        <w:t xml:space="preserve">Issue 10 — Non-compliant cookie consent (High).</w:t>
      </w:r>
    </w:p>
    <w:p>
      <w:pPr>
        <w:pStyle w:val="BodyText"/>
      </w:pPr>
      <w:r>
        <w:t xml:space="preserve">The Policy’s</w:t>
      </w:r>
      <w:r>
        <w:t xml:space="preserve"> </w:t>
      </w:r>
      <w:r>
        <w:t xml:space="preserve">“</w:t>
      </w:r>
      <w:r>
        <w:t xml:space="preserve">Cookies and Tracking Technologies</w:t>
      </w:r>
      <w:r>
        <w:t xml:space="preserve">”</w:t>
      </w:r>
      <w:r>
        <w:t xml:space="preserve"> </w:t>
      </w:r>
      <w:r>
        <w:t xml:space="preserve">section describes cookies generically and advises users to</w:t>
      </w:r>
      <w:r>
        <w:t xml:space="preserve"> </w:t>
      </w:r>
      <w:r>
        <w:t xml:space="preserve">“</w:t>
      </w:r>
      <w:r>
        <w:t xml:space="preserve">adjust your browser settings to refuse cookies.</w:t>
      </w:r>
      <w:r>
        <w:t xml:space="preserve">”</w:t>
      </w:r>
      <w:r>
        <w:t xml:space="preserve"> </w:t>
      </w:r>
      <w:r>
        <w:t xml:space="preserve">It does not name the third-party advertising partners, does not describe a consent mechanism, and does not address the breadth of third-party tracking actually deployed. The Data Inventory’s</w:t>
      </w:r>
      <w:r>
        <w:t xml:space="preserve"> </w:t>
      </w:r>
      <w:r>
        <w:t xml:space="preserve">“</w:t>
      </w:r>
      <w:r>
        <w:t xml:space="preserve">Cookie Inventory</w:t>
      </w:r>
      <w:r>
        <w:t xml:space="preserve">”</w:t>
      </w:r>
      <w:r>
        <w:t xml:space="preserve"> </w:t>
      </w:r>
      <w:r>
        <w:t xml:space="preserve">tab documents 34 cookies, of which</w:t>
      </w:r>
      <w:r>
        <w:t xml:space="preserve"> </w:t>
      </w:r>
      <w:r>
        <w:rPr>
          <w:b/>
          <w:bCs/>
        </w:rPr>
        <w:t xml:space="preserve">29 are third-party advertising/tracking cookies</w:t>
      </w:r>
      <w:r>
        <w:t xml:space="preserve"> </w:t>
      </w:r>
      <w:r>
        <w:t xml:space="preserve">(4 Brightly + 25 other third-party networks including real-time-bidding exchanges, retargeting pixels, identity-graph/resolution vendors, and a</w:t>
      </w:r>
      <w:r>
        <w:t xml:space="preserve"> </w:t>
      </w:r>
      <w:r>
        <w:t xml:space="preserve">“</w:t>
      </w:r>
      <w:r>
        <w:t xml:space="preserve">consent-bypass.com</w:t>
      </w:r>
      <w:r>
        <w:t xml:space="preserve">”</w:t>
      </w:r>
      <w:r>
        <w:t xml:space="preserve"> </w:t>
      </w:r>
      <w:r>
        <w:t xml:space="preserve">frequency-capping cookie). The consent banner is documented as:</w:t>
      </w:r>
      <w:r>
        <w:t xml:space="preserve"> </w:t>
      </w:r>
      <w:r>
        <w:t xml:space="preserve">“</w:t>
      </w:r>
      <w:r>
        <w:t xml:space="preserve">Accept All Button Only</w:t>
      </w:r>
      <w:r>
        <w:t xml:space="preserve">”</w:t>
      </w:r>
      <w:r>
        <w:t xml:space="preserve">;</w:t>
      </w:r>
      <w:r>
        <w:t xml:space="preserve"> </w:t>
      </w:r>
      <w:r>
        <w:t xml:space="preserve">“</w:t>
      </w:r>
      <w:r>
        <w:t xml:space="preserve">Reject Option Available: NO</w:t>
      </w:r>
      <w:r>
        <w:t xml:space="preserve">”</w:t>
      </w:r>
      <w:r>
        <w:t xml:space="preserve">;</w:t>
      </w:r>
      <w:r>
        <w:t xml:space="preserve"> </w:t>
      </w:r>
      <w:r>
        <w:t xml:space="preserve">“</w:t>
      </w:r>
      <w:r>
        <w:t xml:space="preserve">Customize/Manage Preferences Option: NO</w:t>
      </w:r>
      <w:r>
        <w:t xml:space="preserve">”</w:t>
      </w:r>
      <w:r>
        <w:t xml:space="preserve">; and</w:t>
      </w:r>
      <w:r>
        <w:t xml:space="preserve"> </w:t>
      </w:r>
      <w:r>
        <w:t xml:space="preserve">“</w:t>
      </w:r>
      <w:r>
        <w:t xml:space="preserve">Banner Blocks Cookies Before Consent: NO — all cookies fire on page load regardless of banner interaction.</w:t>
      </w:r>
      <w:r>
        <w:t xml:space="preserve">”</w:t>
      </w:r>
      <w:r>
        <w:t xml:space="preserve"> </w:t>
      </w:r>
      <w:r>
        <w:t xml:space="preserve">The Inventory concludes this</w:t>
      </w:r>
      <w:r>
        <w:t xml:space="preserve"> </w:t>
      </w:r>
      <w:r>
        <w:t xml:space="preserve">“</w:t>
      </w:r>
      <w:r>
        <w:t xml:space="preserve">violates the ePrivacy Directive requirement for freely given, specific, and informed consent for non-essential cookies</w:t>
      </w:r>
      <w:r>
        <w:t xml:space="preserve">”</w:t>
      </w:r>
      <w:r>
        <w:t xml:space="preserve"> </w:t>
      </w:r>
      <w:r>
        <w:t xml:space="preserve">and</w:t>
      </w:r>
      <w:r>
        <w:t xml:space="preserve"> </w:t>
      </w:r>
      <w:r>
        <w:t xml:space="preserve">“</w:t>
      </w:r>
      <w:r>
        <w:t xml:space="preserve">does not meet GDPR consent standards (Art. 4(11)),</w:t>
      </w:r>
      <w:r>
        <w:t xml:space="preserve">”</w:t>
      </w:r>
      <w:r>
        <w:t xml:space="preserve"> </w:t>
      </w:r>
      <w:r>
        <w:t xml:space="preserve">and notes</w:t>
      </w:r>
      <w:r>
        <w:t xml:space="preserve"> </w:t>
      </w:r>
      <w:r>
        <w:t xml:space="preserve">“</w:t>
      </w:r>
      <w:r>
        <w:t xml:space="preserve">No Do Not Track signal detection implemented. CalOPPA DNT disclosure not included in privacy policy.</w:t>
      </w:r>
      <w:r>
        <w:t xml:space="preserve">”</w:t>
      </w:r>
      <w:r>
        <w:t xml:space="preserve"> </w:t>
      </w:r>
      <w:r>
        <w:t xml:space="preserve">The Policy’s cookie disclosure is thus both incomplete (failing to name or describe the 29 third-party trackers) and inconsistent with the non-compliant consent mechanism actually in use.</w:t>
      </w:r>
    </w:p>
    <w:bookmarkEnd w:id="32"/>
    <w:bookmarkStart w:id="33" w:name="X6688911919acf1eefa792ad16dd5594a99f6486"/>
    <w:p>
      <w:pPr>
        <w:pStyle w:val="Heading3"/>
      </w:pPr>
      <w:r>
        <w:t xml:space="preserve">J. Privacy Policy Staleness, Readability &amp; Consent Model (Issue 17)</w:t>
      </w:r>
    </w:p>
    <w:p>
      <w:pPr>
        <w:pStyle w:val="FirstParagraph"/>
      </w:pPr>
      <w:r>
        <w:rPr>
          <w:b/>
          <w:bCs/>
        </w:rPr>
        <w:t xml:space="preserve">Issue 17 — Policy &gt;2 years stale; readability and structure (Medium).</w:t>
      </w:r>
    </w:p>
    <w:p>
      <w:pPr>
        <w:pStyle w:val="BodyText"/>
      </w:pPr>
      <w:r>
        <w:t xml:space="preserve">The Policy was last updated January 15, 2023 — over two years ago. The Data Inventory Revision Log shows that the internal inventory was updated repeatedly in the interim to reflect the Selfie Verify launch (March 2023), the Brightly amendment (June 2024), the August 2024 breach (September 2024), the DPIA tab (November 2024), the EU Processing Summary (January 2025), and the cookie audit (February 2025) — but the consumer-facing Policy was never updated to match. The investor email (§1) notes the Policy is ~9,200 words of</w:t>
      </w:r>
      <w:r>
        <w:t xml:space="preserve"> </w:t>
      </w:r>
      <w:r>
        <w:t xml:space="preserve">“</w:t>
      </w:r>
      <w:r>
        <w:t xml:space="preserve">dense, unformatted legal prose with no section headers, table of contents, or layered disclosure structure,</w:t>
      </w:r>
      <w:r>
        <w:t xml:space="preserve">”</w:t>
      </w:r>
      <w:r>
        <w:t xml:space="preserve"> </w:t>
      </w:r>
      <w:r>
        <w:t xml:space="preserve">with an estimated Flesch–Kincaid grade level of 18.2 (post-graduate), raising</w:t>
      </w:r>
      <w:r>
        <w:t xml:space="preserve"> </w:t>
      </w:r>
      <w:r>
        <w:t xml:space="preserve">“</w:t>
      </w:r>
      <w:r>
        <w:t xml:space="preserve">meaningful concerns from an FTC</w:t>
      </w:r>
      <w:r>
        <w:t xml:space="preserve"> </w:t>
      </w:r>
      <w:r>
        <w:t xml:space="preserve">‘</w:t>
      </w:r>
      <w:r>
        <w:t xml:space="preserve">clear and conspicuous</w:t>
      </w:r>
      <w:r>
        <w:t xml:space="preserve">’</w:t>
      </w:r>
      <w:r>
        <w:t xml:space="preserve"> </w:t>
      </w:r>
      <w:r>
        <w:t xml:space="preserve">disclosure standpoint.</w:t>
      </w:r>
      <w:r>
        <w:t xml:space="preserve">”</w:t>
      </w:r>
      <w:r>
        <w:t xml:space="preserve"> </w:t>
      </w:r>
      <w:r>
        <w:t xml:space="preserve">The Policy’s own</w:t>
      </w:r>
      <w:r>
        <w:t xml:space="preserve"> </w:t>
      </w:r>
      <w:r>
        <w:t xml:space="preserve">“</w:t>
      </w:r>
      <w:r>
        <w:t xml:space="preserve">Changes to This Privacy Policy</w:t>
      </w:r>
      <w:r>
        <w:t xml:space="preserve">”</w:t>
      </w:r>
      <w:r>
        <w:t xml:space="preserve"> </w:t>
      </w:r>
      <w:r>
        <w:t xml:space="preserve">section disclaims any obligation to provide individual notice of material changes and deems posting sufficient — a stance difficult to reconcile with the CPRA’s and GDPR’s notice requirements for material changes to data practices, and belied by the fact that no update was posted at all. This staleness is the cross-cutting root cause underlying Issues 2, 3, 4, 5, 8, 9, 10, and 15.</w:t>
      </w:r>
    </w:p>
    <w:bookmarkEnd w:id="33"/>
    <w:bookmarkStart w:id="34" w:name="Xca95d0451a7313d31411951f9cd87ee1eee64c2"/>
    <w:p>
      <w:pPr>
        <w:pStyle w:val="Heading3"/>
      </w:pPr>
      <w:r>
        <w:t xml:space="preserve">K. Partner Financial-Product Referrals (Issue 14)</w:t>
      </w:r>
    </w:p>
    <w:p>
      <w:pPr>
        <w:pStyle w:val="FirstParagraph"/>
      </w:pPr>
      <w:r>
        <w:rPr>
          <w:b/>
          <w:bCs/>
        </w:rPr>
        <w:t xml:space="preserve">Issue 14 — Potential undisclosed</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via 14 partner referrals (Medium).</w:t>
      </w:r>
    </w:p>
    <w:p>
      <w:pPr>
        <w:pStyle w:val="BodyText"/>
      </w:pPr>
      <w:r>
        <w:t xml:space="preserve">The Policy discloses that Vaultline</w:t>
      </w:r>
      <w:r>
        <w:t xml:space="preserve"> </w:t>
      </w:r>
      <w:r>
        <w:t xml:space="preserve">“</w:t>
      </w:r>
      <w:r>
        <w:t xml:space="preserve">collaborates with approximately fourteen partner financial product providers for referral purposes</w:t>
      </w:r>
      <w:r>
        <w:t xml:space="preserve">”</w:t>
      </w:r>
      <w:r>
        <w:t xml:space="preserve"> </w:t>
      </w:r>
      <w:r>
        <w:t xml:space="preserve">and that</w:t>
      </w:r>
      <w:r>
        <w:t xml:space="preserve"> </w:t>
      </w:r>
      <w:r>
        <w:t xml:space="preserve">“</w:t>
      </w:r>
      <w:r>
        <w:t xml:space="preserve">certain information about users may be shared with such partners,</w:t>
      </w:r>
      <w:r>
        <w:t xml:space="preserve">”</w:t>
      </w:r>
      <w:r>
        <w:t xml:space="preserve"> </w:t>
      </w:r>
      <w:r>
        <w:t xml:space="preserve">but it does not disclose the referral-fee consideration, does not characterize the sharing as a</w:t>
      </w:r>
      <w:r>
        <w:t xml:space="preserve"> </w:t>
      </w:r>
      <w:r>
        <w:t xml:space="preserve">“</w:t>
      </w:r>
      <w:r>
        <w:t xml:space="preserve">sale,</w:t>
      </w:r>
      <w:r>
        <w:t xml:space="preserve">”</w:t>
      </w:r>
      <w:r>
        <w:t xml:space="preserve"> </w:t>
      </w:r>
      <w:r>
        <w:t xml:space="preserve">and provides no opt-out. The Data Inventory (TS-003, PA-005) records that data (name, email, age, income bracket, credit-score range) is shared with 14 partners on click-through, that a</w:t>
      </w:r>
      <w:r>
        <w:t xml:space="preserve"> </w:t>
      </w:r>
      <w:r>
        <w:t xml:space="preserve">“</w:t>
      </w:r>
      <w:r>
        <w:t xml:space="preserve">referral fee [is] earned per click-through/application</w:t>
      </w:r>
      <w:r>
        <w:t xml:space="preserve">”</w:t>
      </w:r>
      <w:r>
        <w:t xml:space="preserve"> </w:t>
      </w:r>
      <w:r>
        <w:t xml:space="preserve">(~420,000 click-throughs in FY 2024), and classifies the arrangement as</w:t>
      </w:r>
      <w:r>
        <w:t xml:space="preserve"> </w:t>
      </w:r>
      <w:r>
        <w:t xml:space="preserve">“</w:t>
      </w:r>
      <w:r>
        <w:t xml:space="preserve">Business Purpose / potentially Sale (referral fee received)</w:t>
      </w:r>
      <w:r>
        <w:t xml:space="preserve">”</w:t>
      </w:r>
      <w:r>
        <w:t xml:space="preserve"> </w:t>
      </w:r>
      <w:r>
        <w:t xml:space="preserve">with</w:t>
      </w:r>
      <w:r>
        <w:t xml:space="preserve"> </w:t>
      </w:r>
      <w:r>
        <w:t xml:space="preserve">“</w:t>
      </w:r>
      <w:r>
        <w:t xml:space="preserve">Opt-Out Mechanism Provided? No.</w:t>
      </w:r>
      <w:r>
        <w:t xml:space="preserve">”</w:t>
      </w:r>
      <w:r>
        <w:t xml:space="preserve"> </w:t>
      </w:r>
      <w:r>
        <w:t xml:space="preserve">The exchange of personal information for referral fees may constitute a CPRA</w:t>
      </w:r>
      <w:r>
        <w:t xml:space="preserve"> </w:t>
      </w:r>
      <w:r>
        <w:t xml:space="preserve">“</w:t>
      </w:r>
      <w:r>
        <w:t xml:space="preserve">sale</w:t>
      </w:r>
      <w:r>
        <w:t xml:space="preserve">”</w:t>
      </w:r>
      <w:r>
        <w:t xml:space="preserve"> </w:t>
      </w:r>
      <w:r>
        <w:t xml:space="preserve">requiring disclosure and opt-out, and would also implicate GLBA opt-out obligations if GLBA applies (Issue 7). The Policy’s disclosure is incomplete as to the monetary consideration and the sale characterization.</w:t>
      </w:r>
    </w:p>
    <w:bookmarkEnd w:id="34"/>
    <w:bookmarkStart w:id="35" w:name="X35e1ec9903c3fae5d8436bc965821f8670fcf91"/>
    <w:p>
      <w:pPr>
        <w:pStyle w:val="Heading3"/>
      </w:pPr>
      <w:r>
        <w:t xml:space="preserve">L. Cross-Document Factual Inconsistency — EU Data Location (Issue 18)</w:t>
      </w:r>
    </w:p>
    <w:p>
      <w:pPr>
        <w:pStyle w:val="FirstParagraph"/>
      </w:pPr>
      <w:r>
        <w:rPr>
          <w:b/>
          <w:bCs/>
        </w:rPr>
        <w:t xml:space="preserve">Issue 18 — Inconsistent statements on where EU-resident data is stored (Medium).</w:t>
      </w:r>
    </w:p>
    <w:p>
      <w:pPr>
        <w:pStyle w:val="BodyText"/>
      </w:pPr>
      <w:r>
        <w:t xml:space="preserve">The documents conflict on whether EU-resident user data is stored in the EU (Dublin) or only in the United States (Virginia):</w:t>
      </w:r>
    </w:p>
    <w:p>
      <w:pPr>
        <w:pStyle w:val="Compact"/>
        <w:numPr>
          <w:ilvl w:val="0"/>
          <w:numId w:val="1007"/>
        </w:numPr>
      </w:pPr>
      <w:r>
        <w:rPr>
          <w:b/>
          <w:bCs/>
        </w:rPr>
        <w:t xml:space="preserve">Breach Log, Entry 5 (August 13, 2024):</w:t>
      </w:r>
      <w:r>
        <w:t xml:space="preserve"> </w:t>
      </w:r>
      <w:r>
        <w:t xml:space="preserve">CloudFort</w:t>
      </w:r>
      <w:r>
        <w:t xml:space="preserve"> </w:t>
      </w:r>
      <w:r>
        <w:t xml:space="preserve">“</w:t>
      </w:r>
      <w:r>
        <w:t xml:space="preserve">confirmed that all unauthorized data access occurred within its Ashburn, Virginia data center and that no access anomalies were detected on its Dublin, Ireland infrastructure,</w:t>
      </w:r>
      <w:r>
        <w:t xml:space="preserve"> </w:t>
      </w:r>
      <w:r>
        <w:rPr>
          <w:b/>
          <w:bCs/>
        </w:rPr>
        <w:t xml:space="preserve">where EU-resident user data is partially replicated</w:t>
      </w:r>
      <w:r>
        <w:t xml:space="preserve">.</w:t>
      </w:r>
      <w:r>
        <w:t xml:space="preserve">”</w:t>
      </w:r>
    </w:p>
    <w:p>
      <w:pPr>
        <w:pStyle w:val="Compact"/>
        <w:numPr>
          <w:ilvl w:val="0"/>
          <w:numId w:val="1007"/>
        </w:numPr>
      </w:pPr>
      <w:r>
        <w:rPr>
          <w:b/>
          <w:bCs/>
        </w:rPr>
        <w:t xml:space="preserve">Data Inventory, PA-007:</w:t>
      </w:r>
      <w:r>
        <w:t xml:space="preserve"> </w:t>
      </w:r>
      <w:r>
        <w:t xml:space="preserve">“</w:t>
      </w:r>
      <w:r>
        <w:t xml:space="preserve">EU-resident user data (~23,000 users) processed on Virginia (US) servers.</w:t>
      </w:r>
      <w:r>
        <w:t xml:space="preserve">”</w:t>
      </w:r>
    </w:p>
    <w:p>
      <w:pPr>
        <w:pStyle w:val="Compact"/>
        <w:numPr>
          <w:ilvl w:val="0"/>
          <w:numId w:val="1007"/>
        </w:numPr>
      </w:pPr>
      <w:r>
        <w:rPr>
          <w:b/>
          <w:bCs/>
        </w:rPr>
        <w:t xml:space="preserve">Data Inventory, TS-004:</w:t>
      </w:r>
      <w:r>
        <w:t xml:space="preserve"> </w:t>
      </w:r>
      <w:r>
        <w:t xml:space="preserve">“</w:t>
      </w:r>
      <w:r>
        <w:t xml:space="preserve">EU-resident user data (~23,000 users) currently processed on Virginia (US) servers. No SCCs executed for EU data transfers.</w:t>
      </w:r>
      <w:r>
        <w:t xml:space="preserve">”</w:t>
      </w:r>
    </w:p>
    <w:p>
      <w:pPr>
        <w:pStyle w:val="Compact"/>
        <w:numPr>
          <w:ilvl w:val="0"/>
          <w:numId w:val="1007"/>
        </w:numPr>
      </w:pPr>
      <w:r>
        <w:rPr>
          <w:b/>
          <w:bCs/>
        </w:rPr>
        <w:t xml:space="preserve">Data Inventory, IT-001:</w:t>
      </w:r>
      <w:r>
        <w:t xml:space="preserve"> </w:t>
      </w:r>
      <w:r>
        <w:t xml:space="preserve">“</w:t>
      </w:r>
      <w:r>
        <w:t xml:space="preserve">All EU-resident user data is processed and stored on CloudFort Virginia servers.</w:t>
      </w:r>
      <w:r>
        <w:t xml:space="preserve">”</w:t>
      </w:r>
    </w:p>
    <w:p>
      <w:pPr>
        <w:pStyle w:val="FirstParagraph"/>
      </w:pPr>
      <w:r>
        <w:t xml:space="preserve">If EU data is in fact replicated to Dublin, the Inventory’s transfer analysis (which assumes all EU data sits in Virginia) is incomplete, and a transfer to an EU facility would actually reduce (not increase) transfer-mechanism exposure — but the Inventory’s contrary representation would itself be inaccurate. If EU data is not replicated to Dublin, the Breach Log’s statement is inaccurate. Either way, the inability to state consistently where EU personal data resides is an accountability failure under GDPR Article 5(2) and complicates the transfer-mechanism remediation (Issue 1). This inconsistency should be reconciled as a prerequisite to certifying any transfer mechanism.</w:t>
      </w:r>
    </w:p>
    <w:p>
      <w:r>
        <w:pict>
          <v:rect style="width:0;height:1.5pt" o:hralign="center" o:hrstd="t" o:hr="t"/>
        </w:pict>
      </w:r>
    </w:p>
    <w:bookmarkEnd w:id="35"/>
    <w:bookmarkEnd w:id="36"/>
    <w:bookmarkStart w:id="40" w:name="v.-prioritized-remediation-roadmap"/>
    <w:p>
      <w:pPr>
        <w:pStyle w:val="Heading2"/>
      </w:pPr>
      <w:r>
        <w:t xml:space="preserve">V. Prioritized Remediation Roadmap</w:t>
      </w:r>
    </w:p>
    <w:p>
      <w:pPr>
        <w:pStyle w:val="FirstParagraph"/>
      </w:pPr>
      <w:r>
        <w:t xml:space="preserve">The following roadmap is sequenced by severity and by the April 15, 2025 diligence deadline and Q3 2025 EU launch. Timeframes are illustrative and assume immediate initiation.</w:t>
      </w:r>
    </w:p>
    <w:bookmarkStart w:id="37" w:name="X0d4e03eb4535d0bd379af5499ebeb3fac3cd492"/>
    <w:p>
      <w:pPr>
        <w:pStyle w:val="Heading3"/>
      </w:pPr>
      <w:r>
        <w:t xml:space="preserve">Tier 1 — Critical (address before April 15, 2025 diligence deadline; mandatory before EU launch)</w:t>
      </w:r>
    </w:p>
    <w:p>
      <w:pPr>
        <w:pStyle w:val="Compact"/>
        <w:numPr>
          <w:ilvl w:val="0"/>
          <w:numId w:val="1008"/>
        </w:numPr>
      </w:pPr>
      <w:r>
        <w:rPr>
          <w:b/>
          <w:bCs/>
        </w:rPr>
        <w:t xml:space="preserve">EU transfer mechanism (Issue 1).</w:t>
      </w:r>
      <w:r>
        <w:t xml:space="preserve"> </w:t>
      </w:r>
      <w:r>
        <w:t xml:space="preserve">Either (a) self-certify under the EU–US Data Privacy Framework, or (b) execute the 2021 EC Standard Contractual Clauses with CloudFort (and with Brightly and FinLink to the extent EU data is shared) and complete a transfer impact assessment. Reconcile the EU data-location inconsistency (Issue 18) first. Remove all Privacy Shield references from the Policy.</w:t>
      </w:r>
    </w:p>
    <w:p>
      <w:pPr>
        <w:pStyle w:val="Compact"/>
        <w:numPr>
          <w:ilvl w:val="0"/>
          <w:numId w:val="1008"/>
        </w:numPr>
      </w:pPr>
      <w:r>
        <w:rPr>
          <w:b/>
          <w:bCs/>
        </w:rPr>
        <w:t xml:space="preserve">Biometric data / BIPA (Issue 2).</w:t>
      </w:r>
      <w:r>
        <w:t xml:space="preserve"> </w:t>
      </w:r>
      <w:r>
        <w:t xml:space="preserve">Publish a written, publicly available biometric retention-and-destruction schedule; implement a compliant written-informed-consent flow with the 740 ILCS 14/15(b) disclosures; add biometric-data disclosure to the Policy; conduct a state-by-state biometric-law analysis (IL, TX, WA, and others); and assess whether the 5-year retention is justified or should be shortened. Evaluate BIPA litigation exposure and consider insurance/indemnity implications for the transaction.</w:t>
      </w:r>
    </w:p>
    <w:p>
      <w:pPr>
        <w:pStyle w:val="Compact"/>
        <w:numPr>
          <w:ilvl w:val="0"/>
          <w:numId w:val="1008"/>
        </w:numPr>
      </w:pPr>
      <w:r>
        <w:rPr>
          <w:b/>
          <w:bCs/>
        </w:rPr>
        <w:t xml:space="preserve">Brightly</w:t>
      </w:r>
      <w:r>
        <w:rPr>
          <w:b/>
          <w:bCs/>
        </w:rPr>
        <w:t xml:space="preserve"> </w:t>
      </w:r>
      <w:r>
        <w:rPr>
          <w:b/>
          <w:bCs/>
        </w:rPr>
        <w:t xml:space="preserve">“</w:t>
      </w:r>
      <w:r>
        <w:rPr>
          <w:b/>
          <w:bCs/>
        </w:rPr>
        <w:t xml:space="preserve">sale</w:t>
      </w:r>
      <w:r>
        <w:rPr>
          <w:b/>
          <w:bCs/>
        </w:rPr>
        <w:t xml:space="preserve">”</w:t>
      </w:r>
      <w:r>
        <w:rPr>
          <w:b/>
          <w:bCs/>
        </w:rPr>
        <w:t xml:space="preserve">/</w:t>
      </w:r>
      <w:r>
        <w:rPr>
          <w:b/>
          <w:bCs/>
        </w:rPr>
        <w:t xml:space="preserve">“</w:t>
      </w:r>
      <w:r>
        <w:rPr>
          <w:b/>
          <w:bCs/>
        </w:rPr>
        <w:t xml:space="preserve">sharing</w:t>
      </w:r>
      <w:r>
        <w:rPr>
          <w:b/>
          <w:bCs/>
        </w:rPr>
        <w:t xml:space="preserve">”</w:t>
      </w:r>
      <w:r>
        <w:rPr>
          <w:b/>
          <w:bCs/>
        </w:rPr>
        <w:t xml:space="preserve"> </w:t>
      </w:r>
      <w:r>
        <w:rPr>
          <w:b/>
          <w:bCs/>
        </w:rPr>
        <w:t xml:space="preserve">disclosure and opt-out (Issue 3).</w:t>
      </w:r>
      <w:r>
        <w:t xml:space="preserve"> </w:t>
      </w:r>
      <w:r>
        <w:t xml:space="preserve">Add Brightly to the Policy’s sharing disclosures; characterize the arrangement as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implement a</w:t>
      </w:r>
      <w:r>
        <w:t xml:space="preserve"> </w:t>
      </w:r>
      <w:r>
        <w:t xml:space="preserve">“</w:t>
      </w:r>
      <w:r>
        <w:t xml:space="preserve">Do Not Sell or Share My Personal Information</w:t>
      </w:r>
      <w:r>
        <w:t xml:space="preserve">”</w:t>
      </w:r>
      <w:r>
        <w:t xml:space="preserve"> </w:t>
      </w:r>
      <w:r>
        <w:t xml:space="preserve">opt-out and a preference-signal handler; and assess whether the DSA should be amended to add CCPA-specific terms and an opt-out flow. Evaluate the §7.1 representation exposure (Issue 11).</w:t>
      </w:r>
    </w:p>
    <w:p>
      <w:pPr>
        <w:pStyle w:val="Compact"/>
        <w:numPr>
          <w:ilvl w:val="0"/>
          <w:numId w:val="1008"/>
        </w:numPr>
      </w:pPr>
      <w:r>
        <w:rPr>
          <w:b/>
          <w:bCs/>
        </w:rPr>
        <w:t xml:space="preserve">GDPR transparency (Issue 4).</w:t>
      </w:r>
      <w:r>
        <w:t xml:space="preserve"> </w:t>
      </w:r>
      <w:r>
        <w:t xml:space="preserve">Rewrite the EU section to satisfy Articles 13/14: identify controller/DPO contacts; appoint a DPO (Art. 37) and an EU representative (Art. 27); state the lawful basis for each processing activity; disclose recipients, transfer mechanisms, retention periods, data-subject rights (Arts. 15–22), the right to withdraw consent, and the right to lodge a complaint with a supervisory authority; and disclose automated decision-making (Issue 5).</w:t>
      </w:r>
    </w:p>
    <w:bookmarkEnd w:id="37"/>
    <w:bookmarkStart w:id="38" w:name="Xcb75a0d229971f20d4c28e1cee3ec4e4a53f290"/>
    <w:p>
      <w:pPr>
        <w:pStyle w:val="Heading3"/>
      </w:pPr>
      <w:r>
        <w:t xml:space="preserve">Tier 2 — High (address before EU launch; begin before closing)</w:t>
      </w:r>
    </w:p>
    <w:p>
      <w:pPr>
        <w:pStyle w:val="Compact"/>
        <w:numPr>
          <w:ilvl w:val="0"/>
          <w:numId w:val="1009"/>
        </w:numPr>
      </w:pPr>
      <w:r>
        <w:rPr>
          <w:b/>
          <w:bCs/>
        </w:rPr>
        <w:t xml:space="preserve">Automated decision-making (Issue 5).</w:t>
      </w:r>
      <w:r>
        <w:t xml:space="preserve"> </w:t>
      </w:r>
      <w:r>
        <w:t xml:space="preserve">Add Smart Insights disclosure (existence, logic, significance, consequences); provide a human-review option and an opt-out/contest mechanism; conduct the mandatory DPIA (Issue 12).</w:t>
      </w:r>
    </w:p>
    <w:p>
      <w:pPr>
        <w:pStyle w:val="Compact"/>
        <w:numPr>
          <w:ilvl w:val="0"/>
          <w:numId w:val="1009"/>
        </w:numPr>
      </w:pPr>
      <w:r>
        <w:rPr>
          <w:b/>
          <w:bCs/>
        </w:rPr>
        <w:t xml:space="preserve">Breach-notification cure (Issue 6).</w:t>
      </w:r>
      <w:r>
        <w:t xml:space="preserve"> </w:t>
      </w:r>
      <w:r>
        <w:t xml:space="preserve">Evaluate any still-available curative regulator notifications (CA AG; other state AGs; EU supervisory authority); document the Article 33 analysis; assess the DSA §9.2 Brightly-notification question; and update the Incident Response Plan’s notification timelines. Consider disclosure/rep implications for the Series C.</w:t>
      </w:r>
    </w:p>
    <w:p>
      <w:pPr>
        <w:pStyle w:val="Compact"/>
        <w:numPr>
          <w:ilvl w:val="0"/>
          <w:numId w:val="1009"/>
        </w:numPr>
      </w:pPr>
      <w:r>
        <w:rPr>
          <w:b/>
          <w:bCs/>
        </w:rPr>
        <w:t xml:space="preserve">GLBA analysis (Issue 7).</w:t>
      </w:r>
      <w:r>
        <w:t xml:space="preserve"> </w:t>
      </w:r>
      <w:r>
        <w:t xml:space="preserve">Obtain a definitive GLBA</w:t>
      </w:r>
      <w:r>
        <w:t xml:space="preserve"> </w:t>
      </w:r>
      <w:r>
        <w:t xml:space="preserve">“</w:t>
      </w:r>
      <w:r>
        <w:t xml:space="preserve">financial institution</w:t>
      </w:r>
      <w:r>
        <w:t xml:space="preserve">”</w:t>
      </w:r>
      <w:r>
        <w:t xml:space="preserve"> </w:t>
      </w:r>
      <w:r>
        <w:t xml:space="preserve">characterization. If GLBA applies, implement initial and annual privacy notices and an NPI opt-out; coordinate with the Brightly and partner-referral opt-outs.</w:t>
      </w:r>
    </w:p>
    <w:p>
      <w:pPr>
        <w:pStyle w:val="Compact"/>
        <w:numPr>
          <w:ilvl w:val="0"/>
          <w:numId w:val="1009"/>
        </w:numPr>
      </w:pPr>
      <w:r>
        <w:rPr>
          <w:b/>
          <w:bCs/>
        </w:rPr>
        <w:t xml:space="preserve">CCPA/CPRA rights and sensitive PI (Issues 8, 15).</w:t>
      </w:r>
      <w:r>
        <w:t xml:space="preserve"> </w:t>
      </w:r>
      <w:r>
        <w:t xml:space="preserve">Add the full suite of CPRA rights (deletion, correction, opt-out of sale/sharing, limit sensitive PI, non-discrimination); classify sensitive PI; add the</w:t>
      </w:r>
      <w:r>
        <w:t xml:space="preserve"> </w:t>
      </w:r>
      <w:r>
        <w:t xml:space="preserve">“</w:t>
      </w:r>
      <w:r>
        <w:t xml:space="preserve">Limit the Use of My Sensitive Personal Information</w:t>
      </w:r>
      <w:r>
        <w:t xml:space="preserve">”</w:t>
      </w:r>
      <w:r>
        <w:t xml:space="preserve"> </w:t>
      </w:r>
      <w:r>
        <w:t xml:space="preserve">opt-out.</w:t>
      </w:r>
    </w:p>
    <w:p>
      <w:pPr>
        <w:pStyle w:val="Compact"/>
        <w:numPr>
          <w:ilvl w:val="0"/>
          <w:numId w:val="1009"/>
        </w:numPr>
      </w:pPr>
      <w:r>
        <w:rPr>
          <w:b/>
          <w:bCs/>
        </w:rPr>
        <w:t xml:space="preserve">Data retention (Issue 9).</w:t>
      </w:r>
      <w:r>
        <w:t xml:space="preserve"> </w:t>
      </w:r>
      <w:r>
        <w:t xml:space="preserve">Establish and document category-specific retention schedules with defined deletion/destruction methods; update the Policy with retention periods; implement deletion upon account closure.</w:t>
      </w:r>
    </w:p>
    <w:p>
      <w:pPr>
        <w:pStyle w:val="Compact"/>
        <w:numPr>
          <w:ilvl w:val="0"/>
          <w:numId w:val="1009"/>
        </w:numPr>
      </w:pPr>
      <w:r>
        <w:rPr>
          <w:b/>
          <w:bCs/>
        </w:rPr>
        <w:t xml:space="preserve">Cookie consent (Issue 10).</w:t>
      </w:r>
      <w:r>
        <w:t xml:space="preserve"> </w:t>
      </w:r>
      <w:r>
        <w:t xml:space="preserve">Replace the</w:t>
      </w:r>
      <w:r>
        <w:t xml:space="preserve"> </w:t>
      </w:r>
      <w:r>
        <w:t xml:space="preserve">“</w:t>
      </w:r>
      <w:r>
        <w:t xml:space="preserve">Accept All</w:t>
      </w:r>
      <w:r>
        <w:t xml:space="preserve">”</w:t>
      </w:r>
      <w:r>
        <w:t xml:space="preserve">-only banner with a GDPR/ePrivacy-compliant consent management platform offering granular, reject-equivalent options; block non-essential cookies until consent; add a CalOPPA Do-Not-Track disclosure; and disclose the third-party trackers in the Policy.</w:t>
      </w:r>
    </w:p>
    <w:p>
      <w:pPr>
        <w:pStyle w:val="Compact"/>
        <w:numPr>
          <w:ilvl w:val="0"/>
          <w:numId w:val="1009"/>
        </w:numPr>
      </w:pPr>
      <w:r>
        <w:rPr>
          <w:b/>
          <w:bCs/>
        </w:rPr>
        <w:t xml:space="preserve">DPIAs (Issue 12).</w:t>
      </w:r>
      <w:r>
        <w:t xml:space="preserve"> </w:t>
      </w:r>
      <w:r>
        <w:t xml:space="preserve">Conduct DPIAs for PA-001 (biometric), PA-003 (automated decisions), PA-004 (Brightly profiling), and PA-007 (international transfers), at minimum.</w:t>
      </w:r>
    </w:p>
    <w:p>
      <w:pPr>
        <w:pStyle w:val="Compact"/>
        <w:numPr>
          <w:ilvl w:val="0"/>
          <w:numId w:val="1009"/>
        </w:numPr>
      </w:pPr>
      <w:r>
        <w:rPr>
          <w:b/>
          <w:bCs/>
        </w:rPr>
        <w:t xml:space="preserve">Consent model (Issue 13).</w:t>
      </w:r>
      <w:r>
        <w:t xml:space="preserve"> </w:t>
      </w:r>
      <w:r>
        <w:t xml:space="preserve">Move from browsewrap to affirmative, granular consent where required (especially for biometric explicit consent and any GDPR-consent-based processing); conduct legitimate-interest assessments where legitimate interests are claimed.</w:t>
      </w:r>
    </w:p>
    <w:bookmarkEnd w:id="38"/>
    <w:bookmarkStart w:id="39" w:name="X77dd09ebdedf07caeaae89747642c940eca55d8"/>
    <w:p>
      <w:pPr>
        <w:pStyle w:val="Heading3"/>
      </w:pPr>
      <w:r>
        <w:t xml:space="preserve">Tier 3 — Medium (address on a remediation timeline; some pre-closing)</w:t>
      </w:r>
    </w:p>
    <w:p>
      <w:pPr>
        <w:pStyle w:val="Compact"/>
        <w:numPr>
          <w:ilvl w:val="0"/>
          <w:numId w:val="1010"/>
        </w:numPr>
      </w:pPr>
      <w:r>
        <w:rPr>
          <w:b/>
          <w:bCs/>
        </w:rPr>
        <w:t xml:space="preserve">Partner referrals (Issue 14).</w:t>
      </w:r>
      <w:r>
        <w:t xml:space="preserve"> </w:t>
      </w:r>
      <w:r>
        <w:t xml:space="preserve">Disclose referral-fee consideration; assess</w:t>
      </w:r>
      <w:r>
        <w:t xml:space="preserve"> </w:t>
      </w:r>
      <w:r>
        <w:t xml:space="preserve">“</w:t>
      </w:r>
      <w:r>
        <w:t xml:space="preserve">sale</w:t>
      </w:r>
      <w:r>
        <w:t xml:space="preserve">”</w:t>
      </w:r>
      <w:r>
        <w:t xml:space="preserve"> </w:t>
      </w:r>
      <w:r>
        <w:t xml:space="preserve">characterization; provide opt-out; coordinate with GLBA opt-out if applicable.</w:t>
      </w:r>
    </w:p>
    <w:p>
      <w:pPr>
        <w:pStyle w:val="Compact"/>
        <w:numPr>
          <w:ilvl w:val="0"/>
          <w:numId w:val="1010"/>
        </w:numPr>
      </w:pPr>
      <w:r>
        <w:rPr>
          <w:b/>
          <w:bCs/>
        </w:rPr>
        <w:t xml:space="preserve">Perpetual audience-segment use (Issue 16).</w:t>
      </w:r>
      <w:r>
        <w:t xml:space="preserve"> </w:t>
      </w:r>
      <w:r>
        <w:t xml:space="preserve">Renegotiate DSA §10.5(c) to impose deletion/retention limits on post-termination use; align with storage-limitation principles.</w:t>
      </w:r>
    </w:p>
    <w:p>
      <w:pPr>
        <w:pStyle w:val="Compact"/>
        <w:numPr>
          <w:ilvl w:val="0"/>
          <w:numId w:val="1010"/>
        </w:numPr>
      </w:pPr>
      <w:r>
        <w:rPr>
          <w:b/>
          <w:bCs/>
        </w:rPr>
        <w:t xml:space="preserve">Policy rewrite (Issue 17).</w:t>
      </w:r>
      <w:r>
        <w:t xml:space="preserve"> </w:t>
      </w:r>
      <w:r>
        <w:t xml:space="preserve">Comprehensively rewrite and restructure the Policy (headers, TOC, layered disclosures, plain language) to meet</w:t>
      </w:r>
      <w:r>
        <w:t xml:space="preserve"> </w:t>
      </w:r>
      <w:r>
        <w:t xml:space="preserve">“</w:t>
      </w:r>
      <w:r>
        <w:t xml:space="preserve">clear and conspicuous</w:t>
      </w:r>
      <w:r>
        <w:t xml:space="preserve">”</w:t>
      </w:r>
      <w:r>
        <w:t xml:space="preserve"> </w:t>
      </w:r>
      <w:r>
        <w:t xml:space="preserve">standards; implement a change-notice process for material changes.</w:t>
      </w:r>
    </w:p>
    <w:p>
      <w:pPr>
        <w:pStyle w:val="Compact"/>
        <w:numPr>
          <w:ilvl w:val="0"/>
          <w:numId w:val="1010"/>
        </w:numPr>
      </w:pPr>
      <w:r>
        <w:rPr>
          <w:b/>
          <w:bCs/>
        </w:rPr>
        <w:t xml:space="preserve">Data-location reconciliation (Issue 18).</w:t>
      </w:r>
      <w:r>
        <w:t xml:space="preserve"> </w:t>
      </w:r>
      <w:r>
        <w:t xml:space="preserve">Determine and document the actual storage location of EU-resident data; correct the inconsistent statements in the Breach Log and Data Inventory; align the transfer-mechanism analysis accordingly.</w:t>
      </w:r>
    </w:p>
    <w:p>
      <w:r>
        <w:pict>
          <v:rect style="width:0;height:1.5pt" o:hralign="center" o:hrstd="t" o:hr="t"/>
        </w:pict>
      </w:r>
    </w:p>
    <w:bookmarkEnd w:id="39"/>
    <w:bookmarkEnd w:id="40"/>
    <w:bookmarkStart w:id="41" w:name="vi.-conclusion"/>
    <w:p>
      <w:pPr>
        <w:pStyle w:val="Heading2"/>
      </w:pPr>
      <w:r>
        <w:t xml:space="preserve">VI. Conclusion</w:t>
      </w:r>
    </w:p>
    <w:p>
      <w:pPr>
        <w:pStyle w:val="FirstParagraph"/>
      </w:pPr>
      <w:r>
        <w:t xml:space="preserve">The five documents, read together, reveal a consistent pattern: Vaultline’s internal Data Inventory and its Brightly Data Sharing Agreement document data practices that the consumer-facing Privacy Policy does not reflect. The Policy is over two years stale and omits a biometric-verification feature launched shortly after its last update, an advertising-data</w:t>
      </w:r>
      <w:r>
        <w:t xml:space="preserve"> </w:t>
      </w:r>
      <w:r>
        <w:t xml:space="preserve">“</w:t>
      </w:r>
      <w:r>
        <w:t xml:space="preserve">sale</w:t>
      </w:r>
      <w:r>
        <w:t xml:space="preserve">”</w:t>
      </w:r>
      <w:r>
        <w:t xml:space="preserve"> </w:t>
      </w:r>
      <w:r>
        <w:t xml:space="preserve">generating ~$2.64 million annually, virtually all GDPR transparency content, and a valid EU transfer mechanism — while affirmatively relying on a framework invalidated in 2020. The August 2024 breach response, though forensically sound, exhibits notification gaps relative to California, GDPR, and contractual (Brightly) requirements. The Data Inventory — approved by the General Counsel — independently confirms most of these gaps and, in several places, expressly states that the conduct is undisclosed.</w:t>
      </w:r>
    </w:p>
    <w:p>
      <w:pPr>
        <w:pStyle w:val="BodyText"/>
      </w:pPr>
      <w:r>
        <w:t xml:space="preserve">Four issues are Critical and carry the largest quantified exposure: the invalid Privacy Shield reliance (GDPR Chapter V), the undisclosed biometric processing (BIPA exposure estimated at $87M–$435M), the undisclosed CPRA</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to Brightly, and the GDPR Articles 13/14 transparency failures (fine exposure up to ~$1.89M). The lead investor has signaled that remediation may be a condition to the Series C or may require escrow/holdback provisions. We recommend immediate initiation of the Tier 1 remediation items, a definitive GLBA characterization, completion of the mandatory DPIAs, and a comprehensive Policy rewrite — all on a timeline that delivers material progress before the April 15, 2025 diligence deadline and full remediation before the Q3 2025 EU launch.</w:t>
      </w:r>
    </w:p>
    <w:p>
      <w:pPr>
        <w:pStyle w:val="BodyText"/>
      </w:pPr>
      <w:r>
        <w:t xml:space="preserve">This memorandum is privileged and confidential, prepared in anticipation of the Series C transaction and the EU market launch, and should be handled accordingly.</w:t>
      </w:r>
    </w:p>
    <w:p>
      <w:r>
        <w:pict>
          <v:rect style="width:0;height:1.5pt" o:hralign="center" o:hrstd="t" o:hr="t"/>
        </w:pict>
      </w:r>
    </w:p>
    <w:p>
      <w:pPr>
        <w:pStyle w:val="FirstParagraph"/>
      </w:pPr>
      <w:r>
        <w:rPr>
          <w:i/>
          <w:iCs/>
        </w:rPr>
        <w:t xml:space="preserve">Prepared on the basis of the five documents identified in Part II. This memorandum identifies compliance gaps and recommended remediation and does not constitute a regulatory-admission or consumer-facing disclosure. Specific legal characterizations (e.g., GLBA applicability, CPRA</w:t>
      </w:r>
      <w:r>
        <w:rPr>
          <w:i/>
          <w:iCs/>
        </w:rPr>
        <w:t xml:space="preserve"> </w:t>
      </w:r>
      <w:r>
        <w:rPr>
          <w:i/>
          <w:iCs/>
        </w:rPr>
        <w:t xml:space="preserve">“</w:t>
      </w:r>
      <w:r>
        <w:rPr>
          <w:i/>
          <w:iCs/>
        </w:rPr>
        <w:t xml:space="preserve">sale</w:t>
      </w:r>
      <w:r>
        <w:rPr>
          <w:i/>
          <w:iCs/>
        </w:rPr>
        <w:t xml:space="preserve">”</w:t>
      </w:r>
      <w:r>
        <w:rPr>
          <w:i/>
          <w:iCs/>
        </w:rPr>
        <w:t xml:space="preserve"> </w:t>
      </w:r>
      <w:r>
        <w:rPr>
          <w:i/>
          <w:iCs/>
        </w:rPr>
        <w:t xml:space="preserve">status, BIPA violation findings) should be confirmed by counsel of record with the benefit of any additional facts.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2026-06-28T21:44:16Z</dcterms:created>
  <dcterms:modified xsi:type="dcterms:W3CDTF">2026-06-28T21:44:16Z</dcterms:modified>
</cp:coreProperties>
</file>

<file path=docProps/custom.xml><?xml version="1.0" encoding="utf-8"?>
<Properties xmlns="http://schemas.openxmlformats.org/officeDocument/2006/custom-properties" xmlns:vt="http://schemas.openxmlformats.org/officeDocument/2006/docPropsVTypes"/>
</file>