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b00a8ce9f01252ee933d31ffed2c10f1672bce1"/>
    <w:p>
      <w:pPr>
        <w:pStyle w:val="Heading1"/>
      </w:pPr>
      <w:r>
        <w:t xml:space="preserve">PRIVILEGED &amp; CONFIDENTIAL — ATTORNEY-CLIENT COMMUNICATION / ATTORNEY WORK PRODUCT</w: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Priya Venkatesh, General Counsel, Vaultline Technologies, Inc.</w:t>
            </w:r>
          </w:p>
        </w:tc>
      </w:tr>
      <w:tr>
        <w:tc>
          <w:tcPr/>
          <w:p>
            <w:pPr>
              <w:pStyle w:val="Compact"/>
              <w:jc w:val="left"/>
            </w:pPr>
            <w:r>
              <w:rPr>
                <w:b/>
                <w:bCs/>
              </w:rPr>
              <w:t xml:space="preserve">FROM:</w:t>
            </w:r>
          </w:p>
        </w:tc>
        <w:tc>
          <w:tcPr/>
          <w:p>
            <w:pPr>
              <w:pStyle w:val="Compact"/>
              <w:jc w:val="left"/>
            </w:pPr>
            <w:r>
              <w:t xml:space="preserve">Thornbury &amp; Locke LLP (Catherine Aldridge; Daniel Fong)</w:t>
            </w:r>
          </w:p>
        </w:tc>
      </w:tr>
      <w:tr>
        <w:tc>
          <w:tcPr/>
          <w:p>
            <w:pPr>
              <w:pStyle w:val="Compact"/>
              <w:jc w:val="left"/>
            </w:pPr>
            <w:r>
              <w:rPr>
                <w:b/>
                <w:bCs/>
              </w:rPr>
              <w:t xml:space="preserve">DATE:</w:t>
            </w:r>
          </w:p>
        </w:tc>
        <w:tc>
          <w:tcPr/>
          <w:p>
            <w:pPr>
              <w:pStyle w:val="Compact"/>
              <w:jc w:val="left"/>
            </w:pPr>
            <w:r>
              <w:t xml:space="preserve">March 12, 2025</w:t>
            </w:r>
          </w:p>
        </w:tc>
      </w:tr>
      <w:tr>
        <w:tc>
          <w:tcPr/>
          <w:p>
            <w:pPr>
              <w:pStyle w:val="Compact"/>
              <w:jc w:val="left"/>
            </w:pPr>
            <w:r>
              <w:rPr>
                <w:b/>
                <w:bCs/>
              </w:rPr>
              <w:t xml:space="preserve">RE:</w:t>
            </w:r>
          </w:p>
        </w:tc>
        <w:tc>
          <w:tcPr/>
          <w:p>
            <w:pPr>
              <w:pStyle w:val="Compact"/>
              <w:jc w:val="left"/>
            </w:pPr>
            <w:r>
              <w:t xml:space="preserve">Cross-Document Privacy &amp; Data Protection Compliance Issues — Series C Due Diligence (Kessler Whitman Ventures)</w:t>
            </w:r>
          </w:p>
        </w:tc>
      </w:tr>
      <w:tr>
        <w:tc>
          <w:tcPr/>
          <w:p>
            <w:pPr>
              <w:pStyle w:val="Compact"/>
              <w:jc w:val="left"/>
            </w:pPr>
            <w:r>
              <w:rPr>
                <w:b/>
                <w:bCs/>
              </w:rPr>
              <w:t xml:space="preserve">MATTER:</w:t>
            </w:r>
          </w:p>
        </w:tc>
        <w:tc>
          <w:tcPr/>
          <w:p>
            <w:pPr>
              <w:pStyle w:val="Compact"/>
              <w:jc w:val="left"/>
            </w:pPr>
            <w:r>
              <w:t xml:space="preserve">Vaultline Technologies, Inc. — Privacy Compliance Review</w:t>
            </w:r>
          </w:p>
        </w:tc>
      </w:tr>
    </w:tbl>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is prepared at the direction of Vaultline Technologies, Inc. (</w:t>
      </w:r>
      <w:r>
        <w:t xml:space="preserve">“</w:t>
      </w:r>
      <w:r>
        <w:t xml:space="preserve">Vaultline</w:t>
      </w:r>
      <w:r>
        <w:t xml:space="preserve">”</w:t>
      </w:r>
      <w:r>
        <w:t xml:space="preserve"> </w:t>
      </w:r>
      <w:r>
        <w:t xml:space="preserve">or the</w:t>
      </w:r>
      <w:r>
        <w:t xml:space="preserve"> </w:t>
      </w:r>
      <w:r>
        <w:t xml:space="preserve">“</w:t>
      </w:r>
      <w:r>
        <w:t xml:space="preserve">Company</w:t>
      </w:r>
      <w:r>
        <w:t xml:space="preserve">”</w:t>
      </w:r>
      <w:r>
        <w:t xml:space="preserve">) in response to the March 3, 2025 correspondence from Ashford Barnes LLP, counsel to Kessler Whitman Ventures (</w:t>
      </w:r>
      <w:r>
        <w:t xml:space="preserve">“</w:t>
      </w:r>
      <w:r>
        <w:t xml:space="preserve">Kessler Whitman</w:t>
      </w:r>
      <w:r>
        <w:t xml:space="preserve">”</w:t>
      </w:r>
      <w:r>
        <w:t xml:space="preserve">), requesting a comprehensive privacy and data protection compliance review in connection with Kessler Whitman’s anticipated Series C investment. The due diligence deadline is</w:t>
      </w:r>
      <w:r>
        <w:t xml:space="preserve"> </w:t>
      </w:r>
      <w:r>
        <w:rPr>
          <w:b/>
          <w:bCs/>
        </w:rPr>
        <w:t xml:space="preserve">April 15, 2025</w:t>
      </w:r>
      <w:r>
        <w:t xml:space="preserve">, and Vaultline has announced a formal</w:t>
      </w:r>
      <w:r>
        <w:t xml:space="preserve"> </w:t>
      </w:r>
      <w:r>
        <w:rPr>
          <w:b/>
          <w:bCs/>
        </w:rPr>
        <w:t xml:space="preserve">EU market launch in Q3 2025</w:t>
      </w:r>
      <w:r>
        <w:t xml:space="preserve">. Both milestones materially heighten the urgency of the issues identified below.</w:t>
      </w:r>
    </w:p>
    <w:p>
      <w:pPr>
        <w:pStyle w:val="BodyText"/>
      </w:pPr>
      <w:r>
        <w:t xml:space="preserve">We have reviewed the following five documents for cross-document consistency and compliance gaps:</w:t>
      </w:r>
    </w:p>
    <w:p>
      <w:pPr>
        <w:pStyle w:val="Compact"/>
        <w:numPr>
          <w:ilvl w:val="0"/>
          <w:numId w:val="1001"/>
        </w:numPr>
      </w:pPr>
      <w:r>
        <w:rPr>
          <w:b/>
          <w:bCs/>
        </w:rPr>
        <w:t xml:space="preserve">Privacy Policy</w:t>
      </w:r>
      <w:r>
        <w:t xml:space="preserve"> </w:t>
      </w:r>
      <w:r>
        <w:t xml:space="preserve">— Vaultline consumer-facing privacy policy,</w:t>
      </w:r>
      <w:r>
        <w:t xml:space="preserve"> </w:t>
      </w:r>
      <w:r>
        <w:t xml:space="preserve">“</w:t>
      </w:r>
      <w:r>
        <w:t xml:space="preserve">Last Updated: January 15, 2023</w:t>
      </w:r>
      <w:r>
        <w:t xml:space="preserve">”</w:t>
      </w:r>
      <w:r>
        <w:t xml:space="preserve"> </w:t>
      </w:r>
      <w:r>
        <w:t xml:space="preserve">(the</w:t>
      </w:r>
      <w:r>
        <w:t xml:space="preserve"> </w:t>
      </w:r>
      <w:r>
        <w:t xml:space="preserve">“</w:t>
      </w:r>
      <w:r>
        <w:t xml:space="preserve">Privacy Policy</w:t>
      </w:r>
      <w:r>
        <w:t xml:space="preserve">”</w:t>
      </w:r>
      <w:r>
        <w:t xml:space="preserve">).</w:t>
      </w:r>
    </w:p>
    <w:p>
      <w:pPr>
        <w:pStyle w:val="Compact"/>
        <w:numPr>
          <w:ilvl w:val="0"/>
          <w:numId w:val="1001"/>
        </w:numPr>
      </w:pPr>
      <w:r>
        <w:rPr>
          <w:b/>
          <w:bCs/>
        </w:rPr>
        <w:t xml:space="preserve">Data Inventory</w:t>
      </w:r>
      <w:r>
        <w:t xml:space="preserve"> </w:t>
      </w:r>
      <w:r>
        <w:t xml:space="preserve">—</w:t>
      </w:r>
      <w:r>
        <w:t xml:space="preserve"> </w:t>
      </w:r>
      <w:r>
        <w:t xml:space="preserve">“</w:t>
      </w:r>
      <w:r>
        <w:t xml:space="preserve">Vaultline Technologies, Inc. — Internal Data Inventory,</w:t>
      </w:r>
      <w:r>
        <w:t xml:space="preserve">”</w:t>
      </w:r>
      <w:r>
        <w:t xml:space="preserve"> </w:t>
      </w:r>
      <w:r>
        <w:t xml:space="preserve">Version 3.4, last updated February 18, 2025, maintained by Sandra Linh, Head of Data &amp; Analytics, approved by Priya Venkatesh, General Counsel (the</w:t>
      </w:r>
      <w:r>
        <w:t xml:space="preserve"> </w:t>
      </w:r>
      <w:r>
        <w:t xml:space="preserve">“</w:t>
      </w:r>
      <w:r>
        <w:t xml:space="preserve">Data Inventory</w:t>
      </w:r>
      <w:r>
        <w:t xml:space="preserve">”</w:t>
      </w:r>
      <w:r>
        <w:t xml:space="preserve">).</w:t>
      </w:r>
    </w:p>
    <w:p>
      <w:pPr>
        <w:pStyle w:val="Compact"/>
        <w:numPr>
          <w:ilvl w:val="0"/>
          <w:numId w:val="1001"/>
        </w:numPr>
      </w:pPr>
      <w:r>
        <w:rPr>
          <w:b/>
          <w:bCs/>
        </w:rPr>
        <w:t xml:space="preserve">Data Sharing Agreement</w:t>
      </w:r>
      <w:r>
        <w:t xml:space="preserve"> </w:t>
      </w:r>
      <w:r>
        <w:t xml:space="preserve">— Data Sharing Agreement between Vaultline and Brightly Analytics, Inc., effective September 1, 2022, as amended by the First Amendment dated June 15, 2024 (the</w:t>
      </w:r>
      <w:r>
        <w:t xml:space="preserve"> </w:t>
      </w:r>
      <w:r>
        <w:t xml:space="preserve">“</w:t>
      </w:r>
      <w:r>
        <w:t xml:space="preserve">Brightly DSA</w:t>
      </w:r>
      <w:r>
        <w:t xml:space="preserve">”</w:t>
      </w:r>
      <w:r>
        <w:t xml:space="preserve">).</w:t>
      </w:r>
    </w:p>
    <w:p>
      <w:pPr>
        <w:pStyle w:val="Compact"/>
        <w:numPr>
          <w:ilvl w:val="0"/>
          <w:numId w:val="1001"/>
        </w:numPr>
      </w:pPr>
      <w:r>
        <w:rPr>
          <w:b/>
          <w:bCs/>
        </w:rPr>
        <w:t xml:space="preserve">Incident Response Log</w:t>
      </w:r>
      <w:r>
        <w:t xml:space="preserve"> </w:t>
      </w:r>
      <w:r>
        <w:t xml:space="preserve">—</w:t>
      </w:r>
      <w:r>
        <w:t xml:space="preserve"> </w:t>
      </w:r>
      <w:r>
        <w:t xml:space="preserve">“</w:t>
      </w:r>
      <w:r>
        <w:t xml:space="preserve">Incident Response Log,</w:t>
      </w:r>
      <w:r>
        <w:t xml:space="preserve">”</w:t>
      </w:r>
      <w:r>
        <w:t xml:space="preserve"> </w:t>
      </w:r>
      <w:r>
        <w:t xml:space="preserve">Document Reference VT-IRL-2024-003, August 2024 unauthorized database access (the</w:t>
      </w:r>
      <w:r>
        <w:t xml:space="preserve"> </w:t>
      </w:r>
      <w:r>
        <w:t xml:space="preserve">“</w:t>
      </w:r>
      <w:r>
        <w:t xml:space="preserve">Breach Log</w:t>
      </w:r>
      <w:r>
        <w:t xml:space="preserve">”</w:t>
      </w:r>
      <w:r>
        <w:t xml:space="preserve">).</w:t>
      </w:r>
    </w:p>
    <w:p>
      <w:pPr>
        <w:pStyle w:val="Compact"/>
        <w:numPr>
          <w:ilvl w:val="0"/>
          <w:numId w:val="1001"/>
        </w:numPr>
      </w:pPr>
      <w:r>
        <w:rPr>
          <w:b/>
          <w:bCs/>
        </w:rPr>
        <w:t xml:space="preserve">Investor Counsel Email</w:t>
      </w:r>
      <w:r>
        <w:t xml:space="preserve"> </w:t>
      </w:r>
      <w:r>
        <w:t xml:space="preserve">— March 3, 2025 email from Elena Marchetti, Ashford Barnes LLP, to Catherine Aldridge, Thornbury &amp; Locke LLP (the</w:t>
      </w:r>
      <w:r>
        <w:t xml:space="preserve"> </w:t>
      </w:r>
      <w:r>
        <w:t xml:space="preserve">“</w:t>
      </w:r>
      <w:r>
        <w:t xml:space="preserve">Investor Letter</w:t>
      </w:r>
      <w:r>
        <w:t xml:space="preserve">”</w:t>
      </w:r>
      <w:r>
        <w:t xml:space="preserve">).</w:t>
      </w:r>
    </w:p>
    <w:p>
      <w:pPr>
        <w:pStyle w:val="FirstParagraph"/>
      </w:pPr>
      <w:r>
        <w:t xml:space="preserve">Our methodology was to triangulate the Company’s</w:t>
      </w:r>
      <w:r>
        <w:t xml:space="preserve"> </w:t>
      </w:r>
      <w:r>
        <w:rPr>
          <w:i/>
          <w:iCs/>
        </w:rPr>
        <w:t xml:space="preserve">public-facing representations</w:t>
      </w:r>
      <w:r>
        <w:t xml:space="preserve"> </w:t>
      </w:r>
      <w:r>
        <w:t xml:space="preserve">(the Privacy Policy) against its</w:t>
      </w:r>
      <w:r>
        <w:t xml:space="preserve"> </w:t>
      </w:r>
      <w:r>
        <w:rPr>
          <w:i/>
          <w:iCs/>
        </w:rPr>
        <w:t xml:space="preserve">internal records of actual practice</w:t>
      </w:r>
      <w:r>
        <w:t xml:space="preserve"> </w:t>
      </w:r>
      <w:r>
        <w:t xml:space="preserve">(the Data Inventory), its</w:t>
      </w:r>
      <w:r>
        <w:t xml:space="preserve"> </w:t>
      </w:r>
      <w:r>
        <w:rPr>
          <w:i/>
          <w:iCs/>
        </w:rPr>
        <w:t xml:space="preserve">contractual commitments</w:t>
      </w:r>
      <w:r>
        <w:t xml:space="preserve"> </w:t>
      </w:r>
      <w:r>
        <w:t xml:space="preserve">(the Brightly DSA), its</w:t>
      </w:r>
      <w:r>
        <w:t xml:space="preserve"> </w:t>
      </w:r>
      <w:r>
        <w:rPr>
          <w:i/>
          <w:iCs/>
        </w:rPr>
        <w:t xml:space="preserve">incident history</w:t>
      </w:r>
      <w:r>
        <w:t xml:space="preserve"> </w:t>
      </w:r>
      <w:r>
        <w:t xml:space="preserve">(the Breach Log), and the</w:t>
      </w:r>
      <w:r>
        <w:t xml:space="preserve"> </w:t>
      </w:r>
      <w:r>
        <w:rPr>
          <w:i/>
          <w:iCs/>
        </w:rPr>
        <w:t xml:space="preserve">investor’s preliminary findings</w:t>
      </w:r>
      <w:r>
        <w:t xml:space="preserve"> </w:t>
      </w:r>
      <w:r>
        <w:t xml:space="preserve">(the Investor Letter). Where the documents conflict, or where internal records reveal practices not disclosed to consumers, we identify a compliance gap. This memorandum is not an exhaustive legal opinion; it is an issues identification memo intended to scope and prioritize remediation work ahead of the diligence deadline and the EU launch.</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Our review identifies</w:t>
      </w:r>
      <w:r>
        <w:t xml:space="preserve"> </w:t>
      </w:r>
      <w:r>
        <w:rPr>
          <w:b/>
          <w:bCs/>
        </w:rPr>
        <w:t xml:space="preserve">eighteen (18) discrete compliance issues</w:t>
      </w:r>
      <w:r>
        <w:t xml:space="preserve">, the majority of which are corroborated by multiple documents and several of which represent direct contradictions between the Privacy Policy and the Company’s actual data practices as documented internally. The issues range from</w:t>
      </w:r>
      <w:r>
        <w:t xml:space="preserve"> </w:t>
      </w:r>
      <w:r>
        <w:rPr>
          <w:b/>
          <w:bCs/>
        </w:rPr>
        <w:t xml:space="preserve">critical</w:t>
      </w:r>
      <w:r>
        <w:t xml:space="preserve"> </w:t>
      </w:r>
      <w:r>
        <w:t xml:space="preserve">regulatory exposure with quantifiable statutory liability to</w:t>
      </w:r>
      <w:r>
        <w:t xml:space="preserve"> </w:t>
      </w:r>
      <w:r>
        <w:rPr>
          <w:b/>
          <w:bCs/>
        </w:rPr>
        <w:t xml:space="preserve">medium</w:t>
      </w:r>
      <w:r>
        <w:t xml:space="preserve"> </w:t>
      </w:r>
      <w:r>
        <w:t xml:space="preserve">disclosure and governance deficiencies.</w:t>
      </w:r>
    </w:p>
    <w:p>
      <w:pPr>
        <w:pStyle w:val="BodyText"/>
      </w:pPr>
      <w:r>
        <w:t xml:space="preserve">The most serious findings, each corroborated across at least three of the five documents, are:</w:t>
      </w:r>
    </w:p>
    <w:p>
      <w:pPr>
        <w:pStyle w:val="Compact"/>
        <w:numPr>
          <w:ilvl w:val="0"/>
          <w:numId w:val="1002"/>
        </w:numPr>
      </w:pPr>
      <w:r>
        <w:rPr>
          <w:b/>
          <w:bCs/>
        </w:rPr>
        <w:t xml:space="preserve">Undisclosed biometric data processing</w:t>
      </w:r>
      <w:r>
        <w:t xml:space="preserve"> </w:t>
      </w:r>
      <w:r>
        <w:t xml:space="preserve">(the</w:t>
      </w:r>
      <w:r>
        <w:t xml:space="preserve"> </w:t>
      </w:r>
      <w:r>
        <w:t xml:space="preserve">“</w:t>
      </w:r>
      <w:r>
        <w:t xml:space="preserve">Selfie Verify</w:t>
      </w:r>
      <w:r>
        <w:t xml:space="preserve">”</w:t>
      </w:r>
      <w:r>
        <w:t xml:space="preserve"> </w:t>
      </w:r>
      <w:r>
        <w:t xml:space="preserve">feature) affecting approximately 1.9 million users, with no privacy policy disclosure, no written consent, and no publicly available retention/destruction schedule — exposing the Company to estimated BIPA statutory liability of</w:t>
      </w:r>
      <w:r>
        <w:t xml:space="preserve"> </w:t>
      </w:r>
      <w:r>
        <w:rPr>
          <w:b/>
          <w:bCs/>
        </w:rPr>
        <w:t xml:space="preserve">$87 million to $435 million</w:t>
      </w:r>
      <w:r>
        <w:t xml:space="preserve"> </w:t>
      </w:r>
      <w:r>
        <w:t xml:space="preserve">and GDPR Article 9 violations.</w:t>
      </w:r>
    </w:p>
    <w:p>
      <w:pPr>
        <w:pStyle w:val="Compact"/>
        <w:numPr>
          <w:ilvl w:val="0"/>
          <w:numId w:val="1002"/>
        </w:numPr>
      </w:pPr>
      <w:r>
        <w:rPr>
          <w:b/>
          <w:bCs/>
        </w:rPr>
        <w:t xml:space="preserve">Reliance on an invalidated international data transfer mechanism</w:t>
      </w:r>
      <w:r>
        <w:t xml:space="preserve"> </w:t>
      </w:r>
      <w:r>
        <w:t xml:space="preserve">(the EU-U.S. Privacy Shield, invalidated in</w:t>
      </w:r>
      <w:r>
        <w:t xml:space="preserve"> </w:t>
      </w:r>
      <w:r>
        <w:rPr>
          <w:i/>
          <w:iCs/>
        </w:rPr>
        <w:t xml:space="preserve">Schrems II</w:t>
      </w:r>
      <w:r>
        <w:t xml:space="preserve"> </w:t>
      </w:r>
      <w:r>
        <w:t xml:space="preserve">in July 2020) for approximately 23,000 EU-resident users, with no replacement mechanism (SCCs, DPF certification, or BCRs) in place.</w:t>
      </w:r>
    </w:p>
    <w:p>
      <w:pPr>
        <w:pStyle w:val="Compact"/>
        <w:numPr>
          <w:ilvl w:val="0"/>
          <w:numId w:val="1002"/>
        </w:numPr>
      </w:pPr>
      <w:r>
        <w:rPr>
          <w:b/>
          <w:bCs/>
        </w:rPr>
        <w:t xml:space="preserve">Undisclosed fully automated decision-making</w:t>
      </w:r>
      <w:r>
        <w:t xml:space="preserve"> </w:t>
      </w:r>
      <w:r>
        <w:t xml:space="preserve">(the</w:t>
      </w:r>
      <w:r>
        <w:t xml:space="preserve"> </w:t>
      </w:r>
      <w:r>
        <w:t xml:space="preserve">“</w:t>
      </w:r>
      <w:r>
        <w:t xml:space="preserve">Smart Insights</w:t>
      </w:r>
      <w:r>
        <w:t xml:space="preserve">”</w:t>
      </w:r>
      <w:r>
        <w:t xml:space="preserve"> </w:t>
      </w:r>
      <w:r>
        <w:t xml:space="preserve">feature) that determines credit product offer visibility for approximately 2.8 million users, with no GDPR Article 22 disclosure, no human review, and no opt-out.</w:t>
      </w:r>
    </w:p>
    <w:p>
      <w:pPr>
        <w:pStyle w:val="Compact"/>
        <w:numPr>
          <w:ilvl w:val="0"/>
          <w:numId w:val="1002"/>
        </w:numPr>
      </w:pPr>
      <w:r>
        <w:rPr>
          <w:b/>
          <w:bCs/>
        </w:rPr>
        <w:t xml:space="preserve">A data-sharing arrangement with Brightly Analytics that likely constitutes 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of personal information under the CPRA</w:t>
      </w:r>
      <w:r>
        <w:t xml:space="preserve">, generating approximately $2.64 million in annual revenue, with no consumer disclosure, no opt-out mechanism, and no data processing addendum.</w:t>
      </w:r>
    </w:p>
    <w:p>
      <w:pPr>
        <w:pStyle w:val="Compact"/>
        <w:numPr>
          <w:ilvl w:val="0"/>
          <w:numId w:val="1002"/>
        </w:numPr>
      </w:pPr>
      <w:r>
        <w:rPr>
          <w:b/>
          <w:bCs/>
        </w:rPr>
        <w:t xml:space="preserve">A August 2024 data breach</w:t>
      </w:r>
      <w:r>
        <w:t xml:space="preserve"> </w:t>
      </w:r>
      <w:r>
        <w:t xml:space="preserve">affecting 84,000 users in which the GDPR Article 33 72-hour supervisory authority notification appears to have been missed and the California Attorney General notification is not documented, with consumer notification delayed 47 days.</w:t>
      </w:r>
    </w:p>
    <w:p>
      <w:pPr>
        <w:pStyle w:val="FirstParagraph"/>
      </w:pPr>
      <w:r>
        <w:t xml:space="preserve">A recurring theme is that the</w:t>
      </w:r>
      <w:r>
        <w:t xml:space="preserve"> </w:t>
      </w:r>
      <w:r>
        <w:rPr>
          <w:b/>
          <w:bCs/>
        </w:rPr>
        <w:t xml:space="preserve">Privacy Policy has not been updated since January 15, 2023</w:t>
      </w:r>
      <w:r>
        <w:t xml:space="preserve">, while the Data Inventory documents at least three material changes to the Company’s data practices that postdate that update: the launch of Selfie Verify (March 8, 2023), the amendment of the Brightly DSA (June 15, 2024), and the August 2024 breach. The Privacy Policy is, in several respects, materially inaccurate as a description of the Company’s current practices.</w:t>
      </w:r>
    </w:p>
    <w:p>
      <w:pPr>
        <w:pStyle w:val="BodyText"/>
      </w:pPr>
      <w:r>
        <w:t xml:space="preserve">A prioritized risk matrix appears in Section III. Detailed analysis follows in Section IV. Cross-document factual inconsistencies are catalogued in Section V.</w:t>
      </w:r>
    </w:p>
    <w:p>
      <w:r>
        <w:pict>
          <v:rect style="width:0;height:1.5pt" o:hralign="center" o:hrstd="t" o:hr="t"/>
        </w:pict>
      </w:r>
    </w:p>
    <w:bookmarkEnd w:id="21"/>
    <w:bookmarkStart w:id="22" w:name="X5bb4461f7473e2fd36924a8179559afd72e6ca9"/>
    <w:p>
      <w:pPr>
        <w:pStyle w:val="Heading2"/>
      </w:pPr>
      <w:r>
        <w:t xml:space="preserve">III. Summary of Cross-Document Compliance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Primary Authority</w:t>
            </w:r>
          </w:p>
        </w:tc>
        <w:tc>
          <w:tcPr/>
          <w:p>
            <w:pPr>
              <w:pStyle w:val="Compact"/>
              <w:jc w:val="left"/>
            </w:pPr>
            <w:r>
              <w:t xml:space="preserve">Key Documents</w:t>
            </w:r>
          </w:p>
        </w:tc>
      </w:tr>
      <w:tr>
        <w:tc>
          <w:tcPr/>
          <w:p>
            <w:pPr>
              <w:pStyle w:val="Compact"/>
              <w:jc w:val="left"/>
            </w:pPr>
            <w:r>
              <w:t xml:space="preserve">1</w:t>
            </w:r>
          </w:p>
        </w:tc>
        <w:tc>
          <w:tcPr/>
          <w:p>
            <w:pPr>
              <w:pStyle w:val="Compact"/>
              <w:jc w:val="left"/>
            </w:pPr>
            <w:r>
              <w:t xml:space="preserve">Undisclosed biometric data collection (Selfie Verify); no consent; no retention/destruction policy</w:t>
            </w:r>
          </w:p>
        </w:tc>
        <w:tc>
          <w:tcPr/>
          <w:p>
            <w:pPr>
              <w:pStyle w:val="Compact"/>
              <w:jc w:val="left"/>
            </w:pPr>
            <w:r>
              <w:rPr>
                <w:b/>
                <w:bCs/>
              </w:rPr>
              <w:t xml:space="preserve">Critical</w:t>
            </w:r>
          </w:p>
        </w:tc>
        <w:tc>
          <w:tcPr/>
          <w:p>
            <w:pPr>
              <w:pStyle w:val="Compact"/>
              <w:jc w:val="left"/>
            </w:pPr>
            <w:r>
              <w:t xml:space="preserve">BIPA (740 ILCS 14); GDPR Art. 9; CPRA; TX CUBI</w:t>
            </w:r>
          </w:p>
        </w:tc>
        <w:tc>
          <w:tcPr/>
          <w:p>
            <w:pPr>
              <w:pStyle w:val="Compact"/>
              <w:jc w:val="left"/>
            </w:pPr>
            <w:r>
              <w:t xml:space="preserve">Privacy Policy; Data Inventory (DC-011, Selfie Verify tab); Investor Letter</w:t>
            </w:r>
          </w:p>
        </w:tc>
      </w:tr>
      <w:tr>
        <w:tc>
          <w:tcPr/>
          <w:p>
            <w:pPr>
              <w:pStyle w:val="Compact"/>
              <w:jc w:val="left"/>
            </w:pPr>
            <w:r>
              <w:t xml:space="preserve">2</w:t>
            </w:r>
          </w:p>
        </w:tc>
        <w:tc>
          <w:tcPr/>
          <w:p>
            <w:pPr>
              <w:pStyle w:val="Compact"/>
              <w:jc w:val="left"/>
            </w:pPr>
            <w:r>
              <w:t xml:space="preserve">International transfers rely on invalidated Privacy Shield; no valid mechanism</w:t>
            </w:r>
          </w:p>
        </w:tc>
        <w:tc>
          <w:tcPr/>
          <w:p>
            <w:pPr>
              <w:pStyle w:val="Compact"/>
              <w:jc w:val="left"/>
            </w:pPr>
            <w:r>
              <w:rPr>
                <w:b/>
                <w:bCs/>
              </w:rPr>
              <w:t xml:space="preserve">Critical</w:t>
            </w:r>
          </w:p>
        </w:tc>
        <w:tc>
          <w:tcPr/>
          <w:p>
            <w:pPr>
              <w:pStyle w:val="Compact"/>
              <w:jc w:val="left"/>
            </w:pPr>
            <w:r>
              <w:t xml:space="preserve">GDPR Ch. V; Schrems II (C-311/18)</w:t>
            </w:r>
          </w:p>
        </w:tc>
        <w:tc>
          <w:tcPr/>
          <w:p>
            <w:pPr>
              <w:pStyle w:val="Compact"/>
              <w:jc w:val="left"/>
            </w:pPr>
            <w:r>
              <w:t xml:space="preserve">Privacy Policy; Data Inventory (IT-001, PA-007, EU Summary); Investor Letter</w:t>
            </w:r>
          </w:p>
        </w:tc>
      </w:tr>
      <w:tr>
        <w:tc>
          <w:tcPr/>
          <w:p>
            <w:pPr>
              <w:pStyle w:val="Compact"/>
              <w:jc w:val="left"/>
            </w:pPr>
            <w:r>
              <w:t xml:space="preserve">3</w:t>
            </w:r>
          </w:p>
        </w:tc>
        <w:tc>
          <w:tcPr/>
          <w:p>
            <w:pPr>
              <w:pStyle w:val="Compact"/>
              <w:jc w:val="left"/>
            </w:pPr>
            <w:r>
              <w:t xml:space="preserve">Undisclosed automated decision-making (Smart Insights); no Art. 22 disclosure; no DPIA</w:t>
            </w:r>
          </w:p>
        </w:tc>
        <w:tc>
          <w:tcPr/>
          <w:p>
            <w:pPr>
              <w:pStyle w:val="Compact"/>
              <w:jc w:val="left"/>
            </w:pPr>
            <w:r>
              <w:rPr>
                <w:b/>
                <w:bCs/>
              </w:rPr>
              <w:t xml:space="preserve">Critical</w:t>
            </w:r>
          </w:p>
        </w:tc>
        <w:tc>
          <w:tcPr/>
          <w:p>
            <w:pPr>
              <w:pStyle w:val="Compact"/>
              <w:jc w:val="left"/>
            </w:pPr>
            <w:r>
              <w:t xml:space="preserve">GDPR Art. 22, 35(3)(a); CPRA</w:t>
            </w:r>
          </w:p>
        </w:tc>
        <w:tc>
          <w:tcPr/>
          <w:p>
            <w:pPr>
              <w:pStyle w:val="Compact"/>
              <w:jc w:val="left"/>
            </w:pPr>
            <w:r>
              <w:t xml:space="preserve">Privacy Policy; Data Inventory (PA-003); Investor Letter</w:t>
            </w:r>
          </w:p>
        </w:tc>
      </w:tr>
      <w:tr>
        <w:tc>
          <w:tcPr/>
          <w:p>
            <w:pPr>
              <w:pStyle w:val="Compact"/>
              <w:jc w:val="left"/>
            </w:pPr>
            <w:r>
              <w:t xml:space="preserve">4</w:t>
            </w:r>
          </w:p>
        </w:tc>
        <w:tc>
          <w:tcPr/>
          <w:p>
            <w:pPr>
              <w:pStyle w:val="Compact"/>
              <w:jc w:val="left"/>
            </w:pPr>
            <w:r>
              <w:t xml:space="preserve">Brightly data sharing likely a CPRA</w:t>
            </w:r>
            <w:r>
              <w:t xml:space="preserve"> </w:t>
            </w:r>
            <w:r>
              <w:t xml:space="preserve">“</w:t>
            </w:r>
            <w:r>
              <w:t xml:space="preserve">sale</w:t>
            </w:r>
            <w:r>
              <w:t xml:space="preserve">”</w:t>
            </w:r>
            <w:r>
              <w:t xml:space="preserve">/</w:t>
            </w:r>
            <w:r>
              <w:t xml:space="preserve">“</w:t>
            </w:r>
            <w:r>
              <w:t xml:space="preserve">sharing</w:t>
            </w:r>
            <w:r>
              <w:t xml:space="preserve">”</w:t>
            </w:r>
            <w:r>
              <w:t xml:space="preserve">; no disclosure; no opt-out; no DPA</w:t>
            </w:r>
          </w:p>
        </w:tc>
        <w:tc>
          <w:tcPr/>
          <w:p>
            <w:pPr>
              <w:pStyle w:val="Compact"/>
              <w:jc w:val="left"/>
            </w:pPr>
            <w:r>
              <w:rPr>
                <w:b/>
                <w:bCs/>
              </w:rPr>
              <w:t xml:space="preserve">Critical</w:t>
            </w:r>
          </w:p>
        </w:tc>
        <w:tc>
          <w:tcPr/>
          <w:p>
            <w:pPr>
              <w:pStyle w:val="Compact"/>
              <w:jc w:val="left"/>
            </w:pPr>
            <w:r>
              <w:t xml:space="preserve">CPRA (sale/sharing); GDPR Ch. V</w:t>
            </w:r>
          </w:p>
        </w:tc>
        <w:tc>
          <w:tcPr/>
          <w:p>
            <w:pPr>
              <w:pStyle w:val="Compact"/>
              <w:jc w:val="left"/>
            </w:pPr>
            <w:r>
              <w:t xml:space="preserve">Privacy Policy; Brightly DSA; Data Inventory (TS-002); Investor Letter</w:t>
            </w:r>
          </w:p>
        </w:tc>
      </w:tr>
      <w:tr>
        <w:tc>
          <w:tcPr/>
          <w:p>
            <w:pPr>
              <w:pStyle w:val="Compact"/>
              <w:jc w:val="left"/>
            </w:pPr>
            <w:r>
              <w:t xml:space="preserve">5</w:t>
            </w:r>
          </w:p>
        </w:tc>
        <w:tc>
          <w:tcPr/>
          <w:p>
            <w:pPr>
              <w:pStyle w:val="Compact"/>
              <w:jc w:val="left"/>
            </w:pPr>
            <w:r>
              <w:t xml:space="preserve">August 2024 breach: missed/undocumented GDPR Art. 33 and CA AG notifications; 47-day delay</w:t>
            </w:r>
          </w:p>
        </w:tc>
        <w:tc>
          <w:tcPr/>
          <w:p>
            <w:pPr>
              <w:pStyle w:val="Compact"/>
              <w:jc w:val="left"/>
            </w:pPr>
            <w:r>
              <w:rPr>
                <w:b/>
                <w:bCs/>
              </w:rPr>
              <w:t xml:space="preserve">Critical</w:t>
            </w:r>
          </w:p>
        </w:tc>
        <w:tc>
          <w:tcPr/>
          <w:p>
            <w:pPr>
              <w:pStyle w:val="Compact"/>
              <w:jc w:val="left"/>
            </w:pPr>
            <w:r>
              <w:t xml:space="preserve">GDPR Art. 33/34; Cal. Civ. Code § 1798.82; state breach laws</w:t>
            </w:r>
          </w:p>
        </w:tc>
        <w:tc>
          <w:tcPr/>
          <w:p>
            <w:pPr>
              <w:pStyle w:val="Compact"/>
              <w:jc w:val="left"/>
            </w:pPr>
            <w:r>
              <w:t xml:space="preserve">Breach Log; Data Inventory; Investor Letter</w:t>
            </w:r>
          </w:p>
        </w:tc>
      </w:tr>
      <w:tr>
        <w:tc>
          <w:tcPr/>
          <w:p>
            <w:pPr>
              <w:pStyle w:val="Compact"/>
              <w:jc w:val="left"/>
            </w:pPr>
            <w:r>
              <w:t xml:space="preserve">6</w:t>
            </w:r>
          </w:p>
        </w:tc>
        <w:tc>
          <w:tcPr/>
          <w:p>
            <w:pPr>
              <w:pStyle w:val="Compact"/>
              <w:jc w:val="left"/>
            </w:pPr>
            <w:r>
              <w:t xml:space="preserve">GDPR Art. 13/14 transparency: single-sentence disclosure; no DPO; no Art. 27 representative</w:t>
            </w:r>
          </w:p>
        </w:tc>
        <w:tc>
          <w:tcPr/>
          <w:p>
            <w:pPr>
              <w:pStyle w:val="Compact"/>
              <w:jc w:val="left"/>
            </w:pPr>
            <w:r>
              <w:rPr>
                <w:b/>
                <w:bCs/>
              </w:rPr>
              <w:t xml:space="preserve">High</w:t>
            </w:r>
          </w:p>
        </w:tc>
        <w:tc>
          <w:tcPr/>
          <w:p>
            <w:pPr>
              <w:pStyle w:val="Compact"/>
              <w:jc w:val="left"/>
            </w:pPr>
            <w:r>
              <w:t xml:space="preserve">GDPR Art. 13/14, 27, 37</w:t>
            </w:r>
          </w:p>
        </w:tc>
        <w:tc>
          <w:tcPr/>
          <w:p>
            <w:pPr>
              <w:pStyle w:val="Compact"/>
              <w:jc w:val="left"/>
            </w:pPr>
            <w:r>
              <w:t xml:space="preserve">Privacy Policy; Data Inventory (EU Summary); Investor Letter</w:t>
            </w:r>
          </w:p>
        </w:tc>
      </w:tr>
      <w:tr>
        <w:tc>
          <w:tcPr/>
          <w:p>
            <w:pPr>
              <w:pStyle w:val="Compact"/>
              <w:jc w:val="left"/>
            </w:pPr>
            <w:r>
              <w:t xml:space="preserve">7</w:t>
            </w:r>
          </w:p>
        </w:tc>
        <w:tc>
          <w:tcPr/>
          <w:p>
            <w:pPr>
              <w:pStyle w:val="Compact"/>
              <w:jc w:val="left"/>
            </w:pPr>
            <w:r>
              <w:t xml:space="preserve">No DPIAs conducted for any high-risk processing activity</w:t>
            </w:r>
          </w:p>
        </w:tc>
        <w:tc>
          <w:tcPr/>
          <w:p>
            <w:pPr>
              <w:pStyle w:val="Compact"/>
              <w:jc w:val="left"/>
            </w:pPr>
            <w:r>
              <w:rPr>
                <w:b/>
                <w:bCs/>
              </w:rPr>
              <w:t xml:space="preserve">High</w:t>
            </w:r>
          </w:p>
        </w:tc>
        <w:tc>
          <w:tcPr/>
          <w:p>
            <w:pPr>
              <w:pStyle w:val="Compact"/>
              <w:jc w:val="left"/>
            </w:pPr>
            <w:r>
              <w:t xml:space="preserve">GDPR Art. 35</w:t>
            </w:r>
          </w:p>
        </w:tc>
        <w:tc>
          <w:tcPr/>
          <w:p>
            <w:pPr>
              <w:pStyle w:val="Compact"/>
              <w:jc w:val="left"/>
            </w:pPr>
            <w:r>
              <w:t xml:space="preserve">Data Inventory (DPIA Status); Privacy Policy</w:t>
            </w:r>
          </w:p>
        </w:tc>
      </w:tr>
      <w:tr>
        <w:tc>
          <w:tcPr/>
          <w:p>
            <w:pPr>
              <w:pStyle w:val="Compact"/>
              <w:jc w:val="left"/>
            </w:pPr>
            <w:r>
              <w:t xml:space="preserve">8</w:t>
            </w:r>
          </w:p>
        </w:tc>
        <w:tc>
          <w:tcPr/>
          <w:p>
            <w:pPr>
              <w:pStyle w:val="Compact"/>
              <w:jc w:val="left"/>
            </w:pPr>
            <w:r>
              <w:t xml:space="preserve">Sensitive personal information not classified; no CPRA right to limit</w:t>
            </w:r>
          </w:p>
        </w:tc>
        <w:tc>
          <w:tcPr/>
          <w:p>
            <w:pPr>
              <w:pStyle w:val="Compact"/>
              <w:jc w:val="left"/>
            </w:pPr>
            <w:r>
              <w:rPr>
                <w:b/>
                <w:bCs/>
              </w:rPr>
              <w:t xml:space="preserve">High</w:t>
            </w:r>
          </w:p>
        </w:tc>
        <w:tc>
          <w:tcPr/>
          <w:p>
            <w:pPr>
              <w:pStyle w:val="Compact"/>
              <w:jc w:val="left"/>
            </w:pPr>
            <w:r>
              <w:t xml:space="preserve">CPRA (sensitive PI)</w:t>
            </w:r>
          </w:p>
        </w:tc>
        <w:tc>
          <w:tcPr/>
          <w:p>
            <w:pPr>
              <w:pStyle w:val="Compact"/>
              <w:jc w:val="left"/>
            </w:pPr>
            <w:r>
              <w:t xml:space="preserve">Privacy Policy; Data Inventory (DC-003/004/005/010/011)</w:t>
            </w:r>
          </w:p>
        </w:tc>
      </w:tr>
      <w:tr>
        <w:tc>
          <w:tcPr/>
          <w:p>
            <w:pPr>
              <w:pStyle w:val="Compact"/>
              <w:jc w:val="left"/>
            </w:pPr>
            <w:r>
              <w:t xml:space="preserve">9</w:t>
            </w:r>
          </w:p>
        </w:tc>
        <w:tc>
          <w:tcPr/>
          <w:p>
            <w:pPr>
              <w:pStyle w:val="Compact"/>
              <w:jc w:val="left"/>
            </w:pPr>
            <w:r>
              <w:t xml:space="preserve">CCPA/CPRA consumer rights incomplete (right to know only)</w:t>
            </w:r>
          </w:p>
        </w:tc>
        <w:tc>
          <w:tcPr/>
          <w:p>
            <w:pPr>
              <w:pStyle w:val="Compact"/>
              <w:jc w:val="left"/>
            </w:pPr>
            <w:r>
              <w:rPr>
                <w:b/>
                <w:bCs/>
              </w:rPr>
              <w:t xml:space="preserve">High</w:t>
            </w:r>
          </w:p>
        </w:tc>
        <w:tc>
          <w:tcPr/>
          <w:p>
            <w:pPr>
              <w:pStyle w:val="Compact"/>
              <w:jc w:val="left"/>
            </w:pPr>
            <w:r>
              <w:t xml:space="preserve">CCPA/CPRA</w:t>
            </w:r>
          </w:p>
        </w:tc>
        <w:tc>
          <w:tcPr/>
          <w:p>
            <w:pPr>
              <w:pStyle w:val="Compact"/>
              <w:jc w:val="left"/>
            </w:pPr>
            <w:r>
              <w:t xml:space="preserve">Privacy Policy; Investor Letter</w:t>
            </w:r>
          </w:p>
        </w:tc>
      </w:tr>
      <w:tr>
        <w:tc>
          <w:tcPr/>
          <w:p>
            <w:pPr>
              <w:pStyle w:val="Compact"/>
              <w:jc w:val="left"/>
            </w:pPr>
            <w:r>
              <w:t xml:space="preserve">10</w:t>
            </w:r>
          </w:p>
        </w:tc>
        <w:tc>
          <w:tcPr/>
          <w:p>
            <w:pPr>
              <w:pStyle w:val="Compact"/>
              <w:jc w:val="left"/>
            </w:pPr>
            <w:r>
              <w:t xml:space="preserve">Data retention: indefinite for all categories; no periods disclosed; no deletion on closure</w:t>
            </w:r>
          </w:p>
        </w:tc>
        <w:tc>
          <w:tcPr/>
          <w:p>
            <w:pPr>
              <w:pStyle w:val="Compact"/>
              <w:jc w:val="left"/>
            </w:pPr>
            <w:r>
              <w:rPr>
                <w:b/>
                <w:bCs/>
              </w:rPr>
              <w:t xml:space="preserve">High</w:t>
            </w:r>
          </w:p>
        </w:tc>
        <w:tc>
          <w:tcPr/>
          <w:p>
            <w:pPr>
              <w:pStyle w:val="Compact"/>
              <w:jc w:val="left"/>
            </w:pPr>
            <w:r>
              <w:t xml:space="preserve">CPRA; GDPR Art. 5(1)(e); BIPA</w:t>
            </w:r>
          </w:p>
        </w:tc>
        <w:tc>
          <w:tcPr/>
          <w:p>
            <w:pPr>
              <w:pStyle w:val="Compact"/>
              <w:jc w:val="left"/>
            </w:pPr>
            <w:r>
              <w:t xml:space="preserve">Privacy Policy; Data Inventory (Retention tab); Investor Letter</w:t>
            </w:r>
          </w:p>
        </w:tc>
      </w:tr>
      <w:tr>
        <w:tc>
          <w:tcPr/>
          <w:p>
            <w:pPr>
              <w:pStyle w:val="Compact"/>
              <w:jc w:val="left"/>
            </w:pPr>
            <w:r>
              <w:t xml:space="preserve">11</w:t>
            </w:r>
          </w:p>
        </w:tc>
        <w:tc>
          <w:tcPr/>
          <w:p>
            <w:pPr>
              <w:pStyle w:val="Compact"/>
              <w:jc w:val="left"/>
            </w:pPr>
            <w:r>
              <w:t xml:space="preserve">Privacy Policy</w:t>
            </w:r>
            <w:r>
              <w:t xml:space="preserve"> </w:t>
            </w:r>
            <w:r>
              <w:t xml:space="preserve">“</w:t>
            </w:r>
            <w:r>
              <w:t xml:space="preserve">does not sell</w:t>
            </w:r>
            <w:r>
              <w:t xml:space="preserve">”</w:t>
            </w:r>
            <w:r>
              <w:t xml:space="preserve"> </w:t>
            </w:r>
            <w:r>
              <w:t xml:space="preserve">statement contradicted by revenue-sharing practices</w:t>
            </w:r>
          </w:p>
        </w:tc>
        <w:tc>
          <w:tcPr/>
          <w:p>
            <w:pPr>
              <w:pStyle w:val="Compact"/>
              <w:jc w:val="left"/>
            </w:pPr>
            <w:r>
              <w:rPr>
                <w:b/>
                <w:bCs/>
              </w:rPr>
              <w:t xml:space="preserve">High</w:t>
            </w:r>
          </w:p>
        </w:tc>
        <w:tc>
          <w:tcPr/>
          <w:p>
            <w:pPr>
              <w:pStyle w:val="Compact"/>
              <w:jc w:val="left"/>
            </w:pPr>
            <w:r>
              <w:t xml:space="preserve">CPRA; Nev. Rev. Stat. § 603A; FTC § 5</w:t>
            </w:r>
          </w:p>
        </w:tc>
        <w:tc>
          <w:tcPr/>
          <w:p>
            <w:pPr>
              <w:pStyle w:val="Compact"/>
              <w:jc w:val="left"/>
            </w:pPr>
            <w:r>
              <w:t xml:space="preserve">Privacy Policy; Brightly DSA; Data Inventory (TS-002/003)</w:t>
            </w:r>
          </w:p>
        </w:tc>
      </w:tr>
      <w:tr>
        <w:tc>
          <w:tcPr/>
          <w:p>
            <w:pPr>
              <w:pStyle w:val="Compact"/>
              <w:jc w:val="left"/>
            </w:pPr>
            <w:r>
              <w:t xml:space="preserve">12</w:t>
            </w:r>
          </w:p>
        </w:tc>
        <w:tc>
          <w:tcPr/>
          <w:p>
            <w:pPr>
              <w:pStyle w:val="Compact"/>
              <w:jc w:val="left"/>
            </w:pPr>
            <w:r>
              <w:t xml:space="preserve">Cookie consent: non-compliant banner; 29 third-party cookies; no reject option</w:t>
            </w:r>
          </w:p>
        </w:tc>
        <w:tc>
          <w:tcPr/>
          <w:p>
            <w:pPr>
              <w:pStyle w:val="Compact"/>
              <w:jc w:val="left"/>
            </w:pPr>
            <w:r>
              <w:rPr>
                <w:b/>
                <w:bCs/>
              </w:rPr>
              <w:t xml:space="preserve">High</w:t>
            </w:r>
          </w:p>
        </w:tc>
        <w:tc>
          <w:tcPr/>
          <w:p>
            <w:pPr>
              <w:pStyle w:val="Compact"/>
              <w:jc w:val="left"/>
            </w:pPr>
            <w:r>
              <w:t xml:space="preserve">ePrivacy Directive; GDPR Art. 4(11); CalOPPA</w:t>
            </w:r>
          </w:p>
        </w:tc>
        <w:tc>
          <w:tcPr/>
          <w:p>
            <w:pPr>
              <w:pStyle w:val="Compact"/>
              <w:jc w:val="left"/>
            </w:pPr>
            <w:r>
              <w:t xml:space="preserve">Privacy Policy; Data Inventory (Cookie Inventory)</w:t>
            </w:r>
          </w:p>
        </w:tc>
      </w:tr>
      <w:tr>
        <w:tc>
          <w:tcPr/>
          <w:p>
            <w:pPr>
              <w:pStyle w:val="Compact"/>
              <w:jc w:val="left"/>
            </w:pPr>
            <w:r>
              <w:t xml:space="preserve">13</w:t>
            </w:r>
          </w:p>
        </w:tc>
        <w:tc>
          <w:tcPr/>
          <w:p>
            <w:pPr>
              <w:pStyle w:val="Compact"/>
              <w:jc w:val="left"/>
            </w:pPr>
            <w:r>
              <w:t xml:space="preserve">GLBA applicability not assessed; no GLBA notices or opt-out</w:t>
            </w:r>
          </w:p>
        </w:tc>
        <w:tc>
          <w:tcPr/>
          <w:p>
            <w:pPr>
              <w:pStyle w:val="Compact"/>
              <w:jc w:val="left"/>
            </w:pPr>
            <w:r>
              <w:rPr>
                <w:b/>
                <w:bCs/>
              </w:rPr>
              <w:t xml:space="preserve">Medium</w:t>
            </w:r>
          </w:p>
        </w:tc>
        <w:tc>
          <w:tcPr/>
          <w:p>
            <w:pPr>
              <w:pStyle w:val="Compact"/>
              <w:jc w:val="left"/>
            </w:pPr>
            <w:r>
              <w:t xml:space="preserve">GLBA; Reg. P (16 C.F.R. Pt. 313)</w:t>
            </w:r>
          </w:p>
        </w:tc>
        <w:tc>
          <w:tcPr/>
          <w:p>
            <w:pPr>
              <w:pStyle w:val="Compact"/>
              <w:jc w:val="left"/>
            </w:pPr>
            <w:r>
              <w:t xml:space="preserve">Privacy Policy; Data Inventory; Investor Letter</w:t>
            </w:r>
          </w:p>
        </w:tc>
      </w:tr>
      <w:tr>
        <w:tc>
          <w:tcPr/>
          <w:p>
            <w:pPr>
              <w:pStyle w:val="Compact"/>
              <w:jc w:val="left"/>
            </w:pPr>
            <w:r>
              <w:t xml:space="preserve">14</w:t>
            </w:r>
          </w:p>
        </w:tc>
        <w:tc>
          <w:tcPr/>
          <w:p>
            <w:pPr>
              <w:pStyle w:val="Compact"/>
              <w:jc w:val="left"/>
            </w:pPr>
            <w:r>
              <w:t xml:space="preserve">Lawful basis not documented; browsewrap consent sole basis (insufficient)</w:t>
            </w:r>
          </w:p>
        </w:tc>
        <w:tc>
          <w:tcPr/>
          <w:p>
            <w:pPr>
              <w:pStyle w:val="Compact"/>
              <w:jc w:val="left"/>
            </w:pPr>
            <w:r>
              <w:rPr>
                <w:b/>
                <w:bCs/>
              </w:rPr>
              <w:t xml:space="preserve">Medium</w:t>
            </w:r>
          </w:p>
        </w:tc>
        <w:tc>
          <w:tcPr/>
          <w:p>
            <w:pPr>
              <w:pStyle w:val="Compact"/>
              <w:jc w:val="left"/>
            </w:pPr>
            <w:r>
              <w:t xml:space="preserve">GDPR Art. 6, 7, 9</w:t>
            </w:r>
          </w:p>
        </w:tc>
        <w:tc>
          <w:tcPr/>
          <w:p>
            <w:pPr>
              <w:pStyle w:val="Compact"/>
              <w:jc w:val="left"/>
            </w:pPr>
            <w:r>
              <w:t xml:space="preserve">Privacy Policy; Data Inventory (Processing Activities, EU Summary)</w:t>
            </w:r>
          </w:p>
        </w:tc>
      </w:tr>
      <w:tr>
        <w:tc>
          <w:tcPr/>
          <w:p>
            <w:pPr>
              <w:pStyle w:val="Compact"/>
              <w:jc w:val="left"/>
            </w:pPr>
            <w:r>
              <w:t xml:space="preserve">15</w:t>
            </w:r>
          </w:p>
        </w:tc>
        <w:tc>
          <w:tcPr/>
          <w:p>
            <w:pPr>
              <w:pStyle w:val="Compact"/>
              <w:jc w:val="left"/>
            </w:pPr>
            <w:r>
              <w:t xml:space="preserve">Third-party recipient disclosures incomplete (Brightly and others not named)</w:t>
            </w:r>
          </w:p>
        </w:tc>
        <w:tc>
          <w:tcPr/>
          <w:p>
            <w:pPr>
              <w:pStyle w:val="Compact"/>
              <w:jc w:val="left"/>
            </w:pPr>
            <w:r>
              <w:rPr>
                <w:b/>
                <w:bCs/>
              </w:rPr>
              <w:t xml:space="preserve">Medium</w:t>
            </w:r>
          </w:p>
        </w:tc>
        <w:tc>
          <w:tcPr/>
          <w:p>
            <w:pPr>
              <w:pStyle w:val="Compact"/>
              <w:jc w:val="left"/>
            </w:pPr>
            <w:r>
              <w:t xml:space="preserve">GDPR Art. 13/14; CCPA/CPRA</w:t>
            </w:r>
          </w:p>
        </w:tc>
        <w:tc>
          <w:tcPr/>
          <w:p>
            <w:pPr>
              <w:pStyle w:val="Compact"/>
              <w:jc w:val="left"/>
            </w:pPr>
            <w:r>
              <w:t xml:space="preserve">Privacy Policy; Data Inventory (Third-Party Sharing); Brightly DSA</w:t>
            </w:r>
          </w:p>
        </w:tc>
      </w:tr>
      <w:tr>
        <w:tc>
          <w:tcPr/>
          <w:p>
            <w:pPr>
              <w:pStyle w:val="Compact"/>
              <w:jc w:val="left"/>
            </w:pPr>
            <w:r>
              <w:t xml:space="preserve">16</w:t>
            </w:r>
          </w:p>
        </w:tc>
        <w:tc>
          <w:tcPr/>
          <w:p>
            <w:pPr>
              <w:pStyle w:val="Compact"/>
              <w:jc w:val="left"/>
            </w:pPr>
            <w:r>
              <w:t xml:space="preserve">Partner financial product referrals: referral fees may constitute</w:t>
            </w:r>
            <w:r>
              <w:t xml:space="preserve"> </w:t>
            </w:r>
            <w:r>
              <w:t xml:space="preserve">“</w:t>
            </w:r>
            <w:r>
              <w:t xml:space="preserve">sale</w:t>
            </w:r>
            <w:r>
              <w:t xml:space="preserve">”</w:t>
            </w:r>
            <w:r>
              <w:t xml:space="preserve">; no opt-out</w:t>
            </w:r>
          </w:p>
        </w:tc>
        <w:tc>
          <w:tcPr/>
          <w:p>
            <w:pPr>
              <w:pStyle w:val="Compact"/>
              <w:jc w:val="left"/>
            </w:pPr>
            <w:r>
              <w:rPr>
                <w:b/>
                <w:bCs/>
              </w:rPr>
              <w:t xml:space="preserve">Medium</w:t>
            </w:r>
          </w:p>
        </w:tc>
        <w:tc>
          <w:tcPr/>
          <w:p>
            <w:pPr>
              <w:pStyle w:val="Compact"/>
              <w:jc w:val="left"/>
            </w:pPr>
            <w:r>
              <w:t xml:space="preserve">CPRA (sale)</w:t>
            </w:r>
          </w:p>
        </w:tc>
        <w:tc>
          <w:tcPr/>
          <w:p>
            <w:pPr>
              <w:pStyle w:val="Compact"/>
              <w:jc w:val="left"/>
            </w:pPr>
            <w:r>
              <w:t xml:space="preserve">Privacy Policy; Data Inventory (TS-003, PA-005)</w:t>
            </w:r>
          </w:p>
        </w:tc>
      </w:tr>
      <w:tr>
        <w:tc>
          <w:tcPr/>
          <w:p>
            <w:pPr>
              <w:pStyle w:val="Compact"/>
              <w:jc w:val="left"/>
            </w:pPr>
            <w:r>
              <w:t xml:space="preserve">17</w:t>
            </w:r>
          </w:p>
        </w:tc>
        <w:tc>
          <w:tcPr/>
          <w:p>
            <w:pPr>
              <w:pStyle w:val="Compact"/>
              <w:jc w:val="left"/>
            </w:pPr>
            <w:r>
              <w:t xml:space="preserve">Brightly DSA contractual gaps: no DPA; perpetual retention of derived data; indemnity risk; potentially false reps</w:t>
            </w:r>
          </w:p>
        </w:tc>
        <w:tc>
          <w:tcPr/>
          <w:p>
            <w:pPr>
              <w:pStyle w:val="Compact"/>
              <w:jc w:val="left"/>
            </w:pPr>
            <w:r>
              <w:rPr>
                <w:b/>
                <w:bCs/>
              </w:rPr>
              <w:t xml:space="preserve">Medium</w:t>
            </w:r>
          </w:p>
        </w:tc>
        <w:tc>
          <w:tcPr/>
          <w:p>
            <w:pPr>
              <w:pStyle w:val="Compact"/>
              <w:jc w:val="left"/>
            </w:pPr>
            <w:r>
              <w:t xml:space="preserve">Contractual; CPRA; GDPR</w:t>
            </w:r>
          </w:p>
        </w:tc>
        <w:tc>
          <w:tcPr/>
          <w:p>
            <w:pPr>
              <w:pStyle w:val="Compact"/>
              <w:jc w:val="left"/>
            </w:pPr>
            <w:r>
              <w:t xml:space="preserve">Brightly DSA; Data Inventory (TS-002)</w:t>
            </w:r>
          </w:p>
        </w:tc>
      </w:tr>
      <w:tr>
        <w:tc>
          <w:tcPr/>
          <w:p>
            <w:pPr>
              <w:pStyle w:val="Compact"/>
              <w:jc w:val="left"/>
            </w:pPr>
            <w:r>
              <w:t xml:space="preserve">18</w:t>
            </w:r>
          </w:p>
        </w:tc>
        <w:tc>
          <w:tcPr/>
          <w:p>
            <w:pPr>
              <w:pStyle w:val="Compact"/>
              <w:jc w:val="left"/>
            </w:pPr>
            <w:r>
              <w:t xml:space="preserve">Privacy Policy stale (2+ years) and unreadable (Flesch-Kincaid grade 18.2); no headers</w:t>
            </w:r>
          </w:p>
        </w:tc>
        <w:tc>
          <w:tcPr/>
          <w:p>
            <w:pPr>
              <w:pStyle w:val="Compact"/>
              <w:jc w:val="left"/>
            </w:pPr>
            <w:r>
              <w:rPr>
                <w:b/>
                <w:bCs/>
              </w:rPr>
              <w:t xml:space="preserve">Medium</w:t>
            </w:r>
          </w:p>
        </w:tc>
        <w:tc>
          <w:tcPr/>
          <w:p>
            <w:pPr>
              <w:pStyle w:val="Compact"/>
              <w:jc w:val="left"/>
            </w:pPr>
            <w:r>
              <w:t xml:space="preserve">FTC</w:t>
            </w:r>
            <w:r>
              <w:t xml:space="preserve"> </w:t>
            </w:r>
            <w:r>
              <w:t xml:space="preserve">“</w:t>
            </w:r>
            <w:r>
              <w:t xml:space="preserve">clear and conspicuous</w:t>
            </w:r>
            <w:r>
              <w:t xml:space="preserve">”</w:t>
            </w:r>
            <w:r>
              <w:t xml:space="preserve">; CPRA; GDPR</w:t>
            </w:r>
          </w:p>
        </w:tc>
        <w:tc>
          <w:tcPr/>
          <w:p>
            <w:pPr>
              <w:pStyle w:val="Compact"/>
              <w:jc w:val="left"/>
            </w:pPr>
            <w:r>
              <w:t xml:space="preserve">Privacy Policy; Investor Letter</w:t>
            </w:r>
          </w:p>
        </w:tc>
      </w:tr>
    </w:tbl>
    <w:p>
      <w:r>
        <w:pict>
          <v:rect style="width:0;height:1.5pt" o:hralign="center" o:hrstd="t" o:hr="t"/>
        </w:pict>
      </w:r>
    </w:p>
    <w:bookmarkEnd w:id="22"/>
    <w:bookmarkStart w:id="41" w:name="iv.-detailed-analysis"/>
    <w:p>
      <w:pPr>
        <w:pStyle w:val="Heading2"/>
      </w:pPr>
      <w:r>
        <w:t xml:space="preserve">IV. Detailed Analysis</w:t>
      </w:r>
    </w:p>
    <w:bookmarkStart w:id="23" w:name="X3b90870ec6b1fd24c467005cd792db2b289032e"/>
    <w:p>
      <w:pPr>
        <w:pStyle w:val="Heading3"/>
      </w:pPr>
      <w:r>
        <w:t xml:space="preserve">Issue 1 — Undisclosed Biometric Data Collection (Selfie Verify) [CRITICAL]</w:t>
      </w:r>
    </w:p>
    <w:p>
      <w:pPr>
        <w:pStyle w:val="FirstParagraph"/>
      </w:pPr>
      <w:r>
        <w:rPr>
          <w:b/>
          <w:bCs/>
        </w:rPr>
        <w:t xml:space="preserve">The gap.</w:t>
      </w:r>
      <w:r>
        <w:t xml:space="preserve"> </w:t>
      </w:r>
      <w:r>
        <w:t xml:space="preserve">The Privacy Policy, last updated January 15, 2023, contains no mention whatsoever of biometric data, facial geometry, faceprints, or the</w:t>
      </w:r>
      <w:r>
        <w:t xml:space="preserve"> </w:t>
      </w:r>
      <w:r>
        <w:t xml:space="preserve">“</w:t>
      </w:r>
      <w:r>
        <w:t xml:space="preserve">Selfie Verify</w:t>
      </w:r>
      <w:r>
        <w:t xml:space="preserve">”</w:t>
      </w:r>
      <w:r>
        <w:t xml:space="preserve"> </w:t>
      </w:r>
      <w:r>
        <w:t xml:space="preserve">identity-verification feature. The Data Inventory documents that Selfie Verify launched on</w:t>
      </w:r>
      <w:r>
        <w:t xml:space="preserve"> </w:t>
      </w:r>
      <w:r>
        <w:rPr>
          <w:b/>
          <w:bCs/>
        </w:rPr>
        <w:t xml:space="preserve">March 8, 2023</w:t>
      </w:r>
      <w:r>
        <w:t xml:space="preserve"> </w:t>
      </w:r>
      <w:r>
        <w:t xml:space="preserve">— approximately seven weeks</w:t>
      </w:r>
      <w:r>
        <w:t xml:space="preserve"> </w:t>
      </w:r>
      <w:r>
        <w:rPr>
          <w:i/>
          <w:iCs/>
        </w:rPr>
        <w:t xml:space="preserve">after</w:t>
      </w:r>
      <w:r>
        <w:t xml:space="preserve"> </w:t>
      </w:r>
      <w:r>
        <w:t xml:space="preserve">the Privacy Policy was last updated — and that the Policy</w:t>
      </w:r>
      <w:r>
        <w:t xml:space="preserve"> </w:t>
      </w:r>
      <w:r>
        <w:t xml:space="preserve">“</w:t>
      </w:r>
      <w:r>
        <w:t xml:space="preserve">was never updated to reflect this new data collection.</w:t>
      </w:r>
      <w:r>
        <w:t xml:space="preserve">”</w:t>
      </w:r>
    </w:p>
    <w:p>
      <w:pPr>
        <w:pStyle w:val="BodyText"/>
      </w:pPr>
      <w:r>
        <w:rPr>
          <w:b/>
          <w:bCs/>
        </w:rPr>
        <w:t xml:space="preserve">Cross-document evidence.</w:t>
      </w:r>
    </w:p>
    <w:p>
      <w:pPr>
        <w:pStyle w:val="Compact"/>
        <w:numPr>
          <w:ilvl w:val="0"/>
          <w:numId w:val="1003"/>
        </w:numPr>
      </w:pPr>
      <w:r>
        <w:rPr>
          <w:i/>
          <w:iCs/>
        </w:rPr>
        <w:t xml:space="preserve">Privacy Policy</w:t>
      </w:r>
      <w:r>
        <w:t xml:space="preserve">: Silent on biometric data. The</w:t>
      </w:r>
      <w:r>
        <w:t xml:space="preserve"> </w:t>
      </w:r>
      <w:r>
        <w:t xml:space="preserve">“</w:t>
      </w:r>
      <w:r>
        <w:t xml:space="preserve">Information We Collect</w:t>
      </w:r>
      <w:r>
        <w:t xml:space="preserve">”</w:t>
      </w:r>
      <w:r>
        <w:t xml:space="preserve"> </w:t>
      </w:r>
      <w:r>
        <w:t xml:space="preserve">section enumerates identifiers, financial data, device data, geolocation, behavioral data, and user-generated content, but omits any reference to facial geometry or biometric identifiers.</w:t>
      </w:r>
    </w:p>
    <w:p>
      <w:pPr>
        <w:pStyle w:val="Compact"/>
        <w:numPr>
          <w:ilvl w:val="0"/>
          <w:numId w:val="1003"/>
        </w:numPr>
      </w:pPr>
      <w:r>
        <w:rPr>
          <w:i/>
          <w:iCs/>
        </w:rPr>
        <w:t xml:space="preserve">Data Inventory (DC-011; Selfie Verify Details tab)</w:t>
      </w:r>
      <w:r>
        <w:t xml:space="preserve">: Classifies facial geometry templates as (i) Sensitive Personal Information under the CPRA, (ii) Special Category Data under GDPR Article 9 (biometric data for identification), and (iii) a biometric identifier under BIPA (740 ILCS 14/10). Approximately</w:t>
      </w:r>
      <w:r>
        <w:t xml:space="preserve"> </w:t>
      </w:r>
      <w:r>
        <w:rPr>
          <w:b/>
          <w:bCs/>
        </w:rPr>
        <w:t xml:space="preserve">1,900,000 users</w:t>
      </w:r>
      <w:r>
        <w:t xml:space="preserve"> </w:t>
      </w:r>
      <w:r>
        <w:t xml:space="preserve">have used the feature. Templates are stored for</w:t>
      </w:r>
      <w:r>
        <w:t xml:space="preserve"> </w:t>
      </w:r>
      <w:r>
        <w:rPr>
          <w:b/>
          <w:bCs/>
        </w:rPr>
        <w:t xml:space="preserve">5 years</w:t>
      </w:r>
      <w:r>
        <w:t xml:space="preserve"> </w:t>
      </w:r>
      <w:r>
        <w:t xml:space="preserve">after account creation. The inventory expressly states:</w:t>
      </w:r>
      <w:r>
        <w:t xml:space="preserve"> </w:t>
      </w:r>
      <w:r>
        <w:t xml:space="preserve">“</w:t>
      </w:r>
      <w:r>
        <w:t xml:space="preserve">NO written consent obtained,</w:t>
      </w:r>
      <w:r>
        <w:t xml:space="preserve">”</w:t>
      </w:r>
      <w:r>
        <w:t xml:space="preserve"> </w:t>
      </w:r>
      <w:r>
        <w:t xml:space="preserve">“</w:t>
      </w:r>
      <w:r>
        <w:t xml:space="preserve">NO publicly available retention/destruction policy published,</w:t>
      </w:r>
      <w:r>
        <w:t xml:space="preserve">”</w:t>
      </w:r>
      <w:r>
        <w:t xml:space="preserve"> </w:t>
      </w:r>
      <w:r>
        <w:t xml:space="preserve">and</w:t>
      </w:r>
      <w:r>
        <w:t xml:space="preserve"> </w:t>
      </w:r>
      <w:r>
        <w:t xml:space="preserve">“</w:t>
      </w:r>
      <w:r>
        <w:t xml:space="preserve">Privacy policy contains ZERO mention of biometric data collection.</w:t>
      </w:r>
      <w:r>
        <w:t xml:space="preserve">”</w:t>
      </w:r>
    </w:p>
    <w:p>
      <w:pPr>
        <w:pStyle w:val="Compact"/>
        <w:numPr>
          <w:ilvl w:val="0"/>
          <w:numId w:val="1003"/>
        </w:numPr>
      </w:pPr>
      <w:r>
        <w:rPr>
          <w:i/>
          <w:iCs/>
        </w:rPr>
        <w:t xml:space="preserve">Investor Letter</w:t>
      </w:r>
      <w:r>
        <w:t xml:space="preserve">: Flags the Selfie Verify feature and the absence of any privacy policy disclosure, and recommends review under BIPA and other state biometric statutes.</w:t>
      </w:r>
    </w:p>
    <w:p>
      <w:pPr>
        <w:pStyle w:val="FirstParagraph"/>
      </w:pPr>
      <w:r>
        <w:rPr>
          <w:b/>
          <w:bCs/>
        </w:rPr>
        <w:t xml:space="preserve">Applicable authority and exposure.</w:t>
      </w:r>
    </w:p>
    <w:p>
      <w:pPr>
        <w:pStyle w:val="Compact"/>
        <w:numPr>
          <w:ilvl w:val="0"/>
          <w:numId w:val="1004"/>
        </w:numPr>
      </w:pPr>
      <w:r>
        <w:rPr>
          <w:b/>
          <w:bCs/>
        </w:rPr>
        <w:t xml:space="preserve">BIPA (740 ILCS 14/15)</w:t>
      </w:r>
      <w:r>
        <w:t xml:space="preserve">: Requires (a) written informed consent before collection (§ 15(b)), and (b) a publicly available written policy establishing a retention schedule and destruction guidelines (§ 15(a)). The Data Inventory confirms neither exists. BIPA provides a private right of action with statutory damages of</w:t>
      </w:r>
      <w:r>
        <w:t xml:space="preserve"> </w:t>
      </w:r>
      <w:r>
        <w:rPr>
          <w:b/>
          <w:bCs/>
        </w:rPr>
        <w:t xml:space="preserve">$1,000 per negligent violation</w:t>
      </w:r>
      <w:r>
        <w:t xml:space="preserve"> </w:t>
      </w:r>
      <w:r>
        <w:t xml:space="preserve">and</w:t>
      </w:r>
      <w:r>
        <w:t xml:space="preserve"> </w:t>
      </w:r>
      <w:r>
        <w:rPr>
          <w:b/>
          <w:bCs/>
        </w:rPr>
        <w:t xml:space="preserve">$5,000 per intentional or reckless violation</w:t>
      </w:r>
      <w:r>
        <w:t xml:space="preserve">, plus attorneys’ fees. With approximately</w:t>
      </w:r>
      <w:r>
        <w:t xml:space="preserve"> </w:t>
      </w:r>
      <w:r>
        <w:rPr>
          <w:b/>
          <w:bCs/>
        </w:rPr>
        <w:t xml:space="preserve">87,000 Illinois users</w:t>
      </w:r>
      <w:r>
        <w:t xml:space="preserve">, the Data Inventory estimates exposure of</w:t>
      </w:r>
      <w:r>
        <w:t xml:space="preserve"> </w:t>
      </w:r>
      <w:r>
        <w:rPr>
          <w:b/>
          <w:bCs/>
        </w:rPr>
        <w:t xml:space="preserve">$87,000,000 (negligent) to $435,000,000 (intentional or reckless)</w:t>
      </w:r>
      <w:r>
        <w:t xml:space="preserve">. BIPA class actions are routinely certified and have produced nine- and ten-figure settlements and judgments in Illinois.</w:t>
      </w:r>
    </w:p>
    <w:p>
      <w:pPr>
        <w:pStyle w:val="Compact"/>
        <w:numPr>
          <w:ilvl w:val="0"/>
          <w:numId w:val="1004"/>
        </w:numPr>
      </w:pPr>
      <w:r>
        <w:rPr>
          <w:b/>
          <w:bCs/>
        </w:rPr>
        <w:t xml:space="preserve">Texas CUBI (Tex. Bus. &amp; Com. Code Ch. 503)</w:t>
      </w:r>
      <w:r>
        <w:t xml:space="preserve">: Requires consent before capturing biometric identifiers for commercial purposes. The Data Inventory estimates approximately</w:t>
      </w:r>
      <w:r>
        <w:t xml:space="preserve"> </w:t>
      </w:r>
      <w:r>
        <w:rPr>
          <w:b/>
          <w:bCs/>
        </w:rPr>
        <w:t xml:space="preserve">310,000 Texas users</w:t>
      </w:r>
      <w:r>
        <w:t xml:space="preserve"> </w:t>
      </w:r>
      <w:r>
        <w:t xml:space="preserve">used Selfie Verify. While Texas CUBI lacks a private right of action (enforced by the Attorney General), it presents state enforcement exposure.</w:t>
      </w:r>
    </w:p>
    <w:p>
      <w:pPr>
        <w:pStyle w:val="Compact"/>
        <w:numPr>
          <w:ilvl w:val="0"/>
          <w:numId w:val="1004"/>
        </w:numPr>
      </w:pPr>
      <w:r>
        <w:rPr>
          <w:b/>
          <w:bCs/>
        </w:rPr>
        <w:t xml:space="preserve">GDPR Article 9</w:t>
      </w:r>
      <w:r>
        <w:t xml:space="preserve">: Processing of biometric data for identification is special category data requiring an Article 9(2) exception, most plausibly explicit consent. Browsewrap</w:t>
      </w:r>
      <w:r>
        <w:t xml:space="preserve"> </w:t>
      </w:r>
      <w:r>
        <w:t xml:space="preserve">“</w:t>
      </w:r>
      <w:r>
        <w:t xml:space="preserve">consent</w:t>
      </w:r>
      <w:r>
        <w:t xml:space="preserve">”</w:t>
      </w:r>
      <w:r>
        <w:t xml:space="preserve"> </w:t>
      </w:r>
      <w:r>
        <w:t xml:space="preserve">is insufficient. Approximately</w:t>
      </w:r>
      <w:r>
        <w:t xml:space="preserve"> </w:t>
      </w:r>
      <w:r>
        <w:rPr>
          <w:b/>
          <w:bCs/>
        </w:rPr>
        <w:t xml:space="preserve">11,500 EU users</w:t>
      </w:r>
      <w:r>
        <w:t xml:space="preserve"> </w:t>
      </w:r>
      <w:r>
        <w:t xml:space="preserve">are affected.</w:t>
      </w:r>
    </w:p>
    <w:p>
      <w:pPr>
        <w:pStyle w:val="Compact"/>
        <w:numPr>
          <w:ilvl w:val="0"/>
          <w:numId w:val="1004"/>
        </w:numPr>
      </w:pPr>
      <w:r>
        <w:rPr>
          <w:b/>
          <w:bCs/>
        </w:rPr>
        <w:t xml:space="preserve">CPRA</w:t>
      </w:r>
      <w:r>
        <w:t xml:space="preserve">: Biometric information is sensitive personal information; its use and disclosure triggers the right to limit and opt-in consent requirements, neither of which is provided.</w:t>
      </w:r>
    </w:p>
    <w:p>
      <w:pPr>
        <w:pStyle w:val="FirstParagraph"/>
      </w:pPr>
      <w:r>
        <w:rPr>
          <w:b/>
          <w:bCs/>
        </w:rPr>
        <w:t xml:space="preserve">Risk assessment.</w:t>
      </w:r>
      <w:r>
        <w:t xml:space="preserve"> </w:t>
      </w:r>
      <w:r>
        <w:t xml:space="preserve">This is the single largest quantified exposure in the review. The combination of (i) a large affected population, (ii) a private right of action with per-violation statutory damages, (iii) complete absence of the two BIPA statutory prerequisites, and (iv) total non-disclosure in the Privacy Policy creates critical regulatory and litigation exposure that is highly likely to be raised in diligence and may affect valuation or closing conditions.</w:t>
      </w:r>
    </w:p>
    <w:p>
      <w:r>
        <w:pict>
          <v:rect style="width:0;height:1.5pt" o:hralign="center" o:hrstd="t" o:hr="t"/>
        </w:pict>
      </w:r>
    </w:p>
    <w:bookmarkEnd w:id="23"/>
    <w:bookmarkStart w:id="24" w:name="Xe4690c0afea92b672d5e4b7a9100c1548ca4108"/>
    <w:p>
      <w:pPr>
        <w:pStyle w:val="Heading3"/>
      </w:pPr>
      <w:r>
        <w:t xml:space="preserve">Issue 2 — International Data Transfers: Invalidated Privacy Shield [CRITICAL]</w:t>
      </w:r>
    </w:p>
    <w:p>
      <w:pPr>
        <w:pStyle w:val="FirstParagraph"/>
      </w:pPr>
      <w:r>
        <w:rPr>
          <w:b/>
          <w:bCs/>
        </w:rPr>
        <w:t xml:space="preserve">The gap.</w:t>
      </w:r>
      <w:r>
        <w:t xml:space="preserve"> </w:t>
      </w:r>
      <w:r>
        <w:t xml:space="preserve">The Privacy Policy expressly states that, for EU/EEA/UK users, Vaultline transfers personal data to the United States</w:t>
      </w:r>
      <w:r>
        <w:t xml:space="preserve"> </w:t>
      </w:r>
      <w:r>
        <w:t xml:space="preserve">“</w:t>
      </w:r>
      <w:r>
        <w:t xml:space="preserve">in reliance on the EU-US Privacy Shield Framework</w:t>
      </w:r>
      <w:r>
        <w:t xml:space="preserve">”</w:t>
      </w:r>
      <w:r>
        <w:t xml:space="preserve"> </w:t>
      </w:r>
      <w:r>
        <w:t xml:space="preserve">and has</w:t>
      </w:r>
      <w:r>
        <w:t xml:space="preserve"> </w:t>
      </w:r>
      <w:r>
        <w:t xml:space="preserve">“</w:t>
      </w:r>
      <w:r>
        <w:t xml:space="preserve">certified its compliance with the EU-US Privacy Shield Principles.</w:t>
      </w:r>
      <w:r>
        <w:t xml:space="preserve">”</w:t>
      </w:r>
      <w:r>
        <w:t xml:space="preserve"> </w:t>
      </w:r>
      <w:r>
        <w:t xml:space="preserve">The Privacy Shield was invalidated by the Court of Justice of the European Union in</w:t>
      </w:r>
      <w:r>
        <w:t xml:space="preserve"> </w:t>
      </w:r>
      <w:r>
        <w:rPr>
          <w:i/>
          <w:iCs/>
        </w:rPr>
        <w:t xml:space="preserve">Data Protection Commissioner v. Facebook Ireland</w:t>
      </w:r>
      <w:r>
        <w:t xml:space="preserve"> </w:t>
      </w:r>
      <w:r>
        <w:t xml:space="preserve">(Schrems II), Case C-311/18, on</w:t>
      </w:r>
      <w:r>
        <w:t xml:space="preserve"> </w:t>
      </w:r>
      <w:r>
        <w:rPr>
          <w:b/>
          <w:bCs/>
        </w:rPr>
        <w:t xml:space="preserve">July 16, 2020</w:t>
      </w:r>
      <w:r>
        <w:t xml:space="preserve"> </w:t>
      </w:r>
      <w:r>
        <w:t xml:space="preserve">— nearly three years before the Privacy Policy was last updated, and approximately five years before this review.</w:t>
      </w:r>
    </w:p>
    <w:p>
      <w:pPr>
        <w:pStyle w:val="BodyText"/>
      </w:pPr>
      <w:r>
        <w:rPr>
          <w:b/>
          <w:bCs/>
        </w:rPr>
        <w:t xml:space="preserve">Cross-document evidence.</w:t>
      </w:r>
    </w:p>
    <w:p>
      <w:pPr>
        <w:pStyle w:val="Compact"/>
        <w:numPr>
          <w:ilvl w:val="0"/>
          <w:numId w:val="1005"/>
        </w:numPr>
      </w:pPr>
      <w:r>
        <w:rPr>
          <w:i/>
          <w:iCs/>
        </w:rPr>
        <w:t xml:space="preserve">Privacy Policy</w:t>
      </w:r>
      <w:r>
        <w:t xml:space="preserve">:</w:t>
      </w:r>
      <w:r>
        <w:t xml:space="preserve"> </w:t>
      </w:r>
      <w:r>
        <w:t xml:space="preserve">“</w:t>
      </w:r>
      <w:r>
        <w:t xml:space="preserve">We transfer personal data to the United States in reliance on the EU-US Privacy Shield Framework, as administered by the U.S. Department of Commerce.</w:t>
      </w:r>
      <w:r>
        <w:t xml:space="preserve">”</w:t>
      </w:r>
      <w:r>
        <w:t xml:space="preserve"> </w:t>
      </w:r>
      <w:r>
        <w:t xml:space="preserve">No reference to Standard Contractual Clauses, the EU-U.S. Data Privacy Framework, or Binding Corporate Rules.</w:t>
      </w:r>
    </w:p>
    <w:p>
      <w:pPr>
        <w:pStyle w:val="Compact"/>
        <w:numPr>
          <w:ilvl w:val="0"/>
          <w:numId w:val="1005"/>
        </w:numPr>
      </w:pPr>
      <w:r>
        <w:rPr>
          <w:i/>
          <w:iCs/>
        </w:rPr>
        <w:t xml:space="preserve">Data Inventory (IT-001; PA-007; EU Processing Summary)</w:t>
      </w:r>
      <w:r>
        <w:t xml:space="preserve">: Confirms that all EU-resident user data (~23,000 users) is</w:t>
      </w:r>
      <w:r>
        <w:t xml:space="preserve"> </w:t>
      </w:r>
      <w:r>
        <w:t xml:space="preserve">“</w:t>
      </w:r>
      <w:r>
        <w:t xml:space="preserve">processed and stored on CloudFort Virginia servers.</w:t>
      </w:r>
      <w:r>
        <w:t xml:space="preserve">”</w:t>
      </w:r>
      <w:r>
        <w:t xml:space="preserve"> </w:t>
      </w:r>
      <w:r>
        <w:t xml:space="preserve">Expressly states:</w:t>
      </w:r>
      <w:r>
        <w:t xml:space="preserve"> </w:t>
      </w:r>
      <w:r>
        <w:t xml:space="preserve">“</w:t>
      </w:r>
      <w:r>
        <w:t xml:space="preserve">No valid transfer mechanism in place. Privacy Shield was invalidated July 16, 2020. EU-US Data Privacy Framework (adequacy decision July 10, 2023) is available but Vaultline has not obtained DPF certification. No Standard Contractual Clauses executed with CloudFort for EU data.</w:t>
      </w:r>
      <w:r>
        <w:t xml:space="preserve">”</w:t>
      </w:r>
      <w:r>
        <w:t xml:space="preserve"> </w:t>
      </w:r>
      <w:r>
        <w:t xml:space="preserve">The DPIA Status tab rates this activity</w:t>
      </w:r>
      <w:r>
        <w:t xml:space="preserve"> </w:t>
      </w:r>
      <w:r>
        <w:t xml:space="preserve">“</w:t>
      </w:r>
      <w:r>
        <w:t xml:space="preserve">Critical</w:t>
      </w:r>
      <w:r>
        <w:t xml:space="preserve">”</w:t>
      </w:r>
      <w:r>
        <w:t xml:space="preserve"> </w:t>
      </w:r>
      <w:r>
        <w:t xml:space="preserve">and notes no transfer impact assessment has been conducted.</w:t>
      </w:r>
    </w:p>
    <w:p>
      <w:pPr>
        <w:pStyle w:val="Compact"/>
        <w:numPr>
          <w:ilvl w:val="0"/>
          <w:numId w:val="1005"/>
        </w:numPr>
      </w:pPr>
      <w:r>
        <w:rPr>
          <w:i/>
          <w:iCs/>
        </w:rPr>
        <w:t xml:space="preserve">Investor Letter</w:t>
      </w:r>
      <w:r>
        <w:t xml:space="preserve">: Identifies this as a</w:t>
      </w:r>
      <w:r>
        <w:t xml:space="preserve"> </w:t>
      </w:r>
      <w:r>
        <w:t xml:space="preserve">“</w:t>
      </w:r>
      <w:r>
        <w:t xml:space="preserve">critical risk,</w:t>
      </w:r>
      <w:r>
        <w:t xml:space="preserve">”</w:t>
      </w:r>
      <w:r>
        <w:t xml:space="preserve"> </w:t>
      </w:r>
      <w:r>
        <w:t xml:space="preserve">notes the DPF adequacy decision of July 10, 2023 is available but unused, and emphasizes the planned Q3 2025 EU launch will</w:t>
      </w:r>
      <w:r>
        <w:t xml:space="preserve"> </w:t>
      </w:r>
      <w:r>
        <w:t xml:space="preserve">“</w:t>
      </w:r>
      <w:r>
        <w:t xml:space="preserve">significantly increase EU user base and regulatory exposure.</w:t>
      </w:r>
      <w:r>
        <w:t xml:space="preserve">”</w:t>
      </w:r>
    </w:p>
    <w:p>
      <w:pPr>
        <w:pStyle w:val="FirstParagraph"/>
      </w:pPr>
      <w:r>
        <w:rPr>
          <w:b/>
          <w:bCs/>
        </w:rPr>
        <w:t xml:space="preserve">Applicable authority and exposure.</w:t>
      </w:r>
      <w:r>
        <w:t xml:space="preserve"> </w:t>
      </w:r>
      <w:r>
        <w:t xml:space="preserve">Without a valid Chapter V transfer mechanism, all processing of EU-resident personal data in the United States is potentially unlawful under the GDPR, exposing the Company to supervisory authority enforcement (including suspension orders) and private claims by affected data subjects. The Investor Letter notes potential administrative fines up to 4% of annual global turnover (approximately</w:t>
      </w:r>
      <w:r>
        <w:t xml:space="preserve"> </w:t>
      </w:r>
      <w:r>
        <w:rPr>
          <w:b/>
          <w:bCs/>
        </w:rPr>
        <w:t xml:space="preserve">$1.89 million</w:t>
      </w:r>
      <w:r>
        <w:t xml:space="preserve"> </w:t>
      </w:r>
      <w:r>
        <w:t xml:space="preserve">based on FY 2024 revenue of $47.3 million), in addition to injunctive relief. The planned EU launch in Q3 2025 will materially expand this exposure if not remediated beforehand.</w:t>
      </w:r>
    </w:p>
    <w:p>
      <w:pPr>
        <w:pStyle w:val="BodyText"/>
      </w:pPr>
      <w:r>
        <w:rPr>
          <w:b/>
          <w:bCs/>
        </w:rPr>
        <w:t xml:space="preserve">Additional inconsistency.</w:t>
      </w:r>
      <w:r>
        <w:t xml:space="preserve"> </w:t>
      </w:r>
      <w:r>
        <w:t xml:space="preserve">The Breach Log (Entry 5) states that CloudFort confirmed</w:t>
      </w:r>
      <w:r>
        <w:t xml:space="preserve"> </w:t>
      </w:r>
      <w:r>
        <w:t xml:space="preserve">“</w:t>
      </w:r>
      <w:r>
        <w:t xml:space="preserve">no access anomalies were detected on its Dublin, Ireland infrastructure, where EU-resident user data is partially replicated,</w:t>
      </w:r>
      <w:r>
        <w:t xml:space="preserve">”</w:t>
      </w:r>
      <w:r>
        <w:t xml:space="preserve"> </w:t>
      </w:r>
      <w:r>
        <w:t xml:space="preserve">whereas the Data Inventory (IT-001, PA-007) states that</w:t>
      </w:r>
      <w:r>
        <w:t xml:space="preserve"> </w:t>
      </w:r>
      <w:r>
        <w:t xml:space="preserve">“</w:t>
      </w:r>
      <w:r>
        <w:t xml:space="preserve">all EU-resident user data is processed and stored on CloudFort Virginia servers.</w:t>
      </w:r>
      <w:r>
        <w:t xml:space="preserve">”</w:t>
      </w:r>
      <w:r>
        <w:t xml:space="preserve"> </w:t>
      </w:r>
      <w:r>
        <w:t xml:space="preserve">This inconsistency is addressed in Section V and bears on both the transfer analysis and the accuracy of representations to the investor.</w:t>
      </w:r>
    </w:p>
    <w:p>
      <w:r>
        <w:pict>
          <v:rect style="width:0;height:1.5pt" o:hralign="center" o:hrstd="t" o:hr="t"/>
        </w:pict>
      </w:r>
    </w:p>
    <w:bookmarkEnd w:id="24"/>
    <w:bookmarkStart w:id="25" w:name="X4f57751f5a7722a579c67b6efc99874ed4af744"/>
    <w:p>
      <w:pPr>
        <w:pStyle w:val="Heading3"/>
      </w:pPr>
      <w:r>
        <w:t xml:space="preserve">Issue 3 — Undisclosed Automated Decision-Making (Smart Insights) [CRITICAL]</w:t>
      </w:r>
    </w:p>
    <w:p>
      <w:pPr>
        <w:pStyle w:val="FirstParagraph"/>
      </w:pPr>
      <w:r>
        <w:rPr>
          <w:b/>
          <w:bCs/>
        </w:rPr>
        <w:t xml:space="preserve">The gap.</w:t>
      </w:r>
      <w:r>
        <w:t xml:space="preserve"> </w:t>
      </w:r>
      <w:r>
        <w:t xml:space="preserve">The Privacy Policy contains no disclosure of automated decision-making, profiling, or artificial intelligence. The Data Inventory documents a feature (</w:t>
      </w:r>
      <w:r>
        <w:t xml:space="preserve">“</w:t>
      </w:r>
      <w:r>
        <w:t xml:space="preserve">Smart Insights</w:t>
      </w:r>
      <w:r>
        <w:t xml:space="preserve">”</w:t>
      </w:r>
      <w:r>
        <w:t xml:space="preserve">) that constitutes fully automated decision-making producing legal or similarly significant effects on approximately 2.8 million users.</w:t>
      </w:r>
    </w:p>
    <w:p>
      <w:pPr>
        <w:pStyle w:val="BodyText"/>
      </w:pPr>
      <w:r>
        <w:rPr>
          <w:b/>
          <w:bCs/>
        </w:rPr>
        <w:t xml:space="preserve">Cross-document evidence.</w:t>
      </w:r>
    </w:p>
    <w:p>
      <w:pPr>
        <w:pStyle w:val="Compact"/>
        <w:numPr>
          <w:ilvl w:val="0"/>
          <w:numId w:val="1006"/>
        </w:numPr>
      </w:pPr>
      <w:r>
        <w:rPr>
          <w:i/>
          <w:iCs/>
        </w:rPr>
        <w:t xml:space="preserve">Privacy Policy</w:t>
      </w:r>
      <w:r>
        <w:t xml:space="preserve">: No mention of Smart Insights, AI, machine learning, profiling, or automated decision-making.</w:t>
      </w:r>
    </w:p>
    <w:p>
      <w:pPr>
        <w:pStyle w:val="Compact"/>
        <w:numPr>
          <w:ilvl w:val="0"/>
          <w:numId w:val="1006"/>
        </w:numPr>
      </w:pPr>
      <w:r>
        <w:rPr>
          <w:i/>
          <w:iCs/>
        </w:rPr>
        <w:t xml:space="preserve">Data Inventory (PA-003)</w:t>
      </w:r>
      <w:r>
        <w:t xml:space="preserve">:</w:t>
      </w:r>
      <w:r>
        <w:t xml:space="preserve"> </w:t>
      </w:r>
      <w:r>
        <w:t xml:space="preserve">“</w:t>
      </w:r>
      <w:r>
        <w:t xml:space="preserve">Machine learning models analyze transaction data, income data, and spending patterns to generate personalized financial recommendations. AI determines which credit product partner offers to show or hide based on assessment of user’s financial profile.</w:t>
      </w:r>
      <w:r>
        <w:t xml:space="preserve">”</w:t>
      </w:r>
      <w:r>
        <w:t xml:space="preserve"> </w:t>
      </w:r>
      <w:r>
        <w:t xml:space="preserve">The inventory expressly records:</w:t>
      </w:r>
      <w:r>
        <w:t xml:space="preserve"> </w:t>
      </w:r>
      <w:r>
        <w:t xml:space="preserve">“</w:t>
      </w:r>
      <w:r>
        <w:t xml:space="preserve">Automated Decision-Making? YES — Fully Automated</w:t>
      </w:r>
      <w:r>
        <w:t xml:space="preserve">”</w:t>
      </w:r>
      <w:r>
        <w:t xml:space="preserve">;</w:t>
      </w:r>
      <w:r>
        <w:t xml:space="preserve"> </w:t>
      </w:r>
      <w:r>
        <w:t xml:space="preserve">“</w:t>
      </w:r>
      <w:r>
        <w:t xml:space="preserve">Produces Legal/Significant Effects? YES — Recommends or withholds credit product offers; determines eligibility visibility for partner financial products based on AI assessment of financial profile.</w:t>
      </w:r>
      <w:r>
        <w:t xml:space="preserve">”</w:t>
      </w:r>
      <w:r>
        <w:t xml:space="preserve"> </w:t>
      </w:r>
      <w:r>
        <w:t xml:space="preserve">Approximately</w:t>
      </w:r>
      <w:r>
        <w:t xml:space="preserve"> </w:t>
      </w:r>
      <w:r>
        <w:rPr>
          <w:b/>
          <w:bCs/>
        </w:rPr>
        <w:t xml:space="preserve">2,800,000 active users</w:t>
      </w:r>
      <w:r>
        <w:t xml:space="preserve"> </w:t>
      </w:r>
      <w:r>
        <w:t xml:space="preserve">are exposed. The inventory states:</w:t>
      </w:r>
      <w:r>
        <w:t xml:space="preserve"> </w:t>
      </w:r>
      <w:r>
        <w:t xml:space="preserve">“</w:t>
      </w:r>
      <w:r>
        <w:t xml:space="preserve">No disclosure of automated decision-making in privacy policy. No opt-out mechanism provided. No human review option offered.</w:t>
      </w:r>
      <w:r>
        <w:t xml:space="preserve">”</w:t>
      </w:r>
      <w:r>
        <w:t xml:space="preserve"> </w:t>
      </w:r>
      <w:r>
        <w:t xml:space="preserve">The DPIA Status tab rates this activity</w:t>
      </w:r>
      <w:r>
        <w:t xml:space="preserve"> </w:t>
      </w:r>
      <w:r>
        <w:t xml:space="preserve">“</w:t>
      </w:r>
      <w:r>
        <w:t xml:space="preserve">Critical</w:t>
      </w:r>
      <w:r>
        <w:t xml:space="preserve">”</w:t>
      </w:r>
      <w:r>
        <w:t xml:space="preserve"> </w:t>
      </w:r>
      <w:r>
        <w:t xml:space="preserve">and identifies it as a mandatory DPIA trigger under GDPR Article 35(3)(a); no DPIA has been conducted.</w:t>
      </w:r>
    </w:p>
    <w:p>
      <w:pPr>
        <w:pStyle w:val="Compact"/>
        <w:numPr>
          <w:ilvl w:val="0"/>
          <w:numId w:val="1006"/>
        </w:numPr>
      </w:pPr>
      <w:r>
        <w:rPr>
          <w:i/>
          <w:iCs/>
        </w:rPr>
        <w:t xml:space="preserve">Investor Letter</w:t>
      </w:r>
      <w:r>
        <w:t xml:space="preserve">: Flags Smart Insights as potentially constituting automated decision-making producing legal or significant effects, with no privacy policy disclosure, raising concerns under GDPR Article 22 and emerging U.S. state AI governance requirements.</w:t>
      </w:r>
    </w:p>
    <w:p>
      <w:pPr>
        <w:pStyle w:val="FirstParagraph"/>
      </w:pPr>
      <w:r>
        <w:rPr>
          <w:b/>
          <w:bCs/>
        </w:rPr>
        <w:t xml:space="preserve">Applicable authority and exposure.</w:t>
      </w:r>
    </w:p>
    <w:p>
      <w:pPr>
        <w:pStyle w:val="Compact"/>
        <w:numPr>
          <w:ilvl w:val="0"/>
          <w:numId w:val="1007"/>
        </w:numPr>
      </w:pPr>
      <w:r>
        <w:rPr>
          <w:b/>
          <w:bCs/>
        </w:rPr>
        <w:t xml:space="preserve">GDPR Article 22</w:t>
      </w:r>
      <w:r>
        <w:t xml:space="preserve">: Data subjects have the right not to be subject to solely automated decisions producing legal or similarly significant effects, with safeguards including human intervention and the right to contest. Article 13(2)(f) requires disclosure of the existence of such processing, the logic involved, and the envisaged consequences. None are provided.</w:t>
      </w:r>
    </w:p>
    <w:p>
      <w:pPr>
        <w:pStyle w:val="Compact"/>
        <w:numPr>
          <w:ilvl w:val="0"/>
          <w:numId w:val="1007"/>
        </w:numPr>
      </w:pPr>
      <w:r>
        <w:rPr>
          <w:b/>
          <w:bCs/>
        </w:rPr>
        <w:t xml:space="preserve">GDPR Article 35(3)(a)</w:t>
      </w:r>
      <w:r>
        <w:t xml:space="preserve">: Mandatory DPIA for</w:t>
      </w:r>
      <w:r>
        <w:t xml:space="preserve"> </w:t>
      </w:r>
      <w:r>
        <w:t xml:space="preserve">“</w:t>
      </w:r>
      <w:r>
        <w:t xml:space="preserve">systematic and extensive evaluation of personal aspects based on automated processing, including profiling, producing legal or significant effects.</w:t>
      </w:r>
      <w:r>
        <w:t xml:space="preserve">”</w:t>
      </w:r>
      <w:r>
        <w:t xml:space="preserve"> </w:t>
      </w:r>
      <w:r>
        <w:t xml:space="preserve">Not conducted.</w:t>
      </w:r>
    </w:p>
    <w:p>
      <w:pPr>
        <w:pStyle w:val="Compact"/>
        <w:numPr>
          <w:ilvl w:val="0"/>
          <w:numId w:val="1007"/>
        </w:numPr>
      </w:pPr>
      <w:r>
        <w:rPr>
          <w:b/>
          <w:bCs/>
        </w:rPr>
        <w:t xml:space="preserve">CPRA / emerging state AI laws</w:t>
      </w:r>
      <w:r>
        <w:t xml:space="preserve">: Automated decision-making affecting financial product access is increasingly regulated; the absence of disclosure and opt-out is a gap.</w:t>
      </w:r>
    </w:p>
    <w:p>
      <w:pPr>
        <w:pStyle w:val="FirstParagraph"/>
      </w:pPr>
      <w:r>
        <w:rPr>
          <w:b/>
          <w:bCs/>
        </w:rPr>
        <w:t xml:space="preserve">Risk assessment.</w:t>
      </w:r>
      <w:r>
        <w:t xml:space="preserve"> </w:t>
      </w:r>
      <w:r>
        <w:t xml:space="preserve">Withholding credit product offers based on automated financial profiling — affecting access to financial products for 2.8 million users — is among the clearest examples of Article 22</w:t>
      </w:r>
      <w:r>
        <w:t xml:space="preserve"> </w:t>
      </w:r>
      <w:r>
        <w:t xml:space="preserve">“</w:t>
      </w:r>
      <w:r>
        <w:t xml:space="preserve">significant effects</w:t>
      </w:r>
      <w:r>
        <w:t xml:space="preserve">”</w:t>
      </w:r>
      <w:r>
        <w:t xml:space="preserve"> </w:t>
      </w:r>
      <w:r>
        <w:t xml:space="preserve">processing. The absence of disclosure, human review, opt-out, and DPIA represents critical GDPR non-compliance that will be a focal point of any EU supervisory authority review, particularly post-launch.</w:t>
      </w:r>
    </w:p>
    <w:p>
      <w:r>
        <w:pict>
          <v:rect style="width:0;height:1.5pt" o:hralign="center" o:hrstd="t" o:hr="t"/>
        </w:pict>
      </w:r>
    </w:p>
    <w:bookmarkEnd w:id="25"/>
    <w:bookmarkStart w:id="26" w:name="X3ca4265d6d3de9de8dcfd0581daa174e5615777"/>
    <w:p>
      <w:pPr>
        <w:pStyle w:val="Heading3"/>
      </w:pPr>
      <w:r>
        <w:t xml:space="preserve">Issue 4 — Brightly Analytics: Likely CPRA</w:t>
      </w:r>
      <w:r>
        <w:t xml:space="preserve"> </w:t>
      </w:r>
      <w:r>
        <w:t xml:space="preserve">“</w:t>
      </w:r>
      <w:r>
        <w:t xml:space="preserve">Sale</w:t>
      </w:r>
      <w:r>
        <w:t xml:space="preserve">”</w:t>
      </w:r>
      <w:r>
        <w:t xml:space="preserve">/</w:t>
      </w:r>
      <w:r>
        <w:t xml:space="preserve">“</w:t>
      </w:r>
      <w:r>
        <w:t xml:space="preserve">Sharing</w:t>
      </w:r>
      <w:r>
        <w:t xml:space="preserve">”</w:t>
      </w:r>
      <w:r>
        <w:t xml:space="preserve"> </w:t>
      </w:r>
      <w:r>
        <w:t xml:space="preserve">Without Disclosure or Opt-Out [CRITICAL]</w:t>
      </w:r>
    </w:p>
    <w:p>
      <w:pPr>
        <w:pStyle w:val="FirstParagraph"/>
      </w:pPr>
      <w:r>
        <w:rPr>
          <w:b/>
          <w:bCs/>
        </w:rPr>
        <w:t xml:space="preserve">The gap.</w:t>
      </w:r>
      <w:r>
        <w:t xml:space="preserve"> </w:t>
      </w:r>
      <w:r>
        <w:t xml:space="preserve">The Privacy Policy does not name Brightly Analytics, does not disclose that the Company receives monetary consideration for sharing user data, and provides no</w:t>
      </w:r>
      <w:r>
        <w:t xml:space="preserve"> </w:t>
      </w:r>
      <w:r>
        <w:t xml:space="preserve">“</w:t>
      </w:r>
      <w:r>
        <w:t xml:space="preserve">Do Not Sell or Share My Personal Information</w:t>
      </w:r>
      <w:r>
        <w:t xml:space="preserve">”</w:t>
      </w:r>
      <w:r>
        <w:t xml:space="preserve"> </w:t>
      </w:r>
      <w:r>
        <w:t xml:space="preserve">opt-out. The Brightly DSA and Data Inventory together establish an arrangement that likely constitutes both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of personal information under the CPRA.</w:t>
      </w:r>
    </w:p>
    <w:p>
      <w:pPr>
        <w:pStyle w:val="BodyText"/>
      </w:pPr>
      <w:r>
        <w:rPr>
          <w:b/>
          <w:bCs/>
        </w:rPr>
        <w:t xml:space="preserve">Cross-document evidence.</w:t>
      </w:r>
    </w:p>
    <w:p>
      <w:pPr>
        <w:pStyle w:val="Compact"/>
        <w:numPr>
          <w:ilvl w:val="0"/>
          <w:numId w:val="1008"/>
        </w:numPr>
      </w:pPr>
      <w:r>
        <w:rPr>
          <w:i/>
          <w:iCs/>
        </w:rPr>
        <w:t xml:space="preserve">Privacy Policy</w:t>
      </w:r>
      <w:r>
        <w:t xml:space="preserve">: Refers generically to</w:t>
      </w:r>
      <w:r>
        <w:t xml:space="preserve"> </w:t>
      </w:r>
      <w:r>
        <w:t xml:space="preserve">“</w:t>
      </w:r>
      <w:r>
        <w:t xml:space="preserve">analytics and advertising partners</w:t>
      </w:r>
      <w:r>
        <w:t xml:space="preserve">”</w:t>
      </w:r>
      <w:r>
        <w:t xml:space="preserve"> </w:t>
      </w:r>
      <w:r>
        <w:t xml:space="preserve">and states the Company</w:t>
      </w:r>
      <w:r>
        <w:t xml:space="preserve"> </w:t>
      </w:r>
      <w:r>
        <w:t xml:space="preserve">“</w:t>
      </w:r>
      <w:r>
        <w:t xml:space="preserve">may share certain information with such partners.</w:t>
      </w:r>
      <w:r>
        <w:t xml:space="preserve">”</w:t>
      </w:r>
      <w:r>
        <w:t xml:space="preserve"> </w:t>
      </w:r>
      <w:r>
        <w:t xml:space="preserve">It does not name Brightly, does not disclose the revenue-share, and provides no sale/sharing opt-out. The Nevada disclosure section affirmatively states:</w:t>
      </w:r>
      <w:r>
        <w:t xml:space="preserve"> </w:t>
      </w:r>
      <w:r>
        <w:t xml:space="preserve">“</w:t>
      </w:r>
      <w:r>
        <w:t xml:space="preserve">Vaultline does not currently engage in the sale of covered information as defined by Nevada law.</w:t>
      </w:r>
      <w:r>
        <w:t xml:space="preserve">”</w:t>
      </w:r>
    </w:p>
    <w:p>
      <w:pPr>
        <w:pStyle w:val="Compact"/>
        <w:numPr>
          <w:ilvl w:val="0"/>
          <w:numId w:val="1008"/>
        </w:numPr>
      </w:pPr>
      <w:r>
        <w:rPr>
          <w:i/>
          <w:iCs/>
        </w:rPr>
        <w:t xml:space="preserve">Brightly DSA</w:t>
      </w:r>
      <w:r>
        <w:t xml:space="preserve">: Section 4.1 designates Brightly as an</w:t>
      </w:r>
      <w:r>
        <w:t xml:space="preserve"> </w:t>
      </w:r>
      <w:r>
        <w:t xml:space="preserve">“</w:t>
      </w:r>
      <w:r>
        <w:t xml:space="preserve">independent data controller (and not as a data processor, service provider, or contractor).</w:t>
      </w:r>
      <w:r>
        <w:t xml:space="preserve">”</w:t>
      </w:r>
      <w:r>
        <w:t xml:space="preserve"> </w:t>
      </w:r>
      <w:r>
        <w:t xml:space="preserve">Section 5.1 provides for a revenue share of</w:t>
      </w:r>
      <w:r>
        <w:t xml:space="preserve"> </w:t>
      </w:r>
      <w:r>
        <w:rPr>
          <w:b/>
          <w:bCs/>
        </w:rPr>
        <w:t xml:space="preserve">$0.87 per Monthly Active User per month</w:t>
      </w:r>
      <w:r>
        <w:t xml:space="preserve">. Section 3.1 authorizes Brightly to use the data for cross-application behavioral advertising, audience segment creation, and the licensing and sale of audience segments to third-party advertisers. Section 3.2 permits Brightly to combine Vaultline data with data from other sources. Section 14.3 confirms</w:t>
      </w:r>
      <w:r>
        <w:t xml:space="preserve"> </w:t>
      </w:r>
      <w:r>
        <w:t xml:space="preserve">“</w:t>
      </w:r>
      <w:r>
        <w:t xml:space="preserve">there are no data processing addenda</w:t>
      </w:r>
      <w:r>
        <w:t xml:space="preserve">”</w:t>
      </w:r>
      <w:r>
        <w:t xml:space="preserve"> </w:t>
      </w:r>
      <w:r>
        <w:t xml:space="preserve">between the parties.</w:t>
      </w:r>
    </w:p>
    <w:p>
      <w:pPr>
        <w:pStyle w:val="Compact"/>
        <w:numPr>
          <w:ilvl w:val="0"/>
          <w:numId w:val="1008"/>
        </w:numPr>
      </w:pPr>
      <w:r>
        <w:rPr>
          <w:i/>
          <w:iCs/>
        </w:rPr>
        <w:t xml:space="preserve">Data Inventory (TS-002; PA-004)</w:t>
      </w:r>
      <w:r>
        <w:t xml:space="preserve">: States the CCPA sale/sharing classification is</w:t>
      </w:r>
      <w:r>
        <w:t xml:space="preserve"> </w:t>
      </w:r>
      <w:r>
        <w:t xml:space="preserve">“</w:t>
      </w:r>
      <w:r>
        <w:t xml:space="preserve">NOT CLASSIFIED — No internal CCPA sale/sharing analysis performed.</w:t>
      </w:r>
      <w:r>
        <w:t xml:space="preserve">”</w:t>
      </w:r>
      <w:r>
        <w:t xml:space="preserve"> </w:t>
      </w:r>
      <w:r>
        <w:t xml:space="preserve">Records annual revenue of approximately</w:t>
      </w:r>
      <w:r>
        <w:t xml:space="preserve"> </w:t>
      </w:r>
      <w:r>
        <w:rPr>
          <w:b/>
          <w:bCs/>
        </w:rPr>
        <w:t xml:space="preserve">$2,641,320</w:t>
      </w:r>
      <w:r>
        <w:t xml:space="preserve">. Expressly concludes:</w:t>
      </w:r>
      <w:r>
        <w:t xml:space="preserve"> </w:t>
      </w:r>
      <w:r>
        <w:t xml:space="preserve">“</w:t>
      </w:r>
      <w:r>
        <w:t xml:space="preserve">Revenue share constitutes monetary consideration — likely</w:t>
      </w:r>
      <w:r>
        <w:t xml:space="preserve"> </w:t>
      </w:r>
      <w:r>
        <w:t xml:space="preserve">‘</w:t>
      </w:r>
      <w:r>
        <w:t xml:space="preserve">sale</w:t>
      </w:r>
      <w:r>
        <w:t xml:space="preserve">’</w:t>
      </w:r>
      <w:r>
        <w:t xml:space="preserve"> </w:t>
      </w:r>
      <w:r>
        <w:t xml:space="preserve">under CPRA. Cross-app behavioral advertising use — likely</w:t>
      </w:r>
      <w:r>
        <w:t xml:space="preserve"> </w:t>
      </w:r>
      <w:r>
        <w:t xml:space="preserve">‘</w:t>
      </w:r>
      <w:r>
        <w:t xml:space="preserve">sharing</w:t>
      </w:r>
      <w:r>
        <w:t xml:space="preserve">’</w:t>
      </w:r>
      <w:r>
        <w:t xml:space="preserve"> </w:t>
      </w:r>
      <w:r>
        <w:t xml:space="preserve">under CPRA.</w:t>
      </w:r>
      <w:r>
        <w:t xml:space="preserve">”</w:t>
      </w:r>
      <w:r>
        <w:t xml:space="preserve"> </w:t>
      </w:r>
      <w:r>
        <w:t xml:space="preserve">Notes:</w:t>
      </w:r>
      <w:r>
        <w:t xml:space="preserve"> </w:t>
      </w:r>
      <w:r>
        <w:t xml:space="preserve">“</w:t>
      </w:r>
      <w:r>
        <w:t xml:space="preserve">No CCPA-specific provisions in agreement. No data processing addendum. No opt-out flow mechanism.</w:t>
      </w:r>
      <w:r>
        <w:t xml:space="preserve">”</w:t>
      </w:r>
      <w:r>
        <w:t xml:space="preserve"> </w:t>
      </w:r>
      <w:r>
        <w:t xml:space="preserve">Approximately 253,000 average MAUs are exposed.</w:t>
      </w:r>
    </w:p>
    <w:p>
      <w:pPr>
        <w:pStyle w:val="Compact"/>
        <w:numPr>
          <w:ilvl w:val="0"/>
          <w:numId w:val="1008"/>
        </w:numPr>
      </w:pPr>
      <w:r>
        <w:rPr>
          <w:i/>
          <w:iCs/>
        </w:rPr>
        <w:t xml:space="preserve">Investor Letter</w:t>
      </w:r>
      <w:r>
        <w:t xml:space="preserve">: Requests analysis of whether the Brightly arrangement constitutes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under the CPRA and whether disclosures and opt-out mechanisms are in place.</w:t>
      </w:r>
    </w:p>
    <w:p>
      <w:pPr>
        <w:pStyle w:val="FirstParagraph"/>
      </w:pPr>
      <w:r>
        <w:rPr>
          <w:b/>
          <w:bCs/>
        </w:rPr>
        <w:t xml:space="preserve">Applicable authority and exposure.</w:t>
      </w:r>
    </w:p>
    <w:p>
      <w:pPr>
        <w:pStyle w:val="Compact"/>
        <w:numPr>
          <w:ilvl w:val="0"/>
          <w:numId w:val="1009"/>
        </w:numPr>
      </w:pPr>
      <w:r>
        <w:rPr>
          <w:b/>
          <w:bCs/>
        </w:rPr>
        <w:t xml:space="preserve">CPRA</w:t>
      </w:r>
      <w:r>
        <w:t xml:space="preserve">: A</w:t>
      </w:r>
      <w:r>
        <w:t xml:space="preserve"> </w:t>
      </w:r>
      <w:r>
        <w:t xml:space="preserve">“</w:t>
      </w:r>
      <w:r>
        <w:t xml:space="preserve">sale</w:t>
      </w:r>
      <w:r>
        <w:t xml:space="preserve">”</w:t>
      </w:r>
      <w:r>
        <w:t xml:space="preserve"> </w:t>
      </w:r>
      <w:r>
        <w:t xml:space="preserve">is the exchange of personal information for monetary consideration;</w:t>
      </w:r>
      <w:r>
        <w:t xml:space="preserve"> </w:t>
      </w:r>
      <w:r>
        <w:t xml:space="preserve">“</w:t>
      </w:r>
      <w:r>
        <w:t xml:space="preserve">sharing</w:t>
      </w:r>
      <w:r>
        <w:t xml:space="preserve">”</w:t>
      </w:r>
      <w:r>
        <w:t xml:space="preserve"> </w:t>
      </w:r>
      <w:r>
        <w:t xml:space="preserve">includes cross-context behavioral advertising. The Brightly arrangement satisfies both definitions. The CPRA requires (i) disclosure of the categories of information sold/shared and the categories of third parties, (ii) a</w:t>
      </w:r>
      <w:r>
        <w:t xml:space="preserve"> </w:t>
      </w:r>
      <w:r>
        <w:t xml:space="preserve">“</w:t>
      </w:r>
      <w:r>
        <w:t xml:space="preserve">Do Not Sell or Share My Personal Information</w:t>
      </w:r>
      <w:r>
        <w:t xml:space="preserve">”</w:t>
      </w:r>
      <w:r>
        <w:t xml:space="preserve"> </w:t>
      </w:r>
      <w:r>
        <w:t xml:space="preserve">link, and (iii) an opt-out mechanism. None exist. The Company’s affirmative statement that it</w:t>
      </w:r>
      <w:r>
        <w:t xml:space="preserve"> </w:t>
      </w:r>
      <w:r>
        <w:t xml:space="preserve">“</w:t>
      </w:r>
      <w:r>
        <w:t xml:space="preserve">does not engage in the sale of covered information</w:t>
      </w:r>
      <w:r>
        <w:t xml:space="preserve">”</w:t>
      </w:r>
      <w:r>
        <w:t xml:space="preserve"> </w:t>
      </w:r>
      <w:r>
        <w:t xml:space="preserve">(Issue 11) is directly contradicted by this arrangement.</w:t>
      </w:r>
    </w:p>
    <w:p>
      <w:pPr>
        <w:pStyle w:val="Compact"/>
        <w:numPr>
          <w:ilvl w:val="0"/>
          <w:numId w:val="1009"/>
        </w:numPr>
      </w:pPr>
      <w:r>
        <w:rPr>
          <w:b/>
          <w:bCs/>
        </w:rPr>
        <w:t xml:space="preserve">GDPR</w:t>
      </w:r>
      <w:r>
        <w:t xml:space="preserve">: Brightly is an independent controller receiving EU-resident data (IT-002 estimates ~870 EU users exposed) with no transfer mechanism and no Article 26 joint-controller arrangement.</w:t>
      </w:r>
    </w:p>
    <w:p>
      <w:pPr>
        <w:pStyle w:val="Compact"/>
        <w:numPr>
          <w:ilvl w:val="0"/>
          <w:numId w:val="1009"/>
        </w:numPr>
      </w:pPr>
      <w:r>
        <w:rPr>
          <w:b/>
          <w:bCs/>
        </w:rPr>
        <w:t xml:space="preserve">Contractual</w:t>
      </w:r>
      <w:r>
        <w:t xml:space="preserve">: Brightly DSA Section 7.1(b) represents that the sharing is</w:t>
      </w:r>
      <w:r>
        <w:t xml:space="preserve"> </w:t>
      </w:r>
      <w:r>
        <w:t xml:space="preserve">“</w:t>
      </w:r>
      <w:r>
        <w:t xml:space="preserve">consistent with Vaultline’s privacy policy,</w:t>
      </w:r>
      <w:r>
        <w:t xml:space="preserve">”</w:t>
      </w:r>
      <w:r>
        <w:t xml:space="preserve"> </w:t>
      </w:r>
      <w:r>
        <w:t xml:space="preserve">and Section 7.1(c) represents that Vaultline</w:t>
      </w:r>
      <w:r>
        <w:t xml:space="preserve"> </w:t>
      </w:r>
      <w:r>
        <w:t xml:space="preserve">“</w:t>
      </w:r>
      <w:r>
        <w:t xml:space="preserve">has obtained all necessary consents.</w:t>
      </w:r>
      <w:r>
        <w:t xml:space="preserve">”</w:t>
      </w:r>
      <w:r>
        <w:t xml:space="preserve"> </w:t>
      </w:r>
      <w:r>
        <w:t xml:space="preserve">Given the Policy’s non-disclosure and the absence of any opt-out, these representations are arguably inaccurate, exposing Vaultline to indemnification claims under Section 11.1.</w:t>
      </w:r>
    </w:p>
    <w:p>
      <w:pPr>
        <w:pStyle w:val="FirstParagraph"/>
      </w:pPr>
      <w:r>
        <w:rPr>
          <w:b/>
          <w:bCs/>
        </w:rPr>
        <w:t xml:space="preserve">Risk assessment.</w:t>
      </w:r>
      <w:r>
        <w:t xml:space="preserve"> </w:t>
      </w:r>
      <w:r>
        <w:t xml:space="preserve">This is a critical CPRA compliance failure with a clear revenue nexus (~$2.64 million annually) that is likely to be characterized as a</w:t>
      </w:r>
      <w:r>
        <w:t xml:space="preserve"> </w:t>
      </w:r>
      <w:r>
        <w:t xml:space="preserve">“</w:t>
      </w:r>
      <w:r>
        <w:t xml:space="preserve">sale</w:t>
      </w:r>
      <w:r>
        <w:t xml:space="preserve">”</w:t>
      </w:r>
      <w:r>
        <w:t xml:space="preserve"> </w:t>
      </w:r>
      <w:r>
        <w:t xml:space="preserve">by regulators and plaintiffs. The combination of monetary consideration, cross-context behavioral advertising, an independent-controller designation, no DPA, and no opt-out is a high-probability enforcement target.</w:t>
      </w:r>
    </w:p>
    <w:p>
      <w:r>
        <w:pict>
          <v:rect style="width:0;height:1.5pt" o:hralign="center" o:hrstd="t" o:hr="t"/>
        </w:pict>
      </w:r>
    </w:p>
    <w:bookmarkEnd w:id="26"/>
    <w:bookmarkStart w:id="27" w:name="Xe263e28109fbc4f551686dc5c330afcd5cc259b"/>
    <w:p>
      <w:pPr>
        <w:pStyle w:val="Heading3"/>
      </w:pPr>
      <w:r>
        <w:t xml:space="preserve">Issue 5 — August 2024 Data Breach: Notification Gaps [CRITICAL]</w:t>
      </w:r>
    </w:p>
    <w:p>
      <w:pPr>
        <w:pStyle w:val="FirstParagraph"/>
      </w:pPr>
      <w:r>
        <w:rPr>
          <w:b/>
          <w:bCs/>
        </w:rPr>
        <w:t xml:space="preserve">The gap.</w:t>
      </w:r>
      <w:r>
        <w:t xml:space="preserve"> </w:t>
      </w:r>
      <w:r>
        <w:t xml:space="preserve">The Breach Log documents a security incident discovered August 12, 2024, affecting 84,000 user records (full legal names, email addresses, last-four-digit Social Security Numbers, and transaction histories). Consumer notification was not distributed until September 28, 2024 —</w:t>
      </w:r>
      <w:r>
        <w:t xml:space="preserve"> </w:t>
      </w:r>
      <w:r>
        <w:rPr>
          <w:b/>
          <w:bCs/>
        </w:rPr>
        <w:t xml:space="preserve">47 days</w:t>
      </w:r>
      <w:r>
        <w:t xml:space="preserve"> </w:t>
      </w:r>
      <w:r>
        <w:t xml:space="preserve">after discovery. The Breach Log’s notification record omits several notifications that appear to have been legally required.</w:t>
      </w:r>
    </w:p>
    <w:p>
      <w:pPr>
        <w:pStyle w:val="BodyText"/>
      </w:pPr>
      <w:r>
        <w:rPr>
          <w:b/>
          <w:bCs/>
        </w:rPr>
        <w:t xml:space="preserve">Cross-document evidence.</w:t>
      </w:r>
    </w:p>
    <w:p>
      <w:pPr>
        <w:pStyle w:val="Compact"/>
        <w:numPr>
          <w:ilvl w:val="0"/>
          <w:numId w:val="1010"/>
        </w:numPr>
      </w:pPr>
      <w:r>
        <w:rPr>
          <w:i/>
          <w:iCs/>
        </w:rPr>
        <w:t xml:space="preserve">Breach Log</w:t>
      </w:r>
      <w:r>
        <w:t xml:space="preserve">: Entry 7 (August 16, 2024) flags</w:t>
      </w:r>
      <w:r>
        <w:t xml:space="preserve"> </w:t>
      </w:r>
      <w:r>
        <w:t xml:space="preserve">“</w:t>
      </w:r>
      <w:r>
        <w:t xml:space="preserve">EU breach notification obligations under GDPR Article 33 (72-hour supervisory authority notification requirement)</w:t>
      </w:r>
      <w:r>
        <w:t xml:space="preserve">”</w:t>
      </w:r>
      <w:r>
        <w:t xml:space="preserve"> </w:t>
      </w:r>
      <w:r>
        <w:t xml:space="preserve">for approximately 510 affected EU-resident users</w:t>
      </w:r>
      <w:r>
        <w:t xml:space="preserve"> </w:t>
      </w:r>
      <w:r>
        <w:t xml:space="preserve">“</w:t>
      </w:r>
      <w:r>
        <w:t xml:space="preserve">for Priya Venkatesh’s review.</w:t>
      </w:r>
      <w:r>
        <w:t xml:space="preserve">”</w:t>
      </w:r>
      <w:r>
        <w:t xml:space="preserve"> </w:t>
      </w:r>
      <w:r>
        <w:t xml:space="preserve">Entry 6 (August 14, 2024) notes</w:t>
      </w:r>
      <w:r>
        <w:t xml:space="preserve"> </w:t>
      </w:r>
      <w:r>
        <w:t xml:space="preserve">“</w:t>
      </w:r>
      <w:r>
        <w:t xml:space="preserve">California AG notification requirements under review</w:t>
      </w:r>
      <w:r>
        <w:t xml:space="preserve">”</w:t>
      </w:r>
      <w:r>
        <w:t xml:space="preserve"> </w:t>
      </w:r>
      <w:r>
        <w:t xml:space="preserve">given approximately 3,100 affected California residents, exceeding the 500-resident threshold. The Notification Log (Section 6) records notifications to: affected users (September 28), CloudFort (August 13), the cyber insurance carrier (August 19), Thornbury &amp; Locke (August 14), and the CEO (August 12).</w:t>
      </w:r>
      <w:r>
        <w:t xml:space="preserve"> </w:t>
      </w:r>
      <w:r>
        <w:rPr>
          <w:b/>
          <w:bCs/>
        </w:rPr>
        <w:t xml:space="preserve">The Notification Log does not record any notification to the California Attorney General, any other state Attorney General, or any EU supervisory authority.</w:t>
      </w:r>
    </w:p>
    <w:p>
      <w:pPr>
        <w:pStyle w:val="Compact"/>
        <w:numPr>
          <w:ilvl w:val="0"/>
          <w:numId w:val="1010"/>
        </w:numPr>
      </w:pPr>
      <w:r>
        <w:rPr>
          <w:i/>
          <w:iCs/>
        </w:rPr>
        <w:t xml:space="preserve">Data Inventory</w:t>
      </w:r>
      <w:r>
        <w:t xml:space="preserve">: Revision Log v3.0 (September 30, 2024) notes</w:t>
      </w:r>
      <w:r>
        <w:t xml:space="preserve"> </w:t>
      </w:r>
      <w:r>
        <w:t xml:space="preserve">“</w:t>
      </w:r>
      <w:r>
        <w:t xml:space="preserve">Added breach-related notes.</w:t>
      </w:r>
      <w:r>
        <w:t xml:space="preserve">”</w:t>
      </w:r>
      <w:r>
        <w:t xml:space="preserve"> </w:t>
      </w:r>
      <w:r>
        <w:t xml:space="preserve">The Data Inventory otherwise does not independently address breach notification compliance.</w:t>
      </w:r>
    </w:p>
    <w:p>
      <w:pPr>
        <w:pStyle w:val="Compact"/>
        <w:numPr>
          <w:ilvl w:val="0"/>
          <w:numId w:val="1010"/>
        </w:numPr>
      </w:pPr>
      <w:r>
        <w:rPr>
          <w:i/>
          <w:iCs/>
        </w:rPr>
        <w:t xml:space="preserve">Investor Letter</w:t>
      </w:r>
      <w:r>
        <w:t xml:space="preserve">: Requests confirmation of compliance with all applicable state data breach notification laws.</w:t>
      </w:r>
    </w:p>
    <w:p>
      <w:pPr>
        <w:pStyle w:val="FirstParagraph"/>
      </w:pPr>
      <w:r>
        <w:rPr>
          <w:b/>
          <w:bCs/>
        </w:rPr>
        <w:t xml:space="preserve">Applicable authority and exposure.</w:t>
      </w:r>
    </w:p>
    <w:p>
      <w:pPr>
        <w:pStyle w:val="Compact"/>
        <w:numPr>
          <w:ilvl w:val="0"/>
          <w:numId w:val="1011"/>
        </w:numPr>
      </w:pPr>
      <w:r>
        <w:rPr>
          <w:b/>
          <w:bCs/>
        </w:rPr>
        <w:t xml:space="preserve">GDPR Article 33</w:t>
      </w:r>
      <w:r>
        <w:t xml:space="preserve">: Notification to the competent supervisory authority within</w:t>
      </w:r>
      <w:r>
        <w:t xml:space="preserve"> </w:t>
      </w:r>
      <w:r>
        <w:rPr>
          <w:b/>
          <w:bCs/>
        </w:rPr>
        <w:t xml:space="preserve">72 hours</w:t>
      </w:r>
      <w:r>
        <w:t xml:space="preserve"> </w:t>
      </w:r>
      <w:r>
        <w:t xml:space="preserve">of becoming aware of a personal data breach, unless the breach is unlikely to result in a risk to rights and freedoms. The 72-hour window from August 12, 2024 discovery expired on August 15, 2024. The Breach Log flags this obligation on August 16 (already past the deadline) but contains no entry confirming it was discharged, and the Notification Log omits it. With 510 EU-resident users affected and sensitive data (partial SSN, transaction history) compromised, the risk threshold is likely met.</w:t>
      </w:r>
      <w:r>
        <w:t xml:space="preserve"> </w:t>
      </w:r>
      <w:r>
        <w:rPr>
          <w:b/>
          <w:bCs/>
        </w:rPr>
        <w:t xml:space="preserve">This notification appears to have been missed.</w:t>
      </w:r>
    </w:p>
    <w:p>
      <w:pPr>
        <w:pStyle w:val="Compact"/>
        <w:numPr>
          <w:ilvl w:val="0"/>
          <w:numId w:val="1011"/>
        </w:numPr>
      </w:pPr>
      <w:r>
        <w:rPr>
          <w:b/>
          <w:bCs/>
        </w:rPr>
        <w:t xml:space="preserve">GDPR Article 34</w:t>
      </w:r>
      <w:r>
        <w:t xml:space="preserve">: Communication of a breach to affected data subjects without undue delay where the breach is likely to result in a high risk to rights and freedoms. The September 28 consumer notification may partially satisfy this, but the 47-day delay and the absence of any documented Article 34 risk assessment are concerns.</w:t>
      </w:r>
    </w:p>
    <w:p>
      <w:pPr>
        <w:pStyle w:val="Compact"/>
        <w:numPr>
          <w:ilvl w:val="0"/>
          <w:numId w:val="1011"/>
        </w:numPr>
      </w:pPr>
      <w:r>
        <w:rPr>
          <w:b/>
          <w:bCs/>
        </w:rPr>
        <w:t xml:space="preserve">California Civil Code § 1798.82</w:t>
      </w:r>
      <w:r>
        <w:t xml:space="preserve">: Requires notification to affected California residents</w:t>
      </w:r>
      <w:r>
        <w:t xml:space="preserve"> </w:t>
      </w:r>
      <w:r>
        <w:t xml:space="preserve">“</w:t>
      </w:r>
      <w:r>
        <w:t xml:space="preserve">in the most expedient time possible and without unreasonable delay.</w:t>
      </w:r>
      <w:r>
        <w:t xml:space="preserve">”</w:t>
      </w:r>
      <w:r>
        <w:t xml:space="preserve"> </w:t>
      </w:r>
      <w:r>
        <w:t xml:space="preserve">Section 1798.82(f) requires notification to the California Attorney General when a breach affects more than 500 California residents. Approximately 3,100 California residents were affected. The Breach Log places AG notification</w:t>
      </w:r>
      <w:r>
        <w:t xml:space="preserve"> </w:t>
      </w:r>
      <w:r>
        <w:t xml:space="preserve">“</w:t>
      </w:r>
      <w:r>
        <w:t xml:space="preserve">under review</w:t>
      </w:r>
      <w:r>
        <w:t xml:space="preserve">”</w:t>
      </w:r>
      <w:r>
        <w:t xml:space="preserve"> </w:t>
      </w:r>
      <w:r>
        <w:t xml:space="preserve">on August 14 but never confirms it was sent, and the Notification Log omits it.</w:t>
      </w:r>
      <w:r>
        <w:t xml:space="preserve"> </w:t>
      </w:r>
      <w:r>
        <w:rPr>
          <w:b/>
          <w:bCs/>
        </w:rPr>
        <w:t xml:space="preserve">The California AG notification is not documented.</w:t>
      </w:r>
    </w:p>
    <w:p>
      <w:pPr>
        <w:pStyle w:val="Compact"/>
        <w:numPr>
          <w:ilvl w:val="0"/>
          <w:numId w:val="1011"/>
        </w:numPr>
      </w:pPr>
      <w:r>
        <w:rPr>
          <w:b/>
          <w:bCs/>
        </w:rPr>
        <w:t xml:space="preserve">Other state breach laws</w:t>
      </w:r>
      <w:r>
        <w:t xml:space="preserve">: Several affected states impose specific notification deadlines (e.g., Florida requires notice within 30 days; ~4,500 Florida residents affected) and/or Attorney General notification obligations (e.g., New York SHIELD Act; ~5,800 New York residents affected). The 47-day consumer notification delay may exceed specific state deadlines and is vulnerable to challenge as</w:t>
      </w:r>
      <w:r>
        <w:t xml:space="preserve"> </w:t>
      </w:r>
      <w:r>
        <w:t xml:space="preserve">“</w:t>
      </w:r>
      <w:r>
        <w:t xml:space="preserve">unreasonable delay</w:t>
      </w:r>
      <w:r>
        <w:t xml:space="preserve">”</w:t>
      </w:r>
      <w:r>
        <w:t xml:space="preserve"> </w:t>
      </w:r>
      <w:r>
        <w:t xml:space="preserve">under general-standard states.</w:t>
      </w:r>
    </w:p>
    <w:p>
      <w:pPr>
        <w:pStyle w:val="FirstParagraph"/>
      </w:pPr>
      <w:r>
        <w:rPr>
          <w:b/>
          <w:bCs/>
        </w:rPr>
        <w:t xml:space="preserve">Risk assessment.</w:t>
      </w:r>
      <w:r>
        <w:t xml:space="preserve"> </w:t>
      </w:r>
      <w:r>
        <w:t xml:space="preserve">The apparent failure to make the GDPR Article 33 supervisory authority notification within 72 hours is a standalone GDPR violation (administrative fines up to €10 million or 2% of global turnover). The undocumented California AG notification is a violation of California law. The 47-day consumer notification delay is vulnerable to challenge under multiple state statutes. These gaps are likely to be scrutinized in diligence and, if discovered by regulators, could trigger enforcement independently of the investor process.</w:t>
      </w:r>
    </w:p>
    <w:p>
      <w:r>
        <w:pict>
          <v:rect style="width:0;height:1.5pt" o:hralign="center" o:hrstd="t" o:hr="t"/>
        </w:pict>
      </w:r>
    </w:p>
    <w:bookmarkEnd w:id="27"/>
    <w:bookmarkStart w:id="28" w:name="Xc0d2699487dacaad76173637928006c9f8b3830"/>
    <w:p>
      <w:pPr>
        <w:pStyle w:val="Heading3"/>
      </w:pPr>
      <w:r>
        <w:t xml:space="preserve">Issue 6 — GDPR Article 13/14 Transparency: Single-Sentence Disclosure; No DPO; No Article 27 Representative [HIGH]</w:t>
      </w:r>
    </w:p>
    <w:p>
      <w:pPr>
        <w:pStyle w:val="FirstParagraph"/>
      </w:pPr>
      <w:r>
        <w:rPr>
          <w:b/>
          <w:bCs/>
        </w:rPr>
        <w:t xml:space="preserve">The gap.</w:t>
      </w:r>
      <w:r>
        <w:t xml:space="preserve"> </w:t>
      </w:r>
      <w:r>
        <w:t xml:space="preserve">The entirety of the Privacy Policy’s GDPR disclosure is a single sentence:</w:t>
      </w:r>
      <w:r>
        <w:t xml:space="preserve"> </w:t>
      </w:r>
      <w:r>
        <w:t xml:space="preserve">“</w:t>
      </w:r>
      <w:r>
        <w:t xml:space="preserve">If you are located in the European Union, you may have additional rights under applicable law.</w:t>
      </w:r>
      <w:r>
        <w:t xml:space="preserve">”</w:t>
      </w:r>
      <w:r>
        <w:t xml:space="preserve"> </w:t>
      </w:r>
      <w:r>
        <w:t xml:space="preserve">The Data Inventory confirms that virtually all Article 13/14 transparency requirements are unmet and that no Data Protection Officer or Article 27 EU representative has been appointed.</w:t>
      </w:r>
    </w:p>
    <w:p>
      <w:pPr>
        <w:pStyle w:val="BodyText"/>
      </w:pPr>
      <w:r>
        <w:rPr>
          <w:b/>
          <w:bCs/>
        </w:rPr>
        <w:t xml:space="preserve">Cross-document evidence.</w:t>
      </w:r>
    </w:p>
    <w:p>
      <w:pPr>
        <w:pStyle w:val="Compact"/>
        <w:numPr>
          <w:ilvl w:val="0"/>
          <w:numId w:val="1012"/>
        </w:numPr>
      </w:pPr>
      <w:r>
        <w:rPr>
          <w:i/>
          <w:iCs/>
        </w:rPr>
        <w:t xml:space="preserve">Privacy Policy</w:t>
      </w:r>
      <w:r>
        <w:t xml:space="preserve">: The EU section consists of the single sentence quoted above, plus a contact email. No lawful basis, no data subject rights enumeration, no DPO, no EU representative, no right to lodge a complaint, no retention periods, no recipient categories, no automated decision-making information.</w:t>
      </w:r>
    </w:p>
    <w:p>
      <w:pPr>
        <w:pStyle w:val="Compact"/>
        <w:numPr>
          <w:ilvl w:val="0"/>
          <w:numId w:val="1012"/>
        </w:numPr>
      </w:pPr>
      <w:r>
        <w:rPr>
          <w:i/>
          <w:iCs/>
        </w:rPr>
        <w:t xml:space="preserve">Data Inventory (EU Processing Summary)</w:t>
      </w:r>
      <w:r>
        <w:t xml:space="preserve">: Records: DPO —</w:t>
      </w:r>
      <w:r>
        <w:t xml:space="preserve"> </w:t>
      </w:r>
      <w:r>
        <w:t xml:space="preserve">“</w:t>
      </w:r>
      <w:r>
        <w:t xml:space="preserve">NOT APPOINTED</w:t>
      </w:r>
      <w:r>
        <w:t xml:space="preserve">”</w:t>
      </w:r>
      <w:r>
        <w:t xml:space="preserve"> </w:t>
      </w:r>
      <w:r>
        <w:t xml:space="preserve">(required under Article 37 for large-scale special category processing); EU Representative (Article 27) —</w:t>
      </w:r>
      <w:r>
        <w:t xml:space="preserve"> </w:t>
      </w:r>
      <w:r>
        <w:t xml:space="preserve">“</w:t>
      </w:r>
      <w:r>
        <w:t xml:space="preserve">NOT APPOINTED</w:t>
      </w:r>
      <w:r>
        <w:t xml:space="preserve">”</w:t>
      </w:r>
      <w:r>
        <w:t xml:space="preserve">; Lawful Basis —</w:t>
      </w:r>
      <w:r>
        <w:t xml:space="preserve"> </w:t>
      </w:r>
      <w:r>
        <w:t xml:space="preserve">“</w:t>
      </w:r>
      <w:r>
        <w:t xml:space="preserve">NOT DOCUMENTED — privacy policy relies solely on browsewrap consent for all processing</w:t>
      </w:r>
      <w:r>
        <w:t xml:space="preserve">”</w:t>
      </w:r>
      <w:r>
        <w:t xml:space="preserve">; Privacy Policy GDPR Disclosures —</w:t>
      </w:r>
      <w:r>
        <w:t xml:space="preserve"> </w:t>
      </w:r>
      <w:r>
        <w:t xml:space="preserve">“</w:t>
      </w:r>
      <w:r>
        <w:t xml:space="preserve">MINIMAL … Virtually all Art. 13/14 requirements unmet</w:t>
      </w:r>
      <w:r>
        <w:t xml:space="preserve">”</w:t>
      </w:r>
      <w:r>
        <w:t xml:space="preserve">; Automated Decision-Making Disclosure —</w:t>
      </w:r>
      <w:r>
        <w:t xml:space="preserve"> </w:t>
      </w:r>
      <w:r>
        <w:t xml:space="preserve">“</w:t>
      </w:r>
      <w:r>
        <w:t xml:space="preserve">NOT DISCLOSED.</w:t>
      </w:r>
      <w:r>
        <w:t xml:space="preserve">”</w:t>
      </w:r>
    </w:p>
    <w:p>
      <w:pPr>
        <w:pStyle w:val="Compact"/>
        <w:numPr>
          <w:ilvl w:val="0"/>
          <w:numId w:val="1012"/>
        </w:numPr>
      </w:pPr>
      <w:r>
        <w:rPr>
          <w:i/>
          <w:iCs/>
        </w:rPr>
        <w:t xml:space="preserve">Investor Letter</w:t>
      </w:r>
      <w:r>
        <w:t xml:space="preserve">: Catalogues the specific Article 13/14 failures and notes potential fines up to 4% of annual global turnover (~$1.89 million).</w:t>
      </w:r>
    </w:p>
    <w:p>
      <w:pPr>
        <w:pStyle w:val="FirstParagraph"/>
      </w:pPr>
      <w:r>
        <w:rPr>
          <w:b/>
          <w:bCs/>
        </w:rPr>
        <w:t xml:space="preserve">Applicable authority and exposure.</w:t>
      </w:r>
      <w:r>
        <w:t xml:space="preserve"> </w:t>
      </w:r>
      <w:r>
        <w:t xml:space="preserve">GDPR Articles 13 and 14 require disclosure of the controller’s identity and contact, the DPO’s contact (if applicable), the purposes and lawful basis of processing, recipient categories, transfer details and safeguards, retention periods, data subject rights (Articles 15–22), the right to withdraw consent, and the right to lodge a complaint with a supervisory authority. Article 37 requires a DPO where there is large-scale processing of special category data (here, biometric data). Article 27 requires an EU representative for a non-EU-established controller processing EU residents’ data at scale. The Company meets both triggers but has appointed neither. This is high-severity exposure that will be acute upon the Q3 2025 EU launch.</w:t>
      </w:r>
    </w:p>
    <w:p>
      <w:r>
        <w:pict>
          <v:rect style="width:0;height:1.5pt" o:hralign="center" o:hrstd="t" o:hr="t"/>
        </w:pict>
      </w:r>
    </w:p>
    <w:bookmarkEnd w:id="28"/>
    <w:bookmarkStart w:id="29" w:name="X33144e51b99904608985743e39421feef1e0c8c"/>
    <w:p>
      <w:pPr>
        <w:pStyle w:val="Heading3"/>
      </w:pPr>
      <w:r>
        <w:t xml:space="preserve">Issue 7 — No Data Protection Impact Assessments Conducted [HIGH]</w:t>
      </w:r>
    </w:p>
    <w:p>
      <w:pPr>
        <w:pStyle w:val="FirstParagraph"/>
      </w:pPr>
      <w:r>
        <w:rPr>
          <w:b/>
          <w:bCs/>
        </w:rPr>
        <w:t xml:space="preserve">The gap.</w:t>
      </w:r>
      <w:r>
        <w:t xml:space="preserve"> </w:t>
      </w:r>
      <w:r>
        <w:t xml:space="preserve">The Data Inventory’s DPIA Status tab records that no DPIA has been conducted for any of the Company’s eight processing activities, despite multiple mandatory triggers under GDPR Article 35.</w:t>
      </w:r>
    </w:p>
    <w:p>
      <w:pPr>
        <w:pStyle w:val="BodyText"/>
      </w:pPr>
      <w:r>
        <w:rPr>
          <w:b/>
          <w:bCs/>
        </w:rPr>
        <w:t xml:space="preserve">Cross-document evidence.</w:t>
      </w:r>
    </w:p>
    <w:p>
      <w:pPr>
        <w:pStyle w:val="Compact"/>
        <w:numPr>
          <w:ilvl w:val="0"/>
          <w:numId w:val="1013"/>
        </w:numPr>
      </w:pPr>
      <w:r>
        <w:rPr>
          <w:i/>
          <w:iCs/>
        </w:rPr>
        <w:t xml:space="preserve">Data Inventory (DPIA Status tab)</w:t>
      </w:r>
      <w:r>
        <w:t xml:space="preserve">: All eight activities are marked</w:t>
      </w:r>
      <w:r>
        <w:t xml:space="preserve"> </w:t>
      </w:r>
      <w:r>
        <w:t xml:space="preserve">“</w:t>
      </w:r>
      <w:r>
        <w:t xml:space="preserve">Not Conducted.</w:t>
      </w:r>
      <w:r>
        <w:t xml:space="preserve">”</w:t>
      </w:r>
      <w:r>
        <w:t xml:space="preserve"> </w:t>
      </w:r>
      <w:r>
        <w:t xml:space="preserve">Mandatory triggers identified include: PA-001 (biometric data, Article 35(3)(b)) — High; PA-003 (automated decision-making with significant effects, Article 35(3)(a)) — Critical; PA-007 (international transfers without adequate safeguards) — Critical. PA-002 (large-scale financial data) and PA-004 (large-scale profiling for behavioral advertising) are also marked High.</w:t>
      </w:r>
    </w:p>
    <w:p>
      <w:pPr>
        <w:pStyle w:val="Compact"/>
        <w:numPr>
          <w:ilvl w:val="0"/>
          <w:numId w:val="1013"/>
        </w:numPr>
      </w:pPr>
      <w:r>
        <w:rPr>
          <w:i/>
          <w:iCs/>
        </w:rPr>
        <w:t xml:space="preserve">Privacy Policy</w:t>
      </w:r>
      <w:r>
        <w:t xml:space="preserve">: No reference to DPIAs or risk assessments.</w:t>
      </w:r>
    </w:p>
    <w:p>
      <w:pPr>
        <w:pStyle w:val="FirstParagraph"/>
      </w:pPr>
      <w:r>
        <w:rPr>
          <w:b/>
          <w:bCs/>
        </w:rPr>
        <w:t xml:space="preserve">Applicable authority and exposure.</w:t>
      </w:r>
      <w:r>
        <w:t xml:space="preserve"> </w:t>
      </w:r>
      <w:r>
        <w:t xml:space="preserve">GDPR Article 35 mandates a DPIA for high-risk processing, with Article 35(3) expressly identifying large-scale special category processing (biometrics) and systematic, extensive automated evaluation producing legal or significant effects (Smart Insights) as mandatory triggers. The failure to conduct DPIAs is an independent GDPR violation and, more practically, deprives the Company of the documented risk assessment that would support its compliance posture in diligence and before EU regulators.</w:t>
      </w:r>
    </w:p>
    <w:p>
      <w:r>
        <w:pict>
          <v:rect style="width:0;height:1.5pt" o:hralign="center" o:hrstd="t" o:hr="t"/>
        </w:pict>
      </w:r>
    </w:p>
    <w:bookmarkEnd w:id="29"/>
    <w:bookmarkStart w:id="30" w:name="X07d7f7ebd4e747fcea01ac9fa723bc96a3a9e61"/>
    <w:p>
      <w:pPr>
        <w:pStyle w:val="Heading3"/>
      </w:pPr>
      <w:r>
        <w:t xml:space="preserve">Issue 8 — Sensitive Personal Information Not Classified; No CPRA Right to Limit [HIGH]</w:t>
      </w:r>
    </w:p>
    <w:p>
      <w:pPr>
        <w:pStyle w:val="FirstParagraph"/>
      </w:pPr>
      <w:r>
        <w:rPr>
          <w:b/>
          <w:bCs/>
        </w:rPr>
        <w:t xml:space="preserve">The gap.</w:t>
      </w:r>
      <w:r>
        <w:t xml:space="preserve"> </w:t>
      </w:r>
      <w:r>
        <w:t xml:space="preserve">The Privacy Policy does not identify any category of personal information as</w:t>
      </w:r>
      <w:r>
        <w:t xml:space="preserve"> </w:t>
      </w:r>
      <w:r>
        <w:t xml:space="preserve">“</w:t>
      </w:r>
      <w:r>
        <w:t xml:space="preserve">sensitive personal information</w:t>
      </w:r>
      <w:r>
        <w:t xml:space="preserve">”</w:t>
      </w:r>
      <w:r>
        <w:t xml:space="preserve"> </w:t>
      </w:r>
      <w:r>
        <w:t xml:space="preserve">under the CPRA and does not provide the required</w:t>
      </w:r>
      <w:r>
        <w:t xml:space="preserve"> </w:t>
      </w:r>
      <w:r>
        <w:t xml:space="preserve">“</w:t>
      </w:r>
      <w:r>
        <w:t xml:space="preserve">Limit the Use of My Sensitive Personal Information</w:t>
      </w:r>
      <w:r>
        <w:t xml:space="preserve">”</w:t>
      </w:r>
      <w:r>
        <w:t xml:space="preserve"> </w:t>
      </w:r>
      <w:r>
        <w:t xml:space="preserve">mechanism. The Data Inventory identifies at least five categories that qualify as sensitive PI.</w:t>
      </w:r>
    </w:p>
    <w:p>
      <w:pPr>
        <w:pStyle w:val="BodyText"/>
      </w:pPr>
      <w:r>
        <w:rPr>
          <w:b/>
          <w:bCs/>
        </w:rPr>
        <w:t xml:space="preserve">Cross-document evidence.</w:t>
      </w:r>
    </w:p>
    <w:p>
      <w:pPr>
        <w:pStyle w:val="Compact"/>
        <w:numPr>
          <w:ilvl w:val="0"/>
          <w:numId w:val="1014"/>
        </w:numPr>
      </w:pPr>
      <w:r>
        <w:rPr>
          <w:i/>
          <w:iCs/>
        </w:rPr>
        <w:t xml:space="preserve">Privacy Policy</w:t>
      </w:r>
      <w:r>
        <w:t xml:space="preserve">: No sensitive PI classification; no right-to-limit disclosure or mechanism.</w:t>
      </w:r>
    </w:p>
    <w:p>
      <w:pPr>
        <w:pStyle w:val="Compact"/>
        <w:numPr>
          <w:ilvl w:val="0"/>
          <w:numId w:val="1014"/>
        </w:numPr>
      </w:pPr>
      <w:r>
        <w:rPr>
          <w:i/>
          <w:iCs/>
        </w:rPr>
        <w:t xml:space="preserve">Data Inventory (Data Categories tab)</w:t>
      </w:r>
      <w:r>
        <w:t xml:space="preserve">: DC-003 (last-four SSN) —</w:t>
      </w:r>
      <w:r>
        <w:t xml:space="preserve"> </w:t>
      </w:r>
      <w:r>
        <w:t xml:space="preserve">“</w:t>
      </w:r>
      <w:r>
        <w:t xml:space="preserve">Privacy policy does not classify as sensitive PI</w:t>
      </w:r>
      <w:r>
        <w:t xml:space="preserve">”</w:t>
      </w:r>
      <w:r>
        <w:t xml:space="preserve">; DC-004 (financial account information) —</w:t>
      </w:r>
      <w:r>
        <w:t xml:space="preserve"> </w:t>
      </w:r>
      <w:r>
        <w:t xml:space="preserve">“</w:t>
      </w:r>
      <w:r>
        <w:t xml:space="preserve">Yes — general reference only</w:t>
      </w:r>
      <w:r>
        <w:t xml:space="preserve">”</w:t>
      </w:r>
      <w:r>
        <w:t xml:space="preserve">; DC-005 (transaction history) — sensitive; DC-010 (precise geolocation) —</w:t>
      </w:r>
      <w:r>
        <w:t xml:space="preserve"> </w:t>
      </w:r>
      <w:r>
        <w:t xml:space="preserve">“</w:t>
      </w:r>
      <w:r>
        <w:t xml:space="preserve">Yes — but not flagged as sensitive PI</w:t>
      </w:r>
      <w:r>
        <w:t xml:space="preserve">”</w:t>
      </w:r>
      <w:r>
        <w:t xml:space="preserve">; DC-011 (biometric data) —</w:t>
      </w:r>
      <w:r>
        <w:t xml:space="preserve"> </w:t>
      </w:r>
      <w:r>
        <w:t xml:space="preserve">“</w:t>
      </w:r>
      <w:r>
        <w:t xml:space="preserve">NO — NOT DISCLOSED IN PRIVACY POLICY.</w:t>
      </w:r>
      <w:r>
        <w:t xml:space="preserve">”</w:t>
      </w:r>
      <w:r>
        <w:t xml:space="preserve"> </w:t>
      </w:r>
      <w:r>
        <w:t xml:space="preserve">All are marked</w:t>
      </w:r>
      <w:r>
        <w:t xml:space="preserve"> </w:t>
      </w:r>
      <w:r>
        <w:t xml:space="preserve">“</w:t>
      </w:r>
      <w:r>
        <w:t xml:space="preserve">CPRA Sensitive PI? Yes.</w:t>
      </w:r>
      <w:r>
        <w:t xml:space="preserve">”</w:t>
      </w:r>
    </w:p>
    <w:p>
      <w:pPr>
        <w:pStyle w:val="Compact"/>
        <w:numPr>
          <w:ilvl w:val="0"/>
          <w:numId w:val="1014"/>
        </w:numPr>
      </w:pPr>
      <w:r>
        <w:rPr>
          <w:i/>
          <w:iCs/>
        </w:rPr>
        <w:t xml:space="preserve">Investor Letter</w:t>
      </w:r>
      <w:r>
        <w:t xml:space="preserve">: Notes the Privacy Policy does not mention the right to limit use and disclosure of sensitive personal information.</w:t>
      </w:r>
    </w:p>
    <w:p>
      <w:pPr>
        <w:pStyle w:val="FirstParagraph"/>
      </w:pPr>
      <w:r>
        <w:rPr>
          <w:b/>
          <w:bCs/>
        </w:rPr>
        <w:t xml:space="preserve">Applicable authority and exposure.</w:t>
      </w:r>
      <w:r>
        <w:t xml:space="preserve"> </w:t>
      </w:r>
      <w:r>
        <w:t xml:space="preserve">The CPRA requires businesses to (i) inform consumers of the categories of sensitive PI collected and the right to limit its use and disclosure, and (ii) provide a</w:t>
      </w:r>
      <w:r>
        <w:t xml:space="preserve"> </w:t>
      </w:r>
      <w:r>
        <w:t xml:space="preserve">“</w:t>
      </w:r>
      <w:r>
        <w:t xml:space="preserve">Limit the Use of My Sensitive Personal Information</w:t>
      </w:r>
      <w:r>
        <w:t xml:space="preserve">”</w:t>
      </w:r>
      <w:r>
        <w:t xml:space="preserve"> </w:t>
      </w:r>
      <w:r>
        <w:t xml:space="preserve">link. Sensitive PI includes government identifiers (partial SSN), financial account information, precise geolocation, and biometric information — all of which the Company collects. The absence of both disclosure and mechanism is a CPRA compliance failure.</w:t>
      </w:r>
    </w:p>
    <w:p>
      <w:r>
        <w:pict>
          <v:rect style="width:0;height:1.5pt" o:hralign="center" o:hrstd="t" o:hr="t"/>
        </w:pict>
      </w:r>
    </w:p>
    <w:bookmarkEnd w:id="30"/>
    <w:bookmarkStart w:id="31" w:name="X4bd3280c30765fcf625b76f75f0b709aab3114c"/>
    <w:p>
      <w:pPr>
        <w:pStyle w:val="Heading3"/>
      </w:pPr>
      <w:r>
        <w:t xml:space="preserve">Issue 9 — CCPA/CPRA Consumer Rights Disclosures Incomplete [HIGH]</w:t>
      </w:r>
    </w:p>
    <w:p>
      <w:pPr>
        <w:pStyle w:val="FirstParagraph"/>
      </w:pPr>
      <w:r>
        <w:rPr>
          <w:b/>
          <w:bCs/>
        </w:rPr>
        <w:t xml:space="preserve">The gap.</w:t>
      </w:r>
      <w:r>
        <w:t xml:space="preserve"> </w:t>
      </w:r>
      <w:r>
        <w:t xml:space="preserve">The Privacy Policy’s California section discloses only the right to know (request categories and specific pieces of personal information) and omits the remaining CPRA rights.</w:t>
      </w:r>
    </w:p>
    <w:p>
      <w:pPr>
        <w:pStyle w:val="BodyText"/>
      </w:pPr>
      <w:r>
        <w:rPr>
          <w:b/>
          <w:bCs/>
        </w:rPr>
        <w:t xml:space="preserve">Cross-document evidence.</w:t>
      </w:r>
    </w:p>
    <w:p>
      <w:pPr>
        <w:pStyle w:val="Compact"/>
        <w:numPr>
          <w:ilvl w:val="0"/>
          <w:numId w:val="1015"/>
        </w:numPr>
      </w:pPr>
      <w:r>
        <w:rPr>
          <w:i/>
          <w:iCs/>
        </w:rPr>
        <w:t xml:space="preserve">Privacy Policy</w:t>
      </w:r>
      <w:r>
        <w:t xml:space="preserve">: The California section states residents</w:t>
      </w:r>
      <w:r>
        <w:t xml:space="preserve"> </w:t>
      </w:r>
      <w:r>
        <w:t xml:space="preserve">“</w:t>
      </w:r>
      <w:r>
        <w:t xml:space="preserve">may request to know what personal information we have collected</w:t>
      </w:r>
      <w:r>
        <w:t xml:space="preserve">”</w:t>
      </w:r>
      <w:r>
        <w:t xml:space="preserve"> </w:t>
      </w:r>
      <w:r>
        <w:t xml:space="preserve">and provides an email address. It does not mention the rights to deletion, correction, opt-out of sale or sharing, limitation of sensitive PI use, or non-discrimination.</w:t>
      </w:r>
    </w:p>
    <w:p>
      <w:pPr>
        <w:pStyle w:val="Compact"/>
        <w:numPr>
          <w:ilvl w:val="0"/>
          <w:numId w:val="1015"/>
        </w:numPr>
      </w:pPr>
      <w:r>
        <w:rPr>
          <w:i/>
          <w:iCs/>
        </w:rPr>
        <w:t xml:space="preserve">Investor Letter</w:t>
      </w:r>
      <w:r>
        <w:t xml:space="preserve">: Expressly flags that the CCPA section</w:t>
      </w:r>
      <w:r>
        <w:t xml:space="preserve"> </w:t>
      </w:r>
      <w:r>
        <w:t xml:space="preserve">“</w:t>
      </w:r>
      <w:r>
        <w:t xml:space="preserve">appears to reference only the consumer’s right to know and does not mention other enumerated rights, including the rights to deletion, correction, opt-out of sale or sharing, limitation of the use and disclosure of sensitive personal information, and non-discrimination.</w:t>
      </w:r>
      <w:r>
        <w:t xml:space="preserve">”</w:t>
      </w:r>
    </w:p>
    <w:p>
      <w:pPr>
        <w:pStyle w:val="FirstParagraph"/>
      </w:pPr>
      <w:r>
        <w:rPr>
          <w:b/>
          <w:bCs/>
        </w:rPr>
        <w:t xml:space="preserve">Applicable authority and exposure.</w:t>
      </w:r>
      <w:r>
        <w:t xml:space="preserve"> </w:t>
      </w:r>
      <w:r>
        <w:t xml:space="preserve">The CPRA requires disclosure of the full suite of consumer rights and the mechanisms to exercise them. The Privacy Policy’s omission of five of the six core rights, and the absence of any</w:t>
      </w:r>
      <w:r>
        <w:t xml:space="preserve"> </w:t>
      </w:r>
      <w:r>
        <w:t xml:space="preserve">“</w:t>
      </w:r>
      <w:r>
        <w:t xml:space="preserve">Do Not Sell or Share</w:t>
      </w:r>
      <w:r>
        <w:t xml:space="preserve">”</w:t>
      </w:r>
      <w:r>
        <w:t xml:space="preserve"> </w:t>
      </w:r>
      <w:r>
        <w:t xml:space="preserve">or</w:t>
      </w:r>
      <w:r>
        <w:t xml:space="preserve"> </w:t>
      </w:r>
      <w:r>
        <w:t xml:space="preserve">“</w:t>
      </w:r>
      <w:r>
        <w:t xml:space="preserve">Limit the Use of My Sensitive Personal Information</w:t>
      </w:r>
      <w:r>
        <w:t xml:space="preserve">”</w:t>
      </w:r>
      <w:r>
        <w:t xml:space="preserve"> </w:t>
      </w:r>
      <w:r>
        <w:t xml:space="preserve">link, is a CPRA transparency and mechanism failure.</w:t>
      </w:r>
    </w:p>
    <w:p>
      <w:r>
        <w:pict>
          <v:rect style="width:0;height:1.5pt" o:hralign="center" o:hrstd="t" o:hr="t"/>
        </w:pict>
      </w:r>
    </w:p>
    <w:bookmarkEnd w:id="31"/>
    <w:bookmarkStart w:id="32" w:name="X2964009fe95a1d66702bc681517e6293707585a"/>
    <w:p>
      <w:pPr>
        <w:pStyle w:val="Heading3"/>
      </w:pPr>
      <w:r>
        <w:t xml:space="preserve">Issue 10 — Data Retention: Indefinite; No Periods Disclosed; No Deletion on Account Closure [HIGH]</w:t>
      </w:r>
    </w:p>
    <w:p>
      <w:pPr>
        <w:pStyle w:val="FirstParagraph"/>
      </w:pPr>
      <w:r>
        <w:rPr>
          <w:b/>
          <w:bCs/>
        </w:rPr>
        <w:t xml:space="preserve">The gap.</w:t>
      </w:r>
      <w:r>
        <w:t xml:space="preserve"> </w:t>
      </w:r>
      <w:r>
        <w:t xml:space="preserve">The Privacy Policy states that information is retained</w:t>
      </w:r>
      <w:r>
        <w:t xml:space="preserve"> </w:t>
      </w:r>
      <w:r>
        <w:t xml:space="preserve">“</w:t>
      </w:r>
      <w:r>
        <w:t xml:space="preserve">for as long as necessary</w:t>
      </w:r>
      <w:r>
        <w:t xml:space="preserve">”</w:t>
      </w:r>
      <w:r>
        <w:t xml:space="preserve"> </w:t>
      </w:r>
      <w:r>
        <w:t xml:space="preserve">but discloses no specific retention periods. The Data Inventory confirms that every data category is retained indefinitely, with no deletion upon account closure and no formal retention schedule.</w:t>
      </w:r>
    </w:p>
    <w:p>
      <w:pPr>
        <w:pStyle w:val="BodyText"/>
      </w:pPr>
      <w:r>
        <w:rPr>
          <w:b/>
          <w:bCs/>
        </w:rPr>
        <w:t xml:space="preserve">Cross-document evidence.</w:t>
      </w:r>
    </w:p>
    <w:p>
      <w:pPr>
        <w:pStyle w:val="Compact"/>
        <w:numPr>
          <w:ilvl w:val="0"/>
          <w:numId w:val="1016"/>
        </w:numPr>
      </w:pPr>
      <w:r>
        <w:rPr>
          <w:i/>
          <w:iCs/>
        </w:rPr>
        <w:t xml:space="preserve">Privacy Policy</w:t>
      </w:r>
      <w:r>
        <w:t xml:space="preserve">:</w:t>
      </w:r>
      <w:r>
        <w:t xml:space="preserve"> </w:t>
      </w:r>
      <w:r>
        <w:t xml:space="preserve">“</w:t>
      </w:r>
      <w:r>
        <w:t xml:space="preserve">We retain your personal information for as long as necessary to fulfill the purposes for which it was collected … The retention period may vary depending on the context.</w:t>
      </w:r>
      <w:r>
        <w:t xml:space="preserve">”</w:t>
      </w:r>
      <w:r>
        <w:t xml:space="preserve"> </w:t>
      </w:r>
      <w:r>
        <w:t xml:space="preserve">No specific periods are stated.</w:t>
      </w:r>
    </w:p>
    <w:p>
      <w:pPr>
        <w:pStyle w:val="Compact"/>
        <w:numPr>
          <w:ilvl w:val="0"/>
          <w:numId w:val="1016"/>
        </w:numPr>
      </w:pPr>
      <w:r>
        <w:rPr>
          <w:i/>
          <w:iCs/>
        </w:rPr>
        <w:t xml:space="preserve">Data Inventory (Data Retention tab)</w:t>
      </w:r>
      <w:r>
        <w:t xml:space="preserve">: All 15 categories are marked</w:t>
      </w:r>
      <w:r>
        <w:t xml:space="preserve"> </w:t>
      </w:r>
      <w:r>
        <w:t xml:space="preserve">“</w:t>
      </w:r>
      <w:r>
        <w:t xml:space="preserve">Indefinite.</w:t>
      </w:r>
      <w:r>
        <w:t xml:space="preserve">”</w:t>
      </w:r>
      <w:r>
        <w:t xml:space="preserve"> </w:t>
      </w:r>
      <w:r>
        <w:t xml:space="preserve">“</w:t>
      </w:r>
      <w:r>
        <w:t xml:space="preserve">Deletion Upon Account Closure? No — retained indefinitely after account deletion</w:t>
      </w:r>
      <w:r>
        <w:t xml:space="preserve">”</w:t>
      </w:r>
      <w:r>
        <w:t xml:space="preserve"> </w:t>
      </w:r>
      <w:r>
        <w:t xml:space="preserve">for every category.</w:t>
      </w:r>
      <w:r>
        <w:t xml:space="preserve"> </w:t>
      </w:r>
      <w:r>
        <w:t xml:space="preserve">“</w:t>
      </w:r>
      <w:r>
        <w:t xml:space="preserve">Formal Retention Schedule Documented? No.</w:t>
      </w:r>
      <w:r>
        <w:t xml:space="preserve">”</w:t>
      </w:r>
      <w:r>
        <w:t xml:space="preserve"> </w:t>
      </w:r>
      <w:r>
        <w:t xml:space="preserve">“</w:t>
      </w:r>
      <w:r>
        <w:t xml:space="preserve">Destruction Method: Not defined.</w:t>
      </w:r>
      <w:r>
        <w:t xml:space="preserve">”</w:t>
      </w:r>
      <w:r>
        <w:t xml:space="preserve"> </w:t>
      </w:r>
      <w:r>
        <w:t xml:space="preserve">For DC-011 (biometric data), the inventory notes the 5-year retention has</w:t>
      </w:r>
      <w:r>
        <w:t xml:space="preserve"> </w:t>
      </w:r>
      <w:r>
        <w:t xml:space="preserve">“</w:t>
      </w:r>
      <w:r>
        <w:t xml:space="preserve">no publicly available written retention/destruction policy</w:t>
      </w:r>
      <w:r>
        <w:t xml:space="preserve">”</w:t>
      </w:r>
      <w:r>
        <w:t xml:space="preserve"> </w:t>
      </w:r>
      <w:r>
        <w:t xml:space="preserve">and</w:t>
      </w:r>
      <w:r>
        <w:t xml:space="preserve"> </w:t>
      </w:r>
      <w:r>
        <w:t xml:space="preserve">“</w:t>
      </w:r>
      <w:r>
        <w:t xml:space="preserve">no destruction guidelines established.</w:t>
      </w:r>
      <w:r>
        <w:t xml:space="preserve">”</w:t>
      </w:r>
    </w:p>
    <w:p>
      <w:pPr>
        <w:pStyle w:val="Compact"/>
        <w:numPr>
          <w:ilvl w:val="0"/>
          <w:numId w:val="1016"/>
        </w:numPr>
      </w:pPr>
      <w:r>
        <w:rPr>
          <w:i/>
          <w:iCs/>
        </w:rPr>
        <w:t xml:space="preserve">Investor Letter</w:t>
      </w:r>
      <w:r>
        <w:t xml:space="preserve">: Flags the absence of retention periods as both a CPRA disclosure requirement and a GDPR Article 5(1)(e) storage limitation issue.</w:t>
      </w:r>
    </w:p>
    <w:p>
      <w:pPr>
        <w:pStyle w:val="FirstParagraph"/>
      </w:pPr>
      <w:r>
        <w:rPr>
          <w:b/>
          <w:bCs/>
        </w:rPr>
        <w:t xml:space="preserve">Applicable authority and exposure.</w:t>
      </w:r>
      <w:r>
        <w:t xml:space="preserve"> </w:t>
      </w:r>
      <w:r>
        <w:t xml:space="preserve">The CPRA requires disclosure of retention periods for each category of personal information. GDPR Article 5(1)(e) requires that personal data be kept no longer than necessary. BIPA requires a publicly available retention schedule and destruction guidelines. Indefinite retention of sensitive PI (partial SSN, financial account data, precise geolocation, biometric templates) with no deletion on account closure and no formal schedule violates all three frameworks and increases the severity of any breach (as demonstrated by the August 2024 incident, in which data retained indefinitely was exfiltrated).</w:t>
      </w:r>
    </w:p>
    <w:p>
      <w:r>
        <w:pict>
          <v:rect style="width:0;height:1.5pt" o:hralign="center" o:hrstd="t" o:hr="t"/>
        </w:pict>
      </w:r>
    </w:p>
    <w:bookmarkEnd w:id="32"/>
    <w:bookmarkStart w:id="33" w:name="X897eb9ae6891d7ee36e74861ec693d726b0490a"/>
    <w:p>
      <w:pPr>
        <w:pStyle w:val="Heading3"/>
      </w:pPr>
      <w:r>
        <w:t xml:space="preserve">Issue 11 — Privacy Policy</w:t>
      </w:r>
      <w:r>
        <w:t xml:space="preserve"> </w:t>
      </w:r>
      <w:r>
        <w:t xml:space="preserve">“</w:t>
      </w:r>
      <w:r>
        <w:t xml:space="preserve">Does Not Sell</w:t>
      </w:r>
      <w:r>
        <w:t xml:space="preserve">”</w:t>
      </w:r>
      <w:r>
        <w:t xml:space="preserve"> </w:t>
      </w:r>
      <w:r>
        <w:t xml:space="preserve">Statement Contradicted by Revenue-Sharing Practices [HIGH]</w:t>
      </w:r>
    </w:p>
    <w:p>
      <w:pPr>
        <w:pStyle w:val="FirstParagraph"/>
      </w:pPr>
      <w:r>
        <w:rPr>
          <w:b/>
          <w:bCs/>
        </w:rPr>
        <w:t xml:space="preserve">The gap.</w:t>
      </w:r>
      <w:r>
        <w:t xml:space="preserve"> </w:t>
      </w:r>
      <w:r>
        <w:t xml:space="preserve">The Privacy Policy’s Nevada disclosure section affirmatively states that</w:t>
      </w:r>
      <w:r>
        <w:t xml:space="preserve"> </w:t>
      </w:r>
      <w:r>
        <w:t xml:space="preserve">“</w:t>
      </w:r>
      <w:r>
        <w:t xml:space="preserve">Vaultline does not currently engage in the sale of covered information as defined by Nevada law.</w:t>
      </w:r>
      <w:r>
        <w:t xml:space="preserve">”</w:t>
      </w:r>
      <w:r>
        <w:t xml:space="preserve"> </w:t>
      </w:r>
      <w:r>
        <w:t xml:space="preserve">This statement is directly contradicted by the Brightly DSA and the Data Inventory, which document monetary consideration for data sharing.</w:t>
      </w:r>
    </w:p>
    <w:p>
      <w:pPr>
        <w:pStyle w:val="BodyText"/>
      </w:pPr>
      <w:r>
        <w:rPr>
          <w:b/>
          <w:bCs/>
        </w:rPr>
        <w:t xml:space="preserve">Cross-document evidence.</w:t>
      </w:r>
    </w:p>
    <w:p>
      <w:pPr>
        <w:pStyle w:val="Compact"/>
        <w:numPr>
          <w:ilvl w:val="0"/>
          <w:numId w:val="1017"/>
        </w:numPr>
      </w:pPr>
      <w:r>
        <w:rPr>
          <w:i/>
          <w:iCs/>
        </w:rPr>
        <w:t xml:space="preserve">Privacy Policy</w:t>
      </w:r>
      <w:r>
        <w:t xml:space="preserve">:</w:t>
      </w:r>
      <w:r>
        <w:t xml:space="preserve"> </w:t>
      </w:r>
      <w:r>
        <w:t xml:space="preserve">“</w:t>
      </w:r>
      <w:r>
        <w:t xml:space="preserve">Vaultline does not currently engage in the sale of covered information as defined by Nevada law but provides this disclosure and mechanism as a precautionary measure.</w:t>
      </w:r>
      <w:r>
        <w:t xml:space="preserve">”</w:t>
      </w:r>
    </w:p>
    <w:p>
      <w:pPr>
        <w:pStyle w:val="Compact"/>
        <w:numPr>
          <w:ilvl w:val="0"/>
          <w:numId w:val="1017"/>
        </w:numPr>
      </w:pPr>
      <w:r>
        <w:rPr>
          <w:i/>
          <w:iCs/>
        </w:rPr>
        <w:t xml:space="preserve">Brightly DSA</w:t>
      </w:r>
      <w:r>
        <w:t xml:space="preserve">: Section 5.1 — revenue share of $0.87 per MAU per month (~$2.64 million annually) in exchange for transmitting user data (hashed emails, age range, income bracket, spending summaries) to Brightly, an independent controller that sells audience segments to third parties.</w:t>
      </w:r>
    </w:p>
    <w:p>
      <w:pPr>
        <w:pStyle w:val="Compact"/>
        <w:numPr>
          <w:ilvl w:val="0"/>
          <w:numId w:val="1017"/>
        </w:numPr>
      </w:pPr>
      <w:r>
        <w:rPr>
          <w:i/>
          <w:iCs/>
        </w:rPr>
        <w:t xml:space="preserve">Data Inventory (TS-002; TS-003)</w:t>
      </w:r>
      <w:r>
        <w:t xml:space="preserve">: TS-002 (Brightly) —</w:t>
      </w:r>
      <w:r>
        <w:t xml:space="preserve"> </w:t>
      </w:r>
      <w:r>
        <w:t xml:space="preserve">“</w:t>
      </w:r>
      <w:r>
        <w:t xml:space="preserve">Revenue share constitutes monetary consideration — likely</w:t>
      </w:r>
      <w:r>
        <w:t xml:space="preserve"> </w:t>
      </w:r>
      <w:r>
        <w:t xml:space="preserve">‘</w:t>
      </w:r>
      <w:r>
        <w:t xml:space="preserve">sale</w:t>
      </w:r>
      <w:r>
        <w:t xml:space="preserve">’</w:t>
      </w:r>
      <w:r>
        <w:t xml:space="preserve"> </w:t>
      </w:r>
      <w:r>
        <w:t xml:space="preserve">under CPRA.</w:t>
      </w:r>
      <w:r>
        <w:t xml:space="preserve">”</w:t>
      </w:r>
      <w:r>
        <w:t xml:space="preserve"> </w:t>
      </w:r>
      <w:r>
        <w:t xml:space="preserve">TS-003 (14 partner companies) —</w:t>
      </w:r>
      <w:r>
        <w:t xml:space="preserve"> </w:t>
      </w:r>
      <w:r>
        <w:t xml:space="preserve">“</w:t>
      </w:r>
      <w:r>
        <w:t xml:space="preserve">Business Purpose / potentially Sale (referral fee received).</w:t>
      </w:r>
      <w:r>
        <w:t xml:space="preserve">”</w:t>
      </w:r>
    </w:p>
    <w:p>
      <w:pPr>
        <w:pStyle w:val="FirstParagraph"/>
      </w:pPr>
      <w:r>
        <w:rPr>
          <w:b/>
          <w:bCs/>
        </w:rPr>
        <w:t xml:space="preserve">Applicable authority and exposure.</w:t>
      </w:r>
      <w:r>
        <w:t xml:space="preserve"> </w:t>
      </w:r>
      <w:r>
        <w:t xml:space="preserve">A</w:t>
      </w:r>
      <w:r>
        <w:t xml:space="preserve"> </w:t>
      </w:r>
      <w:r>
        <w:t xml:space="preserve">“</w:t>
      </w:r>
      <w:r>
        <w:t xml:space="preserve">sale</w:t>
      </w:r>
      <w:r>
        <w:t xml:space="preserve">”</w:t>
      </w:r>
      <w:r>
        <w:t xml:space="preserve"> </w:t>
      </w:r>
      <w:r>
        <w:t xml:space="preserve">under both the CPRA and Nevada Revised Statutes Chapter 603A includes the exchange of personal information for monetary or other valuable consideration. The Brightly revenue share and the partner referral fees satisfy this definition. The Privacy Policy’s affirmative</w:t>
      </w:r>
      <w:r>
        <w:t xml:space="preserve"> </w:t>
      </w:r>
      <w:r>
        <w:t xml:space="preserve">“</w:t>
      </w:r>
      <w:r>
        <w:t xml:space="preserve">does not sell</w:t>
      </w:r>
      <w:r>
        <w:t xml:space="preserve">”</w:t>
      </w:r>
      <w:r>
        <w:t xml:space="preserve"> </w:t>
      </w:r>
      <w:r>
        <w:t xml:space="preserve">statement is therefore potentially false and misleading — exposing the Company to claims under the CPRA, Nevada law, and Section 5 of the FTC Act (deceptive practices). A false statement in a privacy policy is a particularly serious form of non-compliance because it converts an omission into an affirmative misrepresentation.</w:t>
      </w:r>
    </w:p>
    <w:p>
      <w:r>
        <w:pict>
          <v:rect style="width:0;height:1.5pt" o:hralign="center" o:hrstd="t" o:hr="t"/>
        </w:pict>
      </w:r>
    </w:p>
    <w:bookmarkEnd w:id="33"/>
    <w:bookmarkStart w:id="34" w:name="X4c0d8b58605f22963c60caa3157065cf5e7f8fd"/>
    <w:p>
      <w:pPr>
        <w:pStyle w:val="Heading3"/>
      </w:pPr>
      <w:r>
        <w:t xml:space="preserve">Issue 12 — Cookie Consent: Non-Compliant Banner; 29 Third-Party Tracking Cookies [HIGH]</w:t>
      </w:r>
    </w:p>
    <w:p>
      <w:pPr>
        <w:pStyle w:val="FirstParagraph"/>
      </w:pPr>
      <w:r>
        <w:rPr>
          <w:b/>
          <w:bCs/>
        </w:rPr>
        <w:t xml:space="preserve">The gap.</w:t>
      </w:r>
      <w:r>
        <w:t xml:space="preserve"> </w:t>
      </w:r>
      <w:r>
        <w:t xml:space="preserve">The Privacy Policy’s cookies section tells users they may</w:t>
      </w:r>
      <w:r>
        <w:t xml:space="preserve"> </w:t>
      </w:r>
      <w:r>
        <w:t xml:space="preserve">“</w:t>
      </w:r>
      <w:r>
        <w:t xml:space="preserve">adjust browser settings to refuse cookies</w:t>
      </w:r>
      <w:r>
        <w:t xml:space="preserve">”</w:t>
      </w:r>
      <w:r>
        <w:t xml:space="preserve"> </w:t>
      </w:r>
      <w:r>
        <w:t xml:space="preserve">but does not describe an actual consent mechanism. The Data Inventory documents a cookie banner that provides only an</w:t>
      </w:r>
      <w:r>
        <w:t xml:space="preserve"> </w:t>
      </w:r>
      <w:r>
        <w:t xml:space="preserve">“</w:t>
      </w:r>
      <w:r>
        <w:t xml:space="preserve">Accept All</w:t>
      </w:r>
      <w:r>
        <w:t xml:space="preserve">”</w:t>
      </w:r>
      <w:r>
        <w:t xml:space="preserve"> </w:t>
      </w:r>
      <w:r>
        <w:t xml:space="preserve">button, offers no reject or customize option, and permits all cookies to fire before any consent interaction.</w:t>
      </w:r>
    </w:p>
    <w:p>
      <w:pPr>
        <w:pStyle w:val="BodyText"/>
      </w:pPr>
      <w:r>
        <w:rPr>
          <w:b/>
          <w:bCs/>
        </w:rPr>
        <w:t xml:space="preserve">Cross-document evidence.</w:t>
      </w:r>
    </w:p>
    <w:p>
      <w:pPr>
        <w:pStyle w:val="Compact"/>
        <w:numPr>
          <w:ilvl w:val="0"/>
          <w:numId w:val="1018"/>
        </w:numPr>
      </w:pPr>
      <w:r>
        <w:rPr>
          <w:i/>
          <w:iCs/>
        </w:rPr>
        <w:t xml:space="preserve">Privacy Policy</w:t>
      </w:r>
      <w:r>
        <w:t xml:space="preserve">: Describes cookies and tracking technologies and states users</w:t>
      </w:r>
      <w:r>
        <w:t xml:space="preserve"> </w:t>
      </w:r>
      <w:r>
        <w:t xml:space="preserve">“</w:t>
      </w:r>
      <w:r>
        <w:t xml:space="preserve">may adjust your browser settings to refuse cookies.</w:t>
      </w:r>
      <w:r>
        <w:t xml:space="preserve">”</w:t>
      </w:r>
      <w:r>
        <w:t xml:space="preserve"> </w:t>
      </w:r>
      <w:r>
        <w:t xml:space="preserve">No description of a consent banner, no granular consent, no Do Not Track disclosure.</w:t>
      </w:r>
    </w:p>
    <w:p>
      <w:pPr>
        <w:pStyle w:val="Compact"/>
        <w:numPr>
          <w:ilvl w:val="0"/>
          <w:numId w:val="1018"/>
        </w:numPr>
      </w:pPr>
      <w:r>
        <w:rPr>
          <w:i/>
          <w:iCs/>
        </w:rPr>
        <w:t xml:space="preserve">Data Inventory (Cookie Inventory tab)</w:t>
      </w:r>
      <w:r>
        <w:t xml:space="preserve">: 34 cookies total, of which</w:t>
      </w:r>
      <w:r>
        <w:t xml:space="preserve"> </w:t>
      </w:r>
      <w:r>
        <w:rPr>
          <w:b/>
          <w:bCs/>
        </w:rPr>
        <w:t xml:space="preserve">29 are third-party advertising/tracking cookies</w:t>
      </w:r>
      <w:r>
        <w:t xml:space="preserve"> </w:t>
      </w:r>
      <w:r>
        <w:t xml:space="preserve">(4 Brightly + 25 other third-party networks). Cookie banner:</w:t>
      </w:r>
      <w:r>
        <w:t xml:space="preserve"> </w:t>
      </w:r>
      <w:r>
        <w:t xml:space="preserve">“</w:t>
      </w:r>
      <w:r>
        <w:t xml:space="preserve">Accept All Button Only</w:t>
      </w:r>
      <w:r>
        <w:t xml:space="preserve">”</w:t>
      </w:r>
      <w:r>
        <w:t xml:space="preserve">;</w:t>
      </w:r>
      <w:r>
        <w:t xml:space="preserve"> </w:t>
      </w:r>
      <w:r>
        <w:t xml:space="preserve">“</w:t>
      </w:r>
      <w:r>
        <w:t xml:space="preserve">Reject Option Available: NO</w:t>
      </w:r>
      <w:r>
        <w:t xml:space="preserve">”</w:t>
      </w:r>
      <w:r>
        <w:t xml:space="preserve">;</w:t>
      </w:r>
      <w:r>
        <w:t xml:space="preserve"> </w:t>
      </w:r>
      <w:r>
        <w:t xml:space="preserve">“</w:t>
      </w:r>
      <w:r>
        <w:t xml:space="preserve">Customize/Manage Preferences Option: NO</w:t>
      </w:r>
      <w:r>
        <w:t xml:space="preserve">”</w:t>
      </w:r>
      <w:r>
        <w:t xml:space="preserve">;</w:t>
      </w:r>
      <w:r>
        <w:t xml:space="preserve"> </w:t>
      </w:r>
      <w:r>
        <w:t xml:space="preserve">“</w:t>
      </w:r>
      <w:r>
        <w:t xml:space="preserve">Banner Blocks Cookies Before Consent: NO — all cookies fire on page load regardless of banner interaction.</w:t>
      </w:r>
      <w:r>
        <w:t xml:space="preserve">”</w:t>
      </w:r>
      <w:r>
        <w:t xml:space="preserve"> </w:t>
      </w:r>
      <w:r>
        <w:t xml:space="preserve">The inventory concludes this</w:t>
      </w:r>
      <w:r>
        <w:t xml:space="preserve"> </w:t>
      </w:r>
      <w:r>
        <w:t xml:space="preserve">“</w:t>
      </w:r>
      <w:r>
        <w:t xml:space="preserve">violates the ePrivacy Directive requirement for freely given, specific, and informed consent for non-essential cookies</w:t>
      </w:r>
      <w:r>
        <w:t xml:space="preserve">”</w:t>
      </w:r>
      <w:r>
        <w:t xml:space="preserve"> </w:t>
      </w:r>
      <w:r>
        <w:t xml:space="preserve">for EU users and</w:t>
      </w:r>
      <w:r>
        <w:t xml:space="preserve"> </w:t>
      </w:r>
      <w:r>
        <w:t xml:space="preserve">“</w:t>
      </w:r>
      <w:r>
        <w:t xml:space="preserve">does not meet GDPR consent standards (Art. 4(11)).</w:t>
      </w:r>
      <w:r>
        <w:t xml:space="preserve">”</w:t>
      </w:r>
      <w:r>
        <w:t xml:space="preserve"> </w:t>
      </w:r>
      <w:r>
        <w:t xml:space="preserve">It also notes</w:t>
      </w:r>
      <w:r>
        <w:t xml:space="preserve"> </w:t>
      </w:r>
      <w:r>
        <w:t xml:space="preserve">“</w:t>
      </w:r>
      <w:r>
        <w:t xml:space="preserve">No Do Not Track signal detection implemented. CalOPPA DNT disclosure not included in privacy policy.</w:t>
      </w:r>
      <w:r>
        <w:t xml:space="preserve">”</w:t>
      </w:r>
    </w:p>
    <w:p>
      <w:pPr>
        <w:pStyle w:val="FirstParagraph"/>
      </w:pPr>
      <w:r>
        <w:rPr>
          <w:b/>
          <w:bCs/>
        </w:rPr>
        <w:t xml:space="preserve">Applicable authority and exposure.</w:t>
      </w:r>
      <w:r>
        <w:t xml:space="preserve"> </w:t>
      </w:r>
      <w:r>
        <w:t xml:space="preserve">The ePrivacy Directive (as transposed) requires prior, freely given, specific, and informed consent for non-essential cookies; GDPR Article 4(11) defines the consent standard. An</w:t>
      </w:r>
      <w:r>
        <w:t xml:space="preserve"> </w:t>
      </w:r>
      <w:r>
        <w:t xml:space="preserve">“</w:t>
      </w:r>
      <w:r>
        <w:t xml:space="preserve">Accept All</w:t>
      </w:r>
      <w:r>
        <w:t xml:space="preserve">”</w:t>
      </w:r>
      <w:r>
        <w:t xml:space="preserve">-only banner that fires cookies before consent fails both. CalOPPA requires a Do Not Track disclosure, which is absent. With 23,000 EU-resident users and an imminent EU launch, this is a high-severity gap that is straightforward to detect and enforce.</w:t>
      </w:r>
    </w:p>
    <w:p>
      <w:r>
        <w:pict>
          <v:rect style="width:0;height:1.5pt" o:hralign="center" o:hrstd="t" o:hr="t"/>
        </w:pict>
      </w:r>
    </w:p>
    <w:bookmarkEnd w:id="34"/>
    <w:bookmarkStart w:id="35" w:name="Xb814b6b9a3972f08aff6fb640a267413318caf1"/>
    <w:p>
      <w:pPr>
        <w:pStyle w:val="Heading3"/>
      </w:pPr>
      <w:r>
        <w:t xml:space="preserve">Issue 13 — GLBA Applicability Not Assessed; No GLBA Notices or Opt-Out [MEDIUM]</w:t>
      </w:r>
    </w:p>
    <w:p>
      <w:pPr>
        <w:pStyle w:val="FirstParagraph"/>
      </w:pPr>
      <w:r>
        <w:rPr>
          <w:b/>
          <w:bCs/>
        </w:rPr>
        <w:t xml:space="preserve">The gap.</w:t>
      </w:r>
      <w:r>
        <w:t xml:space="preserve"> </w:t>
      </w:r>
      <w:r>
        <w:t xml:space="preserve">The Privacy Policy contains no GLBA-related disclosures, no financial privacy notice, and no opt-out for the sharing of nonpublic personal information with non-affiliated third parties. The Data Inventory flags GLBA as applicable to multiple data categories, and the Investor Letter raises the threshold characterization question.</w:t>
      </w:r>
    </w:p>
    <w:p>
      <w:pPr>
        <w:pStyle w:val="BodyText"/>
      </w:pPr>
      <w:r>
        <w:rPr>
          <w:b/>
          <w:bCs/>
        </w:rPr>
        <w:t xml:space="preserve">Cross-document evidence.</w:t>
      </w:r>
    </w:p>
    <w:p>
      <w:pPr>
        <w:pStyle w:val="Compact"/>
        <w:numPr>
          <w:ilvl w:val="0"/>
          <w:numId w:val="1019"/>
        </w:numPr>
      </w:pPr>
      <w:r>
        <w:rPr>
          <w:i/>
          <w:iCs/>
        </w:rPr>
        <w:t xml:space="preserve">Privacy Policy</w:t>
      </w:r>
      <w:r>
        <w:t xml:space="preserve">: No reference to the Gramm-Leach-Bliley Act, financial privacy obligations, or any opt-out for sharing of nonpublic personal information.</w:t>
      </w:r>
    </w:p>
    <w:p>
      <w:pPr>
        <w:pStyle w:val="Compact"/>
        <w:numPr>
          <w:ilvl w:val="0"/>
          <w:numId w:val="1019"/>
        </w:numPr>
      </w:pPr>
      <w:r>
        <w:rPr>
          <w:i/>
          <w:iCs/>
        </w:rPr>
        <w:t xml:space="preserve">Data Inventory (Data Categories tab)</w:t>
      </w:r>
      <w:r>
        <w:t xml:space="preserve">: DC-003, DC-004, DC-005, DC-006, and DC-007 each list</w:t>
      </w:r>
      <w:r>
        <w:t xml:space="preserve"> </w:t>
      </w:r>
      <w:r>
        <w:t xml:space="preserve">“</w:t>
      </w:r>
      <w:r>
        <w:t xml:space="preserve">GLBA</w:t>
      </w:r>
      <w:r>
        <w:t xml:space="preserve">”</w:t>
      </w:r>
      <w:r>
        <w:t xml:space="preserve"> </w:t>
      </w:r>
      <w:r>
        <w:t xml:space="preserve">among applicable regulations. The Company aggregates financial data from 4,200+ institutions via FinLink and shares financial data with 14 partner financial product companies for referral fees.</w:t>
      </w:r>
    </w:p>
    <w:p>
      <w:pPr>
        <w:pStyle w:val="Compact"/>
        <w:numPr>
          <w:ilvl w:val="0"/>
          <w:numId w:val="1019"/>
        </w:numPr>
      </w:pPr>
      <w:r>
        <w:rPr>
          <w:i/>
          <w:iCs/>
        </w:rPr>
        <w:t xml:space="preserve">Investor Letter</w:t>
      </w:r>
      <w:r>
        <w:t xml:space="preserve">: Flags the potential characterization of Vaultline as a</w:t>
      </w:r>
      <w:r>
        <w:t xml:space="preserve"> </w:t>
      </w:r>
      <w:r>
        <w:t xml:space="preserve">“</w:t>
      </w:r>
      <w:r>
        <w:t xml:space="preserve">financial institution</w:t>
      </w:r>
      <w:r>
        <w:t xml:space="preserve">”</w:t>
      </w:r>
      <w:r>
        <w:t xml:space="preserve"> </w:t>
      </w:r>
      <w:r>
        <w:t xml:space="preserve">under 15 U.S.C. § 6809(3) given its financial data processing and referral activities, and notes the consequent obligations (initial and annual privacy notices, opt-out of NPI sharing, Regulation P compliance).</w:t>
      </w:r>
    </w:p>
    <w:p>
      <w:pPr>
        <w:pStyle w:val="FirstParagraph"/>
      </w:pPr>
      <w:r>
        <w:rPr>
          <w:b/>
          <w:bCs/>
        </w:rPr>
        <w:t xml:space="preserve">Applicable authority and exposure.</w:t>
      </w:r>
      <w:r>
        <w:t xml:space="preserve"> </w:t>
      </w:r>
      <w:r>
        <w:t xml:space="preserve">If Vaultline is</w:t>
      </w:r>
      <w:r>
        <w:t xml:space="preserve"> </w:t>
      </w:r>
      <w:r>
        <w:t xml:space="preserve">“</w:t>
      </w:r>
      <w:r>
        <w:t xml:space="preserve">significantly engaged</w:t>
      </w:r>
      <w:r>
        <w:t xml:space="preserve">”</w:t>
      </w:r>
      <w:r>
        <w:t xml:space="preserve"> </w:t>
      </w:r>
      <w:r>
        <w:t xml:space="preserve">in financial activities (including financial data processing), it is a</w:t>
      </w:r>
      <w:r>
        <w:t xml:space="preserve"> </w:t>
      </w:r>
      <w:r>
        <w:t xml:space="preserve">“</w:t>
      </w:r>
      <w:r>
        <w:t xml:space="preserve">financial institution</w:t>
      </w:r>
      <w:r>
        <w:t xml:space="preserve">”</w:t>
      </w:r>
      <w:r>
        <w:t xml:space="preserve"> </w:t>
      </w:r>
      <w:r>
        <w:t xml:space="preserve">under the GLBA and subject to the Financial Privacy Rule (Regulation P) and the Safeguards Rule. The characterization is fact-dependent and warrants analysis by company-side counsel, as the Investor Letter acknowledges. Notably, if GLBA applies to specific data, the CCPA’s GLBA exemption would remove that data from CCPA coverage — a characterization that the Privacy Policy does not make and that has implications for the CCPA issues above. The current state — no GLBA notices, no opt-out, and no GLBA/CCPA boundary analysis — is a gap either way.</w:t>
      </w:r>
    </w:p>
    <w:p>
      <w:r>
        <w:pict>
          <v:rect style="width:0;height:1.5pt" o:hralign="center" o:hrstd="t" o:hr="t"/>
        </w:pict>
      </w:r>
    </w:p>
    <w:bookmarkEnd w:id="35"/>
    <w:bookmarkStart w:id="36" w:name="X3068d3cfc677b816108db6d58740cee86b37d96"/>
    <w:p>
      <w:pPr>
        <w:pStyle w:val="Heading3"/>
      </w:pPr>
      <w:r>
        <w:t xml:space="preserve">Issue 14 — Lawful Basis Not Documented; Browsewrap Consent Insufficient [MEDIUM]</w:t>
      </w:r>
    </w:p>
    <w:p>
      <w:pPr>
        <w:pStyle w:val="FirstParagraph"/>
      </w:pPr>
      <w:r>
        <w:rPr>
          <w:b/>
          <w:bCs/>
        </w:rPr>
        <w:t xml:space="preserve">The gap.</w:t>
      </w:r>
      <w:r>
        <w:t xml:space="preserve"> </w:t>
      </w:r>
      <w:r>
        <w:t xml:space="preserve">The Privacy Policy relies on browsewrap consent (</w:t>
      </w:r>
      <w:r>
        <w:t xml:space="preserve">“</w:t>
      </w:r>
      <w:r>
        <w:t xml:space="preserve">Your continued use of our services constitutes your consent</w:t>
      </w:r>
      <w:r>
        <w:t xml:space="preserve">”</w:t>
      </w:r>
      <w:r>
        <w:t xml:space="preserve">) as the sole basis for all processing. The Data Inventory confirms no lawful basis analysis has been performed and that browsewrap is the claimed basis for every processing activity.</w:t>
      </w:r>
    </w:p>
    <w:p>
      <w:pPr>
        <w:pStyle w:val="BodyText"/>
      </w:pPr>
      <w:r>
        <w:rPr>
          <w:b/>
          <w:bCs/>
        </w:rPr>
        <w:t xml:space="preserve">Cross-document evidence.</w:t>
      </w:r>
    </w:p>
    <w:p>
      <w:pPr>
        <w:pStyle w:val="Compact"/>
        <w:numPr>
          <w:ilvl w:val="0"/>
          <w:numId w:val="1020"/>
        </w:numPr>
      </w:pPr>
      <w:r>
        <w:rPr>
          <w:i/>
          <w:iCs/>
        </w:rPr>
        <w:t xml:space="preserve">Privacy Policy</w:t>
      </w:r>
      <w:r>
        <w:t xml:space="preserve">:</w:t>
      </w:r>
      <w:r>
        <w:t xml:space="preserve"> </w:t>
      </w:r>
      <w:r>
        <w:t xml:space="preserve">“</w:t>
      </w:r>
      <w:r>
        <w:t xml:space="preserve">Your continued use of our services constitutes your consent to all data collection, use, processing, and sharing practices described herein.</w:t>
      </w:r>
      <w:r>
        <w:t xml:space="preserve">”</w:t>
      </w:r>
    </w:p>
    <w:p>
      <w:pPr>
        <w:pStyle w:val="Compact"/>
        <w:numPr>
          <w:ilvl w:val="0"/>
          <w:numId w:val="1020"/>
        </w:numPr>
      </w:pPr>
      <w:r>
        <w:rPr>
          <w:i/>
          <w:iCs/>
        </w:rPr>
        <w:t xml:space="preserve">Data Inventory (Processing Activities tab; EU Processing Summary)</w:t>
      </w:r>
      <w:r>
        <w:t xml:space="preserve">: Every activity lists</w:t>
      </w:r>
      <w:r>
        <w:t xml:space="preserve"> </w:t>
      </w:r>
      <w:r>
        <w:t xml:space="preserve">“</w:t>
      </w:r>
      <w:r>
        <w:t xml:space="preserve">Consent (browsewrap — app usage)</w:t>
      </w:r>
      <w:r>
        <w:t xml:space="preserve">”</w:t>
      </w:r>
      <w:r>
        <w:t xml:space="preserve"> </w:t>
      </w:r>
      <w:r>
        <w:t xml:space="preserve">as the legal basis claimed. The EU Processing Summary states:</w:t>
      </w:r>
      <w:r>
        <w:t xml:space="preserve"> </w:t>
      </w:r>
      <w:r>
        <w:t xml:space="preserve">“</w:t>
      </w:r>
      <w:r>
        <w:t xml:space="preserve">NOT DOCUMENTED — privacy policy relies solely on browsewrap consent for all processing. No lawful basis analysis performed. Browsewrap likely insufficient for GDPR consent standard (Art. 7). No legitimate interest assessment conducted.</w:t>
      </w:r>
      <w:r>
        <w:t xml:space="preserve">”</w:t>
      </w:r>
    </w:p>
    <w:p>
      <w:pPr>
        <w:pStyle w:val="FirstParagraph"/>
      </w:pPr>
      <w:r>
        <w:rPr>
          <w:b/>
          <w:bCs/>
        </w:rPr>
        <w:t xml:space="preserve">Applicable authority and exposure.</w:t>
      </w:r>
      <w:r>
        <w:t xml:space="preserve"> </w:t>
      </w:r>
      <w:r>
        <w:t xml:space="preserve">GDPR Article 7 requires consent to be freely given, specific, informed, and unambiguous; browsewrap (continued use) generally fails this standard. For special category data (biometrics), Article 9(2)(a) requires explicit consent, which browsewrap cannot provide. The absence of any alternative lawful basis (e.g., performance of a contract, legitimate interests with a balancing assessment) leaves the Company without a defensible basis for much of its processing, particularly for EU users.</w:t>
      </w:r>
    </w:p>
    <w:p>
      <w:r>
        <w:pict>
          <v:rect style="width:0;height:1.5pt" o:hralign="center" o:hrstd="t" o:hr="t"/>
        </w:pict>
      </w:r>
    </w:p>
    <w:bookmarkEnd w:id="36"/>
    <w:bookmarkStart w:id="37" w:name="Xb65d3b21693fc199cb41c6e042482c9d58607ea"/>
    <w:p>
      <w:pPr>
        <w:pStyle w:val="Heading3"/>
      </w:pPr>
      <w:r>
        <w:t xml:space="preserve">Issue 15 — Third-Party Recipient Disclosures Incomplete [MEDIUM]</w:t>
      </w:r>
    </w:p>
    <w:p>
      <w:pPr>
        <w:pStyle w:val="FirstParagraph"/>
      </w:pPr>
      <w:r>
        <w:rPr>
          <w:b/>
          <w:bCs/>
        </w:rPr>
        <w:t xml:space="preserve">The gap.</w:t>
      </w:r>
      <w:r>
        <w:t xml:space="preserve"> </w:t>
      </w:r>
      <w:r>
        <w:t xml:space="preserve">The Privacy Policy names only two third-party recipients (FinLink Data Services and CloudFort Systems) and refers generically to</w:t>
      </w:r>
      <w:r>
        <w:t xml:space="preserve"> </w:t>
      </w:r>
      <w:r>
        <w:t xml:space="preserve">“</w:t>
      </w:r>
      <w:r>
        <w:t xml:space="preserve">analytics and advertising partners</w:t>
      </w:r>
      <w:r>
        <w:t xml:space="preserve">”</w:t>
      </w:r>
      <w:r>
        <w:t xml:space="preserve"> </w:t>
      </w:r>
      <w:r>
        <w:t xml:space="preserve">and</w:t>
      </w:r>
      <w:r>
        <w:t xml:space="preserve"> </w:t>
      </w:r>
      <w:r>
        <w:t xml:space="preserve">“</w:t>
      </w:r>
      <w:r>
        <w:t xml:space="preserve">business partners.</w:t>
      </w:r>
      <w:r>
        <w:t xml:space="preserve">”</w:t>
      </w:r>
      <w:r>
        <w:t xml:space="preserve"> </w:t>
      </w:r>
      <w:r>
        <w:t xml:space="preserve">The Data Inventory identifies at least six distinct recipient categories, several of which are not disclosed.</w:t>
      </w:r>
    </w:p>
    <w:p>
      <w:pPr>
        <w:pStyle w:val="BodyText"/>
      </w:pPr>
      <w:r>
        <w:rPr>
          <w:b/>
          <w:bCs/>
        </w:rPr>
        <w:t xml:space="preserve">Cross-document evidence.</w:t>
      </w:r>
    </w:p>
    <w:p>
      <w:pPr>
        <w:pStyle w:val="Compact"/>
        <w:numPr>
          <w:ilvl w:val="0"/>
          <w:numId w:val="1021"/>
        </w:numPr>
      </w:pPr>
      <w:r>
        <w:rPr>
          <w:i/>
          <w:iCs/>
        </w:rPr>
        <w:t xml:space="preserve">Privacy Policy</w:t>
      </w:r>
      <w:r>
        <w:t xml:space="preserve">: Names FinLink Data Services, LLC and CloudFort Systems, Inc. Refers generically to</w:t>
      </w:r>
      <w:r>
        <w:t xml:space="preserve"> </w:t>
      </w:r>
      <w:r>
        <w:t xml:space="preserve">“</w:t>
      </w:r>
      <w:r>
        <w:t xml:space="preserve">analytics and advertising partners,</w:t>
      </w:r>
      <w:r>
        <w:t xml:space="preserve">”</w:t>
      </w:r>
      <w:r>
        <w:t xml:space="preserve"> </w:t>
      </w:r>
      <w:r>
        <w:t xml:space="preserve">“</w:t>
      </w:r>
      <w:r>
        <w:t xml:space="preserve">business partners</w:t>
      </w:r>
      <w:r>
        <w:t xml:space="preserve">”</w:t>
      </w:r>
      <w:r>
        <w:t xml:space="preserve"> </w:t>
      </w:r>
      <w:r>
        <w:t xml:space="preserve">(approximately fourteen partner financial product providers), and</w:t>
      </w:r>
      <w:r>
        <w:t xml:space="preserve"> </w:t>
      </w:r>
      <w:r>
        <w:t xml:space="preserve">“</w:t>
      </w:r>
      <w:r>
        <w:t xml:space="preserve">consumer reporting agencies.</w:t>
      </w:r>
      <w:r>
        <w:t xml:space="preserve">”</w:t>
      </w:r>
    </w:p>
    <w:p>
      <w:pPr>
        <w:pStyle w:val="Compact"/>
        <w:numPr>
          <w:ilvl w:val="0"/>
          <w:numId w:val="1021"/>
        </w:numPr>
      </w:pPr>
      <w:r>
        <w:rPr>
          <w:i/>
          <w:iCs/>
        </w:rPr>
        <w:t xml:space="preserve">Data Inventory (Third-Party Sharing tab)</w:t>
      </w:r>
      <w:r>
        <w:t xml:space="preserve">: Lists six recipients: FinLink (TS-001), Brightly Analytics (TS-002), 14 partner financial product companies (TS-003), CloudFort (TS-004), a third-party credit bureau (TS-005), and Peregrine Audit Group LLP (TS-006). The Data Categories tab notes that DC-014 (hashed email addresses) and DC-015 (demographic/financial profile summaries) are</w:t>
      </w:r>
      <w:r>
        <w:t xml:space="preserve"> </w:t>
      </w:r>
      <w:r>
        <w:t xml:space="preserve">“</w:t>
      </w:r>
      <w:r>
        <w:t xml:space="preserve">not specifically disclosed as shared.</w:t>
      </w:r>
      <w:r>
        <w:t xml:space="preserve">”</w:t>
      </w:r>
    </w:p>
    <w:p>
      <w:pPr>
        <w:pStyle w:val="Compact"/>
        <w:numPr>
          <w:ilvl w:val="0"/>
          <w:numId w:val="1021"/>
        </w:numPr>
      </w:pPr>
      <w:r>
        <w:rPr>
          <w:i/>
          <w:iCs/>
        </w:rPr>
        <w:t xml:space="preserve">Brightly DSA</w:t>
      </w:r>
      <w:r>
        <w:t xml:space="preserve">: Confirms daily transmission of hashed emails, age range, income bracket, and spending summaries to Brightly.</w:t>
      </w:r>
    </w:p>
    <w:p>
      <w:pPr>
        <w:pStyle w:val="FirstParagraph"/>
      </w:pPr>
      <w:r>
        <w:rPr>
          <w:b/>
          <w:bCs/>
        </w:rPr>
        <w:t xml:space="preserve">Applicable authority and exposure.</w:t>
      </w:r>
      <w:r>
        <w:t xml:space="preserve"> </w:t>
      </w:r>
      <w:r>
        <w:t xml:space="preserve">GDPR Articles 13(1)(e) and 14(1)(e) require disclosure of the categories of recipients. The CPRA requires disclosure of the categories of third parties to whom information is sold or shared. The Privacy Policy’s generic references do not adequately disclose Brightly (an independent controller, not a service provider), the specific data elements shared (hashed emails, financial profile summaries), or the credit bureau and audit firm. The failure to specifically disclose the Brightly sharing is particularly significant given Issue 4.</w:t>
      </w:r>
    </w:p>
    <w:p>
      <w:r>
        <w:pict>
          <v:rect style="width:0;height:1.5pt" o:hralign="center" o:hrstd="t" o:hr="t"/>
        </w:pict>
      </w:r>
    </w:p>
    <w:bookmarkEnd w:id="37"/>
    <w:bookmarkStart w:id="38" w:name="X7df2dc68ecf5bdebfdb7e71ee6ab1da99391823"/>
    <w:p>
      <w:pPr>
        <w:pStyle w:val="Heading3"/>
      </w:pPr>
      <w:r>
        <w:t xml:space="preserve">Issue 16 — Partner Financial Product Referrals: Potential Sale; No Opt-Out [MEDIUM]</w:t>
      </w:r>
    </w:p>
    <w:p>
      <w:pPr>
        <w:pStyle w:val="FirstParagraph"/>
      </w:pPr>
      <w:r>
        <w:rPr>
          <w:b/>
          <w:bCs/>
        </w:rPr>
        <w:t xml:space="preserve">The gap.</w:t>
      </w:r>
      <w:r>
        <w:t xml:space="preserve"> </w:t>
      </w:r>
      <w:r>
        <w:t xml:space="preserve">The Privacy Policy discloses the existence of approximately fourteen partner financial product providers for referral purposes but does not disclose the referral-fee structure (monetary consideration) and provides no opt-out.</w:t>
      </w:r>
    </w:p>
    <w:p>
      <w:pPr>
        <w:pStyle w:val="BodyText"/>
      </w:pPr>
      <w:r>
        <w:rPr>
          <w:b/>
          <w:bCs/>
        </w:rPr>
        <w:t xml:space="preserve">Cross-document evidence.</w:t>
      </w:r>
    </w:p>
    <w:p>
      <w:pPr>
        <w:pStyle w:val="Compact"/>
        <w:numPr>
          <w:ilvl w:val="0"/>
          <w:numId w:val="1022"/>
        </w:numPr>
      </w:pPr>
      <w:r>
        <w:rPr>
          <w:i/>
          <w:iCs/>
        </w:rPr>
        <w:t xml:space="preserve">Privacy Policy</w:t>
      </w:r>
      <w:r>
        <w:t xml:space="preserve">:</w:t>
      </w:r>
      <w:r>
        <w:t xml:space="preserve"> </w:t>
      </w:r>
      <w:r>
        <w:t xml:space="preserve">“</w:t>
      </w:r>
      <w:r>
        <w:t xml:space="preserve">Vaultline collaborates with approximately fourteen partner financial product providers for referral purposes and that certain information about users may be shared with such partners.</w:t>
      </w:r>
      <w:r>
        <w:t xml:space="preserve">”</w:t>
      </w:r>
    </w:p>
    <w:p>
      <w:pPr>
        <w:pStyle w:val="Compact"/>
        <w:numPr>
          <w:ilvl w:val="0"/>
          <w:numId w:val="1022"/>
        </w:numPr>
      </w:pPr>
      <w:r>
        <w:rPr>
          <w:i/>
          <w:iCs/>
        </w:rPr>
        <w:t xml:space="preserve">Data Inventory (TS-003; PA-005)</w:t>
      </w:r>
      <w:r>
        <w:t xml:space="preserve">: TS-003 — CCPA classification</w:t>
      </w:r>
      <w:r>
        <w:t xml:space="preserve"> </w:t>
      </w:r>
      <w:r>
        <w:t xml:space="preserve">“</w:t>
      </w:r>
      <w:r>
        <w:t xml:space="preserve">Business Purpose / potentially Sale (referral fee received)</w:t>
      </w:r>
      <w:r>
        <w:t xml:space="preserve">”</w:t>
      </w:r>
      <w:r>
        <w:t xml:space="preserve">;</w:t>
      </w:r>
      <w:r>
        <w:t xml:space="preserve"> </w:t>
      </w:r>
      <w:r>
        <w:t xml:space="preserve">“</w:t>
      </w:r>
      <w:r>
        <w:t xml:space="preserve">Monetary Consideration Received? Yes — referral fee per click-through/application</w:t>
      </w:r>
      <w:r>
        <w:t xml:space="preserve">”</w:t>
      </w:r>
      <w:r>
        <w:t xml:space="preserve">;</w:t>
      </w:r>
      <w:r>
        <w:t xml:space="preserve"> </w:t>
      </w:r>
      <w:r>
        <w:t xml:space="preserve">“</w:t>
      </w:r>
      <w:r>
        <w:t xml:space="preserve">Opt-Out Mechanism Provided? No.</w:t>
      </w:r>
      <w:r>
        <w:t xml:space="preserve">”</w:t>
      </w:r>
      <w:r>
        <w:t xml:space="preserve"> </w:t>
      </w:r>
      <w:r>
        <w:t xml:space="preserve">PA-005 — approximately 420,000 click-throughs in FY 2024.</w:t>
      </w:r>
    </w:p>
    <w:p>
      <w:pPr>
        <w:pStyle w:val="FirstParagraph"/>
      </w:pPr>
      <w:r>
        <w:rPr>
          <w:b/>
          <w:bCs/>
        </w:rPr>
        <w:t xml:space="preserve">Applicable authority and exposure.</w:t>
      </w:r>
      <w:r>
        <w:t xml:space="preserve"> </w:t>
      </w:r>
      <w:r>
        <w:t xml:space="preserve">The exchange of personal information (name, email, age, income bracket, credit score range) for referral fees may constitute a</w:t>
      </w:r>
      <w:r>
        <w:t xml:space="preserve"> </w:t>
      </w:r>
      <w:r>
        <w:t xml:space="preserve">“</w:t>
      </w:r>
      <w:r>
        <w:t xml:space="preserve">sale</w:t>
      </w:r>
      <w:r>
        <w:t xml:space="preserve">”</w:t>
      </w:r>
      <w:r>
        <w:t xml:space="preserve"> </w:t>
      </w:r>
      <w:r>
        <w:t xml:space="preserve">under the CPRA where the data is exchanged for monetary consideration. If so, the disclosure and opt-out requirements of Issue 4 apply equally here. The Privacy Policy’s disclosure of the referral relationship without disclosing the fee or providing an opt-out is a gap.</w:t>
      </w:r>
    </w:p>
    <w:p>
      <w:r>
        <w:pict>
          <v:rect style="width:0;height:1.5pt" o:hralign="center" o:hrstd="t" o:hr="t"/>
        </w:pict>
      </w:r>
    </w:p>
    <w:bookmarkEnd w:id="38"/>
    <w:bookmarkStart w:id="39" w:name="Xc48680fc059c68d76f325544a73b894b7f8f1b3"/>
    <w:p>
      <w:pPr>
        <w:pStyle w:val="Heading3"/>
      </w:pPr>
      <w:r>
        <w:t xml:space="preserve">Issue 17 — Brightly DSA Contractual Gaps [MEDIUM]</w:t>
      </w:r>
    </w:p>
    <w:p>
      <w:pPr>
        <w:pStyle w:val="FirstParagraph"/>
      </w:pPr>
      <w:r>
        <w:rPr>
          <w:b/>
          <w:bCs/>
        </w:rPr>
        <w:t xml:space="preserve">The gap.</w:t>
      </w:r>
      <w:r>
        <w:t xml:space="preserve"> </w:t>
      </w:r>
      <w:r>
        <w:t xml:space="preserve">The Brightly DSA contains several provisions that exacerbate the compliance issues above and allocate risk to Vaultline in ways that are unfavorable in light of the identified gaps.</w:t>
      </w:r>
    </w:p>
    <w:p>
      <w:pPr>
        <w:pStyle w:val="BodyText"/>
      </w:pPr>
      <w:r>
        <w:rPr>
          <w:b/>
          <w:bCs/>
        </w:rPr>
        <w:t xml:space="preserve">Cross-document evidence and analysis.</w:t>
      </w:r>
    </w:p>
    <w:p>
      <w:pPr>
        <w:pStyle w:val="Compact"/>
        <w:numPr>
          <w:ilvl w:val="0"/>
          <w:numId w:val="1023"/>
        </w:numPr>
      </w:pPr>
      <w:r>
        <w:rPr>
          <w:i/>
          <w:iCs/>
        </w:rPr>
        <w:t xml:space="preserve">No DPA</w:t>
      </w:r>
      <w:r>
        <w:t xml:space="preserve">: Section 14.3 expressly states</w:t>
      </w:r>
      <w:r>
        <w:t xml:space="preserve"> </w:t>
      </w:r>
      <w:r>
        <w:t xml:space="preserve">“</w:t>
      </w:r>
      <w:r>
        <w:t xml:space="preserve">there are no data processing addenda, supplemental privacy agreements, or other side agreements.</w:t>
      </w:r>
      <w:r>
        <w:t xml:space="preserve">”</w:t>
      </w:r>
      <w:r>
        <w:t xml:space="preserve"> </w:t>
      </w:r>
      <w:r>
        <w:t xml:space="preserve">Brightly is designated an independent controller (Section 4.1), but it receives personal data (hashed emails, demographic/financial profiles) for which a controller-to-controller data transfer agreement with GDPR Article 26 terms would be expected, particularly for EU data.</w:t>
      </w:r>
    </w:p>
    <w:p>
      <w:pPr>
        <w:pStyle w:val="Compact"/>
        <w:numPr>
          <w:ilvl w:val="0"/>
          <w:numId w:val="1023"/>
        </w:numPr>
      </w:pPr>
      <w:r>
        <w:rPr>
          <w:i/>
          <w:iCs/>
        </w:rPr>
        <w:t xml:space="preserve">Perpetual retention of derived data</w:t>
      </w:r>
      <w:r>
        <w:t xml:space="preserve">: Section 10.5(c) provides that upon termination, Brightly</w:t>
      </w:r>
      <w:r>
        <w:t xml:space="preserve"> </w:t>
      </w:r>
      <w:r>
        <w:t xml:space="preserve">“</w:t>
      </w:r>
      <w:r>
        <w:t xml:space="preserve">may continue to use, license, sell, and otherwise exploit Audience Segments created prior to the effective date of termination … without restriction and in perpetuity.</w:t>
      </w:r>
      <w:r>
        <w:t xml:space="preserve">”</w:t>
      </w:r>
      <w:r>
        <w:t xml:space="preserve"> </w:t>
      </w:r>
      <w:r>
        <w:t xml:space="preserve">This means data subject erasure/deletion requests directed to Vaultline cannot be fully honored as to data embedded in Brightly’s audience segments, undermining GDPR Article 17 and CPRA deletion rights.</w:t>
      </w:r>
    </w:p>
    <w:p>
      <w:pPr>
        <w:pStyle w:val="Compact"/>
        <w:numPr>
          <w:ilvl w:val="0"/>
          <w:numId w:val="1023"/>
        </w:numPr>
      </w:pPr>
      <w:r>
        <w:rPr>
          <w:i/>
          <w:iCs/>
        </w:rPr>
        <w:t xml:space="preserve">Potentially inaccurate representations</w:t>
      </w:r>
      <w:r>
        <w:t xml:space="preserve">: Section 7.1(b) represents that the sharing is</w:t>
      </w:r>
      <w:r>
        <w:t xml:space="preserve"> </w:t>
      </w:r>
      <w:r>
        <w:t xml:space="preserve">“</w:t>
      </w:r>
      <w:r>
        <w:t xml:space="preserve">consistent with Vaultline’s privacy policy,</w:t>
      </w:r>
      <w:r>
        <w:t xml:space="preserve">”</w:t>
      </w:r>
      <w:r>
        <w:t xml:space="preserve"> </w:t>
      </w:r>
      <w:r>
        <w:t xml:space="preserve">and Section 7.1(c) represents that Vaultline</w:t>
      </w:r>
      <w:r>
        <w:t xml:space="preserve"> </w:t>
      </w:r>
      <w:r>
        <w:t xml:space="preserve">“</w:t>
      </w:r>
      <w:r>
        <w:t xml:space="preserve">has obtained all necessary consents … for the sharing of Shared Data.</w:t>
      </w:r>
      <w:r>
        <w:t xml:space="preserve">”</w:t>
      </w:r>
      <w:r>
        <w:t xml:space="preserve"> </w:t>
      </w:r>
      <w:r>
        <w:t xml:space="preserve">Given the Privacy Policy’s non-disclosure of Brightly and the absence of any opt-out (Issues 4, 11), these representations are arguably inaccurate, exposing Vaultline to indemnification claims by Brightly under Section 11.1.</w:t>
      </w:r>
    </w:p>
    <w:p>
      <w:pPr>
        <w:pStyle w:val="Compact"/>
        <w:numPr>
          <w:ilvl w:val="0"/>
          <w:numId w:val="1023"/>
        </w:numPr>
      </w:pPr>
      <w:r>
        <w:rPr>
          <w:i/>
          <w:iCs/>
        </w:rPr>
        <w:t xml:space="preserve">Indemnification asymmetry</w:t>
      </w:r>
      <w:r>
        <w:t xml:space="preserve">: Section 11.1 requires Vaultline to indemnify Brightly for claims arising from Vaultline’s failure to obtain consents — placing the consent-gap liability on Vaultline. Section 11.2(b) carves out Brightly’s indemnity where claims arise from Vaultline’s consent failures.</w:t>
      </w:r>
    </w:p>
    <w:p>
      <w:pPr>
        <w:pStyle w:val="Compact"/>
        <w:numPr>
          <w:ilvl w:val="0"/>
          <w:numId w:val="1023"/>
        </w:numPr>
      </w:pPr>
      <w:r>
        <w:rPr>
          <w:i/>
          <w:iCs/>
        </w:rPr>
        <w:t xml:space="preserve">Liability cap</w:t>
      </w:r>
      <w:r>
        <w:t xml:space="preserve">: Section 12.1 caps liability at 12 months of revenue share (~$2.64 million), which is modest relative to the potential BIPA and GDPR exposures and may be inadequate to cover a consent-related class action.</w:t>
      </w:r>
    </w:p>
    <w:p>
      <w:pPr>
        <w:pStyle w:val="Compact"/>
        <w:numPr>
          <w:ilvl w:val="0"/>
          <w:numId w:val="1023"/>
        </w:numPr>
      </w:pPr>
      <w:r>
        <w:rPr>
          <w:i/>
          <w:iCs/>
        </w:rPr>
        <w:t xml:space="preserve">Execution authority</w:t>
      </w:r>
      <w:r>
        <w:t xml:space="preserve">: The DSA and First Amendment were executed by Sandra Linh, Head of Data &amp; Analytics — a business/technical role rather than a legal or executive officer. While authority may exist, the execution of a data-sharing agreement with significant privacy implications by a non-legal, non-executive signatory warrants confirmation of corporate authority.</w:t>
      </w:r>
    </w:p>
    <w:p>
      <w:pPr>
        <w:pStyle w:val="FirstParagraph"/>
      </w:pPr>
      <w:r>
        <w:rPr>
          <w:b/>
          <w:bCs/>
        </w:rPr>
        <w:t xml:space="preserve">Risk assessment.</w:t>
      </w:r>
      <w:r>
        <w:t xml:space="preserve"> </w:t>
      </w:r>
      <w:r>
        <w:t xml:space="preserve">The DSA, as drafted, leaves Vaultline bearing the consent and compliance risk while Brightly retains and monetizes derived data indefinitely. These terms should be revisited in light of the remediation plan.</w:t>
      </w:r>
    </w:p>
    <w:p>
      <w:r>
        <w:pict>
          <v:rect style="width:0;height:1.5pt" o:hralign="center" o:hrstd="t" o:hr="t"/>
        </w:pict>
      </w:r>
    </w:p>
    <w:bookmarkEnd w:id="39"/>
    <w:bookmarkStart w:id="40" w:name="X6a51c31a3b07a496aecbdd67924817f199165ad"/>
    <w:p>
      <w:pPr>
        <w:pStyle w:val="Heading3"/>
      </w:pPr>
      <w:r>
        <w:t xml:space="preserve">Issue 18 — Privacy Policy Stale and Unreadable [MEDIUM]</w:t>
      </w:r>
    </w:p>
    <w:p>
      <w:pPr>
        <w:pStyle w:val="FirstParagraph"/>
      </w:pPr>
      <w:r>
        <w:rPr>
          <w:b/>
          <w:bCs/>
        </w:rPr>
        <w:t xml:space="preserve">The gap.</w:t>
      </w:r>
      <w:r>
        <w:t xml:space="preserve"> </w:t>
      </w:r>
      <w:r>
        <w:t xml:space="preserve">The Privacy Policy has not been updated since January 15, 2023 — over two years — despite material changes to the Company’s data practices. It is also structurally deficient as a transparency instrument.</w:t>
      </w:r>
    </w:p>
    <w:p>
      <w:pPr>
        <w:pStyle w:val="BodyText"/>
      </w:pPr>
      <w:r>
        <w:rPr>
          <w:b/>
          <w:bCs/>
        </w:rPr>
        <w:t xml:space="preserve">Cross-document evidence.</w:t>
      </w:r>
    </w:p>
    <w:p>
      <w:pPr>
        <w:pStyle w:val="Compact"/>
        <w:numPr>
          <w:ilvl w:val="0"/>
          <w:numId w:val="1024"/>
        </w:numPr>
      </w:pPr>
      <w:r>
        <w:rPr>
          <w:i/>
          <w:iCs/>
        </w:rPr>
        <w:t xml:space="preserve">Privacy Policy</w:t>
      </w:r>
      <w:r>
        <w:t xml:space="preserve">:</w:t>
      </w:r>
      <w:r>
        <w:t xml:space="preserve"> </w:t>
      </w:r>
      <w:r>
        <w:t xml:space="preserve">“</w:t>
      </w:r>
      <w:r>
        <w:t xml:space="preserve">Last Updated: January 15, 2023.</w:t>
      </w:r>
      <w:r>
        <w:t xml:space="preserve">”</w:t>
      </w:r>
      <w:r>
        <w:t xml:space="preserve"> </w:t>
      </w:r>
      <w:r>
        <w:t xml:space="preserve">Approximately 9,200 words of dense, unformatted prose with no section headers, table of contents, or layered structure.</w:t>
      </w:r>
    </w:p>
    <w:p>
      <w:pPr>
        <w:pStyle w:val="Compact"/>
        <w:numPr>
          <w:ilvl w:val="0"/>
          <w:numId w:val="1024"/>
        </w:numPr>
      </w:pPr>
      <w:r>
        <w:rPr>
          <w:i/>
          <w:iCs/>
        </w:rPr>
        <w:t xml:space="preserve">Data Inventory</w:t>
      </w:r>
      <w:r>
        <w:t xml:space="preserve">: Documents multiple post-January 2023 changes: Selfie Verify launch (March 8, 2023); Brightly DSA amendment (June 15, 2024); August 2024 breach; updated user counts and EU processing summary (through February 2025).</w:t>
      </w:r>
    </w:p>
    <w:p>
      <w:pPr>
        <w:pStyle w:val="Compact"/>
        <w:numPr>
          <w:ilvl w:val="0"/>
          <w:numId w:val="1024"/>
        </w:numPr>
      </w:pPr>
      <w:r>
        <w:rPr>
          <w:i/>
          <w:iCs/>
        </w:rPr>
        <w:t xml:space="preserve">Investor Letter</w:t>
      </w:r>
      <w:r>
        <w:t xml:space="preserve">: Notes the policy is over two years old, consists of ~9,200 words of dense prose, has an estimated Flesch-Kincaid grade level of 18.2 (post-graduate), and raises FTC</w:t>
      </w:r>
      <w:r>
        <w:t xml:space="preserve"> </w:t>
      </w:r>
      <w:r>
        <w:t xml:space="preserve">“</w:t>
      </w:r>
      <w:r>
        <w:t xml:space="preserve">clear and conspicuous</w:t>
      </w:r>
      <w:r>
        <w:t xml:space="preserve">”</w:t>
      </w:r>
      <w:r>
        <w:t xml:space="preserve"> </w:t>
      </w:r>
      <w:r>
        <w:t xml:space="preserve">disclosure concerns.</w:t>
      </w:r>
    </w:p>
    <w:p>
      <w:pPr>
        <w:pStyle w:val="FirstParagraph"/>
      </w:pPr>
      <w:r>
        <w:rPr>
          <w:b/>
          <w:bCs/>
        </w:rPr>
        <w:t xml:space="preserve">Applicable authority and exposure.</w:t>
      </w:r>
      <w:r>
        <w:t xml:space="preserve"> </w:t>
      </w:r>
      <w:r>
        <w:t xml:space="preserve">The CPRA and GDPR both require privacy notices to be clear, accessible, and current. The FTC’s</w:t>
      </w:r>
      <w:r>
        <w:t xml:space="preserve"> </w:t>
      </w:r>
      <w:r>
        <w:t xml:space="preserve">“</w:t>
      </w:r>
      <w:r>
        <w:t xml:space="preserve">clear and conspicuous</w:t>
      </w:r>
      <w:r>
        <w:t xml:space="preserve">”</w:t>
      </w:r>
      <w:r>
        <w:t xml:space="preserve"> </w:t>
      </w:r>
      <w:r>
        <w:t xml:space="preserve">standard and the GDPR’s</w:t>
      </w:r>
      <w:r>
        <w:t xml:space="preserve"> </w:t>
      </w:r>
      <w:r>
        <w:t xml:space="preserve">“</w:t>
      </w:r>
      <w:r>
        <w:t xml:space="preserve">concise, transparent, intelligible and easily accessible form</w:t>
      </w:r>
      <w:r>
        <w:t xml:space="preserve">”</w:t>
      </w:r>
      <w:r>
        <w:t xml:space="preserve"> </w:t>
      </w:r>
      <w:r>
        <w:t xml:space="preserve">requirement (Article 12) are not satisfied by a 9,200-word, grade-18.2 document with no navigational structure. The staleness of the policy is the root cause of several of the disclosure gaps above (Issues 1, 3, 4, 8, 9, 11, 15): practices that postdate January 2023 are simply not reflected.</w:t>
      </w:r>
    </w:p>
    <w:p>
      <w:r>
        <w:pict>
          <v:rect style="width:0;height:1.5pt" o:hralign="center" o:hrstd="t" o:hr="t"/>
        </w:pict>
      </w:r>
    </w:p>
    <w:bookmarkEnd w:id="40"/>
    <w:bookmarkEnd w:id="41"/>
    <w:bookmarkStart w:id="42" w:name="X0580c23f15055e5588e1c391798adbcebe65f93"/>
    <w:p>
      <w:pPr>
        <w:pStyle w:val="Heading2"/>
      </w:pPr>
      <w:r>
        <w:t xml:space="preserve">V. Cross-Document Factual Inconsistencies</w:t>
      </w:r>
    </w:p>
    <w:p>
      <w:pPr>
        <w:pStyle w:val="FirstParagraph"/>
      </w:pPr>
      <w:r>
        <w:t xml:space="preserve">In addition to the compliance gaps above, the documents contain several factual inconsistencies that should be reconciled before any representations are made to the investor or to regulators:</w:t>
      </w:r>
    </w:p>
    <w:p>
      <w:pPr>
        <w:numPr>
          <w:ilvl w:val="0"/>
          <w:numId w:val="1025"/>
        </w:numPr>
      </w:pPr>
      <w:r>
        <w:rPr>
          <w:b/>
          <w:bCs/>
        </w:rPr>
        <w:t xml:space="preserve">EU data storage location.</w:t>
      </w:r>
      <w:r>
        <w:t xml:space="preserve"> </w:t>
      </w:r>
      <w:r>
        <w:t xml:space="preserve">The Breach Log (Entry 5) states that CloudFort confirmed</w:t>
      </w:r>
      <w:r>
        <w:t xml:space="preserve"> </w:t>
      </w:r>
      <w:r>
        <w:t xml:space="preserve">“</w:t>
      </w:r>
      <w:r>
        <w:t xml:space="preserve">no access anomalies were detected on its Dublin, Ireland infrastructure, where EU-resident user data is partially replicated,</w:t>
      </w:r>
      <w:r>
        <w:t xml:space="preserve">”</w:t>
      </w:r>
      <w:r>
        <w:t xml:space="preserve"> </w:t>
      </w:r>
      <w:r>
        <w:t xml:space="preserve">implying EU data is replicated to Dublin. The Data Inventory (IT-001; PA-007) states that</w:t>
      </w:r>
      <w:r>
        <w:t xml:space="preserve"> </w:t>
      </w:r>
      <w:r>
        <w:t xml:space="preserve">“</w:t>
      </w:r>
      <w:r>
        <w:t xml:space="preserve">all EU-resident user data is processed and stored on CloudFort Virginia servers.</w:t>
      </w:r>
      <w:r>
        <w:t xml:space="preserve">”</w:t>
      </w:r>
      <w:r>
        <w:t xml:space="preserve"> </w:t>
      </w:r>
      <w:r>
        <w:t xml:space="preserve">These statements are inconsistent. The resolution matters: if EU data is in Dublin, the transfer analysis changes (and the inventory is inaccurate); if all EU data is in Virginia, the Breach Log’s reference to Dublin replication is inaccurate. Either way, the Company’s records do not present a consistent picture of where EU data resides — a material fact for the GDPR Chapter V analysis and for diligence.</w:t>
      </w:r>
    </w:p>
    <w:p>
      <w:pPr>
        <w:numPr>
          <w:ilvl w:val="0"/>
          <w:numId w:val="1025"/>
        </w:numPr>
      </w:pPr>
      <w:r>
        <w:rPr>
          <w:b/>
          <w:bCs/>
        </w:rPr>
        <w:t xml:space="preserve">“</w:t>
      </w:r>
      <w:r>
        <w:rPr>
          <w:b/>
          <w:bCs/>
        </w:rPr>
        <w:t xml:space="preserve">No sale</w:t>
      </w:r>
      <w:r>
        <w:rPr>
          <w:b/>
          <w:bCs/>
        </w:rPr>
        <w:t xml:space="preserve">”</w:t>
      </w:r>
      <w:r>
        <w:rPr>
          <w:b/>
          <w:bCs/>
        </w:rPr>
        <w:t xml:space="preserve"> </w:t>
      </w:r>
      <w:r>
        <w:rPr>
          <w:b/>
          <w:bCs/>
        </w:rPr>
        <w:t xml:space="preserve">representation vs. revenue-sharing reality.</w:t>
      </w:r>
      <w:r>
        <w:t xml:space="preserve"> </w:t>
      </w:r>
      <w:r>
        <w:t xml:space="preserve">The Privacy Policy states Vaultline</w:t>
      </w:r>
      <w:r>
        <w:t xml:space="preserve"> </w:t>
      </w:r>
      <w:r>
        <w:t xml:space="preserve">“</w:t>
      </w:r>
      <w:r>
        <w:t xml:space="preserve">does not currently engage in the sale of covered information,</w:t>
      </w:r>
      <w:r>
        <w:t xml:space="preserve">”</w:t>
      </w:r>
      <w:r>
        <w:t xml:space="preserve"> </w:t>
      </w:r>
      <w:r>
        <w:t xml:space="preserve">while the Brightly DSA and Data Inventory document ~$2.64 million in annual revenue-share and partner referral fees for data sharing. (Addressed as Issue 11.)</w:t>
      </w:r>
    </w:p>
    <w:p>
      <w:pPr>
        <w:numPr>
          <w:ilvl w:val="0"/>
          <w:numId w:val="1025"/>
        </w:numPr>
      </w:pPr>
      <w:r>
        <w:rPr>
          <w:b/>
          <w:bCs/>
        </w:rPr>
        <w:t xml:space="preserve">Named third-party recipients.</w:t>
      </w:r>
      <w:r>
        <w:t xml:space="preserve"> </w:t>
      </w:r>
      <w:r>
        <w:t xml:space="preserve">The Privacy Policy names FinLink and CloudFort but not Brightly, the credit bureau, or Peregrine Audit Group, while the Data Inventory identifies six recipient categories. (Addressed as Issue 15.)</w:t>
      </w:r>
    </w:p>
    <w:p>
      <w:pPr>
        <w:numPr>
          <w:ilvl w:val="0"/>
          <w:numId w:val="1025"/>
        </w:numPr>
      </w:pPr>
      <w:r>
        <w:rPr>
          <w:b/>
          <w:bCs/>
        </w:rPr>
        <w:t xml:space="preserve">Cookie consent mechanism.</w:t>
      </w:r>
      <w:r>
        <w:t xml:space="preserve"> </w:t>
      </w:r>
      <w:r>
        <w:t xml:space="preserve">The Privacy Policy suggests users manage cookies via browser settings, while the Data Inventory documents an</w:t>
      </w:r>
      <w:r>
        <w:t xml:space="preserve"> </w:t>
      </w:r>
      <w:r>
        <w:t xml:space="preserve">“</w:t>
      </w:r>
      <w:r>
        <w:t xml:space="preserve">Accept All</w:t>
      </w:r>
      <w:r>
        <w:t xml:space="preserve">”</w:t>
      </w:r>
      <w:r>
        <w:t xml:space="preserve">-only banner that fires all cookies before consent. (Addressed as Issue 12.)</w:t>
      </w:r>
    </w:p>
    <w:p>
      <w:pPr>
        <w:numPr>
          <w:ilvl w:val="0"/>
          <w:numId w:val="1025"/>
        </w:numPr>
      </w:pPr>
      <w:r>
        <w:rPr>
          <w:b/>
          <w:bCs/>
        </w:rPr>
        <w:t xml:space="preserve">Governing law and forum.</w:t>
      </w:r>
      <w:r>
        <w:t xml:space="preserve"> </w:t>
      </w:r>
      <w:r>
        <w:t xml:space="preserve">The Privacy Policy is governed by Texas law with exclusive venue in Travis County, Texas, while the Brightly DSA is governed by New York law with binding arbitration in New York. While not a compliance violation, this fragmentation means privacy-related disputes would proceed under different law and in different forums depending on the counterparty, complicating defense strategy and potentially affecting the enforceability of certain provisions.</w:t>
      </w:r>
    </w:p>
    <w:p>
      <w:pPr>
        <w:numPr>
          <w:ilvl w:val="0"/>
          <w:numId w:val="1025"/>
        </w:numPr>
      </w:pPr>
      <w:r>
        <w:rPr>
          <w:b/>
          <w:bCs/>
        </w:rPr>
        <w:t xml:space="preserve">Breach scope and sensitive PI.</w:t>
      </w:r>
      <w:r>
        <w:t xml:space="preserve"> </w:t>
      </w:r>
      <w:r>
        <w:t xml:space="preserve">The Breach Log states that last-four SSN digits and transaction histories were compromised for 84,000 users. The Data Inventory classifies both as CPRA sensitive PI. The Privacy Policy does not classify either as sensitive PI. The breach thus involved sensitive PI as internally classified, but the consumer-facing policy does not acknowledge these categories as sensitive — a discrepancy relevant to breach notification content and to the sensitive-PI issues (Issue 8).</w:t>
      </w:r>
    </w:p>
    <w:p>
      <w:r>
        <w:pict>
          <v:rect style="width:0;height:1.5pt" o:hralign="center" o:hrstd="t" o:hr="t"/>
        </w:pict>
      </w:r>
    </w:p>
    <w:bookmarkEnd w:id="42"/>
    <w:bookmarkStart w:id="43" w:name="vi.-recommended-prioritized-remediation"/>
    <w:p>
      <w:pPr>
        <w:pStyle w:val="Heading2"/>
      </w:pPr>
      <w:r>
        <w:t xml:space="preserve">VI. Recommended Prioritized Remediation</w:t>
      </w:r>
    </w:p>
    <w:p>
      <w:pPr>
        <w:pStyle w:val="FirstParagraph"/>
      </w:pPr>
      <w:r>
        <w:t xml:space="preserve">The following prioritization is offered to focus remediation ahead of the April 15, 2025 diligence deadline and the Q3 2025 EU launch. This is a scoping recommendation only; detailed remediation plans should be developed with the engagement of the appropriate specialists.</w:t>
      </w:r>
    </w:p>
    <w:p>
      <w:pPr>
        <w:pStyle w:val="BodyText"/>
      </w:pPr>
      <w:r>
        <w:rPr>
          <w:b/>
          <w:bCs/>
        </w:rPr>
        <w:t xml:space="preserve">Immediate (before any further data collection / before EU launch):</w:t>
      </w:r>
    </w:p>
    <w:p>
      <w:pPr>
        <w:pStyle w:val="Compact"/>
        <w:numPr>
          <w:ilvl w:val="0"/>
          <w:numId w:val="1026"/>
        </w:numPr>
      </w:pPr>
      <w:r>
        <w:rPr>
          <w:b/>
          <w:bCs/>
        </w:rPr>
        <w:t xml:space="preserve">Issue 1 (Biometric):</w:t>
      </w:r>
      <w:r>
        <w:t xml:space="preserve"> </w:t>
      </w:r>
      <w:r>
        <w:t xml:space="preserve">Suspend or gate the Selfie Verify feature pending (a) implementation of BIPA-compliant written informed consent, (b) publication of a biometric retention/destruction policy, and (c) Privacy Policy disclosure. Given the $87M–$435M exposure, this should be treated as the highest priority. Consider a state-by-state biometric law review (IL, TX, WA, and others).</w:t>
      </w:r>
    </w:p>
    <w:p>
      <w:pPr>
        <w:pStyle w:val="Compact"/>
        <w:numPr>
          <w:ilvl w:val="0"/>
          <w:numId w:val="1026"/>
        </w:numPr>
      </w:pPr>
      <w:r>
        <w:rPr>
          <w:b/>
          <w:bCs/>
        </w:rPr>
        <w:t xml:space="preserve">Issue 2 (Transfers):</w:t>
      </w:r>
      <w:r>
        <w:t xml:space="preserve"> </w:t>
      </w:r>
      <w:r>
        <w:t xml:space="preserve">Implement a valid Chapter V transfer mechanism — either DPF certification or SCCs with CloudFort (and transfer impact assessments) — before the EU launch. Reconcile the EU data location inconsistency (Section V.1).</w:t>
      </w:r>
    </w:p>
    <w:p>
      <w:pPr>
        <w:pStyle w:val="Compact"/>
        <w:numPr>
          <w:ilvl w:val="0"/>
          <w:numId w:val="1026"/>
        </w:numPr>
      </w:pPr>
      <w:r>
        <w:rPr>
          <w:b/>
          <w:bCs/>
        </w:rPr>
        <w:t xml:space="preserve">Issue 5 (Breach):</w:t>
      </w:r>
      <w:r>
        <w:t xml:space="preserve"> </w:t>
      </w:r>
      <w:r>
        <w:t xml:space="preserve">Document and, where still possible, cure the notification gaps. Assess whether belated GDPR Article 33 and California AG notifications should now be made. Confirm compliance with all other affected state notification requirements.</w:t>
      </w:r>
    </w:p>
    <w:p>
      <w:pPr>
        <w:pStyle w:val="FirstParagraph"/>
      </w:pPr>
      <w:r>
        <w:rPr>
          <w:b/>
          <w:bCs/>
        </w:rPr>
        <w:t xml:space="preserve">Near-term (before the April 15, 2025 diligence deadline):</w:t>
      </w:r>
    </w:p>
    <w:p>
      <w:pPr>
        <w:pStyle w:val="Compact"/>
        <w:numPr>
          <w:ilvl w:val="0"/>
          <w:numId w:val="1027"/>
        </w:numPr>
      </w:pPr>
      <w:r>
        <w:rPr>
          <w:b/>
          <w:bCs/>
        </w:rPr>
        <w:t xml:space="preserve">Issue 4 / Issue 11 (Brightly sale/sharing):</w:t>
      </w:r>
      <w:r>
        <w:t xml:space="preserve"> </w:t>
      </w:r>
      <w:r>
        <w:t xml:space="preserve">Conduct the CCPA sale/sharing analysis; if the Brightly arrangement is a sale/sharing (as appears likely), implement the required disclosures and opt-out, and correct the</w:t>
      </w:r>
      <w:r>
        <w:t xml:space="preserve"> </w:t>
      </w:r>
      <w:r>
        <w:t xml:space="preserve">“</w:t>
      </w:r>
      <w:r>
        <w:t xml:space="preserve">does not sell</w:t>
      </w:r>
      <w:r>
        <w:t xml:space="preserve">”</w:t>
      </w:r>
      <w:r>
        <w:t xml:space="preserve"> </w:t>
      </w:r>
      <w:r>
        <w:t xml:space="preserve">statement. Renegotiate the Brightly DSA to add a DPA/controller-to-controller terms and address the perpetual retention provision.</w:t>
      </w:r>
    </w:p>
    <w:p>
      <w:pPr>
        <w:pStyle w:val="Compact"/>
        <w:numPr>
          <w:ilvl w:val="0"/>
          <w:numId w:val="1027"/>
        </w:numPr>
      </w:pPr>
      <w:r>
        <w:rPr>
          <w:b/>
          <w:bCs/>
        </w:rPr>
        <w:t xml:space="preserve">Issue 3 (Smart Insights):</w:t>
      </w:r>
      <w:r>
        <w:t xml:space="preserve"> </w:t>
      </w:r>
      <w:r>
        <w:t xml:space="preserve">Add Article 22 disclosures, implement a human review / opt-out mechanism, and conduct the mandatory DPIA.</w:t>
      </w:r>
    </w:p>
    <w:p>
      <w:pPr>
        <w:pStyle w:val="Compact"/>
        <w:numPr>
          <w:ilvl w:val="0"/>
          <w:numId w:val="1027"/>
        </w:numPr>
      </w:pPr>
      <w:r>
        <w:rPr>
          <w:b/>
          <w:bCs/>
        </w:rPr>
        <w:t xml:space="preserve">Issues 6, 7, 8, 9, 10, 12, 14, 15 (GDPR/CPRA transparency, DPIAs, sensitive PI, rights, retention, cookies, lawful basis, recipients):</w:t>
      </w:r>
      <w:r>
        <w:t xml:space="preserve"> </w:t>
      </w:r>
      <w:r>
        <w:t xml:space="preserve">These are largely addressed by a comprehensive Privacy Policy rewrite (Issue 18) coupled with the appointment of a DPO and Article 27 representative, completion of DPIAs, implementation of a retention schedule, and replacement of the cookie banner with a compliant consent management platform.</w:t>
      </w:r>
    </w:p>
    <w:p>
      <w:pPr>
        <w:pStyle w:val="FirstParagraph"/>
      </w:pPr>
      <w:r>
        <w:rPr>
          <w:b/>
          <w:bCs/>
        </w:rPr>
        <w:t xml:space="preserve">Medium-term (post-closing, per a remediation plan with holdback/escrow as the investor may require):</w:t>
      </w:r>
    </w:p>
    <w:p>
      <w:pPr>
        <w:pStyle w:val="Compact"/>
        <w:numPr>
          <w:ilvl w:val="0"/>
          <w:numId w:val="1028"/>
        </w:numPr>
      </w:pPr>
      <w:r>
        <w:rPr>
          <w:b/>
          <w:bCs/>
        </w:rPr>
        <w:t xml:space="preserve">Issue 13 (GLBA):</w:t>
      </w:r>
      <w:r>
        <w:t xml:space="preserve"> </w:t>
      </w:r>
      <w:r>
        <w:t xml:space="preserve">Complete the GLBA characterization analysis and, if applicable, implement GLBA notices and opt-out.</w:t>
      </w:r>
    </w:p>
    <w:p>
      <w:pPr>
        <w:pStyle w:val="Compact"/>
        <w:numPr>
          <w:ilvl w:val="0"/>
          <w:numId w:val="1028"/>
        </w:numPr>
      </w:pPr>
      <w:r>
        <w:rPr>
          <w:b/>
          <w:bCs/>
        </w:rPr>
        <w:t xml:space="preserve">Issue 16 (Partner referrals):</w:t>
      </w:r>
      <w:r>
        <w:t xml:space="preserve"> </w:t>
      </w:r>
      <w:r>
        <w:t xml:space="preserve">Assess sale characterization and implement opt-out if required.</w:t>
      </w:r>
    </w:p>
    <w:p>
      <w:pPr>
        <w:pStyle w:val="Compact"/>
        <w:numPr>
          <w:ilvl w:val="0"/>
          <w:numId w:val="1028"/>
        </w:numPr>
      </w:pPr>
      <w:r>
        <w:rPr>
          <w:b/>
          <w:bCs/>
        </w:rPr>
        <w:t xml:space="preserve">Issue 17 (Brightly DSA):</w:t>
      </w:r>
      <w:r>
        <w:t xml:space="preserve"> </w:t>
      </w:r>
      <w:r>
        <w:t xml:space="preserve">Renegotiate contractual terms as noted above.</w:t>
      </w:r>
    </w:p>
    <w:p>
      <w:pPr>
        <w:pStyle w:val="Compact"/>
        <w:numPr>
          <w:ilvl w:val="0"/>
          <w:numId w:val="1028"/>
        </w:numPr>
      </w:pPr>
      <w:r>
        <w:rPr>
          <w:b/>
          <w:bCs/>
        </w:rPr>
        <w:t xml:space="preserve">Issue 18 (Policy rewrite):</w:t>
      </w:r>
      <w:r>
        <w:t xml:space="preserve"> </w:t>
      </w:r>
      <w:r>
        <w:t xml:space="preserve">Restructure the Privacy Policy with clear headers, layered disclosures, and plain-language drafting to meet the</w:t>
      </w:r>
      <w:r>
        <w:t xml:space="preserve"> </w:t>
      </w:r>
      <w:r>
        <w:t xml:space="preserve">“</w:t>
      </w:r>
      <w:r>
        <w:t xml:space="preserve">clear and conspicuous</w:t>
      </w:r>
      <w:r>
        <w:t xml:space="preserve">”</w:t>
      </w:r>
      <w:r>
        <w:t xml:space="preserve"> </w:t>
      </w:r>
      <w:r>
        <w:t xml:space="preserve">/ GDPR Article 12 standards.</w:t>
      </w:r>
    </w:p>
    <w:p>
      <w:r>
        <w:pict>
          <v:rect style="width:0;height:1.5pt" o:hralign="center" o:hrstd="t" o:hr="t"/>
        </w:pict>
      </w:r>
    </w:p>
    <w:bookmarkEnd w:id="43"/>
    <w:bookmarkStart w:id="44" w:name="vii.-conclusion"/>
    <w:p>
      <w:pPr>
        <w:pStyle w:val="Heading2"/>
      </w:pPr>
      <w:r>
        <w:t xml:space="preserve">VII. Conclusion</w:t>
      </w:r>
    </w:p>
    <w:p>
      <w:pPr>
        <w:pStyle w:val="FirstParagraph"/>
      </w:pPr>
      <w:r>
        <w:t xml:space="preserve">The cross-document review reveals a pattern in which the Company’s internal records (the Data Inventory), contractual commitments (the Brightly DSA), and incident history (the Breach Log) document data practices that are materially broader and riskier than what the Privacy Policy discloses to consumers. The Privacy Policy, unchanged since January 15, 2023, does not reflect the Selfie Verify biometric feature, the Smart Insights automated decision-making, the Brightly revenue-sharing arrangement (likely a CPRA sale/sharing), the August 2024 breach, or current retention and transfer practices. Several of these gaps carry quantifiable statutory exposure (BIPA: $87M–$435M; GDPR: up to ~$1.89M per Article 83(5) category) and are independently corroborated by the Investor Letter’s preliminary findings.</w:t>
      </w:r>
    </w:p>
    <w:p>
      <w:pPr>
        <w:pStyle w:val="BodyText"/>
      </w:pPr>
      <w:r>
        <w:t xml:space="preserve">The issues are remediable, but several require action before the EU launch and should be substantially addressed or credibly scoped before the April 15, 2025 diligence deadline. We recommend convening a cross-functional remediation team (Legal, Engineering, Data &amp; Analytics) and returning a detailed written assessment to Ashford Barnes by the requested March 31, 2025 date. We are available to discuss any of the foregoing at your convenience.</w:t>
      </w:r>
    </w:p>
    <w:p>
      <w:pPr>
        <w:pStyle w:val="BodyText"/>
      </w:pPr>
      <w:r>
        <w:rPr>
          <w:i/>
          <w:iCs/>
        </w:rPr>
        <w:t xml:space="preserve">This memorandum is privileged and confidential, prepared at the direction of and in coordination with the General Counsel of Vaultline Technologies, Inc., and protected by the attorney-client privilege and the attorney work product doctrine. It is intended solely for the identified recipient and should not be forwarded or disclosed without the consent of Thornbury &amp; Locke LLP.</w:t>
      </w:r>
    </w:p>
    <w:p>
      <w:pPr>
        <w:pStyle w:val="BodyText"/>
      </w:pPr>
      <w:r>
        <w:t xml:space="preserve">—</w:t>
      </w:r>
      <w:r>
        <w:t xml:space="preserve"> </w:t>
      </w:r>
      <w:r>
        <w:rPr>
          <w:i/>
          <w:iCs/>
        </w:rPr>
        <w:t xml:space="preserve">End of Memorandum</w:t>
      </w:r>
      <w:r>
        <w:t xml:space="preserve"> </w:t>
      </w:r>
      <w:r>
        <w:t xml:space="preserv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2026-06-29T00:44:58Z</dcterms:created>
  <dcterms:modified xsi:type="dcterms:W3CDTF">2026-06-29T00:44:58Z</dcterms:modified>
</cp:coreProperties>
</file>

<file path=docProps/custom.xml><?xml version="1.0" encoding="utf-8"?>
<Properties xmlns="http://schemas.openxmlformats.org/officeDocument/2006/custom-properties" xmlns:vt="http://schemas.openxmlformats.org/officeDocument/2006/docPropsVTypes"/>
</file>