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PRIVILEGED AND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Tyler Huang, General Counsel, Greenleaf Organic Foods, Inc.</w:t>
            </w:r>
          </w:p>
        </w:tc>
      </w:tr>
      <w:tr>
        <w:tc>
          <w:tcPr/>
          <w:p>
            <w:pPr>
              <w:pStyle w:val="Compact"/>
              <w:jc w:val="left"/>
            </w:pPr>
            <w:r>
              <w:rPr>
                <w:b/>
                <w:bCs/>
              </w:rPr>
              <w:t xml:space="preserve">FROM:</w:t>
            </w:r>
          </w:p>
        </w:tc>
        <w:tc>
          <w:tcPr/>
          <w:p>
            <w:pPr>
              <w:pStyle w:val="Compact"/>
              <w:jc w:val="left"/>
            </w:pPr>
            <w:r>
              <w:t xml:space="preserve">Employment Counsel (Settlement Review)</w:t>
            </w:r>
          </w:p>
        </w:tc>
      </w:tr>
      <w:tr>
        <w:tc>
          <w:tcPr/>
          <w:p>
            <w:pPr>
              <w:pStyle w:val="Compact"/>
              <w:jc w:val="left"/>
            </w:pPr>
            <w:r>
              <w:rPr>
                <w:b/>
                <w:bCs/>
              </w:rPr>
              <w:t xml:space="preserve">DATE:</w:t>
            </w:r>
          </w:p>
        </w:tc>
        <w:tc>
          <w:tcPr/>
          <w:p>
            <w:pPr>
              <w:pStyle w:val="Compact"/>
              <w:jc w:val="left"/>
            </w:pPr>
            <w:r>
              <w:t xml:space="preserve">May 12, 2025</w:t>
            </w:r>
          </w:p>
        </w:tc>
      </w:tr>
      <w:tr>
        <w:tc>
          <w:tcPr/>
          <w:p>
            <w:pPr>
              <w:pStyle w:val="Compact"/>
              <w:jc w:val="left"/>
            </w:pPr>
            <w:r>
              <w:rPr>
                <w:b/>
                <w:bCs/>
              </w:rPr>
              <w:t xml:space="preserve">RE:</w:t>
            </w:r>
          </w:p>
        </w:tc>
        <w:tc>
          <w:tcPr/>
          <w:p>
            <w:pPr>
              <w:pStyle w:val="Compact"/>
              <w:jc w:val="left"/>
            </w:pPr>
            <w:r>
              <w:t xml:space="preserve">Review of Draft Settlement Agreement and General Release (Marcus R. Delano) — Issues, Risks, and Proposed Revisions</w:t>
            </w:r>
          </w:p>
        </w:tc>
      </w:tr>
    </w:tbl>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accompanies the redlined markup of the draft Settlement Agreement and General Release of All Claims (the</w:t>
      </w:r>
      <w:r>
        <w:t xml:space="preserve"> </w:t>
      </w:r>
      <w:r>
        <w:t xml:space="preserve">“</w:t>
      </w:r>
      <w:r>
        <w:t xml:space="preserve">Draft</w:t>
      </w:r>
      <w:r>
        <w:t xml:space="preserve">”</w:t>
      </w:r>
      <w:r>
        <w:t xml:space="preserve">) prepared by Engel &amp; Associates, P.C. on behalf of Marcus R. Delano. We reviewed the Draft against Mr. Delano’s employment records (the HR summary prepared by Leanne Foss, HR Director, dated May 10, 2025) and against applicable company policies and law. The redline (</w:t>
      </w:r>
      <w:r>
        <w:rPr>
          <w:rStyle w:val="VerbatimChar"/>
        </w:rPr>
        <w:t xml:space="preserve">settlement-agreement-markup.docx</w:t>
      </w:r>
      <w:r>
        <w:t xml:space="preserve">) contains our proposed revisions, shown as tracked changes attributed to</w:t>
      </w:r>
      <w:r>
        <w:t xml:space="preserve"> </w:t>
      </w:r>
      <w:r>
        <w:t xml:space="preserve">“</w:t>
      </w:r>
      <w:r>
        <w:t xml:space="preserve">Greenleaf Legal Review.</w:t>
      </w:r>
      <w:r>
        <w:t xml:space="preserve">”</w:t>
      </w:r>
      <w:r>
        <w:t xml:space="preserve"> </w:t>
      </w:r>
      <w:r>
        <w:t xml:space="preserve">This memo summarizes the principal issues, the associated risks, and the recommended course of action.</w:t>
      </w:r>
    </w:p>
    <w:p>
      <w:pPr>
        <w:pStyle w:val="BodyText"/>
      </w:pPr>
      <w:r>
        <w:t xml:space="preserve">Because the Draft was prepared by employee’s counsel, several provisions are drafted favorably to Mr. Delano. The revisions are intended to (i) correct material errors, (ii) ensure the release is enforceable, (iii) add protections and carve-outs required by law, and (iv) add standard provisions Greenleaf should have in any separation agreement with a senior executive.</w:t>
      </w:r>
    </w:p>
    <w:bookmarkEnd w:id="20"/>
    <w:bookmarkStart w:id="21" w:name="executive-summary"/>
    <w:p>
      <w:pPr>
        <w:pStyle w:val="Heading2"/>
      </w:pPr>
      <w:r>
        <w:t xml:space="preserve">2. Executive Summary</w:t>
      </w:r>
    </w:p>
    <w:p>
      <w:pPr>
        <w:pStyle w:val="FirstParagraph"/>
      </w:pPr>
      <w:r>
        <w:t xml:space="preserve">In dollar terms the Draft is a reasonable resolution of a high-risk matter, but it contains several defects that, if not corrected, would jeopardize the very release Greenleaf is paying for and would create independent legal exposure:</w:t>
      </w:r>
    </w:p>
    <w:p>
      <w:pPr>
        <w:pStyle w:val="Compact"/>
        <w:numPr>
          <w:ilvl w:val="0"/>
          <w:numId w:val="1001"/>
        </w:numPr>
      </w:pPr>
      <w:r>
        <w:rPr>
          <w:b/>
          <w:bCs/>
        </w:rPr>
        <w:t xml:space="preserve">ADEA release likely invalid.</w:t>
      </w:r>
      <w:r>
        <w:t xml:space="preserve"> </w:t>
      </w:r>
      <w:r>
        <w:t xml:space="preserve">The Draft gives Mr. Delano only 14 days to consider the agreement and omits the required 7-day revocation period. The Older Workers Benefit Protection Act (</w:t>
      </w:r>
      <w:r>
        <w:t xml:space="preserve">“</w:t>
      </w:r>
      <w:r>
        <w:t xml:space="preserve">OWBPA</w:t>
      </w:r>
      <w:r>
        <w:t xml:space="preserve">”</w:t>
      </w:r>
      <w:r>
        <w:t xml:space="preserve">) requires at least 21 days and a 7-day revocation period for an individual ADEA waiver. As written, the age-discrimination release is unenforceable — the single largest risk in the document.</w:t>
      </w:r>
    </w:p>
    <w:p>
      <w:pPr>
        <w:pStyle w:val="Compact"/>
        <w:numPr>
          <w:ilvl w:val="0"/>
          <w:numId w:val="1001"/>
        </w:numPr>
      </w:pPr>
      <w:r>
        <w:rPr>
          <w:b/>
          <w:bCs/>
        </w:rPr>
        <w:t xml:space="preserve">RSU valuation error ($12,500).</w:t>
      </w:r>
      <w:r>
        <w:t xml:space="preserve"> </w:t>
      </w:r>
      <w:r>
        <w:t xml:space="preserve">The Draft values the 5,000 accelerated RSUs at $10.00/share (the July 1, 2024 409A valuation), totaling $50,000. The current 409A valuation (Ridgepoint Valuation Services, January 15, 2025) is $12.50/share, so the correct value is $62,500 and the aggregate settlement value is $537,500, not $525,000.</w:t>
      </w:r>
    </w:p>
    <w:p>
      <w:pPr>
        <w:pStyle w:val="Compact"/>
        <w:numPr>
          <w:ilvl w:val="0"/>
          <w:numId w:val="1001"/>
        </w:numPr>
      </w:pPr>
      <w:r>
        <w:rPr>
          <w:b/>
          <w:bCs/>
        </w:rPr>
        <w:t xml:space="preserve">Back-pay description inconsistent with amount.</w:t>
      </w:r>
      <w:r>
        <w:t xml:space="preserve"> </w:t>
      </w:r>
      <w:r>
        <w:t xml:space="preserve">$125,000 is described as wages</w:t>
      </w:r>
      <w:r>
        <w:t xml:space="preserve"> </w:t>
      </w:r>
      <w:r>
        <w:t xml:space="preserve">“</w:t>
      </w:r>
      <w:r>
        <w:t xml:space="preserve">from the Separation Date through the Effective Date</w:t>
      </w:r>
      <w:r>
        <w:t xml:space="preserve">”</w:t>
      </w:r>
      <w:r>
        <w:t xml:space="preserve"> </w:t>
      </w:r>
      <w:r>
        <w:t xml:space="preserve">(approximately 52 days, or roughly $31,000 at his $218,000 base). The description does not match the amount and ignores the unpaid 2024 performance bonus.</w:t>
      </w:r>
    </w:p>
    <w:p>
      <w:pPr>
        <w:pStyle w:val="Compact"/>
        <w:numPr>
          <w:ilvl w:val="0"/>
          <w:numId w:val="1001"/>
        </w:numPr>
      </w:pPr>
      <w:r>
        <w:rPr>
          <w:b/>
          <w:bCs/>
        </w:rPr>
        <w:t xml:space="preserve">Whistleblower / OSHA / DTSA carve-outs missing.</w:t>
      </w:r>
      <w:r>
        <w:t xml:space="preserve"> </w:t>
      </w:r>
      <w:r>
        <w:t xml:space="preserve">The release, confidentiality, non-disparagement, and</w:t>
      </w:r>
      <w:r>
        <w:t xml:space="preserve"> </w:t>
      </w:r>
      <w:r>
        <w:t xml:space="preserve">“</w:t>
      </w:r>
      <w:r>
        <w:t xml:space="preserve">no-future-filing</w:t>
      </w:r>
      <w:r>
        <w:t xml:space="preserve">”</w:t>
      </w:r>
      <w:r>
        <w:t xml:space="preserve"> </w:t>
      </w:r>
      <w:r>
        <w:t xml:space="preserve">representation lack the carve-outs required to avoid being challenged as retaliatory or as violating whistleblower and anti-retaliation laws — particularly given the pending Oregon OSHA investigation.</w:t>
      </w:r>
    </w:p>
    <w:p>
      <w:pPr>
        <w:pStyle w:val="Compact"/>
        <w:numPr>
          <w:ilvl w:val="0"/>
          <w:numId w:val="1001"/>
        </w:numPr>
      </w:pPr>
      <w:r>
        <w:rPr>
          <w:b/>
          <w:bCs/>
        </w:rPr>
        <w:t xml:space="preserve">Non-compete overbroad and partly void.</w:t>
      </w:r>
      <w:r>
        <w:t xml:space="preserve"> </w:t>
      </w:r>
      <w:r>
        <w:t xml:space="preserve">The 18-month, four-state non-compete (including California, where employee non-competes are void) is likely unenforceable and should be narrowed to Oregon with an ORS 653.295 compliance recital.</w:t>
      </w:r>
    </w:p>
    <w:p>
      <w:pPr>
        <w:pStyle w:val="Compact"/>
        <w:numPr>
          <w:ilvl w:val="0"/>
          <w:numId w:val="1001"/>
        </w:numPr>
      </w:pPr>
      <w:r>
        <w:rPr>
          <w:b/>
          <w:bCs/>
        </w:rPr>
        <w:t xml:space="preserve">Standard provisions missing.</w:t>
      </w:r>
      <w:r>
        <w:t xml:space="preserve"> </w:t>
      </w:r>
      <w:r>
        <w:t xml:space="preserve">No governing-law/venue clause, no return-of-property clause, no cooperation clause, and the entire-agreement clause would inadvertently supersede the Equity Plan and RSU Grant Agreement.</w:t>
      </w:r>
    </w:p>
    <w:p>
      <w:pPr>
        <w:pStyle w:val="Compact"/>
        <w:numPr>
          <w:ilvl w:val="0"/>
          <w:numId w:val="1001"/>
        </w:numPr>
      </w:pPr>
      <w:r>
        <w:rPr>
          <w:b/>
          <w:bCs/>
        </w:rPr>
        <w:t xml:space="preserve">Significant underlying litigation risk.</w:t>
      </w:r>
      <w:r>
        <w:t xml:space="preserve"> </w:t>
      </w:r>
      <w:r>
        <w:t xml:space="preserve">The employment records show Mr. Delano’s position was refilled six days after his termination (Raj Mehta, $185,000), which strongly undercuts the</w:t>
      </w:r>
      <w:r>
        <w:t xml:space="preserve"> </w:t>
      </w:r>
      <w:r>
        <w:t xml:space="preserve">“</w:t>
      </w:r>
      <w:r>
        <w:t xml:space="preserve">elimination of position</w:t>
      </w:r>
      <w:r>
        <w:t xml:space="preserve">”</w:t>
      </w:r>
      <w:r>
        <w:t xml:space="preserve"> </w:t>
      </w:r>
      <w:r>
        <w:t xml:space="preserve">rationale and supports his retaliation and age-discrimination claims. This risk should inform both the decision to settle and the valuation.</w:t>
      </w:r>
    </w:p>
    <w:bookmarkEnd w:id="21"/>
    <w:bookmarkStart w:id="31" w:name="detailed-issues-and-proposed-revisions"/>
    <w:p>
      <w:pPr>
        <w:pStyle w:val="Heading2"/>
      </w:pPr>
      <w:r>
        <w:t xml:space="preserve">3. Detailed Issues and Proposed Revisions</w:t>
      </w:r>
    </w:p>
    <w:bookmarkStart w:id="22" w:name="adea-owbpa-compliance-critical"/>
    <w:p>
      <w:pPr>
        <w:pStyle w:val="Heading3"/>
      </w:pPr>
      <w:r>
        <w:t xml:space="preserve">3.1 ADEA / OWBPA Compliance — Critical</w:t>
      </w:r>
    </w:p>
    <w:p>
      <w:pPr>
        <w:pStyle w:val="FirstParagraph"/>
      </w:pPr>
      <w:r>
        <w:t xml:space="preserve">The OWBPA sets mandatory requirements for a waiver of ADEA claims by an individual (non-group) employee: (i) at least 21 days to consider the agreement, and (ii) a 7-day revocation period after execution, during which the waiver is not effective. The Draft provides only 14 days (Sections 5(c) and 16) and contains no revocation period at all.</w:t>
      </w:r>
      <w:r>
        <w:t xml:space="preserve"> </w:t>
      </w:r>
      <w:r>
        <w:rPr>
          <w:b/>
          <w:bCs/>
        </w:rPr>
        <w:t xml:space="preserve">Consequence:</w:t>
      </w:r>
      <w:r>
        <w:t xml:space="preserve"> </w:t>
      </w:r>
      <w:r>
        <w:t xml:space="preserve">the ADEA release is presumptively invalid, and Mr. Delano could retain — and later sue on — his age-discrimination claim despite accepting payment.</w:t>
      </w:r>
    </w:p>
    <w:p>
      <w:pPr>
        <w:pStyle w:val="BodyText"/>
      </w:pPr>
      <w:r>
        <w:t xml:space="preserve">Recommended revisions (in redline): change the consideration period from 14 to 21 calendar days (Sections 5(c) and 16); add a new Section 5(g) providing a 7-day revocation right and stating the Agreement is not effective until the revocation period expires; add Section 5(h) with the written advisement to consult an attorney (an OWBPA</w:t>
      </w:r>
      <w:r>
        <w:t xml:space="preserve"> </w:t>
      </w:r>
      <w:r>
        <w:t xml:space="preserve">“</w:t>
      </w:r>
      <w:r>
        <w:t xml:space="preserve">knowing and voluntary</w:t>
      </w:r>
      <w:r>
        <w:t xml:space="preserve">”</w:t>
      </w:r>
      <w:r>
        <w:t xml:space="preserve"> </w:t>
      </w:r>
      <w:r>
        <w:t xml:space="preserve">factor); and redefine</w:t>
      </w:r>
      <w:r>
        <w:t xml:space="preserve"> </w:t>
      </w:r>
      <w:r>
        <w:t xml:space="preserve">“</w:t>
      </w:r>
      <w:r>
        <w:t xml:space="preserve">Effective Date</w:t>
      </w:r>
      <w:r>
        <w:t xml:space="preserve">”</w:t>
      </w:r>
      <w:r>
        <w:t xml:space="preserve"> </w:t>
      </w:r>
      <w:r>
        <w:t xml:space="preserve">(Section 1(b)) as the eighth day after execution, provided no revocation, so payment timing and effectiveness align with the revocation period. These changes protect Greenleaf — an enforceable ADEA release is the point of the payment.</w:t>
      </w:r>
    </w:p>
    <w:bookmarkEnd w:id="22"/>
    <w:bookmarkStart w:id="23" w:name="rsu-valuation-error-critical"/>
    <w:p>
      <w:pPr>
        <w:pStyle w:val="Heading3"/>
      </w:pPr>
      <w:r>
        <w:t xml:space="preserve">3.2 RSU Valuation Error — Critical</w:t>
      </w:r>
    </w:p>
    <w:p>
      <w:pPr>
        <w:pStyle w:val="FirstParagraph"/>
      </w:pPr>
      <w:r>
        <w:t xml:space="preserve">Section 3(d) values the 5,000 accelerated RSUs at $10.00/share ($50,000), citing</w:t>
      </w:r>
      <w:r>
        <w:t xml:space="preserve"> </w:t>
      </w:r>
      <w:r>
        <w:t xml:space="preserve">“</w:t>
      </w:r>
      <w:r>
        <w:t xml:space="preserve">the most recent independent valuation conducted by Ridgepoint Valuation Services.</w:t>
      </w:r>
      <w:r>
        <w:t xml:space="preserve">”</w:t>
      </w:r>
      <w:r>
        <w:t xml:space="preserve"> </w:t>
      </w:r>
      <w:r>
        <w:t xml:space="preserve">The employment records show the most recent 409A valuation is dated January 15, 2025 at $12.50/share. The correct value is $62,500, and the aggregate settlement value (Section 3(e)) is $537,500, not $525,000.</w:t>
      </w:r>
    </w:p>
    <w:p>
      <w:pPr>
        <w:pStyle w:val="BodyText"/>
      </w:pPr>
      <w:r>
        <w:t xml:space="preserve">Recommended revisions: update the per-share value to $12.50, cite the January 15, 2025 409A valuation, correct the RSU component to $62,500, and correct the total to $537,500. Using a stale valuation also creates a mutual-mistake / good-faith risk that could undermine the</w:t>
      </w:r>
      <w:r>
        <w:t xml:space="preserve"> </w:t>
      </w:r>
      <w:r>
        <w:t xml:space="preserve">“</w:t>
      </w:r>
      <w:r>
        <w:t xml:space="preserve">knowing and voluntary</w:t>
      </w:r>
      <w:r>
        <w:t xml:space="preserve">”</w:t>
      </w:r>
      <w:r>
        <w:t xml:space="preserve"> </w:t>
      </w:r>
      <w:r>
        <w:t xml:space="preserve">nature of the release; correcting it produces a clean, defensible agreement.</w:t>
      </w:r>
    </w:p>
    <w:bookmarkEnd w:id="23"/>
    <w:bookmarkStart w:id="24" w:name="back-pay-and-2024-bonus-material"/>
    <w:p>
      <w:pPr>
        <w:pStyle w:val="Heading3"/>
      </w:pPr>
      <w:r>
        <w:t xml:space="preserve">3.3 Back Pay and 2024 Bonus — Material</w:t>
      </w:r>
    </w:p>
    <w:p>
      <w:pPr>
        <w:pStyle w:val="FirstParagraph"/>
      </w:pPr>
      <w:r>
        <w:t xml:space="preserve">Section 3(b) describes $125,000 as back pay</w:t>
      </w:r>
      <w:r>
        <w:t xml:space="preserve"> </w:t>
      </w:r>
      <w:r>
        <w:t xml:space="preserve">“</w:t>
      </w:r>
      <w:r>
        <w:t xml:space="preserve">from the Separation Date through the Effective Date</w:t>
      </w:r>
      <w:r>
        <w:t xml:space="preserve">”</w:t>
      </w:r>
      <w:r>
        <w:t xml:space="preserve"> </w:t>
      </w:r>
      <w:r>
        <w:t xml:space="preserve">(March 14 – May 5, 2025, approximately 52 days). At Mr. Delano’s $218,000 base salary, 52 days equals roughly $31,000 — the description is irreconcilable with the amount. Separately, the 2024 performance bonus (target $43,600) was never determined or paid, and the Draft does not address it; Section 2’s representation that</w:t>
      </w:r>
      <w:r>
        <w:t xml:space="preserve"> </w:t>
      </w:r>
      <w:r>
        <w:t xml:space="preserve">“</w:t>
      </w:r>
      <w:r>
        <w:t xml:space="preserve">no bonuses … are owed</w:t>
      </w:r>
      <w:r>
        <w:t xml:space="preserve">”</w:t>
      </w:r>
      <w:r>
        <w:t xml:space="preserve"> </w:t>
      </w:r>
      <w:r>
        <w:t xml:space="preserve">may be inaccurate.</w:t>
      </w:r>
    </w:p>
    <w:p>
      <w:pPr>
        <w:pStyle w:val="BodyText"/>
      </w:pPr>
      <w:r>
        <w:t xml:space="preserve">Recommended revisions: recharacterize the $125,000 as back pay and unpaid incentive compensation, inclusive of the unpaid 2024 performance bonus, representing wage loss through September 30, 2025 (a period that reconciles to the amount). Confirm with HR that final wages and PTO were paid within ORS 652.140 timeframes; the redline adds a Greenleaf representation to that effect.</w:t>
      </w:r>
    </w:p>
    <w:bookmarkEnd w:id="24"/>
    <w:bookmarkStart w:id="25" w:name="X51bb31f25f91a426c2a55a67d844cc600bd5a9b"/>
    <w:p>
      <w:pPr>
        <w:pStyle w:val="Heading3"/>
      </w:pPr>
      <w:r>
        <w:t xml:space="preserve">3.4 Whistleblower, OSHA, and DTSA Carve-outs — Critical</w:t>
      </w:r>
    </w:p>
    <w:p>
      <w:pPr>
        <w:pStyle w:val="FirstParagraph"/>
      </w:pPr>
      <w:r>
        <w:t xml:space="preserve">Mr. Delano filed an internal complaint (Nov. 8, 2024) and an Oregon OSHA complaint (Dec. 3, 2024), and the OSHA investigation remains pending. The Draft’s release, confidentiality, non-disparagement, and Section 15(a)(ii)</w:t>
      </w:r>
      <w:r>
        <w:t xml:space="preserve"> </w:t>
      </w:r>
      <w:r>
        <w:t xml:space="preserve">“</w:t>
      </w:r>
      <w:r>
        <w:t xml:space="preserve">no-future-filing</w:t>
      </w:r>
      <w:r>
        <w:t xml:space="preserve">”</w:t>
      </w:r>
      <w:r>
        <w:t xml:space="preserve"> </w:t>
      </w:r>
      <w:r>
        <w:t xml:space="preserve">representation could be read to restrict Mr. Delano’s right to participate in the OSHA investigation or to report to government agencies. Such restrictions (i) are unenforceable as against public policy, (ii) could expose Greenleaf to a separate retaliation/interference claim, and (iii) are inconsistent with the Defend Trade Secrets Act (</w:t>
      </w:r>
      <w:r>
        <w:t xml:space="preserve">“</w:t>
      </w:r>
      <w:r>
        <w:t xml:space="preserve">DTSA</w:t>
      </w:r>
      <w:r>
        <w:t xml:space="preserve">”</w:t>
      </w:r>
      <w:r>
        <w:t xml:space="preserve">) immunity notice, 18 U.S.C. § 1833(b), and SEC/OSHA whistleblower rules.</w:t>
      </w:r>
    </w:p>
    <w:p>
      <w:pPr>
        <w:pStyle w:val="BodyText"/>
      </w:pPr>
      <w:r>
        <w:t xml:space="preserve">Recommended revisions (in redline): add a carve-out at the end of Section 4 preserving the right to report to, cooperate with, and receive awards from government agencies, expressly including the pending OSHA investigation, and stating Mr. Delano need not withdraw it; add Section 6(v) permitting disclosures to government agencies and add the DTSA immunity notice; add a parallel carve-out to Section 15(a)(ii); and add a return-of-property / confidential-information section (new Section 18) that includes the DTSA-protected disclosure carve-out.</w:t>
      </w:r>
    </w:p>
    <w:bookmarkEnd w:id="25"/>
    <w:bookmarkStart w:id="26" w:name="X0e58ce0332ee39714db0cb3fb1d796892e577c3"/>
    <w:p>
      <w:pPr>
        <w:pStyle w:val="Heading3"/>
      </w:pPr>
      <w:r>
        <w:t xml:space="preserve">3.5 Confidentiality and Non-Disparagement — Material</w:t>
      </w:r>
    </w:p>
    <w:p>
      <w:pPr>
        <w:pStyle w:val="FirstParagraph"/>
      </w:pPr>
      <w:r>
        <w:t xml:space="preserve">The confidentiality (Section 6) and non-disparagement (Section 7) clauses are overbroad. The non-disparagement runs</w:t>
      </w:r>
      <w:r>
        <w:t xml:space="preserve"> </w:t>
      </w:r>
      <w:r>
        <w:t xml:space="preserve">“</w:t>
      </w:r>
      <w:r>
        <w:t xml:space="preserve">in perpetuity</w:t>
      </w:r>
      <w:r>
        <w:t xml:space="preserve">”</w:t>
      </w:r>
      <w:r>
        <w:t xml:space="preserve"> </w:t>
      </w:r>
      <w:r>
        <w:t xml:space="preserve">and lacks carve-outs for truthful statements in legal/government proceedings and for activity protected by the National Labor Relations Act (</w:t>
      </w:r>
      <w:r>
        <w:t xml:space="preserve">“</w:t>
      </w:r>
      <w:r>
        <w:t xml:space="preserve">NLRA</w:t>
      </w:r>
      <w:r>
        <w:t xml:space="preserve">”</w:t>
      </w:r>
      <w:r>
        <w:t xml:space="preserve">) and whistleblower laws. The NLRB’s</w:t>
      </w:r>
      <w:r>
        <w:t xml:space="preserve"> </w:t>
      </w:r>
      <w:r>
        <w:rPr>
          <w:i/>
          <w:iCs/>
        </w:rPr>
        <w:t xml:space="preserve">McLaren Macomb</w:t>
      </w:r>
      <w:r>
        <w:t xml:space="preserve"> </w:t>
      </w:r>
      <w:r>
        <w:t xml:space="preserve">(2022) line of authority treats overly broad confidentiality/non-disparagement provisions in severance agreements as unlawful restraints on protected concerted activity.</w:t>
      </w:r>
    </w:p>
    <w:p>
      <w:pPr>
        <w:pStyle w:val="BodyText"/>
      </w:pPr>
      <w:r>
        <w:t xml:space="preserve">Recommended revisions: add a confidentiality carve-out for legally required or protected disclosures; limit non-disparagement to three (3) years; and add carve-outs for truthful statements in proceedings, government-agency reporting, and NLRA/whistleblower-protected activity.</w:t>
      </w:r>
    </w:p>
    <w:bookmarkEnd w:id="26"/>
    <w:bookmarkStart w:id="27" w:name="non-competition-material"/>
    <w:p>
      <w:pPr>
        <w:pStyle w:val="Heading3"/>
      </w:pPr>
      <w:r>
        <w:t xml:space="preserve">3.6 Non-Competition — Material</w:t>
      </w:r>
    </w:p>
    <w:p>
      <w:pPr>
        <w:pStyle w:val="FirstParagraph"/>
      </w:pPr>
      <w:r>
        <w:t xml:space="preserve">Section 9 imposes an 18-month non-compete across Oregon, Washington, Idaho, and California. California Business &amp; Professions Code § 16600 voids employee non-competes, so the California portion is unenforceable; Washington (RCW 49.62) and Idaho impose their own requirements. Oregon’s ORS 653.295 permits non-competes only where (among other things) the employee was informed in a written employment agreement at hiring that a non-compete could be required, has access to trade secrets, and earns above the statutory threshold, and it caps duration at 18 months. An overbroad covenant risks being struck in its entirety.</w:t>
      </w:r>
    </w:p>
    <w:p>
      <w:pPr>
        <w:pStyle w:val="BodyText"/>
      </w:pPr>
      <w:r>
        <w:t xml:space="preserve">Recommended revisions: limit the geographic scope to Oregon; add a recital of ORS 653.295 compliance and a savings clause (does not apply where prohibited by law). The GC should also weigh whether to retain the non-compete at all given the pretext evidence (see Section 4) — a non-compete imposed on a whistleblower whom the company then replaced is both legally vulnerable and poor optics.</w:t>
      </w:r>
    </w:p>
    <w:bookmarkEnd w:id="27"/>
    <w:bookmarkStart w:id="28" w:name="employment-reference-minor-material"/>
    <w:p>
      <w:pPr>
        <w:pStyle w:val="Heading3"/>
      </w:pPr>
      <w:r>
        <w:t xml:space="preserve">3.7 Employment Reference — Minor / Material</w:t>
      </w:r>
    </w:p>
    <w:p>
      <w:pPr>
        <w:pStyle w:val="FirstParagraph"/>
      </w:pPr>
      <w:r>
        <w:t xml:space="preserve">Section 11 requires a</w:t>
      </w:r>
      <w:r>
        <w:t xml:space="preserve"> </w:t>
      </w:r>
      <w:r>
        <w:t xml:space="preserve">“</w:t>
      </w:r>
      <w:r>
        <w:t xml:space="preserve">positive, neutral, or at minimum non-negative</w:t>
      </w:r>
      <w:r>
        <w:t xml:space="preserve">”</w:t>
      </w:r>
      <w:r>
        <w:t xml:space="preserve"> </w:t>
      </w:r>
      <w:r>
        <w:t xml:space="preserve">reference and mandates language that Mr. Delano</w:t>
      </w:r>
      <w:r>
        <w:t xml:space="preserve"> </w:t>
      </w:r>
      <w:r>
        <w:t xml:space="preserve">“</w:t>
      </w:r>
      <w:r>
        <w:t xml:space="preserve">was a valued member … who made significant contributions.</w:t>
      </w:r>
      <w:r>
        <w:t xml:space="preserve">”</w:t>
      </w:r>
      <w:r>
        <w:t xml:space="preserve"> </w:t>
      </w:r>
      <w:r>
        <w:t xml:space="preserve">The standard is internally inconsistent (positive ≠ neutral), and a mandated positive reference is unusual and difficult to reconcile with the termination and the pending investigation.</w:t>
      </w:r>
    </w:p>
    <w:p>
      <w:pPr>
        <w:pStyle w:val="BodyText"/>
      </w:pPr>
      <w:r>
        <w:t xml:space="preserve">Recommended revisions: replace with a neutral reference (dates of employment, final title, and eligibility for rehire), retaining the prohibition on stating that he was terminated for cause or in connection with any complaint or investigation.</w:t>
      </w:r>
    </w:p>
    <w:bookmarkEnd w:id="28"/>
    <w:bookmarkStart w:id="29" w:name="missing-standard-provisions-material"/>
    <w:p>
      <w:pPr>
        <w:pStyle w:val="Heading3"/>
      </w:pPr>
      <w:r>
        <w:t xml:space="preserve">3.8 Missing Standard Provisions — Material</w:t>
      </w:r>
    </w:p>
    <w:p>
      <w:pPr>
        <w:pStyle w:val="FirstParagraph"/>
      </w:pPr>
      <w:r>
        <w:t xml:space="preserve">The Draft lacks several provisions Greenleaf should have:</w:t>
      </w:r>
    </w:p>
    <w:p>
      <w:pPr>
        <w:pStyle w:val="Compact"/>
        <w:numPr>
          <w:ilvl w:val="0"/>
          <w:numId w:val="1002"/>
        </w:numPr>
      </w:pPr>
      <w:r>
        <w:rPr>
          <w:b/>
          <w:bCs/>
        </w:rPr>
        <w:t xml:space="preserve">Governing law and venue</w:t>
      </w:r>
      <w:r>
        <w:t xml:space="preserve"> </w:t>
      </w:r>
      <w:r>
        <w:t xml:space="preserve">— recommended: Oregon law; exclusive venue in Multnomah County, Oregon, and the U.S. District Court for the District of Oregon (new Section 20). The GC may also wish to consider a mutual jury waiver or an arbitration clause (flagged for decision in Section 7).</w:t>
      </w:r>
    </w:p>
    <w:p>
      <w:pPr>
        <w:pStyle w:val="Compact"/>
        <w:numPr>
          <w:ilvl w:val="0"/>
          <w:numId w:val="1002"/>
        </w:numPr>
      </w:pPr>
      <w:r>
        <w:rPr>
          <w:b/>
          <w:bCs/>
        </w:rPr>
        <w:t xml:space="preserve">Return of company property and ongoing confidentiality of company information</w:t>
      </w:r>
      <w:r>
        <w:t xml:space="preserve"> </w:t>
      </w:r>
      <w:r>
        <w:t xml:space="preserve">(new Section 18), including the DTSA-protected disclosure carve-out.</w:t>
      </w:r>
    </w:p>
    <w:p>
      <w:pPr>
        <w:pStyle w:val="Compact"/>
        <w:numPr>
          <w:ilvl w:val="0"/>
          <w:numId w:val="1002"/>
        </w:numPr>
      </w:pPr>
      <w:r>
        <w:rPr>
          <w:b/>
          <w:bCs/>
        </w:rPr>
        <w:t xml:space="preserve">Cooperation clause</w:t>
      </w:r>
      <w:r>
        <w:t xml:space="preserve"> </w:t>
      </w:r>
      <w:r>
        <w:t xml:space="preserve">(new Section 19), with a carve-out so it does not require Mr. Delano to cooperate in the OSHA investigation or in any matter where the parties are adverse.</w:t>
      </w:r>
    </w:p>
    <w:p>
      <w:pPr>
        <w:pStyle w:val="Compact"/>
        <w:numPr>
          <w:ilvl w:val="0"/>
          <w:numId w:val="1002"/>
        </w:numPr>
      </w:pPr>
      <w:r>
        <w:rPr>
          <w:b/>
          <w:bCs/>
        </w:rPr>
        <w:t xml:space="preserve">Entire-agreement carve-out</w:t>
      </w:r>
      <w:r>
        <w:t xml:space="preserve"> </w:t>
      </w:r>
      <w:r>
        <w:t xml:space="preserve">(Section 21) so the Greenleaf 2021 Equity Incentive Plan and the RSU Grant Agreement survive to govern the accelerated RSUs.</w:t>
      </w:r>
    </w:p>
    <w:p>
      <w:pPr>
        <w:pStyle w:val="Compact"/>
        <w:numPr>
          <w:ilvl w:val="0"/>
          <w:numId w:val="1002"/>
        </w:numPr>
      </w:pPr>
      <w:r>
        <w:t xml:space="preserve">A</w:t>
      </w:r>
      <w:r>
        <w:t xml:space="preserve"> </w:t>
      </w:r>
      <w:r>
        <w:rPr>
          <w:b/>
          <w:bCs/>
        </w:rPr>
        <w:t xml:space="preserve">Greenleaf</w:t>
      </w:r>
      <w:r>
        <w:rPr>
          <w:b/>
          <w:bCs/>
        </w:rPr>
        <w:t xml:space="preserve"> </w:t>
      </w:r>
      <w:r>
        <w:rPr>
          <w:b/>
          <w:bCs/>
        </w:rPr>
        <w:t xml:space="preserve">“</w:t>
      </w:r>
      <w:r>
        <w:rPr>
          <w:b/>
          <w:bCs/>
        </w:rPr>
        <w:t xml:space="preserve">Approved as to Form</w:t>
      </w:r>
      <w:r>
        <w:rPr>
          <w:b/>
          <w:bCs/>
        </w:rPr>
        <w:t xml:space="preserve">”</w:t>
      </w:r>
      <w:r>
        <w:rPr>
          <w:b/>
          <w:bCs/>
        </w:rPr>
        <w:t xml:space="preserve"> </w:t>
      </w:r>
      <w:r>
        <w:rPr>
          <w:b/>
          <w:bCs/>
        </w:rPr>
        <w:t xml:space="preserve">block</w:t>
      </w:r>
      <w:r>
        <w:t xml:space="preserve"> </w:t>
      </w:r>
      <w:r>
        <w:t xml:space="preserve">(added to the signature page).</w:t>
      </w:r>
    </w:p>
    <w:bookmarkEnd w:id="29"/>
    <w:bookmarkStart w:id="30" w:name="X845b98714b928153f5134ab2dc156ba40022d41"/>
    <w:p>
      <w:pPr>
        <w:pStyle w:val="Heading3"/>
      </w:pPr>
      <w:r>
        <w:t xml:space="preserve">3.9 Final-Wage Compliance (ORS 652.140) — Confirm</w:t>
      </w:r>
    </w:p>
    <w:p>
      <w:pPr>
        <w:pStyle w:val="FirstParagraph"/>
      </w:pPr>
      <w:r>
        <w:t xml:space="preserve">Oregon requires all final wages, including accrued vacation/PTO, to be paid by the end of the next business day following discharge (ORS 652.140); late payment can trigger penalty wages of up to 30 days (ORS 652.150). Section 2 represents that all wages and PTO were paid. HR should confirm compliance; the redline adds a Greenleaf representation that final wages were paid within the ORS 652.140 timeframes.</w:t>
      </w:r>
    </w:p>
    <w:bookmarkEnd w:id="30"/>
    <w:bookmarkEnd w:id="31"/>
    <w:bookmarkStart w:id="32" w:name="litigation-risk-and-valuation-context"/>
    <w:p>
      <w:pPr>
        <w:pStyle w:val="Heading2"/>
      </w:pPr>
      <w:r>
        <w:t xml:space="preserve">4. Litigation Risk and Valuation Context</w:t>
      </w:r>
    </w:p>
    <w:p>
      <w:pPr>
        <w:pStyle w:val="FirstParagraph"/>
      </w:pPr>
      <w:r>
        <w:t xml:space="preserve">The employment records create substantial exposure that supports settling on roughly the terms proposed, provided the agreement is made enforceable:</w:t>
      </w:r>
    </w:p>
    <w:p>
      <w:pPr>
        <w:pStyle w:val="Compact"/>
        <w:numPr>
          <w:ilvl w:val="0"/>
          <w:numId w:val="1003"/>
        </w:numPr>
      </w:pPr>
      <w:r>
        <w:rPr>
          <w:b/>
          <w:bCs/>
        </w:rPr>
        <w:t xml:space="preserve">Protected activity and temporal proximity.</w:t>
      </w:r>
      <w:r>
        <w:t xml:space="preserve"> </w:t>
      </w:r>
      <w:r>
        <w:t xml:space="preserve">Mr. Delano engaged in protected activity (internal complaint Nov. 8, 2024; OSHA complaint Dec. 3, 2024; OSHA investigation opened Jan. 22, 2025), followed by administrative leave (Feb. 10) and termination (Mar. 14, 2025). The compressed timeline supports causation for retaliation under ORS 654.062 and the OSHA whistleblower provisions.</w:t>
      </w:r>
    </w:p>
    <w:p>
      <w:pPr>
        <w:pStyle w:val="Compact"/>
        <w:numPr>
          <w:ilvl w:val="0"/>
          <w:numId w:val="1003"/>
        </w:numPr>
      </w:pPr>
      <w:r>
        <w:rPr>
          <w:b/>
          <w:bCs/>
        </w:rPr>
        <w:t xml:space="preserve">Pretext / replacement hire.</w:t>
      </w:r>
      <w:r>
        <w:t xml:space="preserve"> </w:t>
      </w:r>
      <w:r>
        <w:t xml:space="preserve">The position was refilled six days after termination — Raj Mehta, Senior Director of Supply Chain &amp; Logistics, at $185,000 (versus Mr. Delano’s $218,000). This directly contradicts the stated</w:t>
      </w:r>
      <w:r>
        <w:t xml:space="preserve"> </w:t>
      </w:r>
      <w:r>
        <w:t xml:space="preserve">“</w:t>
      </w:r>
      <w:r>
        <w:t xml:space="preserve">elimination of position</w:t>
      </w:r>
      <w:r>
        <w:t xml:space="preserve">”</w:t>
      </w:r>
      <w:r>
        <w:t xml:space="preserve"> </w:t>
      </w:r>
      <w:r>
        <w:t xml:space="preserve">rationale and supplies strong pretext evidence for both retaliation and age discrimination (Mr. Delano is 58). A jury is likely to find this compelling, and the company’s ability to obtain summary judgment is materially diminished.</w:t>
      </w:r>
    </w:p>
    <w:p>
      <w:pPr>
        <w:pStyle w:val="Compact"/>
        <w:numPr>
          <w:ilvl w:val="0"/>
          <w:numId w:val="1003"/>
        </w:numPr>
      </w:pPr>
      <w:r>
        <w:rPr>
          <w:b/>
          <w:bCs/>
        </w:rPr>
        <w:t xml:space="preserve">Exposure.</w:t>
      </w:r>
      <w:r>
        <w:t xml:space="preserve"> </w:t>
      </w:r>
      <w:r>
        <w:t xml:space="preserve">Oregon employment-discrimination and whistleblower statutes provide for back pay, front pay, compensatory damages (no statutory cap on emotional-distress damages under ORS Chapter 659A), punitive damages, and mandatory attorney fees and costs to a prevailing plaintiff. ADEA exposure includes back pay, liquidated (double) damages, and attorney fees.</w:t>
      </w:r>
    </w:p>
    <w:p>
      <w:pPr>
        <w:pStyle w:val="Compact"/>
        <w:numPr>
          <w:ilvl w:val="0"/>
          <w:numId w:val="1003"/>
        </w:numPr>
      </w:pPr>
      <w:r>
        <w:rPr>
          <w:b/>
          <w:bCs/>
        </w:rPr>
        <w:t xml:space="preserve">Pending OSHA investigation.</w:t>
      </w:r>
      <w:r>
        <w:t xml:space="preserve"> </w:t>
      </w:r>
      <w:r>
        <w:t xml:space="preserve">The settlement does not, and cannot, resolve the government’s investigation (Complaint No. OR-OSHA-2024-11872). Greenleaf remains exposed to OSHA citations and penalties independent of this agreement.</w:t>
      </w:r>
    </w:p>
    <w:p>
      <w:pPr>
        <w:pStyle w:val="FirstParagraph"/>
      </w:pPr>
      <w:r>
        <w:rPr>
          <w:b/>
          <w:bCs/>
        </w:rPr>
        <w:t xml:space="preserve">Net:</w:t>
      </w:r>
      <w:r>
        <w:t xml:space="preserve"> </w:t>
      </w:r>
      <w:r>
        <w:t xml:space="preserve">the economics (approximately $537,500) are defensible relative to the litigation risk, but only a compliant, enforceable agreement delivers the release Greenleaf is buying.</w:t>
      </w:r>
    </w:p>
    <w:bookmarkEnd w:id="32"/>
    <w:bookmarkStart w:id="33" w:name="insurance-epli"/>
    <w:p>
      <w:pPr>
        <w:pStyle w:val="Heading2"/>
      </w:pPr>
      <w:r>
        <w:t xml:space="preserve">5. Insurance (EPLI)</w:t>
      </w:r>
    </w:p>
    <w:p>
      <w:pPr>
        <w:pStyle w:val="FirstParagraph"/>
      </w:pPr>
      <w:r>
        <w:t xml:space="preserve">The records identify an EPLI policy with Timberline Insurance Group (Policy No. TIG-EPL-2024-00391). Before execution, the GC should: (i) tender/notice the claim and the proposed settlement to Timberline; (ii) confirm whether the carrier’s consent is required to settle and whether consent has been or can be obtained; (iii) review policy limits, retention/deductible, and any allocation between covered employment-practices amounts and non-covered items (e.g., the RSU acceleration and any tax gross-up may not be covered); and (iv) confirm the carrier’s position on the confidentiality and non-disparagement terms.</w:t>
      </w:r>
      <w:r>
        <w:t xml:space="preserve"> </w:t>
      </w:r>
      <w:r>
        <w:rPr>
          <w:b/>
          <w:bCs/>
        </w:rPr>
        <w:t xml:space="preserve">Do not execute until coverage and consent issues are resolved.</w:t>
      </w:r>
    </w:p>
    <w:bookmarkEnd w:id="33"/>
    <w:bookmarkStart w:id="34" w:name="tax"/>
    <w:p>
      <w:pPr>
        <w:pStyle w:val="Heading2"/>
      </w:pPr>
      <w:r>
        <w:t xml:space="preserve">6. Tax</w:t>
      </w:r>
    </w:p>
    <w:p>
      <w:pPr>
        <w:pStyle w:val="FirstParagraph"/>
      </w:pPr>
      <w:r>
        <w:t xml:space="preserve">The Draft’s allocation — $275,000 compensatory damages (Form 1099-MISC), $125,000 back pay (Form W-2), $75,000 attorney fees (Form 1099-NEC to the firm), and RSU acceleration under the Equity Plan — is generally reasonable. The $275,000 is properly treated as taxable non-wage income for non-physical emotional distress. Tax counsel should confirm the characterization and the RSU withholding/sell-to-cover mechanics under the Equity Plan. The Draft’s</w:t>
      </w:r>
      <w:r>
        <w:t xml:space="preserve"> </w:t>
      </w:r>
      <w:r>
        <w:t xml:space="preserve">“</w:t>
      </w:r>
      <w:r>
        <w:t xml:space="preserve">no tax advice / no gross-up</w:t>
      </w:r>
      <w:r>
        <w:t xml:space="preserve">”</w:t>
      </w:r>
      <w:r>
        <w:t xml:space="preserve"> </w:t>
      </w:r>
      <w:r>
        <w:t xml:space="preserve">provisions are appropriate and should be retained.</w:t>
      </w:r>
    </w:p>
    <w:bookmarkEnd w:id="34"/>
    <w:bookmarkStart w:id="35" w:name="items-requiring-gc-decision"/>
    <w:p>
      <w:pPr>
        <w:pStyle w:val="Heading2"/>
      </w:pPr>
      <w:r>
        <w:t xml:space="preserve">7. Items Requiring GC Decision</w:t>
      </w:r>
    </w:p>
    <w:p>
      <w:pPr>
        <w:pStyle w:val="Compact"/>
        <w:numPr>
          <w:ilvl w:val="0"/>
          <w:numId w:val="1004"/>
        </w:numPr>
      </w:pPr>
      <w:r>
        <w:t xml:space="preserve">Whether to retain the non-compete (narrowed to Oregon) or drop it entirely, given the pretext evidence and optics.</w:t>
      </w:r>
    </w:p>
    <w:p>
      <w:pPr>
        <w:pStyle w:val="Compact"/>
        <w:numPr>
          <w:ilvl w:val="0"/>
          <w:numId w:val="1004"/>
        </w:numPr>
      </w:pPr>
      <w:r>
        <w:t xml:space="preserve">Whether to add a mutual jury waiver and/or an arbitration clause to the governing-law section.</w:t>
      </w:r>
    </w:p>
    <w:p>
      <w:pPr>
        <w:pStyle w:val="Compact"/>
        <w:numPr>
          <w:ilvl w:val="0"/>
          <w:numId w:val="1004"/>
        </w:numPr>
      </w:pPr>
      <w:r>
        <w:t xml:space="preserve">EPLI: tender, consent, and allocation (Section 5 above).</w:t>
      </w:r>
    </w:p>
    <w:p>
      <w:pPr>
        <w:pStyle w:val="Compact"/>
        <w:numPr>
          <w:ilvl w:val="0"/>
          <w:numId w:val="1004"/>
        </w:numPr>
      </w:pPr>
      <w:r>
        <w:t xml:space="preserve">Whether to accept the re-employment-eligibility / no-</w:t>
      </w:r>
      <w:r>
        <w:t xml:space="preserve">“</w:t>
      </w:r>
      <w:r>
        <w:t xml:space="preserve">do-not-rehire</w:t>
      </w:r>
      <w:r>
        <w:t xml:space="preserve">”</w:t>
      </w:r>
      <w:r>
        <w:t xml:space="preserve">-flag concession (Section 14) — reasonable given the whistleblower context, but confirm with HR.</w:t>
      </w:r>
    </w:p>
    <w:p>
      <w:pPr>
        <w:pStyle w:val="Compact"/>
        <w:numPr>
          <w:ilvl w:val="0"/>
          <w:numId w:val="1004"/>
        </w:numPr>
      </w:pPr>
      <w:r>
        <w:t xml:space="preserve">Confirmation from HR that final wages/PTO were timely paid (ORS 652.140) and that the 2024 bonus treatment is correctly captured.</w:t>
      </w:r>
    </w:p>
    <w:p>
      <w:pPr>
        <w:pStyle w:val="Compact"/>
        <w:numPr>
          <w:ilvl w:val="0"/>
          <w:numId w:val="1004"/>
        </w:numPr>
      </w:pPr>
      <w:r>
        <w:t xml:space="preserve">Whether the corrected total ($537,500) and the RSU valuation are acceptable, and whether to seek any corresponding adjustment or simply correct the error.</w:t>
      </w:r>
    </w:p>
    <w:bookmarkEnd w:id="35"/>
    <w:bookmarkStart w:id="36" w:name="recommendation"/>
    <w:p>
      <w:pPr>
        <w:pStyle w:val="Heading2"/>
      </w:pPr>
      <w:r>
        <w:t xml:space="preserve">8. Recommendation</w:t>
      </w:r>
    </w:p>
    <w:p>
      <w:pPr>
        <w:pStyle w:val="FirstParagraph"/>
      </w:pPr>
      <w:r>
        <w:t xml:space="preserve">Return the redline to Engel &amp; Associates with a cover letter requesting: (a) correction of the RSU valuation and total; (b) the ADEA/OWBPA fixes (21 days + 7-day revocation + attorney advisement + Effective Date redefinition); (c) the whistleblower/OSHA/DTSA carve-outs; (d) the narrowed non-compete and time-limited non-disparagement; (e) the neutral reference; and (f) the added standard provisions. Resolve the EPLI and final-wage items internally before countersigning.</w:t>
      </w:r>
      <w:r>
        <w:t xml:space="preserve"> </w:t>
      </w:r>
      <w:r>
        <w:rPr>
          <w:b/>
          <w:bCs/>
        </w:rPr>
        <w:t xml:space="preserve">The agreement should not be executed until the ADEA and carve-out defects are corrected</w:t>
      </w:r>
      <w:r>
        <w:t xml:space="preserve"> </w:t>
      </w:r>
      <w:r>
        <w:t xml:space="preserve">— otherwise Greenleaf pays approximately $537,500 without obtaining an enforceable release of the age and retaliation claims.</w:t>
      </w:r>
    </w:p>
    <w:p>
      <w:pPr>
        <w:pStyle w:val="BodyText"/>
      </w:pPr>
      <w:r>
        <w:t xml:space="preserve">We are available to discuss any of the foregoing.</w:t>
      </w:r>
    </w:p>
    <w:p>
      <w:r>
        <w:pict>
          <v:rect style="width:0;height:1.5pt" o:hralign="center" o:hrstd="t" o:hr="t"/>
        </w:pict>
      </w:r>
    </w:p>
    <w:bookmarkEnd w:id="36"/>
    <w:bookmarkStart w:id="37" w:name="appendix-a-summary-of-redline-revisions"/>
    <w:p>
      <w:pPr>
        <w:pStyle w:val="Heading2"/>
      </w:pPr>
      <w:r>
        <w:t xml:space="preserve">Appendix A — Summary of Redline Revisions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Issue</w:t>
            </w:r>
          </w:p>
        </w:tc>
        <w:tc>
          <w:tcPr/>
          <w:p>
            <w:pPr>
              <w:pStyle w:val="Compact"/>
              <w:jc w:val="left"/>
            </w:pPr>
            <w:r>
              <w:t xml:space="preserve">Revision in Redline</w:t>
            </w:r>
          </w:p>
        </w:tc>
      </w:tr>
      <w:tr>
        <w:tc>
          <w:tcPr/>
          <w:p>
            <w:pPr>
              <w:pStyle w:val="Compact"/>
              <w:jc w:val="left"/>
            </w:pPr>
            <w:r>
              <w:t xml:space="preserve">Preamble; §1(b)</w:t>
            </w:r>
          </w:p>
        </w:tc>
        <w:tc>
          <w:tcPr/>
          <w:p>
            <w:pPr>
              <w:pStyle w:val="Compact"/>
              <w:jc w:val="left"/>
            </w:pPr>
            <w:r>
              <w:t xml:space="preserve">“</w:t>
            </w:r>
            <w:r>
              <w:t xml:space="preserve">Effective Date</w:t>
            </w:r>
            <w:r>
              <w:t xml:space="preserve">”</w:t>
            </w:r>
            <w:r>
              <w:t xml:space="preserve"> </w:t>
            </w:r>
            <w:r>
              <w:t xml:space="preserve">fixed as May 5, before execution/revocation</w:t>
            </w:r>
          </w:p>
        </w:tc>
        <w:tc>
          <w:tcPr/>
          <w:p>
            <w:pPr>
              <w:pStyle w:val="Compact"/>
              <w:jc w:val="left"/>
            </w:pPr>
            <w:r>
              <w:t xml:space="preserve">Effective Date = 8th day after execution, if no revocation</w:t>
            </w:r>
          </w:p>
        </w:tc>
      </w:tr>
      <w:tr>
        <w:tc>
          <w:tcPr/>
          <w:p>
            <w:pPr>
              <w:pStyle w:val="Compact"/>
              <w:jc w:val="left"/>
            </w:pPr>
            <w:r>
              <w:t xml:space="preserve">§2</w:t>
            </w:r>
          </w:p>
        </w:tc>
        <w:tc>
          <w:tcPr/>
          <w:p>
            <w:pPr>
              <w:pStyle w:val="Compact"/>
              <w:jc w:val="left"/>
            </w:pPr>
            <w:r>
              <w:t xml:space="preserve">No final-wage compliance representation</w:t>
            </w:r>
          </w:p>
        </w:tc>
        <w:tc>
          <w:tcPr/>
          <w:p>
            <w:pPr>
              <w:pStyle w:val="Compact"/>
              <w:jc w:val="left"/>
            </w:pPr>
            <w:r>
              <w:t xml:space="preserve">Add Greenleaf rep re timely payment under ORS 652.140</w:t>
            </w:r>
          </w:p>
        </w:tc>
      </w:tr>
      <w:tr>
        <w:tc>
          <w:tcPr/>
          <w:p>
            <w:pPr>
              <w:pStyle w:val="Compact"/>
              <w:jc w:val="left"/>
            </w:pPr>
            <w:r>
              <w:t xml:space="preserve">§3(b)</w:t>
            </w:r>
          </w:p>
        </w:tc>
        <w:tc>
          <w:tcPr/>
          <w:p>
            <w:pPr>
              <w:pStyle w:val="Compact"/>
              <w:jc w:val="left"/>
            </w:pPr>
            <w:r>
              <w:t xml:space="preserve">Back-pay description inconsistent; 2024 bonus omitted</w:t>
            </w:r>
          </w:p>
        </w:tc>
        <w:tc>
          <w:tcPr/>
          <w:p>
            <w:pPr>
              <w:pStyle w:val="Compact"/>
              <w:jc w:val="left"/>
            </w:pPr>
            <w:r>
              <w:t xml:space="preserve">Recharacterize; include 2024 bonus; period through Sept. 30, 2025</w:t>
            </w:r>
          </w:p>
        </w:tc>
      </w:tr>
      <w:tr>
        <w:tc>
          <w:tcPr/>
          <w:p>
            <w:pPr>
              <w:pStyle w:val="Compact"/>
              <w:jc w:val="left"/>
            </w:pPr>
            <w:r>
              <w:t xml:space="preserve">§3(d), §3(e)</w:t>
            </w:r>
          </w:p>
        </w:tc>
        <w:tc>
          <w:tcPr/>
          <w:p>
            <w:pPr>
              <w:pStyle w:val="Compact"/>
              <w:jc w:val="left"/>
            </w:pPr>
            <w:r>
              <w:t xml:space="preserve">Stale $10.00 RSU valuation; total $525,000</w:t>
            </w:r>
          </w:p>
        </w:tc>
        <w:tc>
          <w:tcPr/>
          <w:p>
            <w:pPr>
              <w:pStyle w:val="Compact"/>
              <w:jc w:val="left"/>
            </w:pPr>
            <w:r>
              <w:t xml:space="preserve">$12.50 (Jan. 15, 2025 409A); RSU $62,500; total $537,500</w:t>
            </w:r>
          </w:p>
        </w:tc>
      </w:tr>
      <w:tr>
        <w:tc>
          <w:tcPr/>
          <w:p>
            <w:pPr>
              <w:pStyle w:val="Compact"/>
              <w:jc w:val="left"/>
            </w:pPr>
            <w:r>
              <w:t xml:space="preserve">§4 (new para)</w:t>
            </w:r>
          </w:p>
        </w:tc>
        <w:tc>
          <w:tcPr/>
          <w:p>
            <w:pPr>
              <w:pStyle w:val="Compact"/>
              <w:jc w:val="left"/>
            </w:pPr>
            <w:r>
              <w:t xml:space="preserve">No whistleblower/OSHA carve-out</w:t>
            </w:r>
          </w:p>
        </w:tc>
        <w:tc>
          <w:tcPr/>
          <w:p>
            <w:pPr>
              <w:pStyle w:val="Compact"/>
              <w:jc w:val="left"/>
            </w:pPr>
            <w:r>
              <w:t xml:space="preserve">Add carve-out preserving government-agency rights; OSHA investigation preserved</w:t>
            </w:r>
          </w:p>
        </w:tc>
      </w:tr>
      <w:tr>
        <w:tc>
          <w:tcPr/>
          <w:p>
            <w:pPr>
              <w:pStyle w:val="Compact"/>
              <w:jc w:val="left"/>
            </w:pPr>
            <w:r>
              <w:t xml:space="preserve">§5(c), §16</w:t>
            </w:r>
          </w:p>
        </w:tc>
        <w:tc>
          <w:tcPr/>
          <w:p>
            <w:pPr>
              <w:pStyle w:val="Compact"/>
              <w:jc w:val="left"/>
            </w:pPr>
            <w:r>
              <w:t xml:space="preserve">14-day ADEA consideration (non-compliant)</w:t>
            </w:r>
          </w:p>
        </w:tc>
        <w:tc>
          <w:tcPr/>
          <w:p>
            <w:pPr>
              <w:pStyle w:val="Compact"/>
              <w:jc w:val="left"/>
            </w:pPr>
            <w:r>
              <w:t xml:space="preserve">21 days</w:t>
            </w:r>
          </w:p>
        </w:tc>
      </w:tr>
      <w:tr>
        <w:tc>
          <w:tcPr/>
          <w:p>
            <w:pPr>
              <w:pStyle w:val="Compact"/>
              <w:jc w:val="left"/>
            </w:pPr>
            <w:r>
              <w:t xml:space="preserve">§5(g) (new)</w:t>
            </w:r>
          </w:p>
        </w:tc>
        <w:tc>
          <w:tcPr/>
          <w:p>
            <w:pPr>
              <w:pStyle w:val="Compact"/>
              <w:jc w:val="left"/>
            </w:pPr>
            <w:r>
              <w:t xml:space="preserve">No revocation period</w:t>
            </w:r>
          </w:p>
        </w:tc>
        <w:tc>
          <w:tcPr/>
          <w:p>
            <w:pPr>
              <w:pStyle w:val="Compact"/>
              <w:jc w:val="left"/>
            </w:pPr>
            <w:r>
              <w:t xml:space="preserve">Add 7-day revocation; effective only after revocation period</w:t>
            </w:r>
          </w:p>
        </w:tc>
      </w:tr>
      <w:tr>
        <w:tc>
          <w:tcPr/>
          <w:p>
            <w:pPr>
              <w:pStyle w:val="Compact"/>
              <w:jc w:val="left"/>
            </w:pPr>
            <w:r>
              <w:t xml:space="preserve">§5(h) (new)</w:t>
            </w:r>
          </w:p>
        </w:tc>
        <w:tc>
          <w:tcPr/>
          <w:p>
            <w:pPr>
              <w:pStyle w:val="Compact"/>
              <w:jc w:val="left"/>
            </w:pPr>
            <w:r>
              <w:t xml:space="preserve">No attorney advisement</w:t>
            </w:r>
          </w:p>
        </w:tc>
        <w:tc>
          <w:tcPr/>
          <w:p>
            <w:pPr>
              <w:pStyle w:val="Compact"/>
              <w:jc w:val="left"/>
            </w:pPr>
            <w:r>
              <w:t xml:space="preserve">Add written advisement to consult counsel</w:t>
            </w:r>
          </w:p>
        </w:tc>
      </w:tr>
      <w:tr>
        <w:tc>
          <w:tcPr/>
          <w:p>
            <w:pPr>
              <w:pStyle w:val="Compact"/>
              <w:jc w:val="left"/>
            </w:pPr>
            <w:r>
              <w:t xml:space="preserve">§6</w:t>
            </w:r>
          </w:p>
        </w:tc>
        <w:tc>
          <w:tcPr/>
          <w:p>
            <w:pPr>
              <w:pStyle w:val="Compact"/>
              <w:jc w:val="left"/>
            </w:pPr>
            <w:r>
              <w:t xml:space="preserve">No government-agency/DTSA carve-out</w:t>
            </w:r>
          </w:p>
        </w:tc>
        <w:tc>
          <w:tcPr/>
          <w:p>
            <w:pPr>
              <w:pStyle w:val="Compact"/>
              <w:jc w:val="left"/>
            </w:pPr>
            <w:r>
              <w:t xml:space="preserve">Add §6(v) agency disclosure; add DTSA immunity notice</w:t>
            </w:r>
          </w:p>
        </w:tc>
      </w:tr>
      <w:tr>
        <w:tc>
          <w:tcPr/>
          <w:p>
            <w:pPr>
              <w:pStyle w:val="Compact"/>
              <w:jc w:val="left"/>
            </w:pPr>
            <w:r>
              <w:t xml:space="preserve">§7</w:t>
            </w:r>
          </w:p>
        </w:tc>
        <w:tc>
          <w:tcPr/>
          <w:p>
            <w:pPr>
              <w:pStyle w:val="Compact"/>
              <w:jc w:val="left"/>
            </w:pPr>
            <w:r>
              <w:t xml:space="preserve">Non-disparagement perpetual; no carve-outs</w:t>
            </w:r>
          </w:p>
        </w:tc>
        <w:tc>
          <w:tcPr/>
          <w:p>
            <w:pPr>
              <w:pStyle w:val="Compact"/>
              <w:jc w:val="left"/>
            </w:pPr>
            <w:r>
              <w:t xml:space="preserve">Limit to 3 years; add truthful-statement / government / NLRA carve-outs</w:t>
            </w:r>
          </w:p>
        </w:tc>
      </w:tr>
      <w:tr>
        <w:tc>
          <w:tcPr/>
          <w:p>
            <w:pPr>
              <w:pStyle w:val="Compact"/>
              <w:jc w:val="left"/>
            </w:pPr>
            <w:r>
              <w:t xml:space="preserve">§9</w:t>
            </w:r>
          </w:p>
        </w:tc>
        <w:tc>
          <w:tcPr/>
          <w:p>
            <w:pPr>
              <w:pStyle w:val="Compact"/>
              <w:jc w:val="left"/>
            </w:pPr>
            <w:r>
              <w:t xml:space="preserve">Four-state non-compete incl. California</w:t>
            </w:r>
          </w:p>
        </w:tc>
        <w:tc>
          <w:tcPr/>
          <w:p>
            <w:pPr>
              <w:pStyle w:val="Compact"/>
              <w:jc w:val="left"/>
            </w:pPr>
            <w:r>
              <w:t xml:space="preserve">Limit to Oregon; ORS 653.295 recital + savings clause</w:t>
            </w:r>
          </w:p>
        </w:tc>
      </w:tr>
      <w:tr>
        <w:tc>
          <w:tcPr/>
          <w:p>
            <w:pPr>
              <w:pStyle w:val="Compact"/>
              <w:jc w:val="left"/>
            </w:pPr>
            <w:r>
              <w:t xml:space="preserve">§11</w:t>
            </w:r>
          </w:p>
        </w:tc>
        <w:tc>
          <w:tcPr/>
          <w:p>
            <w:pPr>
              <w:pStyle w:val="Compact"/>
              <w:jc w:val="left"/>
            </w:pPr>
            <w:r>
              <w:t xml:space="preserve">Mandated</w:t>
            </w:r>
            <w:r>
              <w:t xml:space="preserve"> </w:t>
            </w:r>
            <w:r>
              <w:t xml:space="preserve">“</w:t>
            </w:r>
            <w:r>
              <w:t xml:space="preserve">positive</w:t>
            </w:r>
            <w:r>
              <w:t xml:space="preserve">”</w:t>
            </w:r>
            <w:r>
              <w:t xml:space="preserve"> </w:t>
            </w:r>
            <w:r>
              <w:t xml:space="preserve">reference</w:t>
            </w:r>
          </w:p>
        </w:tc>
        <w:tc>
          <w:tcPr/>
          <w:p>
            <w:pPr>
              <w:pStyle w:val="Compact"/>
              <w:jc w:val="left"/>
            </w:pPr>
            <w:r>
              <w:t xml:space="preserve">Neutral reference (dates, title, rehire eligibility)</w:t>
            </w:r>
          </w:p>
        </w:tc>
      </w:tr>
      <w:tr>
        <w:tc>
          <w:tcPr/>
          <w:p>
            <w:pPr>
              <w:pStyle w:val="Compact"/>
              <w:jc w:val="left"/>
            </w:pPr>
            <w:r>
              <w:t xml:space="preserve">§15(a)(ii)</w:t>
            </w:r>
          </w:p>
        </w:tc>
        <w:tc>
          <w:tcPr/>
          <w:p>
            <w:pPr>
              <w:pStyle w:val="Compact"/>
              <w:jc w:val="left"/>
            </w:pPr>
            <w:r>
              <w:t xml:space="preserve">No government-agency carve-out</w:t>
            </w:r>
          </w:p>
        </w:tc>
        <w:tc>
          <w:tcPr/>
          <w:p>
            <w:pPr>
              <w:pStyle w:val="Compact"/>
              <w:jc w:val="left"/>
            </w:pPr>
            <w:r>
              <w:t xml:space="preserve">Add carve-out for agency participation/reporting</w:t>
            </w:r>
          </w:p>
        </w:tc>
      </w:tr>
      <w:tr>
        <w:tc>
          <w:tcPr/>
          <w:p>
            <w:pPr>
              <w:pStyle w:val="Compact"/>
              <w:jc w:val="left"/>
            </w:pPr>
            <w:r>
              <w:t xml:space="preserve">§18 (new)</w:t>
            </w:r>
          </w:p>
        </w:tc>
        <w:tc>
          <w:tcPr/>
          <w:p>
            <w:pPr>
              <w:pStyle w:val="Compact"/>
              <w:jc w:val="left"/>
            </w:pPr>
            <w:r>
              <w:t xml:space="preserve">No return-of-property / confidentiality provision</w:t>
            </w:r>
          </w:p>
        </w:tc>
        <w:tc>
          <w:tcPr/>
          <w:p>
            <w:pPr>
              <w:pStyle w:val="Compact"/>
              <w:jc w:val="left"/>
            </w:pPr>
            <w:r>
              <w:t xml:space="preserve">Add return of property + confidential-info with DTSA carve-out</w:t>
            </w:r>
          </w:p>
        </w:tc>
      </w:tr>
      <w:tr>
        <w:tc>
          <w:tcPr/>
          <w:p>
            <w:pPr>
              <w:pStyle w:val="Compact"/>
              <w:jc w:val="left"/>
            </w:pPr>
            <w:r>
              <w:t xml:space="preserve">§19 (new)</w:t>
            </w:r>
          </w:p>
        </w:tc>
        <w:tc>
          <w:tcPr/>
          <w:p>
            <w:pPr>
              <w:pStyle w:val="Compact"/>
              <w:jc w:val="left"/>
            </w:pPr>
            <w:r>
              <w:t xml:space="preserve">No cooperation clause</w:t>
            </w:r>
          </w:p>
        </w:tc>
        <w:tc>
          <w:tcPr/>
          <w:p>
            <w:pPr>
              <w:pStyle w:val="Compact"/>
              <w:jc w:val="left"/>
            </w:pPr>
            <w:r>
              <w:t xml:space="preserve">Add mutual cooperation with OSHA / adverse-party carve-out</w:t>
            </w:r>
          </w:p>
        </w:tc>
      </w:tr>
      <w:tr>
        <w:tc>
          <w:tcPr/>
          <w:p>
            <w:pPr>
              <w:pStyle w:val="Compact"/>
              <w:jc w:val="left"/>
            </w:pPr>
            <w:r>
              <w:t xml:space="preserve">§20 (new)</w:t>
            </w:r>
          </w:p>
        </w:tc>
        <w:tc>
          <w:tcPr/>
          <w:p>
            <w:pPr>
              <w:pStyle w:val="Compact"/>
              <w:jc w:val="left"/>
            </w:pPr>
            <w:r>
              <w:t xml:space="preserve">No governing law / venue</w:t>
            </w:r>
          </w:p>
        </w:tc>
        <w:tc>
          <w:tcPr/>
          <w:p>
            <w:pPr>
              <w:pStyle w:val="Compact"/>
              <w:jc w:val="left"/>
            </w:pPr>
            <w:r>
              <w:t xml:space="preserve">Oregon law; Multnomah County / D. Oregon venue</w:t>
            </w:r>
          </w:p>
        </w:tc>
      </w:tr>
      <w:tr>
        <w:tc>
          <w:tcPr/>
          <w:p>
            <w:pPr>
              <w:pStyle w:val="Compact"/>
              <w:jc w:val="left"/>
            </w:pPr>
            <w:r>
              <w:t xml:space="preserve">§21 (was §18)</w:t>
            </w:r>
          </w:p>
        </w:tc>
        <w:tc>
          <w:tcPr/>
          <w:p>
            <w:pPr>
              <w:pStyle w:val="Compact"/>
              <w:jc w:val="left"/>
            </w:pPr>
            <w:r>
              <w:t xml:space="preserve">Entire agreement supersedes Equity Plan / RSU Grant</w:t>
            </w:r>
          </w:p>
        </w:tc>
        <w:tc>
          <w:tcPr/>
          <w:p>
            <w:pPr>
              <w:pStyle w:val="Compact"/>
              <w:jc w:val="left"/>
            </w:pPr>
            <w:r>
              <w:t xml:space="preserve">Carve out Equity Plan and RSU Grant Agreement</w:t>
            </w:r>
          </w:p>
        </w:tc>
      </w:tr>
      <w:tr>
        <w:tc>
          <w:tcPr/>
          <w:p>
            <w:pPr>
              <w:pStyle w:val="Compact"/>
              <w:jc w:val="left"/>
            </w:pPr>
            <w:r>
              <w:t xml:space="preserve">Signature page</w:t>
            </w:r>
          </w:p>
        </w:tc>
        <w:tc>
          <w:tcPr/>
          <w:p>
            <w:pPr>
              <w:pStyle w:val="Compact"/>
              <w:jc w:val="left"/>
            </w:pPr>
            <w:r>
              <w:t xml:space="preserve">No Greenleaf counsel approval block</w:t>
            </w:r>
          </w:p>
        </w:tc>
        <w:tc>
          <w:tcPr/>
          <w:p>
            <w:pPr>
              <w:pStyle w:val="Compact"/>
              <w:jc w:val="left"/>
            </w:pPr>
            <w:r>
              <w:t xml:space="preserve">Add</w:t>
            </w:r>
            <w:r>
              <w:t xml:space="preserve"> </w:t>
            </w:r>
            <w:r>
              <w:t xml:space="preserve">“</w:t>
            </w:r>
            <w:r>
              <w:t xml:space="preserve">Approved as to Form</w:t>
            </w:r>
            <w:r>
              <w:t xml:space="preserve">”</w:t>
            </w:r>
            <w:r>
              <w:t xml:space="preserve"> </w:t>
            </w:r>
            <w:r>
              <w:t xml:space="preserve">block for Greenleaf</w:t>
            </w:r>
          </w:p>
        </w:tc>
      </w:tr>
    </w:tbl>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2026-06-23T05:42:37Z</dcterms:created>
  <dcterms:modified xsi:type="dcterms:W3CDTF">2026-06-23T05:42:37Z</dcterms:modified>
</cp:coreProperties>
</file>

<file path=docProps/custom.xml><?xml version="1.0" encoding="utf-8"?>
<Properties xmlns="http://schemas.openxmlformats.org/officeDocument/2006/custom-properties" xmlns:vt="http://schemas.openxmlformats.org/officeDocument/2006/docPropsVTypes"/>
</file>