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85ce1e23731a81ee791f2ef7e668d23c67ace2"/>
    <w:p>
      <w:pPr>
        <w:pStyle w:val="Heading1"/>
      </w:pPr>
      <w:r>
        <w:t xml:space="preserve">PRIVILEGED AND CONFIDENTIAL — ATTORNEY WORK PRODUCT / ATTORNEY-CLIENT COMMUNICATION</w:t>
      </w:r>
    </w:p>
    <w:bookmarkEnd w:id="20"/>
    <w:bookmarkStart w:id="40"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Tyler Huang, General Counsel, Greenleaf Organic Foods, Inc.</w:t>
            </w:r>
          </w:p>
        </w:tc>
      </w:tr>
      <w:tr>
        <w:tc>
          <w:tcPr/>
          <w:p>
            <w:pPr>
              <w:pStyle w:val="Compact"/>
              <w:jc w:val="left"/>
            </w:pPr>
            <w:r>
              <w:rPr>
                <w:b/>
                <w:bCs/>
              </w:rPr>
              <w:t xml:space="preserve">FROM:</w:t>
            </w:r>
          </w:p>
        </w:tc>
        <w:tc>
          <w:tcPr/>
          <w:p>
            <w:pPr>
              <w:pStyle w:val="Compact"/>
              <w:jc w:val="left"/>
            </w:pPr>
            <w:r>
              <w:t xml:space="preserve">Employment Litigation Review Team</w:t>
            </w:r>
          </w:p>
        </w:tc>
      </w:tr>
      <w:tr>
        <w:tc>
          <w:tcPr/>
          <w:p>
            <w:pPr>
              <w:pStyle w:val="Compact"/>
              <w:jc w:val="left"/>
            </w:pPr>
            <w:r>
              <w:rPr>
                <w:b/>
                <w:bCs/>
              </w:rPr>
              <w:t xml:space="preserve">DATE:</w:t>
            </w:r>
          </w:p>
        </w:tc>
        <w:tc>
          <w:tcPr/>
          <w:p>
            <w:pPr>
              <w:pStyle w:val="Compact"/>
              <w:jc w:val="left"/>
            </w:pPr>
            <w:r>
              <w:t xml:space="preserve">May 14, 2025</w:t>
            </w:r>
          </w:p>
        </w:tc>
      </w:tr>
      <w:tr>
        <w:tc>
          <w:tcPr/>
          <w:p>
            <w:pPr>
              <w:pStyle w:val="Compact"/>
              <w:jc w:val="left"/>
            </w:pPr>
            <w:r>
              <w:rPr>
                <w:b/>
                <w:bCs/>
              </w:rPr>
              <w:t xml:space="preserve">RE:</w:t>
            </w:r>
          </w:p>
        </w:tc>
        <w:tc>
          <w:tcPr/>
          <w:p>
            <w:pPr>
              <w:pStyle w:val="Compact"/>
              <w:jc w:val="left"/>
            </w:pPr>
            <w:r>
              <w:t xml:space="preserve">Review of Draft Settlement Agreement with Marcus R. Delano — Issues, Risks, and Redlined Revisions</w:t>
            </w:r>
          </w:p>
        </w:tc>
      </w:tr>
    </w:tbl>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You asked us to review the draft Settlement Agreement and General Release of All Claims dated May 5, 2025 (the</w:t>
      </w:r>
      <w:r>
        <w:t xml:space="preserve"> </w:t>
      </w:r>
      <w:r>
        <w:t xml:space="preserve">“</w:t>
      </w:r>
      <w:r>
        <w:t xml:space="preserve">Draft</w:t>
      </w:r>
      <w:r>
        <w:t xml:space="preserve">”</w:t>
      </w:r>
      <w:r>
        <w:t xml:space="preserve">), prepared by Engel &amp; Associates, P.C. on behalf of Marcus R. Delano, against Greenleaf’s employment records and applicable policies, and to provide a redlined markup together with this memorandum. The accompanying redline (</w:t>
      </w:r>
      <w:r>
        <w:rPr>
          <w:rStyle w:val="VerbatimChar"/>
        </w:rPr>
        <w:t xml:space="preserve">settlement-agreement-markup.docx</w:t>
      </w:r>
      <w:r>
        <w:t xml:space="preserve">) contains our drafted revisions as tracked changes. This memorandum (a) summarizes the principal legal and factual issues, (b) explains each redlined revision, and (c) identifies items requiring action or verification before execution.</w:t>
      </w:r>
    </w:p>
    <w:p>
      <w:pPr>
        <w:pStyle w:val="BodyText"/>
      </w:pPr>
      <w:r>
        <w:t xml:space="preserve">Our review is based on the Draft, the Delano employment summary prepared by Leanne Foss (HR Director) dated May 10, 2025, and the compensation and equity records therein. We have</w:t>
      </w:r>
      <w:r>
        <w:t xml:space="preserve"> </w:t>
      </w:r>
      <w:r>
        <w:rPr>
          <w:b/>
          <w:bCs/>
        </w:rPr>
        <w:t xml:space="preserve">not</w:t>
      </w:r>
      <w:r>
        <w:t xml:space="preserve"> </w:t>
      </w:r>
      <w:r>
        <w:t xml:space="preserve">reviewed the underlying personnel file, the RSU Grant Agreement, the Greenleaf 2021 Equity Incentive Plan, the EPLI policy, or the Oregon OSHA investigation file; each should be consulted before execution as noted in Part V.</w:t>
      </w:r>
    </w:p>
    <w:bookmarkEnd w:id="21"/>
    <w:bookmarkStart w:id="23" w:name="ii.-executive-summary"/>
    <w:p>
      <w:pPr>
        <w:pStyle w:val="Heading2"/>
      </w:pPr>
      <w:r>
        <w:t xml:space="preserve">II. Executive Summary</w:t>
      </w:r>
    </w:p>
    <w:p>
      <w:pPr>
        <w:pStyle w:val="FirstParagraph"/>
      </w:pPr>
      <w:r>
        <w:t xml:space="preserve">The Draft is a broadly worded, employee-favorable settlement that, if signed as written, would expose Greenleaf to several significant risks — most importantly (1) an</w:t>
      </w:r>
      <w:r>
        <w:t xml:space="preserve"> </w:t>
      </w:r>
      <w:r>
        <w:rPr>
          <w:b/>
          <w:bCs/>
        </w:rPr>
        <w:t xml:space="preserve">invalid release of Delano’s age-discrimination claims</w:t>
      </w:r>
      <w:r>
        <w:t xml:space="preserve"> </w:t>
      </w:r>
      <w:r>
        <w:t xml:space="preserve">under the Older Workers Benefit Protection Act (</w:t>
      </w:r>
      <w:r>
        <w:t xml:space="preserve">“</w:t>
      </w:r>
      <w:r>
        <w:t xml:space="preserve">OWBPA</w:t>
      </w:r>
      <w:r>
        <w:t xml:space="preserve">”</w:t>
      </w:r>
      <w:r>
        <w:t xml:space="preserve">), because the consideration period is too short and no revocation period is provided; (2) a</w:t>
      </w:r>
      <w:r>
        <w:t xml:space="preserve"> </w:t>
      </w:r>
      <w:r>
        <w:rPr>
          <w:b/>
          <w:bCs/>
        </w:rPr>
        <w:t xml:space="preserve">false statement about the value of the equity component</w:t>
      </w:r>
      <w:r>
        <w:t xml:space="preserve">, which uses an outdated 409A valuation; and (3)</w:t>
      </w:r>
      <w:r>
        <w:t xml:space="preserve"> </w:t>
      </w:r>
      <w:r>
        <w:rPr>
          <w:b/>
          <w:bCs/>
        </w:rPr>
        <w:t xml:space="preserve">restrictive covenants that are partially unenforceable and strategically unwise</w:t>
      </w:r>
      <w:r>
        <w:t xml:space="preserve"> </w:t>
      </w:r>
      <w:r>
        <w:t xml:space="preserve">given Delano’s whistleblower status. The Draft also omits several provisions Greenleaf should insist on (governing law/venue, return of company property, confidentiality of company information, cooperation, and enforcement). We have redlined revisions addressing the highest-priority items. Several additional items are strategic or factual and require your decision or verification rather than a textual edit.</w:t>
      </w:r>
    </w:p>
    <w:p>
      <w:pPr>
        <w:pStyle w:val="BodyText"/>
      </w:pPr>
      <w:r>
        <w:t xml:space="preserve">The single most important fact for your awareness:</w:t>
      </w:r>
      <w:r>
        <w:t xml:space="preserve"> </w:t>
      </w:r>
      <w:r>
        <w:rPr>
          <w:b/>
          <w:bCs/>
        </w:rPr>
        <w:t xml:space="preserve">Greenleaf’s own records show that Raj Mehta was hired into a substantially equivalent supply-chain role on March 20, 2025 — six days after Delano’s termination — at a lower salary ($185,000 vs. $218,000).</w:t>
      </w:r>
      <w:r>
        <w:t xml:space="preserve"> </w:t>
      </w:r>
      <w:r>
        <w:t xml:space="preserve">This materially undercuts the</w:t>
      </w:r>
      <w:r>
        <w:t xml:space="preserve"> </w:t>
      </w:r>
      <w:r>
        <w:t xml:space="preserve">“</w:t>
      </w:r>
      <w:r>
        <w:t xml:space="preserve">elimination of position due to restructuring</w:t>
      </w:r>
      <w:r>
        <w:t xml:space="preserve">”</w:t>
      </w:r>
      <w:r>
        <w:t xml:space="preserve"> </w:t>
      </w:r>
      <w:r>
        <w:t xml:space="preserve">rationale recited in the Draft and significantly strengthens Delano’s retaliation (ORS 654.062(5)) and age-discrimination (ADEA) exposure. The settlement is, on balance, a favorable resolution given that exposure, but the</w:t>
      </w:r>
      <w:r>
        <w:t xml:space="preserve"> </w:t>
      </w:r>
      <w:r>
        <w:t xml:space="preserve">“</w:t>
      </w:r>
      <w:r>
        <w:t xml:space="preserve">legitimate reorganization</w:t>
      </w:r>
      <w:r>
        <w:t xml:space="preserve">”</w:t>
      </w:r>
      <w:r>
        <w:t xml:space="preserve"> </w:t>
      </w:r>
      <w:r>
        <w:t xml:space="preserve">defense should not be over-relied upon in the recitals or in any future reference response.</w:t>
      </w:r>
    </w:p>
    <w:bookmarkStart w:id="22" w:name="priority-summary"/>
    <w:p>
      <w:pPr>
        <w:pStyle w:val="Heading3"/>
      </w:pPr>
      <w:r>
        <w:t xml:space="preserve">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Redlined?</w:t>
            </w:r>
          </w:p>
        </w:tc>
      </w:tr>
      <w:tr>
        <w:tc>
          <w:tcPr/>
          <w:p>
            <w:pPr>
              <w:pStyle w:val="Compact"/>
              <w:jc w:val="left"/>
            </w:pPr>
            <w:r>
              <w:t xml:space="preserve">Critical</w:t>
            </w:r>
          </w:p>
        </w:tc>
        <w:tc>
          <w:tcPr/>
          <w:p>
            <w:pPr>
              <w:pStyle w:val="Compact"/>
              <w:jc w:val="left"/>
            </w:pPr>
            <w:r>
              <w:t xml:space="preserve">OWBPA/ADEA release defective (14-day period; no 7-day revocation; Effective Date)</w:t>
            </w:r>
          </w:p>
        </w:tc>
        <w:tc>
          <w:tcPr/>
          <w:p>
            <w:pPr>
              <w:pStyle w:val="Compact"/>
              <w:jc w:val="left"/>
            </w:pPr>
            <w:r>
              <w:t xml:space="preserve">Yes</w:t>
            </w:r>
          </w:p>
        </w:tc>
      </w:tr>
      <w:tr>
        <w:tc>
          <w:tcPr/>
          <w:p>
            <w:pPr>
              <w:pStyle w:val="Compact"/>
              <w:jc w:val="left"/>
            </w:pPr>
            <w:r>
              <w:t xml:space="preserve">Critical</w:t>
            </w:r>
          </w:p>
        </w:tc>
        <w:tc>
          <w:tcPr/>
          <w:p>
            <w:pPr>
              <w:pStyle w:val="Compact"/>
              <w:jc w:val="left"/>
            </w:pPr>
            <w:r>
              <w:t xml:space="preserve">RSU valuation uses outdated 409A ($10.00 vs. current $12.50); total understated</w:t>
            </w:r>
          </w:p>
        </w:tc>
        <w:tc>
          <w:tcPr/>
          <w:p>
            <w:pPr>
              <w:pStyle w:val="Compact"/>
              <w:jc w:val="left"/>
            </w:pPr>
            <w:r>
              <w:t xml:space="preserve">Yes</w:t>
            </w:r>
          </w:p>
        </w:tc>
      </w:tr>
      <w:tr>
        <w:tc>
          <w:tcPr/>
          <w:p>
            <w:pPr>
              <w:pStyle w:val="Compact"/>
              <w:jc w:val="left"/>
            </w:pPr>
            <w:r>
              <w:t xml:space="preserve">Critical</w:t>
            </w:r>
          </w:p>
        </w:tc>
        <w:tc>
          <w:tcPr/>
          <w:p>
            <w:pPr>
              <w:pStyle w:val="Compact"/>
              <w:jc w:val="left"/>
            </w:pPr>
            <w:r>
              <w:t xml:space="preserve">Replacement hire undercuts</w:t>
            </w:r>
            <w:r>
              <w:t xml:space="preserve"> </w:t>
            </w:r>
            <w:r>
              <w:t xml:space="preserve">“</w:t>
            </w:r>
            <w:r>
              <w:t xml:space="preserve">reorganization</w:t>
            </w:r>
            <w:r>
              <w:t xml:space="preserve">”</w:t>
            </w:r>
            <w:r>
              <w:t xml:space="preserve"> </w:t>
            </w:r>
            <w:r>
              <w:t xml:space="preserve">defense (risk; not a text fix)</w:t>
            </w:r>
          </w:p>
        </w:tc>
        <w:tc>
          <w:tcPr/>
          <w:p>
            <w:pPr>
              <w:pStyle w:val="Compact"/>
              <w:jc w:val="left"/>
            </w:pPr>
            <w:r>
              <w:t xml:space="preserve">Memo only</w:t>
            </w:r>
          </w:p>
        </w:tc>
      </w:tr>
      <w:tr>
        <w:tc>
          <w:tcPr/>
          <w:p>
            <w:pPr>
              <w:pStyle w:val="Compact"/>
              <w:jc w:val="left"/>
            </w:pPr>
            <w:r>
              <w:t xml:space="preserve">High</w:t>
            </w:r>
          </w:p>
        </w:tc>
        <w:tc>
          <w:tcPr/>
          <w:p>
            <w:pPr>
              <w:pStyle w:val="Compact"/>
              <w:jc w:val="left"/>
            </w:pPr>
            <w:r>
              <w:t xml:space="preserve">Non-compete covers California (void) and is questionable under ORS 653.295</w:t>
            </w:r>
          </w:p>
        </w:tc>
        <w:tc>
          <w:tcPr/>
          <w:p>
            <w:pPr>
              <w:pStyle w:val="Compact"/>
              <w:jc w:val="left"/>
            </w:pPr>
            <w:r>
              <w:t xml:space="preserve">Yes (CA removed)</w:t>
            </w:r>
          </w:p>
        </w:tc>
      </w:tr>
      <w:tr>
        <w:tc>
          <w:tcPr/>
          <w:p>
            <w:pPr>
              <w:pStyle w:val="Compact"/>
              <w:jc w:val="left"/>
            </w:pPr>
            <w:r>
              <w:t xml:space="preserve">High</w:t>
            </w:r>
          </w:p>
        </w:tc>
        <w:tc>
          <w:tcPr/>
          <w:p>
            <w:pPr>
              <w:pStyle w:val="Compact"/>
              <w:jc w:val="left"/>
            </w:pPr>
            <w:r>
              <w:t xml:space="preserve">Confidentiality &amp; non-disparagement lack whistleblower/govt-agency carve-outs</w:t>
            </w:r>
          </w:p>
        </w:tc>
        <w:tc>
          <w:tcPr/>
          <w:p>
            <w:pPr>
              <w:pStyle w:val="Compact"/>
              <w:jc w:val="left"/>
            </w:pPr>
            <w:r>
              <w:t xml:space="preserve">Yes</w:t>
            </w:r>
          </w:p>
        </w:tc>
      </w:tr>
      <w:tr>
        <w:tc>
          <w:tcPr/>
          <w:p>
            <w:pPr>
              <w:pStyle w:val="Compact"/>
              <w:jc w:val="left"/>
            </w:pPr>
            <w:r>
              <w:t xml:space="preserve">High</w:t>
            </w:r>
          </w:p>
        </w:tc>
        <w:tc>
          <w:tcPr/>
          <w:p>
            <w:pPr>
              <w:pStyle w:val="Compact"/>
              <w:jc w:val="left"/>
            </w:pPr>
            <w:r>
              <w:t xml:space="preserve">Release/future-filing bar reaches OSHA cooperation (unenforceable/retaliatory)</w:t>
            </w:r>
          </w:p>
        </w:tc>
        <w:tc>
          <w:tcPr/>
          <w:p>
            <w:pPr>
              <w:pStyle w:val="Compact"/>
              <w:jc w:val="left"/>
            </w:pPr>
            <w:r>
              <w:t xml:space="preserve">Yes</w:t>
            </w:r>
          </w:p>
        </w:tc>
      </w:tr>
      <w:tr>
        <w:tc>
          <w:tcPr/>
          <w:p>
            <w:pPr>
              <w:pStyle w:val="Compact"/>
              <w:jc w:val="left"/>
            </w:pPr>
            <w:r>
              <w:t xml:space="preserve">High</w:t>
            </w:r>
          </w:p>
        </w:tc>
        <w:tc>
          <w:tcPr/>
          <w:p>
            <w:pPr>
              <w:pStyle w:val="Compact"/>
              <w:jc w:val="left"/>
            </w:pPr>
            <w:r>
              <w:t xml:space="preserve">EPLI carrier notice &amp; consent required before execution</w:t>
            </w:r>
          </w:p>
        </w:tc>
        <w:tc>
          <w:tcPr/>
          <w:p>
            <w:pPr>
              <w:pStyle w:val="Compact"/>
              <w:jc w:val="left"/>
            </w:pPr>
            <w:r>
              <w:t xml:space="preserve">Action item</w:t>
            </w:r>
          </w:p>
        </w:tc>
      </w:tr>
      <w:tr>
        <w:tc>
          <w:tcPr/>
          <w:p>
            <w:pPr>
              <w:pStyle w:val="Compact"/>
              <w:jc w:val="left"/>
            </w:pPr>
            <w:r>
              <w:t xml:space="preserve">Moderate</w:t>
            </w:r>
          </w:p>
        </w:tc>
        <w:tc>
          <w:tcPr/>
          <w:p>
            <w:pPr>
              <w:pStyle w:val="Compact"/>
              <w:jc w:val="left"/>
            </w:pPr>
            <w:r>
              <w:t xml:space="preserve">No governing law, venue, or enforcement/attorneys’ fees clause</w:t>
            </w:r>
          </w:p>
        </w:tc>
        <w:tc>
          <w:tcPr/>
          <w:p>
            <w:pPr>
              <w:pStyle w:val="Compact"/>
              <w:jc w:val="left"/>
            </w:pPr>
            <w:r>
              <w:t xml:space="preserve">Yes (new §§22–23)</w:t>
            </w:r>
          </w:p>
        </w:tc>
      </w:tr>
      <w:tr>
        <w:tc>
          <w:tcPr/>
          <w:p>
            <w:pPr>
              <w:pStyle w:val="Compact"/>
              <w:jc w:val="left"/>
            </w:pPr>
            <w:r>
              <w:t xml:space="preserve">Moderate</w:t>
            </w:r>
          </w:p>
        </w:tc>
        <w:tc>
          <w:tcPr/>
          <w:p>
            <w:pPr>
              <w:pStyle w:val="Compact"/>
              <w:jc w:val="left"/>
            </w:pPr>
            <w:r>
              <w:t xml:space="preserve">No return-of-property, cooperation, or confidential-info/DTSA provisions</w:t>
            </w:r>
          </w:p>
        </w:tc>
        <w:tc>
          <w:tcPr/>
          <w:p>
            <w:pPr>
              <w:pStyle w:val="Compact"/>
              <w:jc w:val="left"/>
            </w:pPr>
            <w:r>
              <w:t xml:space="preserve">Yes (new §§19–21)</w:t>
            </w:r>
          </w:p>
        </w:tc>
      </w:tr>
      <w:tr>
        <w:tc>
          <w:tcPr/>
          <w:p>
            <w:pPr>
              <w:pStyle w:val="Compact"/>
              <w:jc w:val="left"/>
            </w:pPr>
            <w:r>
              <w:t xml:space="preserve">Moderate</w:t>
            </w:r>
          </w:p>
        </w:tc>
        <w:tc>
          <w:tcPr/>
          <w:p>
            <w:pPr>
              <w:pStyle w:val="Compact"/>
              <w:jc w:val="left"/>
            </w:pPr>
            <w:r>
              <w:t xml:space="preserve">Tax allocation of damages vs. back pay may be scrutinized</w:t>
            </w:r>
          </w:p>
        </w:tc>
        <w:tc>
          <w:tcPr/>
          <w:p>
            <w:pPr>
              <w:pStyle w:val="Compact"/>
              <w:jc w:val="left"/>
            </w:pPr>
            <w:r>
              <w:t xml:space="preserve">Memo only</w:t>
            </w:r>
          </w:p>
        </w:tc>
      </w:tr>
      <w:tr>
        <w:tc>
          <w:tcPr/>
          <w:p>
            <w:pPr>
              <w:pStyle w:val="Compact"/>
              <w:jc w:val="left"/>
            </w:pPr>
            <w:r>
              <w:t xml:space="preserve">Moderate</w:t>
            </w:r>
          </w:p>
        </w:tc>
        <w:tc>
          <w:tcPr/>
          <w:p>
            <w:pPr>
              <w:pStyle w:val="Compact"/>
              <w:jc w:val="left"/>
            </w:pPr>
            <w:r>
              <w:t xml:space="preserve">Final paycheck / PTO / unpaid 2024 bonus wage compliance</w:t>
            </w:r>
          </w:p>
        </w:tc>
        <w:tc>
          <w:tcPr/>
          <w:p>
            <w:pPr>
              <w:pStyle w:val="Compact"/>
              <w:jc w:val="left"/>
            </w:pPr>
            <w:r>
              <w:t xml:space="preserve">Verify</w:t>
            </w:r>
          </w:p>
        </w:tc>
      </w:tr>
      <w:tr>
        <w:tc>
          <w:tcPr/>
          <w:p>
            <w:pPr>
              <w:pStyle w:val="Compact"/>
              <w:jc w:val="left"/>
            </w:pPr>
            <w:r>
              <w:t xml:space="preserve">Low–Mod</w:t>
            </w:r>
          </w:p>
        </w:tc>
        <w:tc>
          <w:tcPr/>
          <w:p>
            <w:pPr>
              <w:pStyle w:val="Compact"/>
              <w:jc w:val="left"/>
            </w:pPr>
            <w:r>
              <w:t xml:space="preserve">Non-disparagement</w:t>
            </w:r>
            <w:r>
              <w:t xml:space="preserve"> </w:t>
            </w:r>
            <w:r>
              <w:t xml:space="preserve">“</w:t>
            </w:r>
            <w:r>
              <w:t xml:space="preserve">in perpetuity</w:t>
            </w:r>
            <w:r>
              <w:t xml:space="preserve">”</w:t>
            </w:r>
            <w:r>
              <w:t xml:space="preserve"> </w:t>
            </w:r>
            <w:r>
              <w:t xml:space="preserve">is aggressive</w:t>
            </w:r>
          </w:p>
        </w:tc>
        <w:tc>
          <w:tcPr/>
          <w:p>
            <w:pPr>
              <w:pStyle w:val="Compact"/>
              <w:jc w:val="left"/>
            </w:pPr>
            <w:r>
              <w:t xml:space="preserve">Yes (5 years)</w:t>
            </w:r>
          </w:p>
        </w:tc>
      </w:tr>
      <w:tr>
        <w:tc>
          <w:tcPr/>
          <w:p>
            <w:pPr>
              <w:pStyle w:val="Compact"/>
              <w:jc w:val="left"/>
            </w:pPr>
            <w:r>
              <w:t xml:space="preserve">Low–Mod</w:t>
            </w:r>
          </w:p>
        </w:tc>
        <w:tc>
          <w:tcPr/>
          <w:p>
            <w:pPr>
              <w:pStyle w:val="Compact"/>
              <w:jc w:val="left"/>
            </w:pPr>
            <w:r>
              <w:t xml:space="preserve">401(k) vested benefits not addressed</w:t>
            </w:r>
          </w:p>
        </w:tc>
        <w:tc>
          <w:tcPr/>
          <w:p>
            <w:pPr>
              <w:pStyle w:val="Compact"/>
              <w:jc w:val="left"/>
            </w:pPr>
            <w:r>
              <w:t xml:space="preserve">Yes</w:t>
            </w:r>
          </w:p>
        </w:tc>
      </w:tr>
      <w:tr>
        <w:tc>
          <w:tcPr/>
          <w:p>
            <w:pPr>
              <w:pStyle w:val="Compact"/>
              <w:jc w:val="left"/>
            </w:pPr>
            <w:r>
              <w:t xml:space="preserve">Low</w:t>
            </w:r>
          </w:p>
        </w:tc>
        <w:tc>
          <w:tcPr/>
          <w:p>
            <w:pPr>
              <w:pStyle w:val="Compact"/>
              <w:jc w:val="left"/>
            </w:pPr>
            <w:r>
              <w:t xml:space="preserve">Reference provision is workable but burdensome</w:t>
            </w:r>
          </w:p>
        </w:tc>
        <w:tc>
          <w:tcPr/>
          <w:p>
            <w:pPr>
              <w:pStyle w:val="Compact"/>
              <w:jc w:val="left"/>
            </w:pPr>
            <w:r>
              <w:t xml:space="preserve">Memo only</w:t>
            </w:r>
          </w:p>
        </w:tc>
      </w:tr>
    </w:tbl>
    <w:bookmarkEnd w:id="22"/>
    <w:bookmarkEnd w:id="23"/>
    <w:bookmarkStart w:id="24" w:name="iii.-summary-of-redlined-revisions"/>
    <w:p>
      <w:pPr>
        <w:pStyle w:val="Heading2"/>
      </w:pPr>
      <w:r>
        <w:t xml:space="preserve">III. Summary of Redlined Revisions</w:t>
      </w:r>
    </w:p>
    <w:p>
      <w:pPr>
        <w:pStyle w:val="FirstParagraph"/>
      </w:pPr>
      <w:r>
        <w:t xml:space="preserve">The redline inserts tracked changes (shown as insertions/deletions) authored</w:t>
      </w:r>
      <w:r>
        <w:t xml:space="preserve"> </w:t>
      </w:r>
      <w:r>
        <w:t xml:space="preserve">“</w:t>
      </w:r>
      <w:r>
        <w:t xml:space="preserve">Greenleaf GC Review.</w:t>
      </w:r>
      <w:r>
        <w:t xml:space="preserve">”</w:t>
      </w:r>
      <w:r>
        <w:t xml:space="preserve"> </w:t>
      </w:r>
      <w:r>
        <w:t xml:space="preserve">The principal revisions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Location</w:t>
            </w:r>
          </w:p>
        </w:tc>
        <w:tc>
          <w:tcPr/>
          <w:p>
            <w:pPr>
              <w:pStyle w:val="Compact"/>
              <w:jc w:val="left"/>
            </w:pPr>
            <w:r>
              <w:t xml:space="preserve">Revision</w:t>
            </w:r>
          </w:p>
        </w:tc>
      </w:tr>
      <w:tr>
        <w:tc>
          <w:tcPr/>
          <w:p>
            <w:pPr>
              <w:pStyle w:val="Compact"/>
              <w:jc w:val="left"/>
            </w:pPr>
            <w:r>
              <w:t xml:space="preserve">Preamble &amp; §1(b)</w:t>
            </w:r>
          </w:p>
        </w:tc>
        <w:tc>
          <w:tcPr/>
          <w:p>
            <w:pPr>
              <w:pStyle w:val="Compact"/>
              <w:jc w:val="left"/>
            </w:pPr>
            <w:r>
              <w:t xml:space="preserve">“</w:t>
            </w:r>
            <w:r>
              <w:t xml:space="preserve">Effective Date</w:t>
            </w:r>
            <w:r>
              <w:t xml:space="preserve">”</w:t>
            </w:r>
            <w:r>
              <w:t xml:space="preserve"> </w:t>
            </w:r>
            <w:r>
              <w:t xml:space="preserve">redefined as the 8th day after Delano signs, to account for the 7-day revocation period; preamble cross-references §1(b).</w:t>
            </w:r>
          </w:p>
        </w:tc>
      </w:tr>
      <w:tr>
        <w:tc>
          <w:tcPr/>
          <w:p>
            <w:pPr>
              <w:pStyle w:val="Compact"/>
              <w:jc w:val="left"/>
            </w:pPr>
            <w:r>
              <w:t xml:space="preserve">§3(d)</w:t>
            </w:r>
          </w:p>
        </w:tc>
        <w:tc>
          <w:tcPr/>
          <w:p>
            <w:pPr>
              <w:pStyle w:val="Compact"/>
              <w:jc w:val="left"/>
            </w:pPr>
            <w:r>
              <w:t xml:space="preserve">RSU fair market value corrected from $10.00 to $12.50 per share, referencing the January 15, 2025 409A valuation; component value corrected from $50,000 to $62,500.</w:t>
            </w:r>
          </w:p>
        </w:tc>
      </w:tr>
      <w:tr>
        <w:tc>
          <w:tcPr/>
          <w:p>
            <w:pPr>
              <w:pStyle w:val="Compact"/>
              <w:jc w:val="left"/>
            </w:pPr>
            <w:r>
              <w:t xml:space="preserve">§3(e)</w:t>
            </w:r>
          </w:p>
        </w:tc>
        <w:tc>
          <w:tcPr/>
          <w:p>
            <w:pPr>
              <w:pStyle w:val="Compact"/>
              <w:jc w:val="left"/>
            </w:pPr>
            <w:r>
              <w:t xml:space="preserve">Total settlement value corrected from $525,000 to $537,500.</w:t>
            </w:r>
          </w:p>
        </w:tc>
      </w:tr>
      <w:tr>
        <w:tc>
          <w:tcPr/>
          <w:p>
            <w:pPr>
              <w:pStyle w:val="Compact"/>
              <w:jc w:val="left"/>
            </w:pPr>
            <w:r>
              <w:t xml:space="preserve">§5(c)</w:t>
            </w:r>
          </w:p>
        </w:tc>
        <w:tc>
          <w:tcPr/>
          <w:p>
            <w:pPr>
              <w:pStyle w:val="Compact"/>
              <w:jc w:val="left"/>
            </w:pPr>
            <w:r>
              <w:t xml:space="preserve">ADEA consideration period corrected from 14 to 21 calendar days.</w:t>
            </w:r>
          </w:p>
        </w:tc>
      </w:tr>
      <w:tr>
        <w:tc>
          <w:tcPr/>
          <w:p>
            <w:pPr>
              <w:pStyle w:val="Compact"/>
              <w:jc w:val="left"/>
            </w:pPr>
            <w:r>
              <w:t xml:space="preserve">§5(g)–(h) (new)</w:t>
            </w:r>
          </w:p>
        </w:tc>
        <w:tc>
          <w:tcPr/>
          <w:p>
            <w:pPr>
              <w:pStyle w:val="Compact"/>
              <w:jc w:val="left"/>
            </w:pPr>
            <w:r>
              <w:t xml:space="preserve">Added advisement to consult an attorney and acknowledgment of the 7-day revocation right.</w:t>
            </w:r>
          </w:p>
        </w:tc>
      </w:tr>
      <w:tr>
        <w:tc>
          <w:tcPr/>
          <w:p>
            <w:pPr>
              <w:pStyle w:val="Compact"/>
              <w:jc w:val="left"/>
            </w:pPr>
            <w:r>
              <w:t xml:space="preserve">§6 (new (v) + sentence)</w:t>
            </w:r>
          </w:p>
        </w:tc>
        <w:tc>
          <w:tcPr/>
          <w:p>
            <w:pPr>
              <w:pStyle w:val="Compact"/>
              <w:jc w:val="left"/>
            </w:pPr>
            <w:r>
              <w:t xml:space="preserve">Added government-agency/whistleblower carve-out to confidentiality.</w:t>
            </w:r>
          </w:p>
        </w:tc>
      </w:tr>
      <w:tr>
        <w:tc>
          <w:tcPr/>
          <w:p>
            <w:pPr>
              <w:pStyle w:val="Compact"/>
              <w:jc w:val="left"/>
            </w:pPr>
            <w:r>
              <w:t xml:space="preserve">§7</w:t>
            </w:r>
          </w:p>
        </w:tc>
        <w:tc>
          <w:tcPr/>
          <w:p>
            <w:pPr>
              <w:pStyle w:val="Compact"/>
              <w:jc w:val="left"/>
            </w:pPr>
            <w:r>
              <w:t xml:space="preserve">“</w:t>
            </w:r>
            <w:r>
              <w:t xml:space="preserve">In perpetuity</w:t>
            </w:r>
            <w:r>
              <w:t xml:space="preserve">”</w:t>
            </w:r>
            <w:r>
              <w:t xml:space="preserve"> </w:t>
            </w:r>
            <w:r>
              <w:t xml:space="preserve">changed to five (5) years; added government-agency carve-out.</w:t>
            </w:r>
          </w:p>
        </w:tc>
      </w:tr>
      <w:tr>
        <w:tc>
          <w:tcPr/>
          <w:p>
            <w:pPr>
              <w:pStyle w:val="Compact"/>
              <w:jc w:val="left"/>
            </w:pPr>
            <w:r>
              <w:t xml:space="preserve">§9</w:t>
            </w:r>
          </w:p>
        </w:tc>
        <w:tc>
          <w:tcPr/>
          <w:p>
            <w:pPr>
              <w:pStyle w:val="Compact"/>
              <w:jc w:val="left"/>
            </w:pPr>
            <w:r>
              <w:t xml:space="preserve">Removed California from the non-compete geographic scope.</w:t>
            </w:r>
          </w:p>
        </w:tc>
      </w:tr>
      <w:tr>
        <w:tc>
          <w:tcPr/>
          <w:p>
            <w:pPr>
              <w:pStyle w:val="Compact"/>
              <w:jc w:val="left"/>
            </w:pPr>
            <w:r>
              <w:t xml:space="preserve">§15(a)(ii)</w:t>
            </w:r>
          </w:p>
        </w:tc>
        <w:tc>
          <w:tcPr/>
          <w:p>
            <w:pPr>
              <w:pStyle w:val="Compact"/>
              <w:jc w:val="left"/>
            </w:pPr>
            <w:r>
              <w:t xml:space="preserve">Added government-agency cooperation carve-out to the no-future-filing representation.</w:t>
            </w:r>
          </w:p>
        </w:tc>
      </w:tr>
      <w:tr>
        <w:tc>
          <w:tcPr/>
          <w:p>
            <w:pPr>
              <w:pStyle w:val="Compact"/>
              <w:jc w:val="left"/>
            </w:pPr>
            <w:r>
              <w:t xml:space="preserve">§16</w:t>
            </w:r>
          </w:p>
        </w:tc>
        <w:tc>
          <w:tcPr/>
          <w:p>
            <w:pPr>
              <w:pStyle w:val="Compact"/>
              <w:jc w:val="left"/>
            </w:pPr>
            <w:r>
              <w:t xml:space="preserve">Consideration period corrected from 14 to 21 days; added 7-day revocation period and mechanics.</w:t>
            </w:r>
          </w:p>
        </w:tc>
      </w:tr>
      <w:tr>
        <w:tc>
          <w:tcPr/>
          <w:p>
            <w:pPr>
              <w:pStyle w:val="Compact"/>
              <w:jc w:val="left"/>
            </w:pPr>
            <w:r>
              <w:t xml:space="preserve">§2 (new sentence)</w:t>
            </w:r>
          </w:p>
        </w:tc>
        <w:tc>
          <w:tcPr/>
          <w:p>
            <w:pPr>
              <w:pStyle w:val="Compact"/>
              <w:jc w:val="left"/>
            </w:pPr>
            <w:r>
              <w:t xml:space="preserve">Preserved vested 401(k) benefits and rollover rights.</w:t>
            </w:r>
          </w:p>
        </w:tc>
      </w:tr>
      <w:tr>
        <w:tc>
          <w:tcPr/>
          <w:p>
            <w:pPr>
              <w:pStyle w:val="Compact"/>
              <w:jc w:val="left"/>
            </w:pPr>
            <w:r>
              <w:t xml:space="preserve">§§19–24 (new)</w:t>
            </w:r>
          </w:p>
        </w:tc>
        <w:tc>
          <w:tcPr/>
          <w:p>
            <w:pPr>
              <w:pStyle w:val="Compact"/>
              <w:jc w:val="left"/>
            </w:pPr>
            <w:r>
              <w:t xml:space="preserve">Return of Company Property; Cooperation; Confidential Information of Greenleaf (with DTSA notice); Governing Law and Venue; Enforcement and Attorneys’ Fees; Acknowledgment Regarding Government Investigations.</w:t>
            </w:r>
          </w:p>
        </w:tc>
      </w:tr>
    </w:tbl>
    <w:bookmarkEnd w:id="24"/>
    <w:bookmarkStart w:id="37" w:name="X5d893cc0db0596f247656ba0ae4a0f0d762093b"/>
    <w:p>
      <w:pPr>
        <w:pStyle w:val="Heading2"/>
      </w:pPr>
      <w:r>
        <w:t xml:space="preserve">IV. Issue-by-Issue Analysis and Recommendations</w:t>
      </w:r>
    </w:p>
    <w:bookmarkStart w:id="25" w:name="a.-owbpa-adea-release-critical-redlined"/>
    <w:p>
      <w:pPr>
        <w:pStyle w:val="Heading3"/>
      </w:pPr>
      <w:r>
        <w:t xml:space="preserve">A. OWBPA / ADEA Release — Critical (redlined)</w:t>
      </w:r>
    </w:p>
    <w:p>
      <w:pPr>
        <w:pStyle w:val="FirstParagraph"/>
      </w:pPr>
      <w:r>
        <w:t xml:space="preserve">Delano is 58 years old (DOB 07/14/1966), so any release of ADEA claims must satisfy the OWBPA, 29 U.S.C. § 626(f), to be</w:t>
      </w:r>
      <w:r>
        <w:t xml:space="preserve"> </w:t>
      </w:r>
      <w:r>
        <w:t xml:space="preserve">“</w:t>
      </w:r>
      <w:r>
        <w:t xml:space="preserve">knowing and voluntary.</w:t>
      </w:r>
      <w:r>
        <w:t xml:space="preserve">”</w:t>
      </w:r>
      <w:r>
        <w:t xml:space="preserve"> </w:t>
      </w:r>
      <w:r>
        <w:t xml:space="preserve">The Draft fails this standard in two material respects:</w:t>
      </w:r>
    </w:p>
    <w:p>
      <w:pPr>
        <w:numPr>
          <w:ilvl w:val="0"/>
          <w:numId w:val="1001"/>
        </w:numPr>
      </w:pPr>
      <w:r>
        <w:rPr>
          <w:b/>
          <w:bCs/>
        </w:rPr>
        <w:t xml:space="preserve">Consideration period is too short.</w:t>
      </w:r>
      <w:r>
        <w:t xml:space="preserve"> </w:t>
      </w:r>
      <w:r>
        <w:t xml:space="preserve">Section 5(c) and Section 16 give Delano only</w:t>
      </w:r>
      <w:r>
        <w:t xml:space="preserve"> </w:t>
      </w:r>
      <w:r>
        <w:rPr>
          <w:b/>
          <w:bCs/>
        </w:rPr>
        <w:t xml:space="preserve">14 calendar days</w:t>
      </w:r>
      <w:r>
        <w:t xml:space="preserve"> </w:t>
      </w:r>
      <w:r>
        <w:t xml:space="preserve">to consider the agreement. For an individual (non-group) termination, the OWBPA requires a minimum of</w:t>
      </w:r>
      <w:r>
        <w:t xml:space="preserve"> </w:t>
      </w:r>
      <w:r>
        <w:rPr>
          <w:b/>
          <w:bCs/>
        </w:rPr>
        <w:t xml:space="preserve">21 calendar days</w:t>
      </w:r>
      <w:r>
        <w:t xml:space="preserve">. A 14-day period renders the ADEA release vulnerable to challenge and could allow Delano to keep the consideration and still sue for age discrimination.</w:t>
      </w:r>
    </w:p>
    <w:p>
      <w:pPr>
        <w:numPr>
          <w:ilvl w:val="0"/>
          <w:numId w:val="1001"/>
        </w:numPr>
      </w:pPr>
      <w:r>
        <w:rPr>
          <w:b/>
          <w:bCs/>
        </w:rPr>
        <w:t xml:space="preserve">No revocation period.</w:t>
      </w:r>
      <w:r>
        <w:t xml:space="preserve"> </w:t>
      </w:r>
      <w:r>
        <w:t xml:space="preserve">The OWBPA requires a period of</w:t>
      </w:r>
      <w:r>
        <w:t xml:space="preserve"> </w:t>
      </w:r>
      <w:r>
        <w:rPr>
          <w:b/>
          <w:bCs/>
        </w:rPr>
        <w:t xml:space="preserve">at least 7 calendar days</w:t>
      </w:r>
      <w:r>
        <w:t xml:space="preserve"> </w:t>
      </w:r>
      <w:r>
        <w:t xml:space="preserve">to revoke after signing, during which the release is not effective. The Draft contains</w:t>
      </w:r>
      <w:r>
        <w:t xml:space="preserve"> </w:t>
      </w:r>
      <w:r>
        <w:rPr>
          <w:b/>
          <w:bCs/>
        </w:rPr>
        <w:t xml:space="preserve">no revocation period at all</w:t>
      </w:r>
      <w:r>
        <w:t xml:space="preserve">, and defines the</w:t>
      </w:r>
      <w:r>
        <w:t xml:space="preserve"> </w:t>
      </w:r>
      <w:r>
        <w:t xml:space="preserve">“</w:t>
      </w:r>
      <w:r>
        <w:t xml:space="preserve">Effective Date</w:t>
      </w:r>
      <w:r>
        <w:t xml:space="preserve">”</w:t>
      </w:r>
      <w:r>
        <w:t xml:space="preserve"> </w:t>
      </w:r>
      <w:r>
        <w:t xml:space="preserve">as the signing date (May 5, 2025). This is a serious defect: without a compliant revocation period, the ADEA release is presumptively invalid.</w:t>
      </w:r>
    </w:p>
    <w:p>
      <w:pPr>
        <w:pStyle w:val="FirstParagraph"/>
      </w:pPr>
      <w:r>
        <w:t xml:space="preserve">We redlined the consideration period to 21 days (§5(c), §16), added a 7-day revocation period with mechanics (§16, and an acknowledgment in new §5(h)), added an advisement to consult counsel (new §5(g)), and redefined the</w:t>
      </w:r>
      <w:r>
        <w:t xml:space="preserve"> </w:t>
      </w:r>
      <w:r>
        <w:t xml:space="preserve">“</w:t>
      </w:r>
      <w:r>
        <w:t xml:space="preserve">Effective Date</w:t>
      </w:r>
      <w:r>
        <w:t xml:space="preserve">”</w:t>
      </w:r>
      <w:r>
        <w:t xml:space="preserve"> </w:t>
      </w:r>
      <w:r>
        <w:t xml:space="preserve">to the 8th day after signing so that payment timing (§3, within 14 days of the Effective Date) runs only after the revocation window closes.</w:t>
      </w:r>
      <w:r>
        <w:t xml:space="preserve"> </w:t>
      </w:r>
      <w:r>
        <w:rPr>
          <w:b/>
          <w:bCs/>
        </w:rPr>
        <w:t xml:space="preserve">These changes are essential; without them Greenleaf likely does not obtain a valid release of the ADEA claim — the most valuable claim being settled.</w:t>
      </w:r>
    </w:p>
    <w:bookmarkEnd w:id="25"/>
    <w:bookmarkStart w:id="26" w:name="b.-rsu-valuation-critical-redlined"/>
    <w:p>
      <w:pPr>
        <w:pStyle w:val="Heading3"/>
      </w:pPr>
      <w:r>
        <w:t xml:space="preserve">B. RSU Valuation — Critical (redlined)</w:t>
      </w:r>
    </w:p>
    <w:p>
      <w:pPr>
        <w:pStyle w:val="FirstParagraph"/>
      </w:pPr>
      <w:r>
        <w:t xml:space="preserve">Section 3(d) states that the fair market value of each accelerated RSU is</w:t>
      </w:r>
      <w:r>
        <w:t xml:space="preserve"> </w:t>
      </w:r>
      <w:r>
        <w:rPr>
          <w:b/>
          <w:bCs/>
        </w:rPr>
        <w:t xml:space="preserve">$10.00 per share</w:t>
      </w:r>
      <w:r>
        <w:t xml:space="preserve">,</w:t>
      </w:r>
      <w:r>
        <w:t xml:space="preserve"> </w:t>
      </w:r>
      <w:r>
        <w:t xml:space="preserve">“</w:t>
      </w:r>
      <w:r>
        <w:t xml:space="preserve">based on the most recent independent valuation conducted by Ridgepoint Valuation Services,</w:t>
      </w:r>
      <w:r>
        <w:t xml:space="preserve">”</w:t>
      </w:r>
      <w:r>
        <w:t xml:space="preserve"> </w:t>
      </w:r>
      <w:r>
        <w:t xml:space="preserve">yielding a component value of $50,000 and a total settlement value of $525,000. The employment records show this is</w:t>
      </w:r>
      <w:r>
        <w:t xml:space="preserve"> </w:t>
      </w:r>
      <w:r>
        <w:rPr>
          <w:b/>
          <w:bCs/>
        </w:rPr>
        <w:t xml:space="preserve">factually incorrect</w:t>
      </w:r>
      <w:r>
        <w:t xml:space="preserve">: the most recent 409A valuation, by Ridgepoint, is dated</w:t>
      </w:r>
      <w:r>
        <w:t xml:space="preserve"> </w:t>
      </w:r>
      <w:r>
        <w:rPr>
          <w:b/>
          <w:bCs/>
        </w:rPr>
        <w:t xml:space="preserve">January 15, 2025 and values the shares at $12.50</w:t>
      </w:r>
      <w:r>
        <w:t xml:space="preserve">. The $10.00 figure is the July 1, 2024 valuation, which is no longer the most recent.</w:t>
      </w:r>
    </w:p>
    <w:p>
      <w:pPr>
        <w:pStyle w:val="BodyText"/>
      </w:pPr>
      <w:r>
        <w:t xml:space="preserve">Greenleaf should not execute an agreement containing a demonstrably false statement about the valuation. We redlined the per-share value to $12.50 (referencing the January 15, 2025 valuation), the component value to $62,500, and the total to $537,500. The</w:t>
      </w:r>
      <w:r>
        <w:t xml:space="preserve"> </w:t>
      </w:r>
      <w:r>
        <w:rPr>
          <w:b/>
          <w:bCs/>
        </w:rPr>
        <w:t xml:space="preserve">number of shares accelerated (5,000 of the 7,500 forfeited) is unchanged</w:t>
      </w:r>
      <w:r>
        <w:t xml:space="preserve">; the correction is to the stated value and total for accuracy. Note that the actual tax consequence to Delano at vesting will be based on the fair market value at the time of vesting in any event, so the correction does not change the shares delivered — only the accuracy of the recited value. Confirm that the Compensation Committee has approved the acceleration under the 2021 Equity Incentive Plan before execution.</w:t>
      </w:r>
    </w:p>
    <w:bookmarkEnd w:id="26"/>
    <w:bookmarkStart w:id="27" w:name="Xe79f1e1835caad8fb7d337f58c726988f808daf"/>
    <w:p>
      <w:pPr>
        <w:pStyle w:val="Heading3"/>
      </w:pPr>
      <w:r>
        <w:t xml:space="preserve">C. Replacement Hire and the</w:t>
      </w:r>
      <w:r>
        <w:t xml:space="preserve"> </w:t>
      </w:r>
      <w:r>
        <w:t xml:space="preserve">“</w:t>
      </w:r>
      <w:r>
        <w:t xml:space="preserve">Reorganization</w:t>
      </w:r>
      <w:r>
        <w:t xml:space="preserve">”</w:t>
      </w:r>
      <w:r>
        <w:t xml:space="preserve"> </w:t>
      </w:r>
      <w:r>
        <w:t xml:space="preserve">Defense — Critical (risk; not a text fix)</w:t>
      </w:r>
    </w:p>
    <w:p>
      <w:pPr>
        <w:pStyle w:val="FirstParagraph"/>
      </w:pPr>
      <w:r>
        <w:t xml:space="preserve">The Draft recites that Greenleaf</w:t>
      </w:r>
      <w:r>
        <w:t xml:space="preserve"> </w:t>
      </w:r>
      <w:r>
        <w:t xml:space="preserve">“</w:t>
      </w:r>
      <w:r>
        <w:t xml:space="preserve">contends that Delano’s termination was the result of a legitimate business reorganization unrelated to any complaint or protected activity.</w:t>
      </w:r>
      <w:r>
        <w:t xml:space="preserve">”</w:t>
      </w:r>
      <w:r>
        <w:t xml:space="preserve"> </w:t>
      </w:r>
      <w:r>
        <w:t xml:space="preserve">Greenleaf’s own records contradict that contention:</w:t>
      </w:r>
      <w:r>
        <w:t xml:space="preserve"> </w:t>
      </w:r>
      <w:r>
        <w:rPr>
          <w:b/>
          <w:bCs/>
        </w:rPr>
        <w:t xml:space="preserve">Raj Mehta was hired as Senior Director of Supply Chain &amp; Logistics on March 20, 2025 — six days after Delano’s March 14, 2025 termination — at $185,000.</w:t>
      </w:r>
      <w:r>
        <w:t xml:space="preserve"> </w:t>
      </w:r>
      <w:r>
        <w:t xml:space="preserve">The timeline is unfavorable:</w:t>
      </w:r>
    </w:p>
    <w:p>
      <w:pPr>
        <w:pStyle w:val="Compact"/>
        <w:numPr>
          <w:ilvl w:val="0"/>
          <w:numId w:val="1002"/>
        </w:numPr>
      </w:pPr>
      <w:r>
        <w:t xml:space="preserve">Nov. 8, 2024 — Delano’s internal cold-chain/FDA complaint to HR;</w:t>
      </w:r>
    </w:p>
    <w:p>
      <w:pPr>
        <w:pStyle w:val="Compact"/>
        <w:numPr>
          <w:ilvl w:val="0"/>
          <w:numId w:val="1002"/>
        </w:numPr>
      </w:pPr>
      <w:r>
        <w:t xml:space="preserve">Dec. 3, 2024 — Delano’s Oregon OSHA complaint (No. OR-OSHA-2024-11872);</w:t>
      </w:r>
    </w:p>
    <w:p>
      <w:pPr>
        <w:pStyle w:val="Compact"/>
        <w:numPr>
          <w:ilvl w:val="0"/>
          <w:numId w:val="1002"/>
        </w:numPr>
      </w:pPr>
      <w:r>
        <w:t xml:space="preserve">Jan. 22, 2025 — OSHA opens formal investigation (still pending);</w:t>
      </w:r>
    </w:p>
    <w:p>
      <w:pPr>
        <w:pStyle w:val="Compact"/>
        <w:numPr>
          <w:ilvl w:val="0"/>
          <w:numId w:val="1002"/>
        </w:numPr>
      </w:pPr>
      <w:r>
        <w:t xml:space="preserve">Feb. 10, 2025 — Delano placed on paid administrative leave;</w:t>
      </w:r>
    </w:p>
    <w:p>
      <w:pPr>
        <w:pStyle w:val="Compact"/>
        <w:numPr>
          <w:ilvl w:val="0"/>
          <w:numId w:val="1002"/>
        </w:numPr>
      </w:pPr>
      <w:r>
        <w:t xml:space="preserve">Mar. 14, 2025 — Delano terminated (</w:t>
      </w:r>
      <w:r>
        <w:t xml:space="preserve">“</w:t>
      </w:r>
      <w:r>
        <w:t xml:space="preserve">elimination of position</w:t>
      </w:r>
      <w:r>
        <w:t xml:space="preserve">”</w:t>
      </w:r>
      <w:r>
        <w:t xml:space="preserve">);</w:t>
      </w:r>
    </w:p>
    <w:p>
      <w:pPr>
        <w:pStyle w:val="Compact"/>
        <w:numPr>
          <w:ilvl w:val="0"/>
          <w:numId w:val="1002"/>
        </w:numPr>
      </w:pPr>
      <w:r>
        <w:t xml:space="preserve">Mar. 20, 2025 — replacement hired into a substantially equivalent role.</w:t>
      </w:r>
    </w:p>
    <w:p>
      <w:pPr>
        <w:pStyle w:val="FirstParagraph"/>
      </w:pPr>
      <w:r>
        <w:t xml:space="preserve">This sequence is strong evidence of pretext under both ORS 654.062(5) (whistleblower retaliation) and the ADEA (the replacement is paid less, supporting an inference of age-based cost-cutting). The recital is framed as a</w:t>
      </w:r>
      <w:r>
        <w:t xml:space="preserve"> </w:t>
      </w:r>
      <w:r>
        <w:t xml:space="preserve">“</w:t>
      </w:r>
      <w:r>
        <w:t xml:space="preserve">contention,</w:t>
      </w:r>
      <w:r>
        <w:t xml:space="preserve">”</w:t>
      </w:r>
      <w:r>
        <w:t xml:space="preserve"> </w:t>
      </w:r>
      <w:r>
        <w:t xml:space="preserve">so it is not itself a false statement of fact, and we have not redlined it.</w:t>
      </w:r>
      <w:r>
        <w:t xml:space="preserve"> </w:t>
      </w:r>
      <w:r>
        <w:rPr>
          <w:b/>
          <w:bCs/>
        </w:rPr>
        <w:t xml:space="preserve">However, you should (i) not rely on the reorganization rationale in any reference response or future statement, (ii) recognize that the company’s own records would impeach that rationale in any litigation or OSHA proceeding, and (iii) treat the settlement as a favorable resolution of substantial exposure rather than as a vindication of the stated rationale.</w:t>
      </w:r>
      <w:r>
        <w:t xml:space="preserve"> </w:t>
      </w:r>
      <w:r>
        <w:t xml:space="preserve">Consider whether a litigation hold should be issued for relevant supply-chain reorganization and hiring documents.</w:t>
      </w:r>
    </w:p>
    <w:bookmarkEnd w:id="27"/>
    <w:bookmarkStart w:id="28" w:name="Xa0c88b41a3021c54badf83c576cc2badbe13b1c"/>
    <w:p>
      <w:pPr>
        <w:pStyle w:val="Heading3"/>
      </w:pPr>
      <w:r>
        <w:t xml:space="preserve">D. Non-Competition — High (partially redlined)</w:t>
      </w:r>
    </w:p>
    <w:p>
      <w:pPr>
        <w:pStyle w:val="FirstParagraph"/>
      </w:pPr>
      <w:r>
        <w:t xml:space="preserve">Section 9 imposes an 18-month non-compete across Oregon, Washington, Idaho, and California. Two problems:</w:t>
      </w:r>
    </w:p>
    <w:p>
      <w:pPr>
        <w:numPr>
          <w:ilvl w:val="0"/>
          <w:numId w:val="1003"/>
        </w:numPr>
      </w:pPr>
      <w:r>
        <w:rPr>
          <w:b/>
          <w:bCs/>
        </w:rPr>
        <w:t xml:space="preserve">California is void.</w:t>
      </w:r>
      <w:r>
        <w:t xml:space="preserve"> </w:t>
      </w:r>
      <w:r>
        <w:t xml:space="preserve">California Business &amp; Professions Code § 16600 voids non-competes except in narrow circumstances not present here. A non-compete purporting to restrict work in California is unenforceable as to California and should be removed. We redlined California out of the geographic scope.</w:t>
      </w:r>
    </w:p>
    <w:p>
      <w:pPr>
        <w:numPr>
          <w:ilvl w:val="0"/>
          <w:numId w:val="1003"/>
        </w:numPr>
      </w:pPr>
      <w:r>
        <w:rPr>
          <w:b/>
          <w:bCs/>
        </w:rPr>
        <w:t xml:space="preserve">Oregon enforceability is uncertain.</w:t>
      </w:r>
      <w:r>
        <w:t xml:space="preserve"> </w:t>
      </w:r>
      <w:r>
        <w:t xml:space="preserve">ORS 653.295 imposes conditions on non-competes (written notice, salary threshold, bona fide advancement, a 14-day review window, and an 18-month maximum). Those requirements are generally framed for agreements entered into during employment; whether they apply to a</w:t>
      </w:r>
      <w:r>
        <w:t xml:space="preserve"> </w:t>
      </w:r>
      <w:r>
        <w:rPr>
          <w:b/>
          <w:bCs/>
        </w:rPr>
        <w:t xml:space="preserve">post-termination settlement agreement</w:t>
      </w:r>
      <w:r>
        <w:t xml:space="preserve"> </w:t>
      </w:r>
      <w:r>
        <w:t xml:space="preserve">is unsettled, and a court could decline to enforce the covenant if the statutory prerequisites were not satisfied. The 18-month term is at the statutory maximum.</w:t>
      </w:r>
      <w:r>
        <w:t xml:space="preserve"> </w:t>
      </w:r>
      <w:r>
        <w:rPr>
          <w:b/>
          <w:bCs/>
        </w:rPr>
        <w:t xml:space="preserve">We recommend Oregon employment counsel confirm enforceability before relying on this provision.</w:t>
      </w:r>
    </w:p>
    <w:p>
      <w:pPr>
        <w:numPr>
          <w:ilvl w:val="0"/>
          <w:numId w:val="1003"/>
        </w:numPr>
      </w:pPr>
      <w:r>
        <w:rPr>
          <w:b/>
          <w:bCs/>
        </w:rPr>
        <w:t xml:space="preserve">Strategic/optics risk.</w:t>
      </w:r>
      <w:r>
        <w:t xml:space="preserve"> </w:t>
      </w:r>
      <w:r>
        <w:t xml:space="preserve">Imposing a non-compete on an employee who just settled whistleblower-retaliation claims is vulnerable to challenge as further retaliation or as an unreasonable restraint on protected activity. Weigh whether the marginal protection is worth that risk. We did not delete the non-compete (that is a business judgment for you), but we flag it prominently.</w:t>
      </w:r>
    </w:p>
    <w:bookmarkEnd w:id="28"/>
    <w:bookmarkStart w:id="29" w:name="X738509c92bacf9e8652126e585e01dfc6516fd4"/>
    <w:p>
      <w:pPr>
        <w:pStyle w:val="Heading3"/>
      </w:pPr>
      <w:r>
        <w:t xml:space="preserve">E. Confidentiality, Non-Disparagement, and Whistleblower Carve-Outs — High (redlined)</w:t>
      </w:r>
    </w:p>
    <w:p>
      <w:pPr>
        <w:pStyle w:val="FirstParagraph"/>
      </w:pPr>
      <w:r>
        <w:t xml:space="preserve">Sections 6 and 7 contain broad confidentiality and non-disparagement obligations but</w:t>
      </w:r>
      <w:r>
        <w:t xml:space="preserve"> </w:t>
      </w:r>
      <w:r>
        <w:rPr>
          <w:b/>
          <w:bCs/>
        </w:rPr>
        <w:t xml:space="preserve">no carve-out for reporting to government agencies, participating in government investigations, or receiving whistleblower awards.</w:t>
      </w:r>
      <w:r>
        <w:t xml:space="preserve"> </w:t>
      </w:r>
      <w:r>
        <w:t xml:space="preserve">Given that Delano is an active whistleblower with a pending OSHA investigation, the absence of these carve-outs (a) renders the clauses vulnerable to challenge as overbroad and retaliatory, (b) is inconsistent with the positions of the EEOC, OSHA, the SEC, and the NLRB, and (c) creates avoidable retaliation exposure. We redlined:</w:t>
      </w:r>
    </w:p>
    <w:p>
      <w:pPr>
        <w:pStyle w:val="Compact"/>
        <w:numPr>
          <w:ilvl w:val="0"/>
          <w:numId w:val="1004"/>
        </w:numPr>
      </w:pPr>
      <w:r>
        <w:t xml:space="preserve">a new exception (v) and a general protective sentence in §6 (confidentiality);</w:t>
      </w:r>
    </w:p>
    <w:p>
      <w:pPr>
        <w:pStyle w:val="Compact"/>
        <w:numPr>
          <w:ilvl w:val="0"/>
          <w:numId w:val="1004"/>
        </w:numPr>
      </w:pPr>
      <w:r>
        <w:t xml:space="preserve">a government-agency carve-out in §7 (non-disparagement); and</w:t>
      </w:r>
    </w:p>
    <w:p>
      <w:pPr>
        <w:pStyle w:val="Compact"/>
        <w:numPr>
          <w:ilvl w:val="0"/>
          <w:numId w:val="1004"/>
        </w:numPr>
      </w:pPr>
      <w:r>
        <w:t xml:space="preserve">a corresponding carve-out in §15(a)(ii).</w:t>
      </w:r>
    </w:p>
    <w:p>
      <w:pPr>
        <w:pStyle w:val="FirstParagraph"/>
      </w:pPr>
      <w:r>
        <w:t xml:space="preserve">We also added new §24, acknowledging that the OSHA investigation is a governmental proceeding that proceeds independently and that the release affects only Delano’s private claims.</w:t>
      </w:r>
    </w:p>
    <w:bookmarkEnd w:id="29"/>
    <w:bookmarkStart w:id="30" w:name="X93c95140a26b9546f9569dd12eec6cc4f140dfc"/>
    <w:p>
      <w:pPr>
        <w:pStyle w:val="Heading3"/>
      </w:pPr>
      <w:r>
        <w:t xml:space="preserve">F. Release of OSHA/Whistleblower Claims and the Future-Filing Bar — High (redlined)</w:t>
      </w:r>
    </w:p>
    <w:p>
      <w:pPr>
        <w:pStyle w:val="FirstParagraph"/>
      </w:pPr>
      <w:r>
        <w:t xml:space="preserve">The release of Delano’s</w:t>
      </w:r>
      <w:r>
        <w:t xml:space="preserve"> </w:t>
      </w:r>
      <w:r>
        <w:rPr>
          <w:b/>
          <w:bCs/>
        </w:rPr>
        <w:t xml:space="preserve">accrued</w:t>
      </w:r>
      <w:r>
        <w:t xml:space="preserve"> </w:t>
      </w:r>
      <w:r>
        <w:t xml:space="preserve">private whistleblower/retaliation claims (§4) is enforceable as a settlement of disputed claims. The problem is §15(a)(ii), which represents that Delano</w:t>
      </w:r>
      <w:r>
        <w:t xml:space="preserve"> </w:t>
      </w:r>
      <w:r>
        <w:t xml:space="preserve">“</w:t>
      </w:r>
      <w:r>
        <w:t xml:space="preserve">agrees not to file any such lawsuit, complaint, charge, or proceeding in the future … except as may be required by law.</w:t>
      </w:r>
      <w:r>
        <w:t xml:space="preserve">”</w:t>
      </w:r>
      <w:r>
        <w:t xml:space="preserve"> </w:t>
      </w:r>
      <w:r>
        <w:t xml:space="preserve">A private agreement cannot stop a government investigation, and a broad bar on cooperating with agencies is both unenforceable and, in this context, retaliatory in appearance. We redlined a government-cooperation carve-out into §15(a)(ii) so that Delano remains free to report to and cooperate with agencies and to receive awards, without notice to or approval from Greenleaf. This protects the enforceability of the rest of the release and reduces retaliation exposure.</w:t>
      </w:r>
    </w:p>
    <w:bookmarkEnd w:id="30"/>
    <w:bookmarkStart w:id="31" w:name="Xc0a97fc2439ec1d38f09325580ccf43558b32b3"/>
    <w:p>
      <w:pPr>
        <w:pStyle w:val="Heading3"/>
      </w:pPr>
      <w:r>
        <w:t xml:space="preserve">G. Missing Governing Law, Venue, and Enforcement Provisions — Moderate (redlined)</w:t>
      </w:r>
    </w:p>
    <w:p>
      <w:pPr>
        <w:pStyle w:val="FirstParagraph"/>
      </w:pPr>
      <w:r>
        <w:t xml:space="preserve">The Draft contains</w:t>
      </w:r>
      <w:r>
        <w:t xml:space="preserve"> </w:t>
      </w:r>
      <w:r>
        <w:rPr>
          <w:b/>
          <w:bCs/>
        </w:rPr>
        <w:t xml:space="preserve">no governing-law, venue, or enforcement/attorneys’-fees clause.</w:t>
      </w:r>
      <w:r>
        <w:t xml:space="preserve"> </w:t>
      </w:r>
      <w:r>
        <w:t xml:space="preserve">Without them, any enforcement dispute is procedurally messy and Greenleaf may not recover its fees even as a prevailing party. We added:</w:t>
      </w:r>
    </w:p>
    <w:p>
      <w:pPr>
        <w:pStyle w:val="Compact"/>
        <w:numPr>
          <w:ilvl w:val="0"/>
          <w:numId w:val="1005"/>
        </w:numPr>
      </w:pPr>
      <w:r>
        <w:rPr>
          <w:b/>
          <w:bCs/>
        </w:rPr>
        <w:t xml:space="preserve">§22 (Governing Law and Venue):</w:t>
      </w:r>
      <w:r>
        <w:t xml:space="preserve"> </w:t>
      </w:r>
      <w:r>
        <w:t xml:space="preserve">Oregon law; exclusive venue in Multnomah County, Oregon state or federal court.</w:t>
      </w:r>
    </w:p>
    <w:p>
      <w:pPr>
        <w:pStyle w:val="Compact"/>
        <w:numPr>
          <w:ilvl w:val="0"/>
          <w:numId w:val="1005"/>
        </w:numPr>
      </w:pPr>
      <w:r>
        <w:rPr>
          <w:b/>
          <w:bCs/>
        </w:rPr>
        <w:t xml:space="preserve">§23 (Enforcement and Attorneys’ Fees):</w:t>
      </w:r>
      <w:r>
        <w:t xml:space="preserve"> </w:t>
      </w:r>
      <w:r>
        <w:t xml:space="preserve">equitable remedies for breach (including injunctive relief without bond) and prevailing-party attorneys’ fees.</w:t>
      </w:r>
    </w:p>
    <w:bookmarkEnd w:id="31"/>
    <w:bookmarkStart w:id="32" w:name="Xe5f3c090c31f15011efbc7a15a4008fc040318a"/>
    <w:p>
      <w:pPr>
        <w:pStyle w:val="Heading3"/>
      </w:pPr>
      <w:r>
        <w:t xml:space="preserve">H. Missing Return-of-Property, Cooperation, and Confidential-Information Provisions — Moderate (redlined)</w:t>
      </w:r>
    </w:p>
    <w:p>
      <w:pPr>
        <w:pStyle w:val="FirstParagraph"/>
      </w:pPr>
      <w:r>
        <w:t xml:space="preserve">For a Vice President of Supply Chain Operations with access to vendors, pricing, cold-chain protocols, and trade secrets, the Draft is missing standard post-termination protections for Greenleaf. We added:</w:t>
      </w:r>
    </w:p>
    <w:p>
      <w:pPr>
        <w:pStyle w:val="Compact"/>
        <w:numPr>
          <w:ilvl w:val="0"/>
          <w:numId w:val="1006"/>
        </w:numPr>
      </w:pPr>
      <w:r>
        <w:rPr>
          <w:b/>
          <w:bCs/>
        </w:rPr>
        <w:t xml:space="preserve">§19 (Return of Company Property):</w:t>
      </w:r>
      <w:r>
        <w:t xml:space="preserve"> </w:t>
      </w:r>
      <w:r>
        <w:t xml:space="preserve">representation and obligation to return all company property and destroy/return confidential information.</w:t>
      </w:r>
    </w:p>
    <w:p>
      <w:pPr>
        <w:pStyle w:val="Compact"/>
        <w:numPr>
          <w:ilvl w:val="0"/>
          <w:numId w:val="1006"/>
        </w:numPr>
      </w:pPr>
      <w:r>
        <w:rPr>
          <w:b/>
          <w:bCs/>
        </w:rPr>
        <w:t xml:space="preserve">§20 (Cooperation):</w:t>
      </w:r>
      <w:r>
        <w:t xml:space="preserve"> </w:t>
      </w:r>
      <w:r>
        <w:t xml:space="preserve">reasonable cooperation on transition and matters Delano worked on, with expense reimbursement and a carve-out for conflicts with subsequent employment.</w:t>
      </w:r>
    </w:p>
    <w:p>
      <w:pPr>
        <w:pStyle w:val="Compact"/>
        <w:numPr>
          <w:ilvl w:val="0"/>
          <w:numId w:val="1006"/>
        </w:numPr>
      </w:pPr>
      <w:r>
        <w:rPr>
          <w:b/>
          <w:bCs/>
        </w:rPr>
        <w:t xml:space="preserve">§21 (Confidential Information of Greenleaf):</w:t>
      </w:r>
      <w:r>
        <w:t xml:space="preserve"> </w:t>
      </w:r>
      <w:r>
        <w:t xml:space="preserve">post-termination confidentiality of company information and trade secrets, with the</w:t>
      </w:r>
      <w:r>
        <w:t xml:space="preserve"> </w:t>
      </w:r>
      <w:r>
        <w:rPr>
          <w:b/>
          <w:bCs/>
        </w:rPr>
        <w:t xml:space="preserve">Defend Trade Secrets Act immunity notice (18 U.S.C. § 1833(b))</w:t>
      </w:r>
      <w:r>
        <w:t xml:space="preserve">, which both protects Greenleaf and is consistent with the whistleblower carve-outs elsewhere.</w:t>
      </w:r>
    </w:p>
    <w:bookmarkEnd w:id="32"/>
    <w:bookmarkStart w:id="33" w:name="Xaeb289164b11ec44e4f20dd6fd822f23430d0b4"/>
    <w:p>
      <w:pPr>
        <w:pStyle w:val="Heading3"/>
      </w:pPr>
      <w:r>
        <w:t xml:space="preserve">I. Tax Allocation — Moderate (memo only; verify with tax counsel)</w:t>
      </w:r>
    </w:p>
    <w:p>
      <w:pPr>
        <w:pStyle w:val="FirstParagraph"/>
      </w:pPr>
      <w:r>
        <w:t xml:space="preserve">The Draft allocates $275,000 to</w:t>
      </w:r>
      <w:r>
        <w:t xml:space="preserve"> </w:t>
      </w:r>
      <w:r>
        <w:t xml:space="preserve">“</w:t>
      </w:r>
      <w:r>
        <w:t xml:space="preserve">compensatory damages for emotional distress</w:t>
      </w:r>
      <w:r>
        <w:t xml:space="preserve">”</w:t>
      </w:r>
      <w:r>
        <w:t xml:space="preserve"> </w:t>
      </w:r>
      <w:r>
        <w:t xml:space="preserve">(non-wage, Form 1099-MISC, no payroll tax) and $125,000 to</w:t>
      </w:r>
      <w:r>
        <w:t xml:space="preserve"> </w:t>
      </w:r>
      <w:r>
        <w:t xml:space="preserve">“</w:t>
      </w:r>
      <w:r>
        <w:t xml:space="preserve">back pay</w:t>
      </w:r>
      <w:r>
        <w:t xml:space="preserve">”</w:t>
      </w:r>
      <w:r>
        <w:t xml:space="preserve"> </w:t>
      </w:r>
      <w:r>
        <w:t xml:space="preserve">(wages, Form W-2, full payroll tax). This allocation is favorable to both parties (it reduces FICA and employer payroll tax), but the IRS may scrutinize a heavy emotional-distress allocation where the primary claims are retaliation and wage-related. The $75,000 attorney-fee payment is made directly to Engel &amp; Associates on Form 1099-NEC; confirm with tax counsel whether any portion should also be reported to Delano under the assignment-of-income doctrine (Commissioner v. Banks). We did not redline the allocation (it is a negotiated term), but recommend tax-counsel review and a robust tax-counseling/disclaimer acknowledgment (the Draft’s §8 disclaimer is adequate in form).</w:t>
      </w:r>
    </w:p>
    <w:bookmarkEnd w:id="33"/>
    <w:bookmarkStart w:id="34" w:name="X70c2d6aeaaafeb6ee68e30f8a5fa40a33004ba4"/>
    <w:p>
      <w:pPr>
        <w:pStyle w:val="Heading3"/>
      </w:pPr>
      <w:r>
        <w:t xml:space="preserve">J. Non-Disparagement Duration — Low–Moderate (redlined)</w:t>
      </w:r>
    </w:p>
    <w:p>
      <w:pPr>
        <w:pStyle w:val="FirstParagraph"/>
      </w:pPr>
      <w:r>
        <w:t xml:space="preserve">Section 7’s non-disparagement obligation runs</w:t>
      </w:r>
      <w:r>
        <w:t xml:space="preserve"> </w:t>
      </w:r>
      <w:r>
        <w:t xml:space="preserve">“</w:t>
      </w:r>
      <w:r>
        <w:t xml:space="preserve">in perpetuity.</w:t>
      </w:r>
      <w:r>
        <w:t xml:space="preserve">”</w:t>
      </w:r>
      <w:r>
        <w:t xml:space="preserve"> </w:t>
      </w:r>
      <w:r>
        <w:t xml:space="preserve">Perpetual speech restrictions are disfavored and more vulnerable to challenge than a defined term. We redlined the duration to</w:t>
      </w:r>
      <w:r>
        <w:t xml:space="preserve"> </w:t>
      </w:r>
      <w:r>
        <w:rPr>
          <w:b/>
          <w:bCs/>
        </w:rPr>
        <w:t xml:space="preserve">five (5) years</w:t>
      </w:r>
      <w:r>
        <w:t xml:space="preserve"> </w:t>
      </w:r>
      <w:r>
        <w:t xml:space="preserve">from the Effective Date. This is a judgment call; if you prefer a longer or shorter term, it is easily adjusted.</w:t>
      </w:r>
    </w:p>
    <w:bookmarkEnd w:id="34"/>
    <w:bookmarkStart w:id="35" w:name="X5e1860e3d8e38a316b730373cc315874afce439"/>
    <w:p>
      <w:pPr>
        <w:pStyle w:val="Heading3"/>
      </w:pPr>
      <w:r>
        <w:t xml:space="preserve">K. 401(k) and Vested Benefits — Low–Moderate (redlined)</w:t>
      </w:r>
    </w:p>
    <w:p>
      <w:pPr>
        <w:pStyle w:val="FirstParagraph"/>
      </w:pPr>
      <w:r>
        <w:t xml:space="preserve">Section 2 addresses COBRA but not the 401(k) plan (administered by Cascadia Benefit Administrators, 4% employer match). Vested benefits cannot be forfeited, and the broad release in §4 includes ERISA claims. We redlined a sentence into §2 preserving Delano’s vested 401(k) benefits and rollover/distribution rights. Confirm Delano’s vested balance with Cascadia before execution.</w:t>
      </w:r>
    </w:p>
    <w:bookmarkEnd w:id="35"/>
    <w:bookmarkStart w:id="36" w:name="l.-reference-provision-low-memo-only"/>
    <w:p>
      <w:pPr>
        <w:pStyle w:val="Heading3"/>
      </w:pPr>
      <w:r>
        <w:t xml:space="preserve">L. Reference Provision — Low (memo only)</w:t>
      </w:r>
    </w:p>
    <w:p>
      <w:pPr>
        <w:pStyle w:val="FirstParagraph"/>
      </w:pPr>
      <w:r>
        <w:t xml:space="preserve">Section 11 obligates Greenleaf to provide a positive/neutral reference, direct all inquiries to Leanne Foss, and prohibit any suggestion that Delano was terminated for cause or in connection with a complaint. This is workable but operationally burdensome (it requires written instructions to four named executives within seven days). Note the tension with Part C above: if asked why Delano left,</w:t>
      </w:r>
      <w:r>
        <w:t xml:space="preserve"> </w:t>
      </w:r>
      <w:r>
        <w:t xml:space="preserve">“</w:t>
      </w:r>
      <w:r>
        <w:t xml:space="preserve">restructuring</w:t>
      </w:r>
      <w:r>
        <w:t xml:space="preserve">”</w:t>
      </w:r>
      <w:r>
        <w:t xml:space="preserve"> </w:t>
      </w:r>
      <w:r>
        <w:t xml:space="preserve">is the agreed answer, but the company’s own hiring records tell a different story. Ensure the reference protocol is implemented promptly and consistently.</w:t>
      </w:r>
    </w:p>
    <w:bookmarkEnd w:id="36"/>
    <w:bookmarkEnd w:id="37"/>
    <w:bookmarkStart w:id="38" w:name="X0e895e51a402d302e979be949a32bab7d5c3e19"/>
    <w:p>
      <w:pPr>
        <w:pStyle w:val="Heading2"/>
      </w:pPr>
      <w:r>
        <w:t xml:space="preserve">V. Items Requiring Action or Verification Before Execution</w:t>
      </w:r>
    </w:p>
    <w:p>
      <w:pPr>
        <w:numPr>
          <w:ilvl w:val="0"/>
          <w:numId w:val="1007"/>
        </w:numPr>
      </w:pPr>
      <w:r>
        <w:rPr>
          <w:b/>
          <w:bCs/>
        </w:rPr>
        <w:t xml:space="preserve">EPLI carrier notice and consent (critical process).</w:t>
      </w:r>
      <w:r>
        <w:t xml:space="preserve"> </w:t>
      </w:r>
      <w:r>
        <w:t xml:space="preserve">Greenleaf’s EPLI coverage is with Timberline Insurance Group (Policy No. TIG-EPL-2024-00391). Provide timely notice and obtain the carrier’s</w:t>
      </w:r>
      <w:r>
        <w:t xml:space="preserve"> </w:t>
      </w:r>
      <w:r>
        <w:rPr>
          <w:b/>
          <w:bCs/>
        </w:rPr>
        <w:t xml:space="preserve">consent to settle</w:t>
      </w:r>
      <w:r>
        <w:t xml:space="preserve"> </w:t>
      </w:r>
      <w:r>
        <w:t xml:space="preserve">before execution; settling without consent may jeopardize coverage. Confirm whether the settlement amount is within limits and whether the carrier will fund or contribute.</w:t>
      </w:r>
    </w:p>
    <w:p>
      <w:pPr>
        <w:numPr>
          <w:ilvl w:val="0"/>
          <w:numId w:val="1007"/>
        </w:numPr>
      </w:pPr>
      <w:r>
        <w:rPr>
          <w:b/>
          <w:bCs/>
        </w:rPr>
        <w:t xml:space="preserve">Wage-compliance verification.</w:t>
      </w:r>
      <w:r>
        <w:t xml:space="preserve"> </w:t>
      </w:r>
      <w:r>
        <w:t xml:space="preserve">Section 2 represents that Delano received all wages through the Separation Date, including accrued PTO. Verify (a) that accrued PTO was paid consistent with ORS 652.610, (b) that the final paycheck complied with ORS 652.178 timing (by end of the next business day after a termination), and (c) the status of the</w:t>
      </w:r>
      <w:r>
        <w:t xml:space="preserve"> </w:t>
      </w:r>
      <w:r>
        <w:rPr>
          <w:b/>
          <w:bCs/>
        </w:rPr>
        <w:t xml:space="preserve">unpaid 2024 bonus</w:t>
      </w:r>
      <w:r>
        <w:t xml:space="preserve"> </w:t>
      </w:r>
      <w:r>
        <w:t xml:space="preserve">(target $43,600, 20% of $218,000,</w:t>
      </w:r>
      <w:r>
        <w:t xml:space="preserve"> </w:t>
      </w:r>
      <w:r>
        <w:t xml:space="preserve">“</w:t>
      </w:r>
      <w:r>
        <w:t xml:space="preserve">not determined</w:t>
      </w:r>
      <w:r>
        <w:t xml:space="preserve">”</w:t>
      </w:r>
      <w:r>
        <w:t xml:space="preserve"> </w:t>
      </w:r>
      <w:r>
        <w:t xml:space="preserve">per the records). Late final pay triggers penalty wages up to 30 days under ORS 652.355; confirm there is no separate outstanding wage obligation outside the release.</w:t>
      </w:r>
    </w:p>
    <w:p>
      <w:pPr>
        <w:numPr>
          <w:ilvl w:val="0"/>
          <w:numId w:val="1007"/>
        </w:numPr>
      </w:pPr>
      <w:r>
        <w:rPr>
          <w:b/>
          <w:bCs/>
        </w:rPr>
        <w:t xml:space="preserve">401(k) vested balance.</w:t>
      </w:r>
      <w:r>
        <w:t xml:space="preserve"> </w:t>
      </w:r>
      <w:r>
        <w:t xml:space="preserve">Confirm Delano’s vested 401(k) balance and any loan offsets with Cascadia Benefit Administrators.</w:t>
      </w:r>
    </w:p>
    <w:p>
      <w:pPr>
        <w:numPr>
          <w:ilvl w:val="0"/>
          <w:numId w:val="1007"/>
        </w:numPr>
      </w:pPr>
      <w:r>
        <w:rPr>
          <w:b/>
          <w:bCs/>
        </w:rPr>
        <w:t xml:space="preserve">Non-compete enforceability.</w:t>
      </w:r>
      <w:r>
        <w:t xml:space="preserve"> </w:t>
      </w:r>
      <w:r>
        <w:t xml:space="preserve">Have Oregon employment counsel confirm enforceability of §9 under ORS 653.295 as applied to a post-termination settlement agreement, and confirm the business judgment on whether to retain it given the whistleblower context.</w:t>
      </w:r>
    </w:p>
    <w:p>
      <w:pPr>
        <w:numPr>
          <w:ilvl w:val="0"/>
          <w:numId w:val="1007"/>
        </w:numPr>
      </w:pPr>
      <w:r>
        <w:rPr>
          <w:b/>
          <w:bCs/>
        </w:rPr>
        <w:t xml:space="preserve">Tax review.</w:t>
      </w:r>
      <w:r>
        <w:t xml:space="preserve"> </w:t>
      </w:r>
      <w:r>
        <w:t xml:space="preserve">Tax-counsel review of the damages/back-pay allocation and the direct attorney-fee payment.</w:t>
      </w:r>
    </w:p>
    <w:p>
      <w:pPr>
        <w:numPr>
          <w:ilvl w:val="0"/>
          <w:numId w:val="1007"/>
        </w:numPr>
      </w:pPr>
      <w:r>
        <w:rPr>
          <w:b/>
          <w:bCs/>
        </w:rPr>
        <w:t xml:space="preserve">RSU acceleration authority.</w:t>
      </w:r>
      <w:r>
        <w:t xml:space="preserve"> </w:t>
      </w:r>
      <w:r>
        <w:t xml:space="preserve">Confirm Compensation Committee approval of the 5,000-RSU acceleration under the 2021 Equity Incentive Plan and that the plan and RSU Grant Agreement terms are consistent with §3(d) as corrected.</w:t>
      </w:r>
    </w:p>
    <w:p>
      <w:pPr>
        <w:numPr>
          <w:ilvl w:val="0"/>
          <w:numId w:val="1007"/>
        </w:numPr>
      </w:pPr>
      <w:r>
        <w:rPr>
          <w:b/>
          <w:bCs/>
        </w:rPr>
        <w:t xml:space="preserve">Authority to sign.</w:t>
      </w:r>
      <w:r>
        <w:t xml:space="preserve"> </w:t>
      </w:r>
      <w:r>
        <w:t xml:space="preserve">Confirm the signatory’s authority and whether a board/committee resolution is required for a settlement of this size.</w:t>
      </w:r>
    </w:p>
    <w:p>
      <w:pPr>
        <w:numPr>
          <w:ilvl w:val="0"/>
          <w:numId w:val="1007"/>
        </w:numPr>
      </w:pPr>
      <w:r>
        <w:rPr>
          <w:b/>
          <w:bCs/>
        </w:rPr>
        <w:t xml:space="preserve">Litigation hold.</w:t>
      </w:r>
      <w:r>
        <w:t xml:space="preserve"> </w:t>
      </w:r>
      <w:r>
        <w:t xml:space="preserve">Consider a hold on supply-chain reorganization and replacement-hiring documents given the facts in Part C.</w:t>
      </w:r>
    </w:p>
    <w:bookmarkEnd w:id="38"/>
    <w:bookmarkStart w:id="39" w:name="vi.-recommended-next-steps"/>
    <w:p>
      <w:pPr>
        <w:pStyle w:val="Heading2"/>
      </w:pPr>
      <w:r>
        <w:t xml:space="preserve">VI. Recommended Next Steps</w:t>
      </w:r>
    </w:p>
    <w:p>
      <w:pPr>
        <w:pStyle w:val="Compact"/>
        <w:numPr>
          <w:ilvl w:val="0"/>
          <w:numId w:val="1008"/>
        </w:numPr>
      </w:pPr>
      <w:r>
        <w:t xml:space="preserve">Circulate the redline internally and to Oregon employment counsel for the non-compete opinion.</w:t>
      </w:r>
    </w:p>
    <w:p>
      <w:pPr>
        <w:pStyle w:val="Compact"/>
        <w:numPr>
          <w:ilvl w:val="0"/>
          <w:numId w:val="1008"/>
        </w:numPr>
      </w:pPr>
      <w:r>
        <w:t xml:space="preserve">Provide EPLI notice to Timberline and obtain consent to settle.</w:t>
      </w:r>
    </w:p>
    <w:p>
      <w:pPr>
        <w:pStyle w:val="Compact"/>
        <w:numPr>
          <w:ilvl w:val="0"/>
          <w:numId w:val="1008"/>
        </w:numPr>
      </w:pPr>
      <w:r>
        <w:t xml:space="preserve">Complete the Part V verifications (wages/PTO/bonus; 401(k); RSU authority).</w:t>
      </w:r>
    </w:p>
    <w:p>
      <w:pPr>
        <w:pStyle w:val="Compact"/>
        <w:numPr>
          <w:ilvl w:val="0"/>
          <w:numId w:val="1008"/>
        </w:numPr>
      </w:pPr>
      <w:r>
        <w:t xml:space="preserve">Return a revised draft to Engel &amp; Associates reflecting the OWBPA fixes, the corrected RSU value and total, the California removal, and the new §§19–24, and request concurrence on the whistleblower carve-outs (which protect both sides).</w:t>
      </w:r>
    </w:p>
    <w:p>
      <w:pPr>
        <w:pStyle w:val="Compact"/>
        <w:numPr>
          <w:ilvl w:val="0"/>
          <w:numId w:val="1008"/>
        </w:numPr>
      </w:pPr>
      <w:r>
        <w:t xml:space="preserve">Once terms are finalized, ensure Delano receives the corrected agreement with the full 21-day consideration period and signs, after which the 7-day revocation period runs before any payment is made.</w:t>
      </w:r>
    </w:p>
    <w:p>
      <w:pPr>
        <w:pStyle w:val="FirstParagraph"/>
      </w:pPr>
      <w:r>
        <w:t xml:space="preserve">We are available to discuss any of the above or to refine the redline.</w:t>
      </w:r>
    </w:p>
    <w:p>
      <w:pPr>
        <w:pStyle w:val="BodyText"/>
      </w:pPr>
      <w:r>
        <w:rPr>
          <w:i/>
          <w:iCs/>
        </w:rPr>
        <w:t xml:space="preserve">Prepared as attorney work product at the request of Greenleaf Organic Foods, Inc. for the purpose of obtaining legal advice.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 Memorandum to General Counsel — Greenleaf Organic Foods, Inc. — May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GREENLEAF ORGANIC FOODS,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2026-06-28T10:03:01Z</dcterms:created>
  <dcterms:modified xsi:type="dcterms:W3CDTF">2026-06-28T10:03:01Z</dcterms:modified>
</cp:coreProperties>
</file>

<file path=docProps/custom.xml><?xml version="1.0" encoding="utf-8"?>
<Properties xmlns="http://schemas.openxmlformats.org/officeDocument/2006/custom-properties" xmlns:vt="http://schemas.openxmlformats.org/officeDocument/2006/docPropsVTypes"/>
</file>