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32"/>
        </w:rPr>
        <w:t>MEMORANDUM</w:t>
      </w:r>
    </w:p>
    <w:p>
      <w:pPr>
        <w:spacing w:before="40" w:after="160"/>
        <w:pBdr>
          <w:bottom w:val="single" w:sz="6" w:space="1" w:color="000000"/>
        </w:pBdr>
      </w:pPr>
    </w:p>
    <w:p>
      <w:pPr>
        <w:spacing w:after="40"/>
      </w:pPr>
      <w:r>
        <w:rPr>
          <w:rFonts w:ascii="Times New Roman" w:hAnsi="Times New Roman"/>
          <w:b/>
          <w:i w:val="0"/>
          <w:sz w:val="22"/>
        </w:rPr>
        <w:t xml:space="preserve">TO:   </w:t>
      </w:r>
      <w:r>
        <w:rPr>
          <w:rFonts w:ascii="Times New Roman" w:hAnsi="Times New Roman"/>
          <w:b w:val="0"/>
          <w:i w:val="0"/>
          <w:sz w:val="22"/>
        </w:rPr>
        <w:t>Tyler Huang, General Counsel, Greenleaf Organic Foods, Inc.</w:t>
      </w:r>
    </w:p>
    <w:p>
      <w:pPr>
        <w:spacing w:after="40"/>
      </w:pPr>
      <w:r>
        <w:rPr>
          <w:rFonts w:ascii="Times New Roman" w:hAnsi="Times New Roman"/>
          <w:b/>
          <w:i w:val="0"/>
          <w:sz w:val="22"/>
        </w:rPr>
        <w:t xml:space="preserve">FROM: </w:t>
      </w:r>
      <w:r>
        <w:rPr>
          <w:rFonts w:ascii="Times New Roman" w:hAnsi="Times New Roman"/>
          <w:b w:val="0"/>
          <w:i w:val="0"/>
          <w:sz w:val="22"/>
        </w:rPr>
        <w:t>Employment Counsel — Settlement Review</w:t>
      </w:r>
    </w:p>
    <w:p>
      <w:pPr>
        <w:spacing w:after="40"/>
      </w:pPr>
      <w:r>
        <w:rPr>
          <w:rFonts w:ascii="Times New Roman" w:hAnsi="Times New Roman"/>
          <w:b/>
          <w:i w:val="0"/>
          <w:sz w:val="22"/>
        </w:rPr>
        <w:t xml:space="preserve">DATE: </w:t>
      </w:r>
      <w:r>
        <w:rPr>
          <w:rFonts w:ascii="Times New Roman" w:hAnsi="Times New Roman"/>
          <w:b w:val="0"/>
          <w:i w:val="0"/>
          <w:sz w:val="22"/>
        </w:rPr>
        <w:t>May 15, 2025</w:t>
      </w:r>
    </w:p>
    <w:p>
      <w:pPr>
        <w:spacing w:after="40"/>
      </w:pPr>
      <w:r>
        <w:rPr>
          <w:rFonts w:ascii="Times New Roman" w:hAnsi="Times New Roman"/>
          <w:b/>
          <w:i w:val="0"/>
          <w:sz w:val="22"/>
        </w:rPr>
        <w:t xml:space="preserve">RE:   </w:t>
      </w:r>
      <w:r>
        <w:rPr>
          <w:rFonts w:ascii="Times New Roman" w:hAnsi="Times New Roman"/>
          <w:b w:val="0"/>
          <w:i w:val="0"/>
          <w:sz w:val="22"/>
        </w:rPr>
        <w:t>Review of Draft Settlement Agreement with Marcus R. Delano — Issues, Risks, and Proposed Revisions</w:t>
      </w:r>
    </w:p>
    <w:p>
      <w:pPr>
        <w:spacing w:before="40" w:after="160"/>
        <w:pBdr>
          <w:bottom w:val="single" w:sz="6" w:space="1" w:color="000000"/>
        </w:pBdr>
      </w:pPr>
    </w:p>
    <w:p>
      <w:pPr>
        <w:spacing w:before="40" w:after="200"/>
        <w:jc w:val="center"/>
      </w:pPr>
      <w:r>
        <w:rPr>
          <w:rFonts w:ascii="Times New Roman" w:hAnsi="Times New Roman"/>
          <w:b w:val="0"/>
          <w:i/>
          <w:color w:val="5A5A5A"/>
          <w:sz w:val="18"/>
        </w:rPr>
        <w:t>PRIVILEGED &amp; CONFIDENTIAL  |  ATTORNEY-CLIENT COMMUNICATION  |  ATTORNEY WORK PRODUCT</w:t>
      </w:r>
    </w:p>
    <w:p>
      <w:pPr>
        <w:spacing w:after="120"/>
        <w:jc w:val="both"/>
      </w:pPr>
      <w:r>
        <w:rPr>
          <w:rFonts w:ascii="Times New Roman" w:hAnsi="Times New Roman"/>
          <w:b w:val="0"/>
          <w:i w:val="0"/>
          <w:sz w:val="22"/>
        </w:rPr>
        <w:t>We have reviewed the draft Settlement Agreement and General Release of All Claims (the "Draft"), prepared by Engel &amp; Associates, P.C. on behalf of Marcus R. Delano, against Greenleaf’s employment records and the Greenleaf 2021 Equity Incentive Plan. The Draft resolves Delano’s anticipated claims for whistleblower retaliation (ORS 654.062(5)), age discrimination (ADEA), and Oregon employment discrimination (ORS Chapter 659A) in exchange for total consideration of $525,000 as drafted. We have prepared a redlined markup (settlement-agreement-markup.docx) with drafted revisions. The principal issues and risks are summarized below; several items require your decision before we send a counter-draft to Delano’s counsel.</w:t>
      </w:r>
    </w:p>
    <w:p>
      <w:pPr>
        <w:keepNext/>
        <w:spacing w:before="240" w:after="80"/>
      </w:pPr>
      <w:r>
        <w:rPr>
          <w:rFonts w:ascii="Times New Roman" w:hAnsi="Times New Roman"/>
          <w:b/>
          <w:i w:val="0"/>
          <w:sz w:val="24"/>
        </w:rPr>
        <w:t>I.  Executive Summary</w:t>
      </w:r>
    </w:p>
    <w:p>
      <w:pPr>
        <w:spacing w:after="120"/>
        <w:jc w:val="both"/>
      </w:pPr>
      <w:r>
        <w:rPr>
          <w:rFonts w:ascii="Times New Roman" w:hAnsi="Times New Roman"/>
          <w:b w:val="0"/>
          <w:i w:val="0"/>
          <w:sz w:val="22"/>
        </w:rPr>
        <w:t>The Draft is a reasonable framework for resolution, and the proposed value is within a defensible range for this exposure. As written, however, it would (1) jeopardize the enforceability of the ADEA release Greenleaf is paying for, (2) misstate the value of the equity component using an outdated valuation, and (3) omit standard protections. The most important points:</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ADEA/OWBPA release is invalid as drafted.</w:t>
      </w:r>
      <w:r>
        <w:rPr>
          <w:rFonts w:ascii="Times New Roman" w:hAnsi="Times New Roman"/>
          <w:b w:val="0"/>
          <w:i w:val="0"/>
          <w:sz w:val="22"/>
        </w:rPr>
        <w:t xml:space="preserve"> The Draft gives Delano 14 days to consider the agreement (OWBPA requires 21), contains no 7-day revocation period, and does not advise Delano in writing to consult counsel. Any one of these permits Delano to challenge the ADEA release after collecting the settlement. This is the single most important fix.</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RSU component is undervalued by $12,500.</w:t>
      </w:r>
      <w:r>
        <w:rPr>
          <w:rFonts w:ascii="Times New Roman" w:hAnsi="Times New Roman"/>
          <w:b w:val="0"/>
          <w:i w:val="0"/>
          <w:sz w:val="22"/>
        </w:rPr>
        <w:t xml:space="preserve"> The Draft uses the July 2024 409A valuation ($10.00/share) rather than the current January 15, 2025 valuation ($12.50/share). The correct value of 5,000 accelerated RSUs is $62,500, and the corrected aggregate settlement value is $537,500, not $525,000.</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Non-compete covers California</w:t>
      </w:r>
      <w:r>
        <w:rPr>
          <w:rFonts w:ascii="Times New Roman" w:hAnsi="Times New Roman"/>
          <w:b w:val="0"/>
          <w:i w:val="0"/>
          <w:sz w:val="22"/>
        </w:rPr>
        <w:t xml:space="preserve"> (where non-competes are void per se) and is geographically overbroad; it also does not address ORS 653.295 compliance.</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The Draft is silent on the pending Oregon OSHA investigation</w:t>
      </w:r>
      <w:r>
        <w:rPr>
          <w:rFonts w:ascii="Times New Roman" w:hAnsi="Times New Roman"/>
          <w:b w:val="0"/>
          <w:i w:val="0"/>
          <w:sz w:val="22"/>
        </w:rPr>
        <w:t>, which this Agreement cannot and does not resolve.</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Retaliation exposure is significant.</w:t>
      </w:r>
      <w:r>
        <w:rPr>
          <w:rFonts w:ascii="Times New Roman" w:hAnsi="Times New Roman"/>
          <w:b w:val="0"/>
          <w:i w:val="0"/>
          <w:sz w:val="22"/>
        </w:rPr>
        <w:t xml:space="preserve"> A replacement was hired for Delano’s function six days after his termination at a lower salary, which strongly supports a finding of pretext.</w:t>
      </w:r>
    </w:p>
    <w:p>
      <w:pPr>
        <w:keepNext/>
        <w:spacing w:before="240" w:after="80"/>
      </w:pPr>
      <w:r>
        <w:rPr>
          <w:rFonts w:ascii="Times New Roman" w:hAnsi="Times New Roman"/>
          <w:b/>
          <w:i w:val="0"/>
          <w:sz w:val="24"/>
        </w:rPr>
        <w:t>II.  Factual Context and Litigation Risk</w:t>
      </w:r>
    </w:p>
    <w:p>
      <w:pPr>
        <w:spacing w:after="120"/>
        <w:jc w:val="both"/>
      </w:pPr>
      <w:r>
        <w:rPr>
          <w:rFonts w:ascii="Times New Roman" w:hAnsi="Times New Roman"/>
          <w:b w:val="0"/>
          <w:i w:val="0"/>
          <w:sz w:val="22"/>
        </w:rPr>
        <w:t>The record establishes close temporal proximity between Delano’s protected activity and his termination, and a fact pattern a plaintiff would characterize as pretextual:</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t>Nov. 8, 2024 — Delano’s internal cold-chain / FDA food-safety complaint to HR Director Foss.</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t>Dec. 3, 2024 — Delano’s Oregon OSHA complaint (No. OR-OSHA-2024-11872).</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t>Jan. 22, 2025 — Oregon OSHA opened a formal investigation (still pending).</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t>Feb. 10, 2025 — Delano placed on paid administrative leave.</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t>Mar. 14, 2025 — Delano terminated; stated reason: "elimination of position due to restructuring."</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t>Mar. 20, 2025 — Greenleaf hired Raj Mehta as Senior Director of Supply Chain &amp; Logistics at $185,000 — six days after termination, for the same function, at a lower salary than Delano’s $218,000.</w:t>
      </w:r>
    </w:p>
    <w:p>
      <w:pPr>
        <w:spacing w:after="120"/>
        <w:jc w:val="both"/>
      </w:pPr>
      <w:r>
        <w:rPr>
          <w:rFonts w:ascii="Times New Roman" w:hAnsi="Times New Roman"/>
          <w:b w:val="0"/>
          <w:i w:val="0"/>
          <w:sz w:val="22"/>
        </w:rPr>
        <w:t>The replacement hire is the most damaging fact in the company’s file. It undercuts the "elimination of position" rationale and supplies both a retaliation theory (replacing a whistleblower) and an age-discrimination theory (replacing a 58-year-old with a cheaper hire). Combined with the pending OSHA investigation, Delano’s counsel has meaningful leverage. The proposed settlement value is, in our view, within a reasonable range for this exposure, and we recommend proceeding — but only on a paper that is enforceable and that protects Greenleaf on the back end.</w:t>
      </w:r>
    </w:p>
    <w:p>
      <w:pPr>
        <w:keepNext/>
        <w:spacing w:before="240" w:after="80"/>
      </w:pPr>
      <w:r>
        <w:rPr>
          <w:rFonts w:ascii="Times New Roman" w:hAnsi="Times New Roman"/>
          <w:b/>
          <w:i w:val="0"/>
          <w:sz w:val="24"/>
        </w:rPr>
        <w:t>III.  Material Issues and Recommended Revisions</w:t>
      </w:r>
    </w:p>
    <w:p>
      <w:pPr>
        <w:spacing w:after="120"/>
        <w:jc w:val="both"/>
      </w:pPr>
      <w:r>
        <w:rPr>
          <w:rFonts w:ascii="Times New Roman" w:hAnsi="Times New Roman"/>
          <w:b w:val="0"/>
          <w:i w:val="0"/>
          <w:sz w:val="22"/>
        </w:rPr>
        <w:t>The redline addresses the following. Section references are to the Draft.</w:t>
      </w:r>
    </w:p>
    <w:p>
      <w:pPr>
        <w:keepNext/>
        <w:spacing w:before="160" w:after="60"/>
      </w:pPr>
      <w:r>
        <w:rPr>
          <w:rFonts w:ascii="Times New Roman" w:hAnsi="Times New Roman"/>
          <w:b/>
          <w:i/>
          <w:sz w:val="22"/>
        </w:rPr>
        <w:t>A.  ADEA / OWBPA Release — Critical Enforceability Defects (Sec. 5; Sec. 16)</w:t>
      </w:r>
    </w:p>
    <w:p>
      <w:pPr>
        <w:spacing w:after="120"/>
        <w:jc w:val="both"/>
      </w:pPr>
      <w:r>
        <w:rPr>
          <w:rFonts w:ascii="Times New Roman" w:hAnsi="Times New Roman"/>
          <w:b w:val="0"/>
          <w:i w:val="0"/>
          <w:sz w:val="22"/>
        </w:rPr>
        <w:t>Because Delano is 58, the ADEA waiver must satisfy the Older Workers Benefit Protection Act (OWBPA), 29 U.S.C. § 626(f). The Draft fails three independent OWBPA requirements, any one of which would permit Delano to challenge the ADEA release after collecting the settlement:</w:t>
      </w:r>
    </w:p>
    <w:p>
      <w:pPr>
        <w:spacing w:after="60"/>
        <w:ind w:left="432" w:hanging="317"/>
        <w:jc w:val="both"/>
      </w:pPr>
      <w:r>
        <w:rPr>
          <w:rFonts w:ascii="Times New Roman" w:hAnsi="Times New Roman"/>
          <w:b/>
          <w:i w:val="0"/>
          <w:sz w:val="22"/>
        </w:rPr>
        <w:t xml:space="preserve">1.  </w:t>
      </w:r>
      <w:r>
        <w:rPr>
          <w:rFonts w:ascii="Times New Roman" w:hAnsi="Times New Roman"/>
          <w:b w:val="0"/>
          <w:i w:val="0"/>
          <w:sz w:val="22"/>
        </w:rPr>
      </w:r>
      <w:r>
        <w:rPr>
          <w:rFonts w:ascii="Times New Roman" w:hAnsi="Times New Roman"/>
          <w:b/>
          <w:i w:val="0"/>
          <w:sz w:val="22"/>
        </w:rPr>
        <w:t>Consideration period.</w:t>
      </w:r>
      <w:r>
        <w:rPr>
          <w:rFonts w:ascii="Times New Roman" w:hAnsi="Times New Roman"/>
          <w:b w:val="0"/>
          <w:i w:val="0"/>
          <w:sz w:val="22"/>
        </w:rPr>
        <w:t xml:space="preserve"> The Draft gives Delano 14 days (Sec. 5(c), Sec. 16). OWBPA requires at least 21 days for an individual release (45 days if the termination is part of a group exit-incentive or other employment-termination program). We revised the period to 21 days.</w:t>
      </w:r>
    </w:p>
    <w:p>
      <w:pPr>
        <w:spacing w:after="60"/>
        <w:ind w:left="432" w:hanging="317"/>
        <w:jc w:val="both"/>
      </w:pPr>
      <w:r>
        <w:rPr>
          <w:rFonts w:ascii="Times New Roman" w:hAnsi="Times New Roman"/>
          <w:b/>
          <w:i w:val="0"/>
          <w:sz w:val="22"/>
        </w:rPr>
        <w:t xml:space="preserve">2.  </w:t>
      </w:r>
      <w:r>
        <w:rPr>
          <w:rFonts w:ascii="Times New Roman" w:hAnsi="Times New Roman"/>
          <w:b w:val="0"/>
          <w:i w:val="0"/>
          <w:sz w:val="22"/>
        </w:rPr>
      </w:r>
      <w:r>
        <w:rPr>
          <w:rFonts w:ascii="Times New Roman" w:hAnsi="Times New Roman"/>
          <w:b/>
          <w:i w:val="0"/>
          <w:sz w:val="22"/>
        </w:rPr>
        <w:t>Revocation period.</w:t>
      </w:r>
      <w:r>
        <w:rPr>
          <w:rFonts w:ascii="Times New Roman" w:hAnsi="Times New Roman"/>
          <w:b w:val="0"/>
          <w:i w:val="0"/>
          <w:sz w:val="22"/>
        </w:rPr>
        <w:t xml:space="preserve"> The Draft contains no post-execution revocation right. OWBPA requires a 7-day revocation period during which the ADEA release is not effective. We added Sec. 5(g) establishing the 7-day revocation period and tied the Effective Date and all payments to its expiration.</w:t>
      </w:r>
    </w:p>
    <w:p>
      <w:pPr>
        <w:spacing w:after="60"/>
        <w:ind w:left="432" w:hanging="317"/>
        <w:jc w:val="both"/>
      </w:pPr>
      <w:r>
        <w:rPr>
          <w:rFonts w:ascii="Times New Roman" w:hAnsi="Times New Roman"/>
          <w:b/>
          <w:i w:val="0"/>
          <w:sz w:val="22"/>
        </w:rPr>
        <w:t xml:space="preserve">3.  </w:t>
      </w:r>
      <w:r>
        <w:rPr>
          <w:rFonts w:ascii="Times New Roman" w:hAnsi="Times New Roman"/>
          <w:b w:val="0"/>
          <w:i w:val="0"/>
          <w:sz w:val="22"/>
        </w:rPr>
      </w:r>
      <w:r>
        <w:rPr>
          <w:rFonts w:ascii="Times New Roman" w:hAnsi="Times New Roman"/>
          <w:b/>
          <w:i w:val="0"/>
          <w:sz w:val="22"/>
        </w:rPr>
        <w:t>Advice to consult counsel.</w:t>
      </w:r>
      <w:r>
        <w:rPr>
          <w:rFonts w:ascii="Times New Roman" w:hAnsi="Times New Roman"/>
          <w:b w:val="0"/>
          <w:i w:val="0"/>
          <w:sz w:val="22"/>
        </w:rPr>
        <w:t xml:space="preserve"> OWBPA requires that the individual be advised in writing to consult an attorney. The Draft omits this. We added the required advisement to the Sec. 5 preamble.</w:t>
      </w:r>
    </w:p>
    <w:p>
      <w:pPr>
        <w:spacing w:after="120"/>
        <w:jc w:val="both"/>
      </w:pPr>
      <w:r>
        <w:rPr>
          <w:rFonts w:ascii="Times New Roman" w:hAnsi="Times New Roman"/>
          <w:b w:val="0"/>
          <w:i w:val="0"/>
          <w:sz w:val="22"/>
        </w:rPr>
        <w:t>We also added Sec. 5(h) confirming that the release does not waive ADEA claims arising after execution (another OWBPA requirement) and conformed Sec. 16 to the 21-day period and 7-day revocation.</w:t>
      </w:r>
    </w:p>
    <w:p>
      <w:pPr>
        <w:spacing w:after="120"/>
        <w:jc w:val="both"/>
      </w:pPr>
      <w:r>
        <w:rPr>
          <w:rFonts w:ascii="Times New Roman" w:hAnsi="Times New Roman"/>
          <w:b w:val="0"/>
          <w:i w:val="0"/>
          <w:sz w:val="22"/>
        </w:rPr>
      </w:r>
      <w:r>
        <w:rPr>
          <w:rFonts w:ascii="Times New Roman" w:hAnsi="Times New Roman"/>
          <w:b/>
          <w:i w:val="0"/>
          <w:sz w:val="22"/>
        </w:rPr>
        <w:t>Decision point:</w:t>
      </w:r>
      <w:r>
        <w:rPr>
          <w:rFonts w:ascii="Times New Roman" w:hAnsi="Times New Roman"/>
          <w:b w:val="0"/>
          <w:i w:val="0"/>
          <w:sz w:val="22"/>
        </w:rPr>
        <w:t xml:space="preserve"> If Delano’s termination is part of a broader reduction-in-force or exit program affecting multiple employees, the consideration period must be 45 days and Greenleaf must furnish the OWBPA group-disclosure information (job titles and ages of all individuals eligible for and selected for the program, and in the same job classification). Please confirm whether any other employees were separated as part of the same "restructuring" so we can determine whether the 21-day or 45-day regime applies.</w:t>
      </w:r>
    </w:p>
    <w:p>
      <w:pPr>
        <w:keepNext/>
        <w:spacing w:before="160" w:after="60"/>
      </w:pPr>
      <w:r>
        <w:rPr>
          <w:rFonts w:ascii="Times New Roman" w:hAnsi="Times New Roman"/>
          <w:b/>
          <w:i/>
          <w:sz w:val="22"/>
        </w:rPr>
        <w:t>B.  RSU Valuation Error and Equity Plan Compliance (Sec. 3(d), 3(e), 8(d))</w:t>
      </w:r>
    </w:p>
    <w:p>
      <w:pPr>
        <w:spacing w:after="120"/>
        <w:jc w:val="both"/>
      </w:pPr>
      <w:r>
        <w:rPr>
          <w:rFonts w:ascii="Times New Roman" w:hAnsi="Times New Roman"/>
          <w:b w:val="0"/>
          <w:i w:val="0"/>
          <w:sz w:val="22"/>
        </w:rPr>
        <w:t>The Draft states the fair market value of the accelerated RSUs is $10.00/share, "based on the most recent independent valuation conducted by Ridgepoint Valuation Services." That statement is incorrect. Ridgepoint’s most recent 409A valuation is dated January 15, 2025 and values the shares at $12.50/share; the $10.00 figure is the July 1, 2024 valuation, which is outdated. The correct value of 5,000 accelerated RSUs is $62,500, not $50,000, and the corrected aggregate settlement value is $537,500, not $525,000.</w:t>
      </w:r>
    </w:p>
    <w:p>
      <w:pPr>
        <w:spacing w:after="120"/>
        <w:jc w:val="both"/>
      </w:pPr>
      <w:r>
        <w:rPr>
          <w:rFonts w:ascii="Times New Roman" w:hAnsi="Times New Roman"/>
          <w:b w:val="0"/>
          <w:i w:val="0"/>
          <w:sz w:val="22"/>
        </w:rPr>
        <w:t>We revised Sec. 3(d) to (i) use the current $12.50 valuation and $62,500 total; (ii) clarify that 5,000 of the 7,500 unvested shares are being accelerated and the remaining 2,500 remain forfeited under the Plan; and (iii) condition the acceleration on Compensation Committee approval, which the Plan requires (the Compensation Committee has discretion to approve accelerated vesting in connection with separation agreements). We conformed Sec. 3(e) and 8(d) and added a clarification that taxable income will be based on the actual fair market value on the vesting date.</w:t>
      </w:r>
    </w:p>
    <w:p>
      <w:pPr>
        <w:spacing w:after="120"/>
        <w:jc w:val="both"/>
      </w:pPr>
      <w:r>
        <w:rPr>
          <w:rFonts w:ascii="Times New Roman" w:hAnsi="Times New Roman"/>
          <w:b w:val="0"/>
          <w:i w:val="0"/>
          <w:sz w:val="22"/>
        </w:rPr>
      </w:r>
      <w:r>
        <w:rPr>
          <w:rFonts w:ascii="Times New Roman" w:hAnsi="Times New Roman"/>
          <w:b/>
          <w:i w:val="0"/>
          <w:sz w:val="22"/>
        </w:rPr>
        <w:t>Decision point:</w:t>
      </w:r>
      <w:r>
        <w:rPr>
          <w:rFonts w:ascii="Times New Roman" w:hAnsi="Times New Roman"/>
          <w:b w:val="0"/>
          <w:i w:val="0"/>
          <w:sz w:val="22"/>
        </w:rPr>
        <w:t xml:space="preserve"> Confirm that the Compensation Committee will approve the acceleration. If Greenleaf prefers to hold the total at $525,000, the alternative is to accelerate 4,000 shares (4,000 × $12.50 = $50,000) rather than 5,000. We recommend correcting the valuation and accepting the $537,500 total, because understating the value creates a tax-reporting mismatch (the W-2 will reflect $62,500 of income at vesting) and a potential misrepresentation / dispute risk.</w:t>
      </w:r>
    </w:p>
    <w:p>
      <w:pPr>
        <w:keepNext/>
        <w:spacing w:before="160" w:after="60"/>
      </w:pPr>
      <w:r>
        <w:rPr>
          <w:rFonts w:ascii="Times New Roman" w:hAnsi="Times New Roman"/>
          <w:b/>
          <w:i/>
          <w:sz w:val="22"/>
        </w:rPr>
        <w:t>C.  Back Pay and the Unpaid 2024 Bonus (Sec. 2, 3(b), 8(b))</w:t>
      </w:r>
    </w:p>
    <w:p>
      <w:pPr>
        <w:spacing w:after="120"/>
        <w:jc w:val="both"/>
      </w:pPr>
      <w:r>
        <w:rPr>
          <w:rFonts w:ascii="Times New Roman" w:hAnsi="Times New Roman"/>
          <w:b w:val="0"/>
          <w:i w:val="0"/>
          <w:sz w:val="22"/>
        </w:rPr>
        <w:t>The records show Delano’s 2024 performance bonus (target $43,600) was never determined or paid. Yet Sec. 2 of the Draft has Delano represent that he "has received all wages, salary, and compensation … including … bonuses" and that "no further … bonuses … are owed." That representation is inconsistent with the record and should not be included as written. We revised Sec. 2 to acknowledge the unpaid 2024 bonus and to state that any bonus claim is resolved by the Sec. 3(b) payment and the Sec. 4 release, and revised Sec. 3(b) to characterize the $125,000 as covering back pay, the unpaid 2024 bonus, and other wage-related claims.</w:t>
      </w:r>
    </w:p>
    <w:p>
      <w:pPr>
        <w:spacing w:after="120"/>
        <w:jc w:val="both"/>
      </w:pPr>
      <w:r>
        <w:rPr>
          <w:rFonts w:ascii="Times New Roman" w:hAnsi="Times New Roman"/>
          <w:b w:val="0"/>
          <w:i w:val="0"/>
          <w:sz w:val="22"/>
        </w:rPr>
        <w:t>Separately, the $125,000 "back pay" amount substantially exceeds the actual lost wages for the period from the Separation Date through the Effective Date (approximately $31,000 at Delano’s $218,000 annual rate). The overage is presumably intended to cover the 2024 bonus and a wage-damages component; our revision makes that explicit so the wage characterization is defensible. Please confirm the intended allocation.</w:t>
      </w:r>
    </w:p>
    <w:p>
      <w:pPr>
        <w:keepNext/>
        <w:spacing w:before="160" w:after="60"/>
      </w:pPr>
      <w:r>
        <w:rPr>
          <w:rFonts w:ascii="Times New Roman" w:hAnsi="Times New Roman"/>
          <w:b/>
          <w:i/>
          <w:sz w:val="22"/>
        </w:rPr>
        <w:t>D.  Effective Date and Payment Timing (Preamble; Sec. 1(b); Sec. 16)</w:t>
      </w:r>
    </w:p>
    <w:p>
      <w:pPr>
        <w:spacing w:after="120"/>
        <w:jc w:val="both"/>
      </w:pPr>
      <w:r>
        <w:rPr>
          <w:rFonts w:ascii="Times New Roman" w:hAnsi="Times New Roman"/>
          <w:b w:val="0"/>
          <w:i w:val="0"/>
          <w:sz w:val="22"/>
        </w:rPr>
        <w:t>The Draft fixes the "Effective Date" as May 5, 2025 — the date of the offer — even though Delano has 14 (now 21) days to sign and, after our revision, 7 days to revoke. An Effective Date that predates execution is internally inconsistent and would start the 14-day payment clock before the ADEA release is irrevocable. We redefined the Effective Date as the date both Parties have signed and the 7-day revocation period has expired, so no payment is due until the ADEA release is final. This protects Greenleaf against paying out and then facing a revocation.</w:t>
      </w:r>
    </w:p>
    <w:p>
      <w:pPr>
        <w:keepNext/>
        <w:spacing w:before="160" w:after="60"/>
      </w:pPr>
      <w:r>
        <w:rPr>
          <w:rFonts w:ascii="Times New Roman" w:hAnsi="Times New Roman"/>
          <w:b/>
          <w:i/>
          <w:sz w:val="22"/>
        </w:rPr>
        <w:t>E.  Release Scope — Government Agency Carve-outs (Sec. 4; Sec. 15(a)(ii))</w:t>
      </w:r>
    </w:p>
    <w:p>
      <w:pPr>
        <w:spacing w:after="120"/>
        <w:jc w:val="both"/>
      </w:pPr>
      <w:r>
        <w:rPr>
          <w:rFonts w:ascii="Times New Roman" w:hAnsi="Times New Roman"/>
          <w:b w:val="0"/>
          <w:i w:val="0"/>
          <w:sz w:val="22"/>
        </w:rPr>
        <w:t>The Draft’s release, and the Sec. 15(a)(ii) representation that Delano "agrees not to file any … charge … in the future," can be read to waive Delano’s right to file a charge with or participate in an investigation by the EEOC, NLRB, Oregon BOLI, OSHA, or other agencies. Such a waiver is generally unenforceable as to charge-filing and participation rights, and its inclusion invites challenge. We added a carve-out (end of Sec. 4) preserving Delano’s right to file charges and communicate with government agencies and to receive whistleblower awards, while waiving — to the maximum extent permitted by law — his right to recover monetary relief in any such charge. We conformed Sec. 15(a)(ii).</w:t>
      </w:r>
    </w:p>
    <w:p>
      <w:pPr>
        <w:keepNext/>
        <w:spacing w:before="160" w:after="60"/>
      </w:pPr>
      <w:r>
        <w:rPr>
          <w:rFonts w:ascii="Times New Roman" w:hAnsi="Times New Roman"/>
          <w:b/>
          <w:i/>
          <w:sz w:val="22"/>
        </w:rPr>
        <w:t>F.  Non-Competition Enforceability (Sec. 9)</w:t>
      </w:r>
    </w:p>
    <w:p>
      <w:pPr>
        <w:spacing w:after="120"/>
        <w:jc w:val="both"/>
      </w:pPr>
      <w:r>
        <w:rPr>
          <w:rFonts w:ascii="Times New Roman" w:hAnsi="Times New Roman"/>
          <w:b w:val="0"/>
          <w:i w:val="0"/>
          <w:sz w:val="22"/>
        </w:rPr>
        <w:t>The 18-month non-compete covers Oregon, Washington, Idaho, and California. Two problems:</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California.</w:t>
      </w:r>
      <w:r>
        <w:rPr>
          <w:rFonts w:ascii="Times New Roman" w:hAnsi="Times New Roman"/>
          <w:b w:val="0"/>
          <w:i w:val="0"/>
          <w:sz w:val="22"/>
        </w:rPr>
        <w:t xml:space="preserve"> Non-competes are void per se under California Business &amp; Professions Code § 16600. Including California taints the provision and is unenforceable there. We removed California (and Idaho) and limited the covenant to Oregon and Washington, and only to geographic areas where Delano actually provided services or had material contacts during his last two years.</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Oregon (ORS 653.295).</w:t>
      </w:r>
      <w:r>
        <w:rPr>
          <w:rFonts w:ascii="Times New Roman" w:hAnsi="Times New Roman"/>
          <w:b w:val="0"/>
          <w:i w:val="0"/>
          <w:sz w:val="22"/>
        </w:rPr>
        <w:t xml:space="preserve"> Oregon non-competes are void unless statutory requirements are met. We added an ORS 653.295 compliance clause and recitals that Delano is in executive/professional work and exceeds the salary threshold (he does, at $218,000). Note that ORS 653.295 also requires that the employer, in a written employment agreement entered into at the time of hiring, inform the employee that a non-compete may be required (or that the covenant be entered into upon a bona fide advancement). Whether a post-termination covenant in a settlement agreement is governed by ORS 653.295 is not entirely settled. Please confirm whether Delano’s original hire paperwork contained the required non-compete notice; if not, enforceability is uncertain and we should consider relying primarily on the non-solicitation and confidentiality covenants, which are more readily enforceable.</w:t>
      </w:r>
    </w:p>
    <w:p>
      <w:pPr>
        <w:spacing w:after="120"/>
        <w:jc w:val="both"/>
      </w:pPr>
      <w:r>
        <w:rPr>
          <w:rFonts w:ascii="Times New Roman" w:hAnsi="Times New Roman"/>
          <w:b w:val="0"/>
          <w:i w:val="0"/>
          <w:sz w:val="22"/>
        </w:rPr>
        <w:t>We also narrowed the "competitor" definition to entities dealing in products of the same type as Greenleaf’s.</w:t>
      </w:r>
    </w:p>
    <w:p>
      <w:pPr>
        <w:keepNext/>
        <w:spacing w:before="160" w:after="60"/>
      </w:pPr>
      <w:r>
        <w:rPr>
          <w:rFonts w:ascii="Times New Roman" w:hAnsi="Times New Roman"/>
          <w:b/>
          <w:i/>
          <w:sz w:val="22"/>
        </w:rPr>
        <w:t>G.  Confidentiality and Non-Disparagement — Carve-outs and Enforcement (Sec. 6, 7)</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Confidentiality.</w:t>
      </w:r>
      <w:r>
        <w:rPr>
          <w:rFonts w:ascii="Times New Roman" w:hAnsi="Times New Roman"/>
          <w:b w:val="0"/>
          <w:i w:val="0"/>
          <w:sz w:val="22"/>
        </w:rPr>
        <w:t xml:space="preserve"> The Draft’s exceptions do not clearly protect voluntary reports to government agencies or trade-secret disclosures protected by the Defend Trade Secrets Act. We added an exception (v) for communications with government agencies and DTSA-protected disclosures, and added a liquidated-damages clause ($50,000) for willful material breaches, with the standard "liquidated damages, not a penalty" framing. The amount is a drafting choice; adjust if you prefer a different figure or a clawback of a portion of the settlement instead.</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Non-disparagement.</w:t>
      </w:r>
      <w:r>
        <w:rPr>
          <w:rFonts w:ascii="Times New Roman" w:hAnsi="Times New Roman"/>
          <w:b w:val="0"/>
          <w:i w:val="0"/>
          <w:sz w:val="22"/>
        </w:rPr>
        <w:t xml:space="preserve"> The Draft has no exceptions and runs "in perpetuity." We added carve-outs for truthful responses to legal process, truthful statements to government agencies, truthful testimony, and NLRA-protected communications. We left the perpetual term in place; if you would prefer a defined term (e.g., 3–5 years) as a negotiating concession, we can adjust.</w:t>
      </w:r>
    </w:p>
    <w:p>
      <w:pPr>
        <w:keepNext/>
        <w:spacing w:before="160" w:after="60"/>
      </w:pPr>
      <w:r>
        <w:rPr>
          <w:rFonts w:ascii="Times New Roman" w:hAnsi="Times New Roman"/>
          <w:b/>
          <w:i/>
          <w:sz w:val="22"/>
        </w:rPr>
        <w:t>H.  Employment Reference (Sec. 11)</w:t>
      </w:r>
    </w:p>
    <w:p>
      <w:pPr>
        <w:spacing w:after="120"/>
        <w:jc w:val="both"/>
      </w:pPr>
      <w:r>
        <w:rPr>
          <w:rFonts w:ascii="Times New Roman" w:hAnsi="Times New Roman"/>
          <w:b w:val="0"/>
          <w:i w:val="0"/>
          <w:sz w:val="22"/>
        </w:rPr>
        <w:t>The Draft commits Greenleaf to a scripted positive reference (a statement that Delano "was a valued member … who made significant contributions"). We revised this to a neutral reference (dates, title, and eligibility for rehire) and retained the restriction on disclosing the termination reason. The scripted positive reference is a concession Delano’s counsel will likely press for; this is a negotiating point for you. We retained the operational requirements (routing inquiries to HR and issuing written instructions to the named executives within 7 days).</w:t>
      </w:r>
    </w:p>
    <w:p>
      <w:pPr>
        <w:keepNext/>
        <w:spacing w:before="160" w:after="60"/>
      </w:pPr>
      <w:r>
        <w:rPr>
          <w:rFonts w:ascii="Times New Roman" w:hAnsi="Times New Roman"/>
          <w:b/>
          <w:i/>
          <w:sz w:val="22"/>
        </w:rPr>
        <w:t>I.  Missing Provisions — New Sections 19–23</w:t>
      </w:r>
    </w:p>
    <w:p>
      <w:pPr>
        <w:spacing w:after="120"/>
        <w:jc w:val="both"/>
      </w:pPr>
      <w:r>
        <w:rPr>
          <w:rFonts w:ascii="Times New Roman" w:hAnsi="Times New Roman"/>
          <w:b w:val="0"/>
          <w:i w:val="0"/>
          <w:sz w:val="22"/>
        </w:rPr>
        <w:t>The Draft omits several provisions standard in separation agreements. We added:</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Sec. 19 (Return of Company Property)</w:t>
      </w:r>
      <w:r>
        <w:rPr>
          <w:rFonts w:ascii="Times New Roman" w:hAnsi="Times New Roman"/>
          <w:b w:val="0"/>
          <w:i w:val="0"/>
          <w:sz w:val="22"/>
        </w:rPr>
        <w:t xml:space="preserve"> — representation that all property and access were returned and no Company data retained.</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Sec. 20 (Confidential Information and Trade Secrets)</w:t>
      </w:r>
      <w:r>
        <w:rPr>
          <w:rFonts w:ascii="Times New Roman" w:hAnsi="Times New Roman"/>
          <w:b w:val="0"/>
          <w:i w:val="0"/>
          <w:sz w:val="22"/>
        </w:rPr>
        <w:t xml:space="preserve"> — ongoing protection of Greenleaf’s confidential information and trade secrets, with the DTSA immunity notice.</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Sec. 21 (Cooperation; Government Investigations)</w:t>
      </w:r>
      <w:r>
        <w:rPr>
          <w:rFonts w:ascii="Times New Roman" w:hAnsi="Times New Roman"/>
          <w:b w:val="0"/>
          <w:i w:val="0"/>
          <w:sz w:val="22"/>
        </w:rPr>
        <w:t xml:space="preserve"> — Delano’s reasonable cooperation, including with the pending OSHA investigation, with expense reimbursement, and an acknowledgment that the OSHA matter is a government action this Agreement does not resolve.</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Sec. 22 (Governing Law and Venue)</w:t>
      </w:r>
      <w:r>
        <w:rPr>
          <w:rFonts w:ascii="Times New Roman" w:hAnsi="Times New Roman"/>
          <w:b w:val="0"/>
          <w:i w:val="0"/>
          <w:sz w:val="22"/>
        </w:rPr>
        <w:t xml:space="preserve"> — Oregon law; exclusive venue in Multnomah County; a notices clause (including for revocation notices).</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Sec. 23 (Dispute Resolution; Attorneys’ Fees)</w:t>
      </w:r>
      <w:r>
        <w:rPr>
          <w:rFonts w:ascii="Times New Roman" w:hAnsi="Times New Roman"/>
          <w:b w:val="0"/>
          <w:i w:val="0"/>
          <w:sz w:val="22"/>
        </w:rPr>
        <w:t xml:space="preserve"> — binding AAA arbitration in Portland for disputes about the Agreement (with a carve-out for injunctive relief), prevailing-party fees, and jury waiver. The arbitration provision is optional; if you prefer litigation in Multnomah County with a prevailing-party fees clause, we will revise.</w:t>
      </w:r>
    </w:p>
    <w:p>
      <w:pPr>
        <w:spacing w:after="120"/>
        <w:jc w:val="both"/>
      </w:pPr>
      <w:r>
        <w:rPr>
          <w:rFonts w:ascii="Times New Roman" w:hAnsi="Times New Roman"/>
          <w:b w:val="0"/>
          <w:i w:val="0"/>
          <w:sz w:val="22"/>
        </w:rPr>
        <w:t>We also revised Sec. 18 (Entire Agreement) to carve out the Equity Incentive Plan and RSU Grant Agreement (which must survive to govern the RSUs) and to make the post-termination covenants supplement rather than supersede surviving obligations.</w:t>
      </w:r>
    </w:p>
    <w:p>
      <w:pPr>
        <w:keepNext/>
        <w:spacing w:before="160" w:after="60"/>
      </w:pPr>
      <w:r>
        <w:rPr>
          <w:rFonts w:ascii="Times New Roman" w:hAnsi="Times New Roman"/>
          <w:b/>
          <w:i/>
          <w:sz w:val="22"/>
        </w:rPr>
        <w:t>J.  Tax Allocation</w:t>
      </w:r>
    </w:p>
    <w:p>
      <w:pPr>
        <w:spacing w:after="120"/>
        <w:jc w:val="both"/>
      </w:pPr>
      <w:r>
        <w:rPr>
          <w:rFonts w:ascii="Times New Roman" w:hAnsi="Times New Roman"/>
          <w:b w:val="0"/>
          <w:i w:val="0"/>
          <w:sz w:val="22"/>
        </w:rPr>
        <w:t>The Draft allocates $275,000 to non-wage emotional-distress damages (1099-MISC), $125,000 to wages (W-2), $75,000 to attorney fees (1099-NEC to the firm), and the RSU value to W-2 at vesting. The non-wage allocation is favorable to Greenleaf (no employer FICA on the $275,000) and is defensible given the retaliation/age claims, but the IRS may scrutinize the wage/non-wage split. The direct payment of attorney fees to Engel &amp; Associates is the appropriate structure. We did not change the allocation but flagged the back-pay characterization (III.C) and the RSU valuation (III.B), both of which affect tax reporting.</w:t>
      </w:r>
    </w:p>
    <w:p>
      <w:pPr>
        <w:keepNext/>
        <w:spacing w:before="240" w:after="80"/>
      </w:pPr>
      <w:r>
        <w:rPr>
          <w:rFonts w:ascii="Times New Roman" w:hAnsi="Times New Roman"/>
          <w:b/>
          <w:i w:val="0"/>
          <w:sz w:val="24"/>
        </w:rPr>
        <w:t>IV.  Matters Not Resolved by This Agreement</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Oregon OSHA investigation.</w:t>
      </w:r>
      <w:r>
        <w:rPr>
          <w:rFonts w:ascii="Times New Roman" w:hAnsi="Times New Roman"/>
          <w:b w:val="0"/>
          <w:i w:val="0"/>
          <w:sz w:val="22"/>
        </w:rPr>
        <w:t xml:space="preserve"> The pending OSHA investigation (Complaint No. OR-OSHA-2024-11872) is a government enforcement action. Settling with Delano does not resolve Greenleaf’s exposure to OSHA, which may pursue citations and penalties independently. Sec. 21 of the redline acknowledges this. Please coordinate with the operations / food-safety team on the OSHA response; this exposure is separate and should be assessed on its own.</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EPLI.</w:t>
      </w:r>
      <w:r>
        <w:rPr>
          <w:rFonts w:ascii="Times New Roman" w:hAnsi="Times New Roman"/>
          <w:b w:val="0"/>
          <w:i w:val="0"/>
          <w:sz w:val="22"/>
        </w:rPr>
        <w:t xml:space="preserve"> The matter is potentially covered under Greenleaf’s EPLI policy with Timberline Insurance Group (Policy No. TIG-EPL-2024-00391). Please confirm whether the carrier has been notified, whether it has consented to the settlement, and whether settlement proceeds may be covered. Many EPLI policies require consent to settle and may affect allocation.</w:t>
      </w:r>
    </w:p>
    <w:p>
      <w:pPr>
        <w:spacing w:after="60"/>
        <w:ind w:left="432" w:hanging="259"/>
        <w:jc w:val="both"/>
      </w:pPr>
      <w:r>
        <w:rPr>
          <w:rFonts w:ascii="Times New Roman" w:hAnsi="Times New Roman"/>
          <w:b w:val="0"/>
          <w:i w:val="0"/>
          <w:sz w:val="22"/>
        </w:rPr>
        <w:t xml:space="preserve">•  </w:t>
      </w:r>
      <w:r>
        <w:rPr>
          <w:rFonts w:ascii="Times New Roman" w:hAnsi="Times New Roman"/>
          <w:b w:val="0"/>
          <w:i w:val="0"/>
          <w:sz w:val="22"/>
        </w:rPr>
      </w:r>
      <w:r>
        <w:rPr>
          <w:rFonts w:ascii="Times New Roman" w:hAnsi="Times New Roman"/>
          <w:b/>
          <w:i w:val="0"/>
          <w:sz w:val="22"/>
        </w:rPr>
        <w:t>401(k).</w:t>
      </w:r>
      <w:r>
        <w:rPr>
          <w:rFonts w:ascii="Times New Roman" w:hAnsi="Times New Roman"/>
          <w:b w:val="0"/>
          <w:i w:val="0"/>
          <w:sz w:val="22"/>
        </w:rPr>
        <w:t xml:space="preserve"> The Draft is silent on Delano’s 401(k) (administered by Cascadia Benefit Administrators, 4% employer match). Confirm vesting of the employer match and whether Delano has an outstanding loan; these are typically handled outside the agreement but should be verified.</w:t>
      </w:r>
    </w:p>
    <w:p>
      <w:pPr>
        <w:keepNext/>
        <w:spacing w:before="240" w:after="80"/>
      </w:pPr>
      <w:r>
        <w:rPr>
          <w:rFonts w:ascii="Times New Roman" w:hAnsi="Times New Roman"/>
          <w:b/>
          <w:i w:val="0"/>
          <w:sz w:val="24"/>
        </w:rPr>
        <w:t>V.  Decision Points Requiring Your Input</w:t>
      </w:r>
    </w:p>
    <w:p>
      <w:pPr>
        <w:spacing w:after="60"/>
        <w:ind w:left="432" w:hanging="317"/>
        <w:jc w:val="both"/>
      </w:pPr>
      <w:r>
        <w:rPr>
          <w:rFonts w:ascii="Times New Roman" w:hAnsi="Times New Roman"/>
          <w:b/>
          <w:i w:val="0"/>
          <w:sz w:val="22"/>
        </w:rPr>
        <w:t xml:space="preserve">1.  </w:t>
      </w:r>
      <w:r>
        <w:rPr>
          <w:rFonts w:ascii="Times New Roman" w:hAnsi="Times New Roman"/>
          <w:b w:val="0"/>
          <w:i w:val="0"/>
          <w:sz w:val="22"/>
        </w:rPr>
      </w:r>
      <w:r>
        <w:rPr>
          <w:rFonts w:ascii="Times New Roman" w:hAnsi="Times New Roman"/>
          <w:b/>
          <w:i w:val="0"/>
          <w:sz w:val="22"/>
        </w:rPr>
        <w:t>OWBPA group program:</w:t>
      </w:r>
      <w:r>
        <w:rPr>
          <w:rFonts w:ascii="Times New Roman" w:hAnsi="Times New Roman"/>
          <w:b w:val="0"/>
          <w:i w:val="0"/>
          <w:sz w:val="22"/>
        </w:rPr>
        <w:t xml:space="preserve"> Is Delano’s termination part of a broader RIF / exit program? (Determines 21 vs. 45 days and disclosure obligations.)</w:t>
      </w:r>
    </w:p>
    <w:p>
      <w:pPr>
        <w:spacing w:after="60"/>
        <w:ind w:left="432" w:hanging="317"/>
        <w:jc w:val="both"/>
      </w:pPr>
      <w:r>
        <w:rPr>
          <w:rFonts w:ascii="Times New Roman" w:hAnsi="Times New Roman"/>
          <w:b/>
          <w:i w:val="0"/>
          <w:sz w:val="22"/>
        </w:rPr>
        <w:t xml:space="preserve">2.  </w:t>
      </w:r>
      <w:r>
        <w:rPr>
          <w:rFonts w:ascii="Times New Roman" w:hAnsi="Times New Roman"/>
          <w:b w:val="0"/>
          <w:i w:val="0"/>
          <w:sz w:val="22"/>
        </w:rPr>
      </w:r>
      <w:r>
        <w:rPr>
          <w:rFonts w:ascii="Times New Roman" w:hAnsi="Times New Roman"/>
          <w:b/>
          <w:i w:val="0"/>
          <w:sz w:val="22"/>
        </w:rPr>
        <w:t>RSU value:</w:t>
      </w:r>
      <w:r>
        <w:rPr>
          <w:rFonts w:ascii="Times New Roman" w:hAnsi="Times New Roman"/>
          <w:b w:val="0"/>
          <w:i w:val="0"/>
          <w:sz w:val="22"/>
        </w:rPr>
        <w:t xml:space="preserve"> Correct to $62,500 (total $537,500), or reduce to 4,000 shares to hold $525,000? Will the Compensation Committee approve?</w:t>
      </w:r>
    </w:p>
    <w:p>
      <w:pPr>
        <w:spacing w:after="60"/>
        <w:ind w:left="432" w:hanging="317"/>
        <w:jc w:val="both"/>
      </w:pPr>
      <w:r>
        <w:rPr>
          <w:rFonts w:ascii="Times New Roman" w:hAnsi="Times New Roman"/>
          <w:b/>
          <w:i w:val="0"/>
          <w:sz w:val="22"/>
        </w:rPr>
        <w:t xml:space="preserve">3.  </w:t>
      </w:r>
      <w:r>
        <w:rPr>
          <w:rFonts w:ascii="Times New Roman" w:hAnsi="Times New Roman"/>
          <w:b w:val="0"/>
          <w:i w:val="0"/>
          <w:sz w:val="22"/>
        </w:rPr>
      </w:r>
      <w:r>
        <w:rPr>
          <w:rFonts w:ascii="Times New Roman" w:hAnsi="Times New Roman"/>
          <w:b/>
          <w:i w:val="0"/>
          <w:sz w:val="22"/>
        </w:rPr>
        <w:t>Non-compete:</w:t>
      </w:r>
      <w:r>
        <w:rPr>
          <w:rFonts w:ascii="Times New Roman" w:hAnsi="Times New Roman"/>
          <w:b w:val="0"/>
          <w:i w:val="0"/>
          <w:sz w:val="22"/>
        </w:rPr>
        <w:t xml:space="preserve"> Was the ORS 653.295 hiring-time notice given? Keep the narrowed OR/WA covenant, or rely on non-solicitation / confidentiality only?</w:t>
      </w:r>
    </w:p>
    <w:p>
      <w:pPr>
        <w:spacing w:after="60"/>
        <w:ind w:left="432" w:hanging="317"/>
        <w:jc w:val="both"/>
      </w:pPr>
      <w:r>
        <w:rPr>
          <w:rFonts w:ascii="Times New Roman" w:hAnsi="Times New Roman"/>
          <w:b/>
          <w:i w:val="0"/>
          <w:sz w:val="22"/>
        </w:rPr>
        <w:t xml:space="preserve">4.  </w:t>
      </w:r>
      <w:r>
        <w:rPr>
          <w:rFonts w:ascii="Times New Roman" w:hAnsi="Times New Roman"/>
          <w:b w:val="0"/>
          <w:i w:val="0"/>
          <w:sz w:val="22"/>
        </w:rPr>
      </w:r>
      <w:r>
        <w:rPr>
          <w:rFonts w:ascii="Times New Roman" w:hAnsi="Times New Roman"/>
          <w:b/>
          <w:i w:val="0"/>
          <w:sz w:val="22"/>
        </w:rPr>
        <w:t>Reference:</w:t>
      </w:r>
      <w:r>
        <w:rPr>
          <w:rFonts w:ascii="Times New Roman" w:hAnsi="Times New Roman"/>
          <w:b w:val="0"/>
          <w:i w:val="0"/>
          <w:sz w:val="22"/>
        </w:rPr>
        <w:t xml:space="preserve"> Neutral (our revision) or concede the scripted positive reference?</w:t>
      </w:r>
    </w:p>
    <w:p>
      <w:pPr>
        <w:spacing w:after="60"/>
        <w:ind w:left="432" w:hanging="317"/>
        <w:jc w:val="both"/>
      </w:pPr>
      <w:r>
        <w:rPr>
          <w:rFonts w:ascii="Times New Roman" w:hAnsi="Times New Roman"/>
          <w:b/>
          <w:i w:val="0"/>
          <w:sz w:val="22"/>
        </w:rPr>
        <w:t xml:space="preserve">5.  </w:t>
      </w:r>
      <w:r>
        <w:rPr>
          <w:rFonts w:ascii="Times New Roman" w:hAnsi="Times New Roman"/>
          <w:b w:val="0"/>
          <w:i w:val="0"/>
          <w:sz w:val="22"/>
        </w:rPr>
      </w:r>
      <w:r>
        <w:rPr>
          <w:rFonts w:ascii="Times New Roman" w:hAnsi="Times New Roman"/>
          <w:b/>
          <w:i w:val="0"/>
          <w:sz w:val="22"/>
        </w:rPr>
        <w:t>Arbitration:</w:t>
      </w:r>
      <w:r>
        <w:rPr>
          <w:rFonts w:ascii="Times New Roman" w:hAnsi="Times New Roman"/>
          <w:b w:val="0"/>
          <w:i w:val="0"/>
          <w:sz w:val="22"/>
        </w:rPr>
        <w:t xml:space="preserve"> Include the AAA arbitration clause (Sec. 23) or prefer a litigation forum?</w:t>
      </w:r>
    </w:p>
    <w:p>
      <w:pPr>
        <w:spacing w:after="60"/>
        <w:ind w:left="432" w:hanging="317"/>
        <w:jc w:val="both"/>
      </w:pPr>
      <w:r>
        <w:rPr>
          <w:rFonts w:ascii="Times New Roman" w:hAnsi="Times New Roman"/>
          <w:b/>
          <w:i w:val="0"/>
          <w:sz w:val="22"/>
        </w:rPr>
        <w:t xml:space="preserve">6.  </w:t>
      </w:r>
      <w:r>
        <w:rPr>
          <w:rFonts w:ascii="Times New Roman" w:hAnsi="Times New Roman"/>
          <w:b w:val="0"/>
          <w:i w:val="0"/>
          <w:sz w:val="22"/>
        </w:rPr>
      </w:r>
      <w:r>
        <w:rPr>
          <w:rFonts w:ascii="Times New Roman" w:hAnsi="Times New Roman"/>
          <w:b/>
          <w:i w:val="0"/>
          <w:sz w:val="22"/>
        </w:rPr>
        <w:t>Liquidated damages</w:t>
      </w:r>
      <w:r>
        <w:rPr>
          <w:rFonts w:ascii="Times New Roman" w:hAnsi="Times New Roman"/>
          <w:b w:val="0"/>
          <w:i w:val="0"/>
          <w:sz w:val="22"/>
        </w:rPr>
        <w:t xml:space="preserve"> for confidentiality breach: keep $50,000, adjust, or use a clawback?</w:t>
      </w:r>
    </w:p>
    <w:p>
      <w:pPr>
        <w:spacing w:after="60"/>
        <w:ind w:left="432" w:hanging="317"/>
        <w:jc w:val="both"/>
      </w:pPr>
      <w:r>
        <w:rPr>
          <w:rFonts w:ascii="Times New Roman" w:hAnsi="Times New Roman"/>
          <w:b/>
          <w:i w:val="0"/>
          <w:sz w:val="22"/>
        </w:rPr>
        <w:t xml:space="preserve">7.  </w:t>
      </w:r>
      <w:r>
        <w:rPr>
          <w:rFonts w:ascii="Times New Roman" w:hAnsi="Times New Roman"/>
          <w:b w:val="0"/>
          <w:i w:val="0"/>
          <w:sz w:val="22"/>
        </w:rPr>
      </w:r>
      <w:r>
        <w:rPr>
          <w:rFonts w:ascii="Times New Roman" w:hAnsi="Times New Roman"/>
          <w:b/>
          <w:i w:val="0"/>
          <w:sz w:val="22"/>
        </w:rPr>
        <w:t>Non-disparagement term:</w:t>
      </w:r>
      <w:r>
        <w:rPr>
          <w:rFonts w:ascii="Times New Roman" w:hAnsi="Times New Roman"/>
          <w:b w:val="0"/>
          <w:i w:val="0"/>
          <w:sz w:val="22"/>
        </w:rPr>
        <w:t xml:space="preserve"> perpetual (as drafted) or a defined term?</w:t>
      </w:r>
    </w:p>
    <w:p>
      <w:pPr>
        <w:spacing w:after="60"/>
        <w:ind w:left="432" w:hanging="317"/>
        <w:jc w:val="both"/>
      </w:pPr>
      <w:r>
        <w:rPr>
          <w:rFonts w:ascii="Times New Roman" w:hAnsi="Times New Roman"/>
          <w:b/>
          <w:i w:val="0"/>
          <w:sz w:val="22"/>
        </w:rPr>
        <w:t xml:space="preserve">8.  </w:t>
      </w:r>
      <w:r>
        <w:rPr>
          <w:rFonts w:ascii="Times New Roman" w:hAnsi="Times New Roman"/>
          <w:b w:val="0"/>
          <w:i w:val="0"/>
          <w:sz w:val="22"/>
        </w:rPr>
      </w:r>
      <w:r>
        <w:rPr>
          <w:rFonts w:ascii="Times New Roman" w:hAnsi="Times New Roman"/>
          <w:b/>
          <w:i w:val="0"/>
          <w:sz w:val="22"/>
        </w:rPr>
        <w:t>EPLI:</w:t>
      </w:r>
      <w:r>
        <w:rPr>
          <w:rFonts w:ascii="Times New Roman" w:hAnsi="Times New Roman"/>
          <w:b w:val="0"/>
          <w:i w:val="0"/>
          <w:sz w:val="22"/>
        </w:rPr>
        <w:t xml:space="preserve"> carrier notice / consent status?</w:t>
      </w:r>
    </w:p>
    <w:p>
      <w:pPr>
        <w:keepNext/>
        <w:spacing w:before="240" w:after="80"/>
      </w:pPr>
      <w:r>
        <w:rPr>
          <w:rFonts w:ascii="Times New Roman" w:hAnsi="Times New Roman"/>
          <w:b/>
          <w:i w:val="0"/>
          <w:sz w:val="24"/>
        </w:rPr>
        <w:t>VI.  Recommendation</w:t>
      </w:r>
    </w:p>
    <w:p>
      <w:pPr>
        <w:spacing w:after="120"/>
        <w:jc w:val="both"/>
      </w:pPr>
      <w:r>
        <w:rPr>
          <w:rFonts w:ascii="Times New Roman" w:hAnsi="Times New Roman"/>
          <w:b w:val="0"/>
          <w:i w:val="0"/>
          <w:sz w:val="22"/>
        </w:rPr>
        <w:t>We recommend sending the redlined markup to Delano’s counsel as Greenleaf’s counter, with a cover note that the revisions are intended to (a) ensure the ADEA release is knowing and voluntary under the OWBPA, (b) correct the equity valuation, and (c) add standard protections. The OWBPA fixes, the RSU valuation correction, the government-agency carve-outs, and the new Sections 19–23 are, in our view, non-negotiable for an enforceable and protective agreement. The reference, arbitration, liquidated-damages, and non-disparagement-term items are negotiable and await your direction. We are happy to discuss any of the above and to revise the markup further once you have made the decisions in Section V.</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787878"/>
        <w:sz w:val="16"/>
      </w:rPr>
      <w:t xml:space="preserve">Privileged &amp; Confidential  |  Attorney Work Product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