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Times New Roman" w:hAnsi="Times New Roman"/>
          <w:b/>
          <w:i w:val="0"/>
          <w:sz w:val="18"/>
          <w:u w:val="none"/>
        </w:rPr>
        <w:t>PRIVILEGED &amp; CONFIDENTIAL  |  ATTORNEY-CLIENT COMMUNICATION  |  ATTORNEY WORK PRODUCT</w:t>
      </w:r>
    </w:p>
    <w:p>
      <w:pPr>
        <w:spacing w:after="200" w:before="0" w:line="259" w:lineRule="auto"/>
        <w:jc w:val="center"/>
      </w:pPr>
      <w:r>
        <w:rPr>
          <w:rFonts w:ascii="Times New Roman" w:hAnsi="Times New Roman"/>
          <w:b/>
          <w:i/>
          <w:sz w:val="18"/>
          <w:u w:val="none"/>
        </w:rPr>
        <w:t>PREPARED IN ANTICIPATION OF LITIGATION</w:t>
      </w:r>
    </w:p>
    <w:p>
      <w:pPr>
        <w:spacing w:after="200" w:before="0" w:line="259" w:lineRule="auto"/>
        <w:jc w:val="center"/>
      </w:pPr>
      <w:r>
        <w:rPr>
          <w:rFonts w:ascii="Times New Roman" w:hAnsi="Times New Roman"/>
          <w:b/>
          <w:i w:val="0"/>
          <w:sz w:val="32"/>
          <w:u w:val="none"/>
        </w:rPr>
        <w:t>MEMORANDUM</w:t>
      </w:r>
    </w:p>
    <w:p>
      <w:pPr>
        <w:pBdr>
          <w:bottom w:val="single" w:sz="6" w:space="1" w:color="000000"/>
        </w:pBdr>
        <w:spacing w:after="120"/>
      </w:pPr>
    </w:p>
    <w:p>
      <w:pPr>
        <w:spacing w:after="40" w:line="259" w:lineRule="auto"/>
      </w:pPr>
      <w:r>
        <w:rPr>
          <w:rFonts w:ascii="Times New Roman" w:hAnsi="Times New Roman"/>
          <w:b/>
          <w:i w:val="0"/>
          <w:sz w:val="22"/>
          <w:u w:val="none"/>
        </w:rPr>
        <w:t>TO:</w:t>
        <w:tab/>
      </w:r>
      <w:r>
        <w:rPr>
          <w:rFonts w:ascii="Times New Roman" w:hAnsi="Times New Roman"/>
          <w:b w:val="0"/>
          <w:i w:val="0"/>
          <w:sz w:val="22"/>
          <w:u w:val="none"/>
        </w:rPr>
        <w:t>Tyler Huang, General Counsel, Greenleaf Organic Foods, Inc.</w:t>
      </w:r>
    </w:p>
    <w:p>
      <w:pPr>
        <w:spacing w:after="40" w:line="259" w:lineRule="auto"/>
      </w:pPr>
      <w:r>
        <w:rPr>
          <w:rFonts w:ascii="Times New Roman" w:hAnsi="Times New Roman"/>
          <w:b/>
          <w:i w:val="0"/>
          <w:sz w:val="22"/>
          <w:u w:val="none"/>
        </w:rPr>
        <w:t>FROM:</w:t>
        <w:tab/>
      </w:r>
      <w:r>
        <w:rPr>
          <w:rFonts w:ascii="Times New Roman" w:hAnsi="Times New Roman"/>
          <w:b w:val="0"/>
          <w:i w:val="0"/>
          <w:sz w:val="22"/>
          <w:u w:val="none"/>
        </w:rPr>
        <w:t>Office of the General Counsel — Employment &amp; Litigation Group</w:t>
      </w:r>
    </w:p>
    <w:p>
      <w:pPr>
        <w:spacing w:after="40" w:line="259" w:lineRule="auto"/>
      </w:pPr>
      <w:r>
        <w:rPr>
          <w:rFonts w:ascii="Times New Roman" w:hAnsi="Times New Roman"/>
          <w:b/>
          <w:i w:val="0"/>
          <w:sz w:val="22"/>
          <w:u w:val="none"/>
        </w:rPr>
        <w:t>DATE:</w:t>
        <w:tab/>
      </w:r>
      <w:r>
        <w:rPr>
          <w:rFonts w:ascii="Times New Roman" w:hAnsi="Times New Roman"/>
          <w:b w:val="0"/>
          <w:i w:val="0"/>
          <w:sz w:val="22"/>
          <w:u w:val="none"/>
        </w:rPr>
        <w:t>May 14, 2025</w:t>
      </w:r>
    </w:p>
    <w:p>
      <w:pPr>
        <w:spacing w:after="40" w:line="259" w:lineRule="auto"/>
      </w:pPr>
      <w:r>
        <w:rPr>
          <w:rFonts w:ascii="Times New Roman" w:hAnsi="Times New Roman"/>
          <w:b/>
          <w:i w:val="0"/>
          <w:sz w:val="22"/>
          <w:u w:val="none"/>
        </w:rPr>
        <w:t>RE:</w:t>
        <w:tab/>
      </w:r>
      <w:r>
        <w:rPr>
          <w:rFonts w:ascii="Times New Roman" w:hAnsi="Times New Roman"/>
          <w:b w:val="0"/>
          <w:i w:val="0"/>
          <w:sz w:val="22"/>
          <w:u w:val="none"/>
        </w:rPr>
        <w:t>Review and Redline of Draft Settlement Agreement — Marcus R. Delano</w:t>
      </w:r>
    </w:p>
    <w:p>
      <w:pPr>
        <w:pBdr>
          <w:bottom w:val="single" w:sz="6" w:space="1" w:color="000000"/>
        </w:pBdr>
        <w:spacing w:after="120"/>
      </w:pPr>
    </w:p>
    <w:p>
      <w:pPr>
        <w:keepNext/>
        <w:spacing w:before="240" w:after="80"/>
      </w:pPr>
      <w:r>
        <w:rPr>
          <w:rFonts w:ascii="Times New Roman" w:hAnsi="Times New Roman"/>
          <w:b/>
          <w:i w:val="0"/>
          <w:sz w:val="24"/>
          <w:u w:val="none"/>
        </w:rPr>
        <w:t>I.  Executive Summary</w:t>
      </w:r>
    </w:p>
    <w:p>
      <w:pPr>
        <w:spacing w:after="120" w:before="0" w:line="259" w:lineRule="auto"/>
        <w:jc w:val="both"/>
      </w:pPr>
      <w:r>
        <w:rPr>
          <w:rFonts w:ascii="Times New Roman" w:hAnsi="Times New Roman"/>
          <w:b w:val="0"/>
          <w:i w:val="0"/>
          <w:sz w:val="22"/>
          <w:u w:val="none"/>
        </w:rPr>
        <w:t>You asked us to review the draft Settlement Agreement and General Release of All Claims (the "Draft"), prepared by Delano’s counsel (Engel &amp; Associates, P.C.) and dated May 5, 2025, against Greenleaf’s employment records and the equity-plan records referenced in the Draft. Our redline of the Draft is delivered herewith (settlement-agreement-markup.docx) and reflects the revisions summarized below.</w:t>
      </w:r>
    </w:p>
    <w:p>
      <w:pPr>
        <w:spacing w:after="120" w:before="0" w:line="259" w:lineRule="auto"/>
        <w:jc w:val="both"/>
      </w:pPr>
      <w:r>
        <w:rPr>
          <w:rFonts w:ascii="Times New Roman" w:hAnsi="Times New Roman"/>
          <w:b w:val="0"/>
          <w:i w:val="0"/>
          <w:sz w:val="22"/>
          <w:u w:val="none"/>
        </w:rPr>
        <w:t>The Draft is a reasonable framework but contains several issues that should be corrected before execution. Most importantly: (1) the Draft uses an outdated RSU valuation that understates the deal value by $12,500; (2) the ADEA release does not satisfy the Older Workers Benefit Protection Act ("OWBPA") — it allows only 14 days to consider (21 days minimum is required) and omits the required 7-day revocation period, either of which would jeopardize the release of age discrimination claims; (3) the non-compete is partially unenforceable (California is void; an Oregon post-termination non-compete is questionable); (4) the Draft mandates a "positive" employment reference, creating misrepresentation risk; and (5) the Draft is missing key provisions — governing law/venue, return of company property, confidentiality of company information, a cooperation clause, and DTSA/whistleblower carve-outs.</w:t>
      </w:r>
    </w:p>
    <w:p>
      <w:pPr>
        <w:spacing w:after="120" w:before="0" w:line="259" w:lineRule="auto"/>
        <w:jc w:val="both"/>
      </w:pPr>
      <w:r>
        <w:rPr>
          <w:rFonts w:ascii="Times New Roman" w:hAnsi="Times New Roman"/>
          <w:b w:val="0"/>
          <w:i w:val="0"/>
          <w:sz w:val="22"/>
          <w:u w:val="none"/>
        </w:rPr>
        <w:t xml:space="preserve">We also flag a significant litigation risk that is not reflected in the Draft itself: </w:t>
      </w:r>
      <w:r>
        <w:rPr>
          <w:rFonts w:ascii="Times New Roman" w:hAnsi="Times New Roman"/>
          <w:b/>
          <w:i w:val="0"/>
          <w:sz w:val="22"/>
          <w:u w:val="none"/>
        </w:rPr>
        <w:t>the employment records show that Greenleaf hired a replacement (Raj Mehta, Senior Director of Supply Chain &amp; Logistics) on March 20, 2025 — six days after terminating Delano — at a lower salary.</w:t>
      </w:r>
      <w:r>
        <w:rPr>
          <w:rFonts w:ascii="Times New Roman" w:hAnsi="Times New Roman"/>
          <w:b w:val="0"/>
          <w:i w:val="0"/>
          <w:sz w:val="22"/>
          <w:u w:val="none"/>
        </w:rPr>
        <w:t xml:space="preserve"> This directly contradicts the stated "elimination of position due to restructuring" rationale and substantially strengthens Delano’s retaliation and age-discrimination claims. It should inform both the settlement value and Greenleaf’s litigation strategy.</w:t>
      </w:r>
    </w:p>
    <w:p>
      <w:pPr>
        <w:spacing w:after="120" w:before="0" w:line="259" w:lineRule="auto"/>
        <w:jc w:val="both"/>
      </w:pPr>
      <w:r>
        <w:rPr>
          <w:rFonts w:ascii="Times New Roman" w:hAnsi="Times New Roman"/>
          <w:b w:val="0"/>
          <w:i w:val="0"/>
          <w:sz w:val="22"/>
          <w:u w:val="none"/>
        </w:rPr>
        <w:t>The redline addresses the legal and drafting issues. Items requiring your decision — principally the RSU valuation, the OWBPA characterization, the non-compete, and EPLI carrier coordination — are listed in Part V.</w:t>
      </w:r>
    </w:p>
    <w:p>
      <w:pPr>
        <w:keepNext/>
        <w:spacing w:before="240" w:after="80"/>
      </w:pPr>
      <w:r>
        <w:rPr>
          <w:rFonts w:ascii="Times New Roman" w:hAnsi="Times New Roman"/>
          <w:b/>
          <w:i w:val="0"/>
          <w:sz w:val="24"/>
          <w:u w:val="none"/>
        </w:rPr>
        <w:t>II.  Documents Reviewed</w:t>
      </w:r>
    </w:p>
    <w:p>
      <w:pPr>
        <w:pStyle w:val="ListBullet"/>
        <w:spacing w:after="60" w:line="259" w:lineRule="auto"/>
        <w:jc w:val="both"/>
      </w:pPr>
      <w:r>
        <w:rPr>
          <w:rFonts w:ascii="Times New Roman" w:hAnsi="Times New Roman"/>
          <w:b w:val="0"/>
          <w:i w:val="0"/>
          <w:sz w:val="22"/>
          <w:u w:val="none"/>
        </w:rPr>
        <w:t>Draft Settlement Agreement and General Release of All Claims, prepared by Engel &amp; Associates, P.C., dated May 5, 2025.</w:t>
      </w:r>
    </w:p>
    <w:p>
      <w:pPr>
        <w:pStyle w:val="ListBullet"/>
        <w:spacing w:after="60" w:line="259" w:lineRule="auto"/>
        <w:jc w:val="both"/>
      </w:pPr>
      <w:r>
        <w:rPr>
          <w:rFonts w:ascii="Times New Roman" w:hAnsi="Times New Roman"/>
          <w:b w:val="0"/>
          <w:i w:val="0"/>
          <w:sz w:val="22"/>
          <w:u w:val="none"/>
        </w:rPr>
        <w:t>Delano Employment Summary, prepared by Leanne Foss, HR Director, dated May 10, 2025 — including Employment History, Compensation History, and Equity Details (RSU grant, vesting schedule, 409A valuation history, and settlement-proposal analysis).</w:t>
      </w:r>
    </w:p>
    <w:p>
      <w:pPr>
        <w:pStyle w:val="ListBullet"/>
        <w:spacing w:after="60" w:line="259" w:lineRule="auto"/>
        <w:jc w:val="both"/>
      </w:pPr>
      <w:r>
        <w:rPr>
          <w:rFonts w:ascii="Times New Roman" w:hAnsi="Times New Roman"/>
          <w:b w:val="0"/>
          <w:i w:val="0"/>
          <w:sz w:val="22"/>
          <w:u w:val="none"/>
        </w:rPr>
        <w:t>Greenleaf 2021 Equity Incentive Plan and the RSU Grant Agreement dated July 1, 2022 (referenced in the Draft and the equity records).</w:t>
      </w:r>
    </w:p>
    <w:p>
      <w:pPr>
        <w:keepNext/>
        <w:spacing w:before="240" w:after="80"/>
      </w:pPr>
      <w:r>
        <w:rPr>
          <w:rFonts w:ascii="Times New Roman" w:hAnsi="Times New Roman"/>
          <w:b/>
          <w:i w:val="0"/>
          <w:sz w:val="24"/>
          <w:u w:val="none"/>
        </w:rPr>
        <w:t>III.  Issues and Recommended Revisions Reflected in the Redline</w:t>
      </w:r>
    </w:p>
    <w:p>
      <w:pPr>
        <w:keepNext/>
        <w:spacing w:before="160" w:after="40"/>
      </w:pPr>
      <w:r>
        <w:rPr>
          <w:rFonts w:ascii="Times New Roman" w:hAnsi="Times New Roman"/>
          <w:b/>
          <w:i/>
          <w:sz w:val="22"/>
          <w:u w:val="none"/>
        </w:rPr>
        <w:t>A.  RSU Valuation Error — Sections 3(d), 3(e), and 8(d)</w:t>
      </w:r>
    </w:p>
    <w:p>
      <w:pPr>
        <w:pStyle w:val="ListBullet"/>
        <w:spacing w:after="60" w:line="259" w:lineRule="auto"/>
        <w:jc w:val="both"/>
      </w:pPr>
      <w:r>
        <w:rPr>
          <w:rFonts w:ascii="Times New Roman" w:hAnsi="Times New Roman"/>
          <w:b/>
          <w:i w:val="0"/>
          <w:sz w:val="22"/>
          <w:u w:val="none"/>
        </w:rPr>
        <w:t xml:space="preserve">Issue.  </w:t>
      </w:r>
      <w:r>
        <w:rPr>
          <w:rFonts w:ascii="Times New Roman" w:hAnsi="Times New Roman"/>
          <w:b w:val="0"/>
          <w:i w:val="0"/>
          <w:sz w:val="22"/>
          <w:u w:val="none"/>
        </w:rPr>
        <w:t>The Draft values the 5,000 accelerated RSUs at $10.00 per share ($50,000), citing "the most recent independent valuation conducted by Ridgepoint Valuation Services." That is incorrect. The most recent 409A valuation, dated January 15, 2025, values the shares at $12.50 per share. The correct value of 5,000 RSUs is $62,500, making the aggregate settlement value $537,500 — not $525,000.</w:t>
      </w:r>
    </w:p>
    <w:p>
      <w:pPr>
        <w:pStyle w:val="ListBullet"/>
        <w:spacing w:after="60" w:line="259" w:lineRule="auto"/>
        <w:jc w:val="both"/>
      </w:pPr>
      <w:r>
        <w:rPr>
          <w:rFonts w:ascii="Times New Roman" w:hAnsi="Times New Roman"/>
          <w:b/>
          <w:i w:val="0"/>
          <w:sz w:val="22"/>
          <w:u w:val="none"/>
        </w:rPr>
        <w:t xml:space="preserve">Why it matters.  </w:t>
      </w:r>
      <w:r>
        <w:rPr>
          <w:rFonts w:ascii="Times New Roman" w:hAnsi="Times New Roman"/>
          <w:b w:val="0"/>
          <w:i w:val="0"/>
          <w:sz w:val="22"/>
          <w:u w:val="none"/>
        </w:rPr>
        <w:t>The understatement also creates a tax mismatch: Delano will recognize income based on the actual fair market value on the vesting date ($62,500 at current value), not the $50,000 recited in the Draft.</w:t>
      </w:r>
    </w:p>
    <w:p>
      <w:pPr>
        <w:pStyle w:val="ListBullet"/>
        <w:spacing w:after="60" w:line="259" w:lineRule="auto"/>
        <w:jc w:val="both"/>
      </w:pPr>
      <w:r>
        <w:rPr>
          <w:rFonts w:ascii="Times New Roman" w:hAnsi="Times New Roman"/>
          <w:b/>
          <w:i w:val="0"/>
          <w:sz w:val="22"/>
          <w:u w:val="none"/>
        </w:rPr>
        <w:t xml:space="preserve">Redline.  </w:t>
      </w:r>
      <w:r>
        <w:rPr>
          <w:rFonts w:ascii="Times New Roman" w:hAnsi="Times New Roman"/>
          <w:b w:val="0"/>
          <w:i w:val="0"/>
          <w:sz w:val="22"/>
          <w:u w:val="none"/>
        </w:rPr>
        <w:t>Corrected the per-share fair market value to $12.50 (January 15, 2025 valuation), updated the aggregate value to $537,500, and added a clarifying tax provision stating that taxable income is determined by the vesting-date fair market value under the Equity Plan.</w:t>
      </w:r>
    </w:p>
    <w:p>
      <w:pPr>
        <w:pStyle w:val="ListBullet"/>
        <w:spacing w:after="60" w:line="259" w:lineRule="auto"/>
        <w:jc w:val="both"/>
      </w:pPr>
      <w:r>
        <w:rPr>
          <w:rFonts w:ascii="Times New Roman" w:hAnsi="Times New Roman"/>
          <w:b/>
          <w:i w:val="0"/>
          <w:sz w:val="22"/>
          <w:u w:val="none"/>
        </w:rPr>
        <w:t xml:space="preserve">Decision point.  </w:t>
      </w:r>
      <w:r>
        <w:rPr>
          <w:rFonts w:ascii="Times New Roman" w:hAnsi="Times New Roman"/>
          <w:b w:val="0"/>
          <w:i w:val="0"/>
          <w:sz w:val="22"/>
          <w:u w:val="none"/>
        </w:rPr>
        <w:t>If Greenleaf wishes to hold the total at $525,000, reduce the accelerated RSUs from 5,000 to 4,000 (4,000 × $12.50 = $50,000). Reducing the share count preserves the dollar value but reduces Delano’s upside. Your call.</w:t>
      </w:r>
    </w:p>
    <w:p>
      <w:pPr>
        <w:keepNext/>
        <w:spacing w:before="160" w:after="40"/>
      </w:pPr>
      <w:r>
        <w:rPr>
          <w:rFonts w:ascii="Times New Roman" w:hAnsi="Times New Roman"/>
          <w:b/>
          <w:i/>
          <w:sz w:val="22"/>
          <w:u w:val="none"/>
        </w:rPr>
        <w:t>B.  OWBPA / ADEA Compliance — Consideration Period and Revocation (Sections 5, 16; Effective Date)</w:t>
      </w:r>
    </w:p>
    <w:p>
      <w:pPr>
        <w:pStyle w:val="ListBullet"/>
        <w:spacing w:after="60" w:line="259" w:lineRule="auto"/>
        <w:jc w:val="both"/>
      </w:pPr>
      <w:r>
        <w:rPr>
          <w:rFonts w:ascii="Times New Roman" w:hAnsi="Times New Roman"/>
          <w:b/>
          <w:i w:val="0"/>
          <w:sz w:val="22"/>
          <w:u w:val="none"/>
        </w:rPr>
        <w:t xml:space="preserve">Issue.  </w:t>
      </w:r>
      <w:r>
        <w:rPr>
          <w:rFonts w:ascii="Times New Roman" w:hAnsi="Times New Roman"/>
          <w:b w:val="0"/>
          <w:i w:val="0"/>
          <w:sz w:val="22"/>
          <w:u w:val="none"/>
        </w:rPr>
        <w:t>Delano is 58 (DOB 7/14/1966) and is releasing claims under the ADEA. The release must be "knowing and voluntary" under the OWBPA. The Draft gives him only 14 days to consider the agreement; OWBPA requires a minimum of 21 days for an individual release (and 45 days, plus decisional-unit disclosures, if the termination is part of a group reduction-in-force program). A 14-day period would render the ADEA waiver invalid.</w:t>
      </w:r>
    </w:p>
    <w:p>
      <w:pPr>
        <w:pStyle w:val="ListBullet"/>
        <w:spacing w:after="60" w:line="259" w:lineRule="auto"/>
        <w:jc w:val="both"/>
      </w:pPr>
      <w:r>
        <w:rPr>
          <w:rFonts w:ascii="Times New Roman" w:hAnsi="Times New Roman"/>
          <w:b/>
          <w:i w:val="0"/>
          <w:sz w:val="22"/>
          <w:u w:val="none"/>
        </w:rPr>
        <w:t xml:space="preserve">Why it matters.  </w:t>
      </w:r>
      <w:r>
        <w:rPr>
          <w:rFonts w:ascii="Times New Roman" w:hAnsi="Times New Roman"/>
          <w:b w:val="0"/>
          <w:i w:val="0"/>
          <w:sz w:val="22"/>
          <w:u w:val="none"/>
        </w:rPr>
        <w:t>The Draft also omits the required 7-day revocation period entirely. Without it, the ADEA release is not effective and is vulnerable to revocation/challenge. In addition, the "Effective Date" is defined as the signing date (May 5, 2025), which is inconsistent with a release that should not become effective until the revocation period expires.</w:t>
      </w:r>
    </w:p>
    <w:p>
      <w:pPr>
        <w:pStyle w:val="ListBullet"/>
        <w:spacing w:after="60" w:line="259" w:lineRule="auto"/>
        <w:jc w:val="both"/>
      </w:pPr>
      <w:r>
        <w:rPr>
          <w:rFonts w:ascii="Times New Roman" w:hAnsi="Times New Roman"/>
          <w:b/>
          <w:i w:val="0"/>
          <w:sz w:val="22"/>
          <w:u w:val="none"/>
        </w:rPr>
        <w:t xml:space="preserve">Redline.  </w:t>
      </w:r>
      <w:r>
        <w:rPr>
          <w:rFonts w:ascii="Times New Roman" w:hAnsi="Times New Roman"/>
          <w:b w:val="0"/>
          <w:i w:val="0"/>
          <w:sz w:val="22"/>
          <w:u w:val="none"/>
        </w:rPr>
        <w:t>Increased the consideration period to 21 days; added a 7-day revocation period (new Section 5(g)); redefined the "Effective Date" as the eighth day after signing (i.e., after the revocation period expires); and made all settlement payments due only after the revocation period has run.</w:t>
      </w:r>
    </w:p>
    <w:p>
      <w:pPr>
        <w:pStyle w:val="ListBullet"/>
        <w:spacing w:after="60" w:line="259" w:lineRule="auto"/>
        <w:jc w:val="both"/>
      </w:pPr>
      <w:r>
        <w:rPr>
          <w:rFonts w:ascii="Times New Roman" w:hAnsi="Times New Roman"/>
          <w:b/>
          <w:i w:val="0"/>
          <w:sz w:val="22"/>
          <w:u w:val="none"/>
        </w:rPr>
        <w:t xml:space="preserve">Decision point.  </w:t>
      </w:r>
      <w:r>
        <w:rPr>
          <w:rFonts w:ascii="Times New Roman" w:hAnsi="Times New Roman"/>
          <w:b w:val="0"/>
          <w:i w:val="0"/>
          <w:sz w:val="22"/>
          <w:u w:val="none"/>
        </w:rPr>
        <w:t>Confirm whether Delano’s termination is part of a broader reduction-in-force. If so, the consideration period must be 45 days and Greenleaf must provide the OWBPA group-program disclosures (decisional unit, eligibility factors, and the job titles and ages of all employees selected and not selected for termination). If it is a single-position elimination, 21 days suffices. The "restructuring" language in the Draft and the records makes this worth confirming.</w:t>
      </w:r>
    </w:p>
    <w:p>
      <w:pPr>
        <w:keepNext/>
        <w:spacing w:before="160" w:after="40"/>
      </w:pPr>
      <w:r>
        <w:rPr>
          <w:rFonts w:ascii="Times New Roman" w:hAnsi="Times New Roman"/>
          <w:b/>
          <w:i/>
          <w:sz w:val="22"/>
          <w:u w:val="none"/>
        </w:rPr>
        <w:t>C.  Non-Competition — Enforceability Concerns (Section 9)</w:t>
      </w:r>
    </w:p>
    <w:p>
      <w:pPr>
        <w:pStyle w:val="ListBullet"/>
        <w:spacing w:after="60" w:line="259" w:lineRule="auto"/>
        <w:jc w:val="both"/>
      </w:pPr>
      <w:r>
        <w:rPr>
          <w:rFonts w:ascii="Times New Roman" w:hAnsi="Times New Roman"/>
          <w:b/>
          <w:i w:val="0"/>
          <w:sz w:val="22"/>
          <w:u w:val="none"/>
        </w:rPr>
        <w:t xml:space="preserve">Issue.  </w:t>
      </w:r>
      <w:r>
        <w:rPr>
          <w:rFonts w:ascii="Times New Roman" w:hAnsi="Times New Roman"/>
          <w:b w:val="0"/>
          <w:i w:val="0"/>
          <w:sz w:val="22"/>
          <w:u w:val="none"/>
        </w:rPr>
        <w:t>The 18-month non-compete covers Oregon, Washington, Idaho, and California. Two problems: (i) non-competes are generally void in California under Business &amp; Professions Code § 16600, so the California coverage is unenforceable and creates risk; and (ii) under Oregon’s ORS 653.295(2), a non-compete is void unless entered into "upon a bona fide advancement" or a bona fide sale of a business — a non-compete first imposed in a post-termination settlement agreement likely does not qualify and may be unenforceable. (The 18-month duration is at the statutory maximum under ORS 653.295(1)(f), and Delano’s salary exceeds the threshold, but the timing is the core problem.)</w:t>
      </w:r>
    </w:p>
    <w:p>
      <w:pPr>
        <w:pStyle w:val="ListBullet"/>
        <w:spacing w:after="60" w:line="259" w:lineRule="auto"/>
        <w:jc w:val="both"/>
      </w:pPr>
      <w:r>
        <w:rPr>
          <w:rFonts w:ascii="Times New Roman" w:hAnsi="Times New Roman"/>
          <w:b/>
          <w:i w:val="0"/>
          <w:sz w:val="22"/>
          <w:u w:val="none"/>
        </w:rPr>
        <w:t xml:space="preserve">Why it matters.  </w:t>
      </w:r>
      <w:r>
        <w:rPr>
          <w:rFonts w:ascii="Times New Roman" w:hAnsi="Times New Roman"/>
          <w:b w:val="0"/>
          <w:i w:val="0"/>
          <w:sz w:val="22"/>
          <w:u w:val="none"/>
        </w:rPr>
        <w:t>An unenforceable non-compete provides false security and could be challenged; it also gives Delano an argument that the consideration was illusory.</w:t>
      </w:r>
    </w:p>
    <w:p>
      <w:pPr>
        <w:pStyle w:val="ListBullet"/>
        <w:spacing w:after="60" w:line="259" w:lineRule="auto"/>
        <w:jc w:val="both"/>
      </w:pPr>
      <w:r>
        <w:rPr>
          <w:rFonts w:ascii="Times New Roman" w:hAnsi="Times New Roman"/>
          <w:b/>
          <w:i w:val="0"/>
          <w:sz w:val="22"/>
          <w:u w:val="none"/>
        </w:rPr>
        <w:t xml:space="preserve">Redline.  </w:t>
      </w:r>
      <w:r>
        <w:rPr>
          <w:rFonts w:ascii="Times New Roman" w:hAnsi="Times New Roman"/>
          <w:b w:val="0"/>
          <w:i w:val="0"/>
          <w:sz w:val="22"/>
          <w:u w:val="none"/>
        </w:rPr>
        <w:t>Removed California from the geographic scope. The Oregon timing issue is flagged here rather than built into the contract (we do not want to concede it in the agreement itself).</w:t>
      </w:r>
    </w:p>
    <w:p>
      <w:pPr>
        <w:pStyle w:val="ListBullet"/>
        <w:spacing w:after="60" w:line="259" w:lineRule="auto"/>
        <w:jc w:val="both"/>
      </w:pPr>
      <w:r>
        <w:rPr>
          <w:rFonts w:ascii="Times New Roman" w:hAnsi="Times New Roman"/>
          <w:b/>
          <w:i w:val="0"/>
          <w:sz w:val="22"/>
          <w:u w:val="none"/>
        </w:rPr>
        <w:t xml:space="preserve">Recommendation.  </w:t>
      </w:r>
      <w:r>
        <w:rPr>
          <w:rFonts w:ascii="Times New Roman" w:hAnsi="Times New Roman"/>
          <w:b w:val="0"/>
          <w:i w:val="0"/>
          <w:sz w:val="22"/>
          <w:u w:val="none"/>
        </w:rPr>
        <w:t>Consider whether the non-solicitation covenant (Section 10) and the confidentiality/trade-secret covenants (redline Section 20) provide sufficient protection, and whether to retain the non-compete at all given the Oregon risk. If retained, be prepared to defend it.</w:t>
      </w:r>
    </w:p>
    <w:p>
      <w:pPr>
        <w:keepNext/>
        <w:spacing w:before="160" w:after="40"/>
      </w:pPr>
      <w:r>
        <w:rPr>
          <w:rFonts w:ascii="Times New Roman" w:hAnsi="Times New Roman"/>
          <w:b/>
          <w:i/>
          <w:sz w:val="22"/>
          <w:u w:val="none"/>
        </w:rPr>
        <w:t>D.  Confidentiality, DTSA, and Whistleblower Carve-Outs (Section 6)</w:t>
      </w:r>
    </w:p>
    <w:p>
      <w:pPr>
        <w:pStyle w:val="ListBullet"/>
        <w:spacing w:after="60" w:line="259" w:lineRule="auto"/>
        <w:jc w:val="both"/>
      </w:pPr>
      <w:r>
        <w:rPr>
          <w:rFonts w:ascii="Times New Roman" w:hAnsi="Times New Roman"/>
          <w:b/>
          <w:i w:val="0"/>
          <w:sz w:val="22"/>
          <w:u w:val="none"/>
        </w:rPr>
        <w:t xml:space="preserve">Issue.  </w:t>
      </w:r>
      <w:r>
        <w:rPr>
          <w:rFonts w:ascii="Times New Roman" w:hAnsi="Times New Roman"/>
          <w:b w:val="0"/>
          <w:i w:val="0"/>
          <w:sz w:val="22"/>
          <w:u w:val="none"/>
        </w:rPr>
        <w:t>The Draft’s confidentiality clause does not preserve Delano’s statutory rights to report violations to government agencies or to receive whistleblower awards/bounties, and it lacks the 18 U.S.C. § 1833(b) trade-secret immunity notice. Given Delano’s protected whistleblower activity (internal complaint 11/8/2024; Oregon OSHA complaint 12/3/2024), an overbroad confidentiality clause that could be read to bar government reporting is both unenforceable and counterproductive — it invites challenge and undermines the release.</w:t>
      </w:r>
    </w:p>
    <w:p>
      <w:pPr>
        <w:pStyle w:val="ListBullet"/>
        <w:spacing w:after="60" w:line="259" w:lineRule="auto"/>
        <w:jc w:val="both"/>
      </w:pPr>
      <w:r>
        <w:rPr>
          <w:rFonts w:ascii="Times New Roman" w:hAnsi="Times New Roman"/>
          <w:b/>
          <w:i w:val="0"/>
          <w:sz w:val="22"/>
          <w:u w:val="none"/>
        </w:rPr>
        <w:t xml:space="preserve">Redline.  </w:t>
      </w:r>
      <w:r>
        <w:rPr>
          <w:rFonts w:ascii="Times New Roman" w:hAnsi="Times New Roman"/>
          <w:b w:val="0"/>
          <w:i w:val="0"/>
          <w:sz w:val="22"/>
          <w:u w:val="none"/>
        </w:rPr>
        <w:t>Added a government-agency/whistleblower carve-out (new exception (v)) and a DTSA immunity notice. These preserve Delano’s protected rights while protecting Greenleaf’s trade secrets and the confidentiality of the agreement itself.</w:t>
      </w:r>
    </w:p>
    <w:p>
      <w:pPr>
        <w:keepNext/>
        <w:spacing w:before="160" w:after="40"/>
      </w:pPr>
      <w:r>
        <w:rPr>
          <w:rFonts w:ascii="Times New Roman" w:hAnsi="Times New Roman"/>
          <w:b/>
          <w:i/>
          <w:sz w:val="22"/>
          <w:u w:val="none"/>
        </w:rPr>
        <w:t>E.  Employment Reference — "Positive" Reference Risk (Section 11)</w:t>
      </w:r>
    </w:p>
    <w:p>
      <w:pPr>
        <w:pStyle w:val="ListBullet"/>
        <w:spacing w:after="60" w:line="259" w:lineRule="auto"/>
        <w:jc w:val="both"/>
      </w:pPr>
      <w:r>
        <w:rPr>
          <w:rFonts w:ascii="Times New Roman" w:hAnsi="Times New Roman"/>
          <w:b/>
          <w:i w:val="0"/>
          <w:sz w:val="22"/>
          <w:u w:val="none"/>
        </w:rPr>
        <w:t xml:space="preserve">Issue.  </w:t>
      </w:r>
      <w:r>
        <w:rPr>
          <w:rFonts w:ascii="Times New Roman" w:hAnsi="Times New Roman"/>
          <w:b w:val="0"/>
          <w:i w:val="0"/>
          <w:sz w:val="22"/>
          <w:u w:val="none"/>
        </w:rPr>
        <w:t>The Draft requires Greenleaf to provide a "positive" reference with specific laudatory language ("a valued member of the Greenleaf team who made significant contributions"). A mandated positive reference creates misrepresentation risk and potential liability to prospective employers who rely on it.</w:t>
      </w:r>
    </w:p>
    <w:p>
      <w:pPr>
        <w:pStyle w:val="ListBullet"/>
        <w:spacing w:after="60" w:line="259" w:lineRule="auto"/>
        <w:jc w:val="both"/>
      </w:pPr>
      <w:r>
        <w:rPr>
          <w:rFonts w:ascii="Times New Roman" w:hAnsi="Times New Roman"/>
          <w:b/>
          <w:i w:val="0"/>
          <w:sz w:val="22"/>
          <w:u w:val="none"/>
        </w:rPr>
        <w:t xml:space="preserve">Redline.  </w:t>
      </w:r>
      <w:r>
        <w:rPr>
          <w:rFonts w:ascii="Times New Roman" w:hAnsi="Times New Roman"/>
          <w:b w:val="0"/>
          <w:i w:val="0"/>
          <w:sz w:val="22"/>
          <w:u w:val="none"/>
        </w:rPr>
        <w:t>Revised to a neutral reference (dates of employment and final title only) — the industry standard — while retaining the prohibition on stating that Delano was terminated for cause or in connection with any complaint or investigation.</w:t>
      </w:r>
    </w:p>
    <w:p>
      <w:pPr>
        <w:keepNext/>
        <w:spacing w:before="160" w:after="40"/>
      </w:pPr>
      <w:r>
        <w:rPr>
          <w:rFonts w:ascii="Times New Roman" w:hAnsi="Times New Roman"/>
          <w:b/>
          <w:i/>
          <w:sz w:val="22"/>
          <w:u w:val="none"/>
        </w:rPr>
        <w:t>F.  Non-Disparagement — Perpetual Duration (Section 7)</w:t>
      </w:r>
    </w:p>
    <w:p>
      <w:pPr>
        <w:pStyle w:val="ListBullet"/>
        <w:spacing w:after="60" w:line="259" w:lineRule="auto"/>
        <w:jc w:val="both"/>
      </w:pPr>
      <w:r>
        <w:rPr>
          <w:rFonts w:ascii="Times New Roman" w:hAnsi="Times New Roman"/>
          <w:b/>
          <w:i w:val="0"/>
          <w:sz w:val="22"/>
          <w:u w:val="none"/>
        </w:rPr>
        <w:t xml:space="preserve">Issue.  </w:t>
      </w:r>
      <w:r>
        <w:rPr>
          <w:rFonts w:ascii="Times New Roman" w:hAnsi="Times New Roman"/>
          <w:b w:val="0"/>
          <w:i w:val="0"/>
          <w:sz w:val="22"/>
          <w:u w:val="none"/>
        </w:rPr>
        <w:t>The Draft’s perpetual (lifetime) non-disparagement is disfavored and potentially unenforceable as an unreasonable restraint; it is also mutual, binding Greenleaf indefinitely.</w:t>
      </w:r>
    </w:p>
    <w:p>
      <w:pPr>
        <w:pStyle w:val="ListBullet"/>
        <w:spacing w:after="60" w:line="259" w:lineRule="auto"/>
        <w:jc w:val="both"/>
      </w:pPr>
      <w:r>
        <w:rPr>
          <w:rFonts w:ascii="Times New Roman" w:hAnsi="Times New Roman"/>
          <w:b/>
          <w:i w:val="0"/>
          <w:sz w:val="22"/>
          <w:u w:val="none"/>
        </w:rPr>
        <w:t xml:space="preserve">Redline.  </w:t>
      </w:r>
      <w:r>
        <w:rPr>
          <w:rFonts w:ascii="Times New Roman" w:hAnsi="Times New Roman"/>
          <w:b w:val="0"/>
          <w:i w:val="0"/>
          <w:sz w:val="22"/>
          <w:u w:val="none"/>
        </w:rPr>
        <w:t>Limited the obligation to five (5) years following the Effective Date (mutual).</w:t>
      </w:r>
    </w:p>
    <w:p>
      <w:pPr>
        <w:keepNext/>
        <w:spacing w:before="160" w:after="40"/>
      </w:pPr>
      <w:r>
        <w:rPr>
          <w:rFonts w:ascii="Times New Roman" w:hAnsi="Times New Roman"/>
          <w:b/>
          <w:i/>
          <w:sz w:val="22"/>
          <w:u w:val="none"/>
        </w:rPr>
        <w:t>G.  Missing and Overbroad Provisions</w:t>
      </w:r>
    </w:p>
    <w:p>
      <w:pPr>
        <w:pStyle w:val="ListBullet"/>
        <w:spacing w:after="60" w:line="259" w:lineRule="auto"/>
        <w:jc w:val="both"/>
      </w:pPr>
      <w:r>
        <w:rPr>
          <w:rFonts w:ascii="Times New Roman" w:hAnsi="Times New Roman"/>
          <w:b/>
          <w:i w:val="0"/>
          <w:sz w:val="22"/>
          <w:u w:val="none"/>
        </w:rPr>
        <w:t xml:space="preserve">Governing law/venue.  </w:t>
      </w:r>
      <w:r>
        <w:rPr>
          <w:rFonts w:ascii="Times New Roman" w:hAnsi="Times New Roman"/>
          <w:b w:val="0"/>
          <w:i w:val="0"/>
          <w:sz w:val="22"/>
          <w:u w:val="none"/>
        </w:rPr>
        <w:t>The Draft has no choice-of-law, venue, or jury-waiver provision. Added Section 22 (Oregon governing law; exclusive venue in Multnomah County, Oregon; mutual jury waiver).</w:t>
      </w:r>
    </w:p>
    <w:p>
      <w:pPr>
        <w:pStyle w:val="ListBullet"/>
        <w:spacing w:after="60" w:line="259" w:lineRule="auto"/>
        <w:jc w:val="both"/>
      </w:pPr>
      <w:r>
        <w:rPr>
          <w:rFonts w:ascii="Times New Roman" w:hAnsi="Times New Roman"/>
          <w:b/>
          <w:i w:val="0"/>
          <w:sz w:val="22"/>
          <w:u w:val="none"/>
        </w:rPr>
        <w:t xml:space="preserve">Return of company property.  </w:t>
      </w:r>
      <w:r>
        <w:rPr>
          <w:rFonts w:ascii="Times New Roman" w:hAnsi="Times New Roman"/>
          <w:b w:val="0"/>
          <w:i w:val="0"/>
          <w:sz w:val="22"/>
          <w:u w:val="none"/>
        </w:rPr>
        <w:t>Not addressed. For a VP with broad access to confidential information, this is important. Added Section 19 (return of all company property; surrender of credentials; confirmation that no confidential information was retained).</w:t>
      </w:r>
    </w:p>
    <w:p>
      <w:pPr>
        <w:pStyle w:val="ListBullet"/>
        <w:spacing w:after="60" w:line="259" w:lineRule="auto"/>
        <w:jc w:val="both"/>
      </w:pPr>
      <w:r>
        <w:rPr>
          <w:rFonts w:ascii="Times New Roman" w:hAnsi="Times New Roman"/>
          <w:b/>
          <w:i w:val="0"/>
          <w:sz w:val="22"/>
          <w:u w:val="none"/>
        </w:rPr>
        <w:t xml:space="preserve">Confidential information / IP.  </w:t>
      </w:r>
      <w:r>
        <w:rPr>
          <w:rFonts w:ascii="Times New Roman" w:hAnsi="Times New Roman"/>
          <w:b w:val="0"/>
          <w:i w:val="0"/>
          <w:sz w:val="22"/>
          <w:u w:val="none"/>
        </w:rPr>
        <w:t>Not addressed. Added Section 20 (reaffirms ongoing confidentiality of company information and trade secrets, subject to the whistleblower/DTSA carve-outs).</w:t>
      </w:r>
    </w:p>
    <w:p>
      <w:pPr>
        <w:pStyle w:val="ListBullet"/>
        <w:spacing w:after="60" w:line="259" w:lineRule="auto"/>
        <w:jc w:val="both"/>
      </w:pPr>
      <w:r>
        <w:rPr>
          <w:rFonts w:ascii="Times New Roman" w:hAnsi="Times New Roman"/>
          <w:b/>
          <w:i w:val="0"/>
          <w:sz w:val="22"/>
          <w:u w:val="none"/>
        </w:rPr>
        <w:t xml:space="preserve">Cooperation.  </w:t>
      </w:r>
      <w:r>
        <w:rPr>
          <w:rFonts w:ascii="Times New Roman" w:hAnsi="Times New Roman"/>
          <w:b w:val="0"/>
          <w:i w:val="0"/>
          <w:sz w:val="22"/>
          <w:u w:val="none"/>
        </w:rPr>
        <w:t>Not addressed. Given the pending Oregon OSHA investigation, Greenleaf should secure Delano’s reasonable cooperation. Added Section 21 (cooperation in transition and in investigations/proceedings, with expense reimbursement and subject to whistleblower rights).</w:t>
      </w:r>
    </w:p>
    <w:p>
      <w:pPr>
        <w:pStyle w:val="ListBullet"/>
        <w:spacing w:after="60" w:line="259" w:lineRule="auto"/>
        <w:jc w:val="both"/>
      </w:pPr>
      <w:r>
        <w:rPr>
          <w:rFonts w:ascii="Times New Roman" w:hAnsi="Times New Roman"/>
          <w:b/>
          <w:i w:val="0"/>
          <w:sz w:val="22"/>
          <w:u w:val="none"/>
        </w:rPr>
        <w:t xml:space="preserve">Entire agreement (Section 18).  </w:t>
      </w:r>
      <w:r>
        <w:rPr>
          <w:rFonts w:ascii="Times New Roman" w:hAnsi="Times New Roman"/>
          <w:b w:val="0"/>
          <w:i w:val="0"/>
          <w:sz w:val="22"/>
          <w:u w:val="none"/>
        </w:rPr>
        <w:t>The integration clause could be read to supersede the Equity Plan and RSU Grant Agreement, which must continue to govern the accelerated RSUs. Carved those out so they survive to the extent necessary to govern the RSUs.</w:t>
      </w:r>
    </w:p>
    <w:p>
      <w:pPr>
        <w:pStyle w:val="ListBullet"/>
        <w:spacing w:after="60" w:line="259" w:lineRule="auto"/>
        <w:jc w:val="both"/>
      </w:pPr>
      <w:r>
        <w:rPr>
          <w:rFonts w:ascii="Times New Roman" w:hAnsi="Times New Roman"/>
          <w:b/>
          <w:i w:val="0"/>
          <w:sz w:val="22"/>
          <w:u w:val="none"/>
        </w:rPr>
        <w:t xml:space="preserve">Releasees (Section 1(d)).  </w:t>
      </w:r>
      <w:r>
        <w:rPr>
          <w:rFonts w:ascii="Times New Roman" w:hAnsi="Times New Roman"/>
          <w:b w:val="0"/>
          <w:i w:val="0"/>
          <w:sz w:val="22"/>
          <w:u w:val="none"/>
        </w:rPr>
        <w:t>The Draft releases "future" officers, directors, etc. — overbroad and unusual (claims against future individuals do not yet exist). Limited to past and present.</w:t>
      </w:r>
    </w:p>
    <w:p>
      <w:pPr>
        <w:keepNext/>
        <w:spacing w:before="240" w:after="80"/>
      </w:pPr>
      <w:r>
        <w:rPr>
          <w:rFonts w:ascii="Times New Roman" w:hAnsi="Times New Roman"/>
          <w:b/>
          <w:i w:val="0"/>
          <w:sz w:val="24"/>
          <w:u w:val="none"/>
        </w:rPr>
        <w:t>IV.  Strategic and Litigation Risk Considerations</w:t>
      </w:r>
    </w:p>
    <w:p>
      <w:pPr>
        <w:keepNext/>
        <w:spacing w:before="160" w:after="40"/>
      </w:pPr>
      <w:r>
        <w:rPr>
          <w:rFonts w:ascii="Times New Roman" w:hAnsi="Times New Roman"/>
          <w:b/>
          <w:i/>
          <w:sz w:val="22"/>
          <w:u w:val="none"/>
        </w:rPr>
        <w:t>A.  Replacement Hire Contradicts "Position Elimination" Rationale — High Risk</w:t>
      </w:r>
    </w:p>
    <w:p>
      <w:pPr>
        <w:spacing w:after="120" w:before="0" w:line="259" w:lineRule="auto"/>
        <w:jc w:val="both"/>
      </w:pPr>
      <w:r>
        <w:rPr>
          <w:rFonts w:ascii="Times New Roman" w:hAnsi="Times New Roman"/>
          <w:b w:val="0"/>
          <w:i w:val="0"/>
          <w:sz w:val="22"/>
          <w:u w:val="none"/>
        </w:rPr>
        <w:t>The employment records show that Greenleaf hired Raj Mehta as Senior Director of Supply Chain &amp; Logistics on March 20, 2025 — six days after terminating Delano — at a salary of $185,000 (versus Delano’s $218,000). This directly contradicts the stated rationale ("elimination of position due to restructuring of supply chain division") and strongly supports Delano’s retaliation claim under ORS 654.062(5) and his age-discrimination claim under the ADEA: the position was not eliminated but refilled, by a lower-paid (and likely younger) employee, shortly after Delano’s protected whistleblower activity. This is the single greatest litigation risk in the matter.</w:t>
      </w:r>
    </w:p>
    <w:p>
      <w:pPr>
        <w:spacing w:after="120" w:before="0" w:line="259" w:lineRule="auto"/>
        <w:jc w:val="both"/>
      </w:pPr>
      <w:r>
        <w:rPr>
          <w:rFonts w:ascii="Times New Roman" w:hAnsi="Times New Roman"/>
          <w:b w:val="0"/>
          <w:i w:val="0"/>
          <w:sz w:val="22"/>
          <w:u w:val="none"/>
        </w:rPr>
        <w:t>Practical implications: (i) this significantly increases Greenleaf’s exposure and should inform the settlement value — the proposed $525,000–$537,500 may be favorable relative to the exposure; (ii) it makes the non-disparagement and neutral-reference provisions more important to Greenleaf; and (iii) Greenleaf should preserve all documents and communications concerning the "restructuring" and the Mehta hire, assess whether the restructuring rationale can be independently supported, and consider whether additional settlement value or protections are warranted.</w:t>
      </w:r>
    </w:p>
    <w:p>
      <w:pPr>
        <w:keepNext/>
        <w:spacing w:before="160" w:after="40"/>
      </w:pPr>
      <w:r>
        <w:rPr>
          <w:rFonts w:ascii="Times New Roman" w:hAnsi="Times New Roman"/>
          <w:b/>
          <w:i/>
          <w:sz w:val="22"/>
          <w:u w:val="none"/>
        </w:rPr>
        <w:t>B.  Pending Oregon OSHA Investigation</w:t>
      </w:r>
    </w:p>
    <w:p>
      <w:pPr>
        <w:spacing w:after="120" w:before="0" w:line="259" w:lineRule="auto"/>
        <w:jc w:val="both"/>
      </w:pPr>
      <w:r>
        <w:rPr>
          <w:rFonts w:ascii="Times New Roman" w:hAnsi="Times New Roman"/>
          <w:b w:val="0"/>
          <w:i w:val="0"/>
          <w:sz w:val="22"/>
          <w:u w:val="none"/>
        </w:rPr>
        <w:t>Oregon OSHA opened a formal investigation of the Bend facility on January 22, 2025 (Complaint No. OR-OSHA-2024-11872), and it remains pending. This settlement resolves Delano’s retaliation claim, but it does not resolve the underlying OSHA investigation or Greenleaf’s potential OSHA exposure (penalties, abatement orders, etc.). Greenleaf faces that exposure separately and should prepare its OSHA defense independently. The cooperation clause (Section 21) helps secure Delano’s cooperation, but it is not a substitute for Greenleaf’s own compliance and defense efforts.</w:t>
      </w:r>
    </w:p>
    <w:p>
      <w:pPr>
        <w:keepNext/>
        <w:spacing w:before="160" w:after="40"/>
      </w:pPr>
      <w:r>
        <w:rPr>
          <w:rFonts w:ascii="Times New Roman" w:hAnsi="Times New Roman"/>
          <w:b/>
          <w:i/>
          <w:sz w:val="22"/>
          <w:u w:val="none"/>
        </w:rPr>
        <w:t>C.  EPLI Carrier Coordination</w:t>
      </w:r>
    </w:p>
    <w:p>
      <w:pPr>
        <w:spacing w:after="120" w:before="0" w:line="259" w:lineRule="auto"/>
        <w:jc w:val="both"/>
      </w:pPr>
      <w:r>
        <w:rPr>
          <w:rFonts w:ascii="Times New Roman" w:hAnsi="Times New Roman"/>
          <w:b w:val="0"/>
          <w:i w:val="0"/>
          <w:sz w:val="22"/>
          <w:u w:val="none"/>
        </w:rPr>
        <w:t>Greenleaf carries employment practices liability insurance with Timberline Insurance Group (Policy No. TIG-EPL-2024-00391). Before executing the agreement, confirm: (i) whether the carrier’s consent is required for this settlement; (ii) whether the carrier will fund any portion of the payment; (iii) the policy limits and whether the settlement is within or above them; and (iv) any conditions the carrier imposes (e.g., confidentiality, no-admission language). Failing to obtain required consent could jeopardize coverage and leave Greenleaf funding the settlement uninsured.</w:t>
      </w:r>
    </w:p>
    <w:p>
      <w:pPr>
        <w:keepNext/>
        <w:spacing w:before="160" w:after="40"/>
      </w:pPr>
      <w:r>
        <w:rPr>
          <w:rFonts w:ascii="Times New Roman" w:hAnsi="Times New Roman"/>
          <w:b/>
          <w:i/>
          <w:sz w:val="22"/>
          <w:u w:val="none"/>
        </w:rPr>
        <w:t>D.  Settlement Value vs. Exposure</w:t>
      </w:r>
    </w:p>
    <w:p>
      <w:pPr>
        <w:spacing w:after="120" w:before="0" w:line="259" w:lineRule="auto"/>
        <w:jc w:val="both"/>
      </w:pPr>
      <w:r>
        <w:rPr>
          <w:rFonts w:ascii="Times New Roman" w:hAnsi="Times New Roman"/>
          <w:b w:val="0"/>
          <w:i w:val="0"/>
          <w:sz w:val="22"/>
          <w:u w:val="none"/>
        </w:rPr>
        <w:t>The proposed total ($525,000 as drafted; $537,500 as corrected) comprises $275,000 compensatory damages (Form 1099-MISC), $125,000 back pay (Form W-2), $75,000 attorney fees (Form 1099-NEC to Engel &amp; Associates), and $50,000–$62,500 in RSU value. Note that the $125,000 "back pay" substantially exceeds Delano’s actual lost wages from the Separation Date (March 14, 2025) through the Effective Date (roughly seven weeks, or approximately $29,000 at an annualized $218,000), indicating it includes a front-pay or extended-unemployment component. That is acceptable as a negotiated figure, but be aware of the characterization. Given the replacement-hire risk and the pending OSHA matter, the proposed value may be reasonable to favorable for Greenleaf — but the final decision is yours after assessing the carrier’s position.</w:t>
      </w:r>
    </w:p>
    <w:p>
      <w:pPr>
        <w:keepNext/>
        <w:spacing w:before="160" w:after="40"/>
      </w:pPr>
      <w:r>
        <w:rPr>
          <w:rFonts w:ascii="Times New Roman" w:hAnsi="Times New Roman"/>
          <w:b/>
          <w:i/>
          <w:sz w:val="22"/>
          <w:u w:val="none"/>
        </w:rPr>
        <w:t>E.  Tax Treatment</w:t>
      </w:r>
    </w:p>
    <w:p>
      <w:pPr>
        <w:spacing w:after="120" w:before="0" w:line="259" w:lineRule="auto"/>
        <w:jc w:val="both"/>
      </w:pPr>
      <w:r>
        <w:rPr>
          <w:rFonts w:ascii="Times New Roman" w:hAnsi="Times New Roman"/>
          <w:b w:val="0"/>
          <w:i w:val="0"/>
          <w:sz w:val="22"/>
          <w:u w:val="none"/>
        </w:rPr>
        <w:t>The tax characterization is generally appropriate: 1099-MISC for compensatory damages (emotional distress without physical injury is taxable), W-2 for back pay (wages, with payroll-tax withholding), and 1099-NEC for attorney fees paid directly to Engel &amp; Associates. Note that the above-the-line deduction for attorney fees in employment-discrimination cases was limited after the 2017 Tax Cuts and Jobs Act; Delano’s counsel should advise him on deductibility. The redline ties the RSU tax to the vesting-date fair market value, which is correct.</w:t>
      </w:r>
    </w:p>
    <w:p>
      <w:pPr>
        <w:keepNext/>
        <w:spacing w:before="240" w:after="80"/>
      </w:pPr>
      <w:r>
        <w:rPr>
          <w:rFonts w:ascii="Times New Roman" w:hAnsi="Times New Roman"/>
          <w:b/>
          <w:i w:val="0"/>
          <w:sz w:val="24"/>
          <w:u w:val="none"/>
        </w:rPr>
        <w:t>V.  Items Requiring Your Decision</w:t>
      </w:r>
    </w:p>
    <w:p>
      <w:pPr>
        <w:pStyle w:val="ListNumber"/>
        <w:spacing w:after="60" w:line="259" w:lineRule="auto"/>
        <w:jc w:val="both"/>
      </w:pPr>
      <w:r>
        <w:rPr>
          <w:rFonts w:ascii="Times New Roman" w:hAnsi="Times New Roman"/>
          <w:b w:val="0"/>
          <w:i w:val="0"/>
          <w:sz w:val="22"/>
          <w:u w:val="none"/>
        </w:rPr>
        <w:t>Correct the RSU valuation to $12.50/share and accept a $537,500 total, or reduce the accelerated RSUs to 4,000 to hold the total at $525,000.</w:t>
      </w:r>
    </w:p>
    <w:p>
      <w:pPr>
        <w:pStyle w:val="ListNumber"/>
        <w:spacing w:after="60" w:line="259" w:lineRule="auto"/>
        <w:jc w:val="both"/>
      </w:pPr>
      <w:r>
        <w:rPr>
          <w:rFonts w:ascii="Times New Roman" w:hAnsi="Times New Roman"/>
          <w:b w:val="0"/>
          <w:i w:val="0"/>
          <w:sz w:val="22"/>
          <w:u w:val="none"/>
        </w:rPr>
        <w:t>Confirm the OWBPA characterization: individual release (21-day consideration) or group/RIF program (45-day consideration plus disclosures).</w:t>
      </w:r>
    </w:p>
    <w:p>
      <w:pPr>
        <w:pStyle w:val="ListNumber"/>
        <w:spacing w:after="60" w:line="259" w:lineRule="auto"/>
        <w:jc w:val="both"/>
      </w:pPr>
      <w:r>
        <w:rPr>
          <w:rFonts w:ascii="Times New Roman" w:hAnsi="Times New Roman"/>
          <w:b w:val="0"/>
          <w:i w:val="0"/>
          <w:sz w:val="22"/>
          <w:u w:val="none"/>
        </w:rPr>
        <w:t>Decide whether to retain the non-compete (with Oregon enforceability risk) or rely on non-solicitation and confidentiality covenants instead.</w:t>
      </w:r>
    </w:p>
    <w:p>
      <w:pPr>
        <w:pStyle w:val="ListNumber"/>
        <w:spacing w:after="60" w:line="259" w:lineRule="auto"/>
        <w:jc w:val="both"/>
      </w:pPr>
      <w:r>
        <w:rPr>
          <w:rFonts w:ascii="Times New Roman" w:hAnsi="Times New Roman"/>
          <w:b w:val="0"/>
          <w:i w:val="0"/>
          <w:sz w:val="22"/>
          <w:u w:val="none"/>
        </w:rPr>
        <w:t>Coordinate with Timberline Insurance Group re: EPLI consent, funding, limits, and conditions.</w:t>
      </w:r>
    </w:p>
    <w:p>
      <w:pPr>
        <w:pStyle w:val="ListNumber"/>
        <w:spacing w:after="60" w:line="259" w:lineRule="auto"/>
        <w:jc w:val="both"/>
      </w:pPr>
      <w:r>
        <w:rPr>
          <w:rFonts w:ascii="Times New Roman" w:hAnsi="Times New Roman"/>
          <w:b w:val="0"/>
          <w:i w:val="0"/>
          <w:sz w:val="22"/>
          <w:u w:val="none"/>
        </w:rPr>
        <w:t>Assess the replacement-hire litigation risk and determine whether additional settlement value or protections are warranted.</w:t>
      </w:r>
    </w:p>
    <w:p>
      <w:pPr>
        <w:pStyle w:val="ListNumber"/>
        <w:spacing w:after="60" w:line="259" w:lineRule="auto"/>
        <w:jc w:val="both"/>
      </w:pPr>
      <w:r>
        <w:rPr>
          <w:rFonts w:ascii="Times New Roman" w:hAnsi="Times New Roman"/>
          <w:b w:val="0"/>
          <w:i w:val="0"/>
          <w:sz w:val="22"/>
          <w:u w:val="none"/>
        </w:rPr>
        <w:t>Confirm that the signatory for Greenleaf is duly authorized to bind the Company (Section 15(b)).</w:t>
      </w:r>
    </w:p>
    <w:p>
      <w:pPr>
        <w:keepNext/>
        <w:spacing w:before="240" w:after="80"/>
      </w:pPr>
      <w:r>
        <w:rPr>
          <w:rFonts w:ascii="Times New Roman" w:hAnsi="Times New Roman"/>
          <w:b/>
          <w:i w:val="0"/>
          <w:sz w:val="24"/>
          <w:u w:val="none"/>
        </w:rPr>
        <w:t>VI.  Recommended Next Steps</w:t>
      </w:r>
    </w:p>
    <w:p>
      <w:pPr>
        <w:pStyle w:val="ListNumber"/>
        <w:spacing w:after="60" w:line="259" w:lineRule="auto"/>
        <w:jc w:val="both"/>
      </w:pPr>
      <w:r>
        <w:rPr>
          <w:rFonts w:ascii="Times New Roman" w:hAnsi="Times New Roman"/>
          <w:b w:val="0"/>
          <w:i w:val="0"/>
          <w:sz w:val="22"/>
          <w:u w:val="none"/>
        </w:rPr>
        <w:t>Review the accompanying redline (settlement-agreement-markup.docx), which contains tracked changes and inline comments explaining each revision.</w:t>
      </w:r>
    </w:p>
    <w:p>
      <w:pPr>
        <w:pStyle w:val="ListNumber"/>
        <w:spacing w:after="60" w:line="259" w:lineRule="auto"/>
        <w:jc w:val="both"/>
      </w:pPr>
      <w:r>
        <w:rPr>
          <w:rFonts w:ascii="Times New Roman" w:hAnsi="Times New Roman"/>
          <w:b w:val="0"/>
          <w:i w:val="0"/>
          <w:sz w:val="22"/>
          <w:u w:val="none"/>
        </w:rPr>
        <w:t>Confirm your decisions on the open items in Part V.</w:t>
      </w:r>
    </w:p>
    <w:p>
      <w:pPr>
        <w:pStyle w:val="ListNumber"/>
        <w:spacing w:after="60" w:line="259" w:lineRule="auto"/>
        <w:jc w:val="both"/>
      </w:pPr>
      <w:r>
        <w:rPr>
          <w:rFonts w:ascii="Times New Roman" w:hAnsi="Times New Roman"/>
          <w:b w:val="0"/>
          <w:i w:val="0"/>
          <w:sz w:val="22"/>
          <w:u w:val="none"/>
        </w:rPr>
        <w:t>Coordinate with the EPLI carrier before returning the agreement to Delano’s counsel.</w:t>
      </w:r>
    </w:p>
    <w:p>
      <w:pPr>
        <w:pStyle w:val="ListNumber"/>
        <w:spacing w:after="60" w:line="259" w:lineRule="auto"/>
        <w:jc w:val="both"/>
      </w:pPr>
      <w:r>
        <w:rPr>
          <w:rFonts w:ascii="Times New Roman" w:hAnsi="Times New Roman"/>
          <w:b w:val="0"/>
          <w:i w:val="0"/>
          <w:sz w:val="22"/>
          <w:u w:val="none"/>
        </w:rPr>
        <w:t>Return the redline to Engel &amp; Associates with Greenleaf’s positions on the open issues.</w:t>
      </w:r>
    </w:p>
    <w:p>
      <w:pPr>
        <w:pStyle w:val="ListNumber"/>
        <w:spacing w:after="60" w:line="259" w:lineRule="auto"/>
        <w:jc w:val="both"/>
      </w:pPr>
      <w:r>
        <w:rPr>
          <w:rFonts w:ascii="Times New Roman" w:hAnsi="Times New Roman"/>
          <w:b w:val="0"/>
          <w:i w:val="0"/>
          <w:sz w:val="22"/>
          <w:u w:val="none"/>
        </w:rPr>
        <w:t>Once executed, observe the 21-day consideration period and the 7-day revocation period; release no payments until the revocation period has expired and the Effective Date has occurred.</w:t>
      </w:r>
    </w:p>
    <w:p>
      <w:pPr>
        <w:spacing w:after="120" w:before="0" w:line="259" w:lineRule="auto"/>
        <w:jc w:val="both"/>
      </w:pPr>
    </w:p>
    <w:p>
      <w:pPr>
        <w:pBdr>
          <w:bottom w:val="single" w:sz="6" w:space="1" w:color="000000"/>
        </w:pBdr>
        <w:spacing w:after="120"/>
      </w:pPr>
    </w:p>
    <w:p>
      <w:pPr>
        <w:spacing w:after="0" w:before="0" w:line="259" w:lineRule="auto"/>
      </w:pPr>
      <w:r>
        <w:rPr>
          <w:rFonts w:ascii="Times New Roman" w:hAnsi="Times New Roman"/>
          <w:b w:val="0"/>
          <w:i/>
          <w:sz w:val="18"/>
          <w:u w:val="none"/>
        </w:rPr>
        <w:t>This memorandum is privileged and confidential, contains attorney-client communications and attorney work product, and was prepared in anticipation of litigation. It should not be distributed outside the legal department and authorized recipients.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