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Tyler Huang, General Counsel, Greenleaf Organic Foods, Inc.</w:t>
      </w:r>
    </w:p>
    <w:p>
      <w:pPr>
        <w:pStyle w:val="BodyText"/>
      </w:pPr>
      <w:r>
        <w:rPr>
          <w:b/>
          <w:bCs/>
        </w:rPr>
        <w:t xml:space="preserve">FROM:</w:t>
      </w:r>
      <w:r>
        <w:t xml:space="preserve"> </w:t>
      </w:r>
      <w:r>
        <w:t xml:space="preserve">Outside Employment Counsel</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Review of Draft Settlement Agreement with Marcus R. Delano — Recommended Revisions and Risk Assessment</w:t>
      </w:r>
    </w:p>
    <w:p>
      <w:r>
        <w:pict>
          <v:rect style="width:0;height:1.5pt" o:hralign="center" o:hrstd="t" o:hr="t"/>
        </w:pict>
      </w:r>
    </w:p>
    <w:bookmarkStart w:id="20" w:name="i.-introduction-and-executive-summary"/>
    <w:p>
      <w:pPr>
        <w:pStyle w:val="Heading2"/>
      </w:pPr>
      <w:r>
        <w:t xml:space="preserve">I. Introduction and Executive Summary</w:t>
      </w:r>
    </w:p>
    <w:p>
      <w:pPr>
        <w:pStyle w:val="FirstParagraph"/>
      </w:pPr>
      <w:r>
        <w:t xml:space="preserve">We have reviewed the draft Settlement Agreement and General Release of All Claims (the</w:t>
      </w:r>
      <w:r>
        <w:t xml:space="preserve"> </w:t>
      </w:r>
      <w:r>
        <w:t xml:space="preserve">“</w:t>
      </w:r>
      <w:r>
        <w:t xml:space="preserve">Draft</w:t>
      </w:r>
      <w:r>
        <w:t xml:space="preserve">”</w:t>
      </w:r>
      <w:r>
        <w:t xml:space="preserve">), prepared by Engel &amp; Associates, P.C. on behalf of Marcus R. Delano, against Greenleaf’s employment records and equity-plan data (the</w:t>
      </w:r>
      <w:r>
        <w:t xml:space="preserve"> </w:t>
      </w:r>
      <w:r>
        <w:t xml:space="preserve">“</w:t>
      </w:r>
      <w:r>
        <w:t xml:space="preserve">Delano Employment Summary,</w:t>
      </w:r>
      <w:r>
        <w:t xml:space="preserve">”</w:t>
      </w:r>
      <w:r>
        <w:t xml:space="preserve"> </w:t>
      </w:r>
      <w:r>
        <w:t xml:space="preserve">prepared by Leanne Foss, HR Director, dated May 10, 2025). Accompanying this memorandum is a redlined markup of the Draft reflecting our recommended revisions (</w:t>
      </w:r>
      <w:r>
        <w:rPr>
          <w:rStyle w:val="VerbatimChar"/>
        </w:rPr>
        <w:t xml:space="preserve">settlement-agreement-markup.docx</w:t>
      </w:r>
      <w:r>
        <w:t xml:space="preserve">).</w:t>
      </w:r>
    </w:p>
    <w:p>
      <w:pPr>
        <w:pStyle w:val="BodyText"/>
      </w:pPr>
      <w:r>
        <w:t xml:space="preserve">In summary, the Draft is substantively negotiable but, as presented, contains several provisions that are</w:t>
      </w:r>
      <w:r>
        <w:t xml:space="preserve"> </w:t>
      </w:r>
      <w:r>
        <w:rPr>
          <w:b/>
          <w:bCs/>
        </w:rPr>
        <w:t xml:space="preserve">unenforceable or expose Greenleaf to significant risk</w:t>
      </w:r>
      <w:r>
        <w:t xml:space="preserve">, together with a</w:t>
      </w:r>
      <w:r>
        <w:t xml:space="preserve"> </w:t>
      </w:r>
      <w:r>
        <w:rPr>
          <w:b/>
          <w:bCs/>
        </w:rPr>
        <w:t xml:space="preserve">material valuation error</w:t>
      </w:r>
      <w:r>
        <w:t xml:space="preserve">. The most important points are:</w:t>
      </w:r>
    </w:p>
    <w:p>
      <w:pPr>
        <w:numPr>
          <w:ilvl w:val="0"/>
          <w:numId w:val="1001"/>
        </w:numPr>
      </w:pPr>
      <w:r>
        <w:rPr>
          <w:b/>
          <w:bCs/>
        </w:rPr>
        <w:t xml:space="preserve">The ADEA release does not comply with the Older Workers Benefit Protection Act (OWBPA).</w:t>
      </w:r>
      <w:r>
        <w:t xml:space="preserve"> </w:t>
      </w:r>
      <w:r>
        <w:t xml:space="preserve">Delano is 58 years old and therefore a protected</w:t>
      </w:r>
      <w:r>
        <w:t xml:space="preserve"> </w:t>
      </w:r>
      <w:r>
        <w:t xml:space="preserve">“</w:t>
      </w:r>
      <w:r>
        <w:t xml:space="preserve">older worker.</w:t>
      </w:r>
      <w:r>
        <w:t xml:space="preserve">”</w:t>
      </w:r>
      <w:r>
        <w:t xml:space="preserve"> </w:t>
      </w:r>
      <w:r>
        <w:t xml:space="preserve">The Draft allows only</w:t>
      </w:r>
      <w:r>
        <w:t xml:space="preserve"> </w:t>
      </w:r>
      <w:r>
        <w:rPr>
          <w:b/>
          <w:bCs/>
        </w:rPr>
        <w:t xml:space="preserve">14 days</w:t>
      </w:r>
      <w:r>
        <w:t xml:space="preserve"> </w:t>
      </w:r>
      <w:r>
        <w:t xml:space="preserve">to consider the agreement (OWBPA requires</w:t>
      </w:r>
      <w:r>
        <w:t xml:space="preserve"> </w:t>
      </w:r>
      <w:r>
        <w:rPr>
          <w:b/>
          <w:bCs/>
        </w:rPr>
        <w:t xml:space="preserve">21</w:t>
      </w:r>
      <w:r>
        <w:t xml:space="preserve"> </w:t>
      </w:r>
      <w:r>
        <w:t xml:space="preserve">for an individual termination) and</w:t>
      </w:r>
      <w:r>
        <w:t xml:space="preserve"> </w:t>
      </w:r>
      <w:r>
        <w:rPr>
          <w:b/>
          <w:bCs/>
        </w:rPr>
        <w:t xml:space="preserve">omits the mandatory 7-day revocation period entirely</w:t>
      </w:r>
      <w:r>
        <w:t xml:space="preserve">. As written, the release of age-discrimination claims—the claims Greenleaf is paying the most to resolve—would likely be</w:t>
      </w:r>
      <w:r>
        <w:t xml:space="preserve"> </w:t>
      </w:r>
      <w:r>
        <w:rPr>
          <w:b/>
          <w:bCs/>
        </w:rPr>
        <w:t xml:space="preserve">invalid</w:t>
      </w:r>
      <w:r>
        <w:t xml:space="preserve">, and Delano could still sue under the ADEA after signing. This is the single most important defect and is corrected in the redline.</w:t>
      </w:r>
    </w:p>
    <w:p>
      <w:pPr>
        <w:numPr>
          <w:ilvl w:val="0"/>
          <w:numId w:val="1001"/>
        </w:numPr>
      </w:pPr>
      <w:r>
        <w:rPr>
          <w:b/>
          <w:bCs/>
        </w:rPr>
        <w:t xml:space="preserve">The RSU component uses an outdated valuation and contains a false statement.</w:t>
      </w:r>
      <w:r>
        <w:t xml:space="preserve"> </w:t>
      </w:r>
      <w:r>
        <w:t xml:space="preserve">The Draft values the 5,000 accelerated RSUs at</w:t>
      </w:r>
      <w:r>
        <w:t xml:space="preserve"> </w:t>
      </w:r>
      <w:r>
        <w:rPr>
          <w:b/>
          <w:bCs/>
        </w:rPr>
        <w:t xml:space="preserve">$10.00/share</w:t>
      </w:r>
      <w:r>
        <w:t xml:space="preserve"> </w:t>
      </w:r>
      <w:r>
        <w:t xml:space="preserve">and describes that figure as</w:t>
      </w:r>
      <w:r>
        <w:t xml:space="preserve"> </w:t>
      </w:r>
      <w:r>
        <w:t xml:space="preserve">“</w:t>
      </w:r>
      <w:r>
        <w:t xml:space="preserve">the most recent independent valuation.</w:t>
      </w:r>
      <w:r>
        <w:t xml:space="preserve">”</w:t>
      </w:r>
      <w:r>
        <w:t xml:space="preserve"> </w:t>
      </w:r>
      <w:r>
        <w:t xml:space="preserve">Greenleaf’s records show the most recent 409A valuation (Ridgepoint Valuation Services,</w:t>
      </w:r>
      <w:r>
        <w:t xml:space="preserve"> </w:t>
      </w:r>
      <w:r>
        <w:rPr>
          <w:b/>
          <w:bCs/>
        </w:rPr>
        <w:t xml:space="preserve">January 15, 2025</w:t>
      </w:r>
      <w:r>
        <w:t xml:space="preserve">) is</w:t>
      </w:r>
      <w:r>
        <w:t xml:space="preserve"> </w:t>
      </w:r>
      <w:r>
        <w:rPr>
          <w:b/>
          <w:bCs/>
        </w:rPr>
        <w:t xml:space="preserve">$12.50/share</w:t>
      </w:r>
      <w:r>
        <w:t xml:space="preserve">. The correct RSU value is</w:t>
      </w:r>
      <w:r>
        <w:t xml:space="preserve"> </w:t>
      </w:r>
      <w:r>
        <w:rPr>
          <w:b/>
          <w:bCs/>
        </w:rPr>
        <w:t xml:space="preserve">$62,500</w:t>
      </w:r>
      <w:r>
        <w:t xml:space="preserve">, not $50,000, and the total settlement value is</w:t>
      </w:r>
      <w:r>
        <w:t xml:space="preserve"> </w:t>
      </w:r>
      <w:r>
        <w:rPr>
          <w:b/>
          <w:bCs/>
        </w:rPr>
        <w:t xml:space="preserve">$537,500</w:t>
      </w:r>
      <w:r>
        <w:t xml:space="preserve">, not $525,000. The Draft also purports to</w:t>
      </w:r>
      <w:r>
        <w:t xml:space="preserve"> </w:t>
      </w:r>
      <w:r>
        <w:t xml:space="preserve">“</w:t>
      </w:r>
      <w:r>
        <w:t xml:space="preserve">accelerate</w:t>
      </w:r>
      <w:r>
        <w:t xml:space="preserve">”</w:t>
      </w:r>
      <w:r>
        <w:t xml:space="preserve"> </w:t>
      </w:r>
      <w:r>
        <w:t xml:space="preserve">shares that were</w:t>
      </w:r>
      <w:r>
        <w:t xml:space="preserve"> </w:t>
      </w:r>
      <w:r>
        <w:rPr>
          <w:b/>
          <w:bCs/>
        </w:rPr>
        <w:t xml:space="preserve">forfeited</w:t>
      </w:r>
      <w:r>
        <w:t xml:space="preserve"> </w:t>
      </w:r>
      <w:r>
        <w:t xml:space="preserve">at termination without acknowledging the forfeiture or the Compensation Committee’s discretionary approval authority.</w:t>
      </w:r>
    </w:p>
    <w:p>
      <w:pPr>
        <w:numPr>
          <w:ilvl w:val="0"/>
          <w:numId w:val="1001"/>
        </w:numPr>
      </w:pPr>
      <w:r>
        <w:rPr>
          <w:b/>
          <w:bCs/>
        </w:rPr>
        <w:t xml:space="preserve">Greenleaf’s own records create powerful evidence of retaliation pretext.</w:t>
      </w:r>
      <w:r>
        <w:t xml:space="preserve"> </w:t>
      </w:r>
      <w:r>
        <w:t xml:space="preserve">The Employment Summary documents that Greenleaf hired</w:t>
      </w:r>
      <w:r>
        <w:t xml:space="preserve"> </w:t>
      </w:r>
      <w:r>
        <w:rPr>
          <w:b/>
          <w:bCs/>
        </w:rPr>
        <w:t xml:space="preserve">Raj Mehta</w:t>
      </w:r>
      <w:r>
        <w:t xml:space="preserve"> </w:t>
      </w:r>
      <w:r>
        <w:t xml:space="preserve">as Senior Director of Supply Chain &amp; Logistics on</w:t>
      </w:r>
      <w:r>
        <w:t xml:space="preserve"> </w:t>
      </w:r>
      <w:r>
        <w:rPr>
          <w:b/>
          <w:bCs/>
        </w:rPr>
        <w:t xml:space="preserve">March 20, 2025</w:t>
      </w:r>
      <w:r>
        <w:t xml:space="preserve"> </w:t>
      </w:r>
      <w:r>
        <w:t xml:space="preserve">at</w:t>
      </w:r>
      <w:r>
        <w:t xml:space="preserve"> </w:t>
      </w:r>
      <w:r>
        <w:rPr>
          <w:b/>
          <w:bCs/>
        </w:rPr>
        <w:t xml:space="preserve">$185,000</w:t>
      </w:r>
      <w:r>
        <w:t xml:space="preserve">—</w:t>
      </w:r>
      <w:r>
        <w:rPr>
          <w:b/>
          <w:bCs/>
        </w:rPr>
        <w:t xml:space="preserve">six days</w:t>
      </w:r>
      <w:r>
        <w:t xml:space="preserve"> </w:t>
      </w:r>
      <w:r>
        <w:t xml:space="preserve">after terminating Delano for</w:t>
      </w:r>
      <w:r>
        <w:t xml:space="preserve"> </w:t>
      </w:r>
      <w:r>
        <w:t xml:space="preserve">“</w:t>
      </w:r>
      <w:r>
        <w:t xml:space="preserve">elimination of position.</w:t>
      </w:r>
      <w:r>
        <w:t xml:space="preserve">”</w:t>
      </w:r>
      <w:r>
        <w:t xml:space="preserve"> </w:t>
      </w:r>
      <w:r>
        <w:t xml:space="preserve">Read alongside the protected-activity timeline (internal complaint → Oregon OSHA complaint → open OSHA investigation → administrative leave → termination), this is near-conclusive evidence that the</w:t>
      </w:r>
      <w:r>
        <w:t xml:space="preserve"> </w:t>
      </w:r>
      <w:r>
        <w:t xml:space="preserve">“</w:t>
      </w:r>
      <w:r>
        <w:t xml:space="preserve">position elimination</w:t>
      </w:r>
      <w:r>
        <w:t xml:space="preserve">”</w:t>
      </w:r>
      <w:r>
        <w:t xml:space="preserve"> </w:t>
      </w:r>
      <w:r>
        <w:t xml:space="preserve">rationale is pretextual. This materially</w:t>
      </w:r>
      <w:r>
        <w:t xml:space="preserve"> </w:t>
      </w:r>
      <w:r>
        <w:rPr>
          <w:b/>
          <w:bCs/>
        </w:rPr>
        <w:t xml:space="preserve">elevates Greenleaf’s litigation risk</w:t>
      </w:r>
      <w:r>
        <w:t xml:space="preserve"> </w:t>
      </w:r>
      <w:r>
        <w:t xml:space="preserve">and is a strong reason to</w:t>
      </w:r>
      <w:r>
        <w:t xml:space="preserve"> </w:t>
      </w:r>
      <w:r>
        <w:rPr>
          <w:b/>
          <w:bCs/>
        </w:rPr>
        <w:t xml:space="preserve">consummate a settlement</w:t>
      </w:r>
      <w:r>
        <w:t xml:space="preserve"> </w:t>
      </w:r>
      <w:r>
        <w:t xml:space="preserve">on reasonable terms rather than litigate.</w:t>
      </w:r>
    </w:p>
    <w:p>
      <w:pPr>
        <w:numPr>
          <w:ilvl w:val="0"/>
          <w:numId w:val="1001"/>
        </w:numPr>
      </w:pPr>
      <w:r>
        <w:rPr>
          <w:b/>
          <w:bCs/>
        </w:rPr>
        <w:t xml:space="preserve">Several restrictive covenants and release provisions are overbroad or unenforceable</w:t>
      </w:r>
      <w:r>
        <w:t xml:space="preserve"> </w:t>
      </w:r>
      <w:r>
        <w:t xml:space="preserve">(e.g., a non-compete covering California; a perpetual non-disparagement clause; release/confidentiality language that chills protected whistleblower activity). The redline narrows these to improve enforceability.</w:t>
      </w:r>
    </w:p>
    <w:p>
      <w:pPr>
        <w:pStyle w:val="FirstParagraph"/>
      </w:pPr>
      <w:r>
        <w:t xml:space="preserve">We recommend that Greenleaf</w:t>
      </w:r>
      <w:r>
        <w:t xml:space="preserve"> </w:t>
      </w:r>
      <w:r>
        <w:rPr>
          <w:b/>
          <w:bCs/>
        </w:rPr>
        <w:t xml:space="preserve">execute the settlement as redlined</w:t>
      </w:r>
      <w:r>
        <w:t xml:space="preserve">, subject to the additional diligence steps identified in Part V (EPLI carrier notice, Compensation Committee approval, tax-structure confirmation, and Oregon non-compete compliance).</w:t>
      </w:r>
    </w:p>
    <w:bookmarkEnd w:id="20"/>
    <w:bookmarkStart w:id="21" w:name="X3090b680bee568cc0549e68e196034ba3a75aa6"/>
    <w:p>
      <w:pPr>
        <w:pStyle w:val="Heading2"/>
      </w:pPr>
      <w:r>
        <w:t xml:space="preserve">II. Factual Background (from the Employment Records)</w:t>
      </w:r>
    </w:p>
    <w:p>
      <w:pPr>
        <w:pStyle w:val="FirstParagraph"/>
      </w:pPr>
      <w:r>
        <w:t xml:space="preserve">The following facts are drawn from the Delano Employment Summary and bear directly on the issues below:</w:t>
      </w:r>
    </w:p>
    <w:p>
      <w:pPr>
        <w:pStyle w:val="Compact"/>
        <w:numPr>
          <w:ilvl w:val="0"/>
          <w:numId w:val="1002"/>
        </w:numPr>
      </w:pPr>
      <w:r>
        <w:rPr>
          <w:b/>
          <w:bCs/>
        </w:rPr>
        <w:t xml:space="preserve">Employee:</w:t>
      </w:r>
      <w:r>
        <w:t xml:space="preserve"> </w:t>
      </w:r>
      <w:r>
        <w:t xml:space="preserve">Marcus R. Delano, age 58 (DOB 07/14/1966); hired June 12, 2017 as Director of Procurement; promoted to VP of Supply Chain Operations effective January 1, 2020; final base salary $218,000.</w:t>
      </w:r>
    </w:p>
    <w:p>
      <w:pPr>
        <w:pStyle w:val="Compact"/>
        <w:numPr>
          <w:ilvl w:val="0"/>
          <w:numId w:val="1002"/>
        </w:numPr>
      </w:pPr>
      <w:r>
        <w:rPr>
          <w:b/>
          <w:bCs/>
        </w:rPr>
        <w:t xml:space="preserve">Protected activity:</w:t>
      </w:r>
      <w:r>
        <w:t xml:space="preserve"> </w:t>
      </w:r>
      <w:r>
        <w:t xml:space="preserve">Internal complaint to HR Director Leanne Foss on</w:t>
      </w:r>
      <w:r>
        <w:t xml:space="preserve"> </w:t>
      </w:r>
      <w:r>
        <w:rPr>
          <w:b/>
          <w:bCs/>
        </w:rPr>
        <w:t xml:space="preserve">November 8, 2024</w:t>
      </w:r>
      <w:r>
        <w:t xml:space="preserve"> </w:t>
      </w:r>
      <w:r>
        <w:t xml:space="preserve">regarding cold-chain protocol failures at the Bend, Oregon facility (alleged FDA/FSMA violations); Oregon OSHA complaint filed</w:t>
      </w:r>
      <w:r>
        <w:t xml:space="preserve"> </w:t>
      </w:r>
      <w:r>
        <w:rPr>
          <w:b/>
          <w:bCs/>
        </w:rPr>
        <w:t xml:space="preserve">December 3, 2024</w:t>
      </w:r>
      <w:r>
        <w:t xml:space="preserve"> </w:t>
      </w:r>
      <w:r>
        <w:t xml:space="preserve">(No. OR-OSHA-2024-11872); OSHA opened a formal investigation</w:t>
      </w:r>
      <w:r>
        <w:t xml:space="preserve"> </w:t>
      </w:r>
      <w:r>
        <w:rPr>
          <w:b/>
          <w:bCs/>
        </w:rPr>
        <w:t xml:space="preserve">January 22, 2025</w:t>
      </w:r>
      <w:r>
        <w:t xml:space="preserve">, which</w:t>
      </w:r>
      <w:r>
        <w:t xml:space="preserve"> </w:t>
      </w:r>
      <w:r>
        <w:rPr>
          <w:b/>
          <w:bCs/>
        </w:rPr>
        <w:t xml:space="preserve">remains pending</w:t>
      </w:r>
      <w:r>
        <w:t xml:space="preserve">.</w:t>
      </w:r>
    </w:p>
    <w:p>
      <w:pPr>
        <w:pStyle w:val="Compact"/>
        <w:numPr>
          <w:ilvl w:val="0"/>
          <w:numId w:val="1002"/>
        </w:numPr>
      </w:pPr>
      <w:r>
        <w:rPr>
          <w:b/>
          <w:bCs/>
        </w:rPr>
        <w:t xml:space="preserve">Separation:</w:t>
      </w:r>
      <w:r>
        <w:t xml:space="preserve"> </w:t>
      </w:r>
      <w:r>
        <w:t xml:space="preserve">Paid administrative leave</w:t>
      </w:r>
      <w:r>
        <w:t xml:space="preserve"> </w:t>
      </w:r>
      <w:r>
        <w:rPr>
          <w:b/>
          <w:bCs/>
        </w:rPr>
        <w:t xml:space="preserve">February 10, 2025</w:t>
      </w:r>
      <w:r>
        <w:t xml:space="preserve">; termination</w:t>
      </w:r>
      <w:r>
        <w:t xml:space="preserve"> </w:t>
      </w:r>
      <w:r>
        <w:rPr>
          <w:b/>
          <w:bCs/>
        </w:rPr>
        <w:t xml:space="preserve">March 14, 2025</w:t>
      </w:r>
      <w:r>
        <w:t xml:space="preserve">, stated reason</w:t>
      </w:r>
      <w:r>
        <w:t xml:space="preserve"> </w:t>
      </w:r>
      <w:r>
        <w:t xml:space="preserve">“</w:t>
      </w:r>
      <w:r>
        <w:t xml:space="preserve">elimination of position due to restructuring of supply chain division.</w:t>
      </w:r>
      <w:r>
        <w:t xml:space="preserve">”</w:t>
      </w:r>
    </w:p>
    <w:p>
      <w:pPr>
        <w:pStyle w:val="Compact"/>
        <w:numPr>
          <w:ilvl w:val="0"/>
          <w:numId w:val="1002"/>
        </w:numPr>
      </w:pPr>
      <w:r>
        <w:rPr>
          <w:b/>
          <w:bCs/>
        </w:rPr>
        <w:t xml:space="preserve">Replacement hire:</w:t>
      </w:r>
      <w:r>
        <w:t xml:space="preserve"> </w:t>
      </w:r>
      <w:r>
        <w:rPr>
          <w:b/>
          <w:bCs/>
        </w:rPr>
        <w:t xml:space="preserve">Raj Mehta</w:t>
      </w:r>
      <w:r>
        <w:t xml:space="preserve">, Senior Director of Supply Chain &amp; Logistics, hired</w:t>
      </w:r>
      <w:r>
        <w:t xml:space="preserve"> </w:t>
      </w:r>
      <w:r>
        <w:rPr>
          <w:b/>
          <w:bCs/>
        </w:rPr>
        <w:t xml:space="preserve">March 20, 2025</w:t>
      </w:r>
      <w:r>
        <w:t xml:space="preserve">, salary</w:t>
      </w:r>
      <w:r>
        <w:t xml:space="preserve"> </w:t>
      </w:r>
      <w:r>
        <w:rPr>
          <w:b/>
          <w:bCs/>
        </w:rPr>
        <w:t xml:space="preserve">$185,000</w:t>
      </w:r>
      <w:r>
        <w:t xml:space="preserve">.</w:t>
      </w:r>
    </w:p>
    <w:p>
      <w:pPr>
        <w:pStyle w:val="Compact"/>
        <w:numPr>
          <w:ilvl w:val="0"/>
          <w:numId w:val="1002"/>
        </w:numPr>
      </w:pPr>
      <w:r>
        <w:rPr>
          <w:b/>
          <w:bCs/>
        </w:rPr>
        <w:t xml:space="preserve">2024 bonus:</w:t>
      </w:r>
      <w:r>
        <w:t xml:space="preserve"> </w:t>
      </w:r>
      <w:r>
        <w:t xml:space="preserve">Target $43,600 (20% of base);</w:t>
      </w:r>
      <w:r>
        <w:t xml:space="preserve"> </w:t>
      </w:r>
      <w:r>
        <w:rPr>
          <w:b/>
          <w:bCs/>
        </w:rPr>
        <w:t xml:space="preserve">not determined or paid</w:t>
      </w:r>
      <w:r>
        <w:t xml:space="preserve"> </w:t>
      </w:r>
      <w:r>
        <w:t xml:space="preserve">prior to termination.</w:t>
      </w:r>
    </w:p>
    <w:p>
      <w:pPr>
        <w:pStyle w:val="Compact"/>
        <w:numPr>
          <w:ilvl w:val="0"/>
          <w:numId w:val="1002"/>
        </w:numPr>
      </w:pPr>
      <w:r>
        <w:rPr>
          <w:b/>
          <w:bCs/>
        </w:rPr>
        <w:t xml:space="preserve">Equity:</w:t>
      </w:r>
      <w:r>
        <w:t xml:space="preserve"> </w:t>
      </w:r>
      <w:r>
        <w:t xml:space="preserve">15,000 RSUs granted July 1, 2022 (4-year vesting, 3,750/year); 7,500 vested and delivered;</w:t>
      </w:r>
      <w:r>
        <w:t xml:space="preserve"> </w:t>
      </w:r>
      <w:r>
        <w:rPr>
          <w:b/>
          <w:bCs/>
        </w:rPr>
        <w:t xml:space="preserve">7,500 unvested and forfeited</w:t>
      </w:r>
      <w:r>
        <w:t xml:space="preserve"> </w:t>
      </w:r>
      <w:r>
        <w:t xml:space="preserve">at termination. 409A valuations: $8.00 (Jul 2022), $9.25 (Jul 2023),</w:t>
      </w:r>
      <w:r>
        <w:t xml:space="preserve"> </w:t>
      </w:r>
      <w:r>
        <w:rPr>
          <w:b/>
          <w:bCs/>
        </w:rPr>
        <w:t xml:space="preserve">$10.00 (Jul 2024)</w:t>
      </w:r>
      <w:r>
        <w:t xml:space="preserve">,</w:t>
      </w:r>
      <w:r>
        <w:t xml:space="preserve"> </w:t>
      </w:r>
      <w:r>
        <w:rPr>
          <w:b/>
          <w:bCs/>
        </w:rPr>
        <w:t xml:space="preserve">$12.50 (Jan 15, 2025 — current)</w:t>
      </w:r>
      <w:r>
        <w:t xml:space="preserve">. The Plan forfeits unvested RSUs on termination unless death, disability, or Change of Control; the</w:t>
      </w:r>
      <w:r>
        <w:t xml:space="preserve"> </w:t>
      </w:r>
      <w:r>
        <w:rPr>
          <w:b/>
          <w:bCs/>
        </w:rPr>
        <w:t xml:space="preserve">Compensation Committee</w:t>
      </w:r>
      <w:r>
        <w:t xml:space="preserve"> </w:t>
      </w:r>
      <w:r>
        <w:t xml:space="preserve">has discretion to approve accelerated vesting in connection with separation agreements.</w:t>
      </w:r>
    </w:p>
    <w:p>
      <w:pPr>
        <w:pStyle w:val="Compact"/>
        <w:numPr>
          <w:ilvl w:val="0"/>
          <w:numId w:val="1002"/>
        </w:numPr>
      </w:pPr>
      <w:r>
        <w:rPr>
          <w:b/>
          <w:bCs/>
        </w:rPr>
        <w:t xml:space="preserve">Insurance:</w:t>
      </w:r>
      <w:r>
        <w:t xml:space="preserve"> </w:t>
      </w:r>
      <w:r>
        <w:t xml:space="preserve">EPLI carrier Timberline Insurance Group, Policy No. TIG-EPL-2024-00391.</w:t>
      </w:r>
    </w:p>
    <w:bookmarkEnd w:id="21"/>
    <w:bookmarkStart w:id="22" w:name="X721443fb3d3e7a491fab596581ec307516b6a27"/>
    <w:p>
      <w:pPr>
        <w:pStyle w:val="Heading2"/>
      </w:pPr>
      <w:r>
        <w:t xml:space="preserve">III. Summary of Recommended Revisions (Reflected in the Redline)</w:t>
      </w:r>
    </w:p>
    <w:p>
      <w:pPr>
        <w:pStyle w:val="FirstParagraph"/>
      </w:pPr>
      <w:r>
        <w:t xml:space="preserve">The redline makes the following changes (tracked as insertions/deletions):</w:t>
      </w:r>
    </w:p>
    <w:tbl>
      <w:tblPr>
        <w:tblStyle w:val="Table"/>
        <w:tblW w:type="pct" w:w="5000"/>
        <w:jc w:val="left"/>
        <w:tblLayout w:type="fixed"/>
        <w:tblLook w:firstRow="1" w:lastRow="0" w:firstColumn="0" w:lastColumn="0" w:noHBand="0" w:noVBand="0" w:val="0020"/>
      </w:tblPr>
      <w:tblGrid>
        <w:gridCol w:w="990"/>
        <w:gridCol w:w="3630"/>
        <w:gridCol w:w="330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Revision</w:t>
            </w:r>
          </w:p>
        </w:tc>
      </w:tr>
      <w:tr>
        <w:tc>
          <w:tcPr/>
          <w:p>
            <w:pPr>
              <w:pStyle w:val="Compact"/>
              <w:jc w:val="left"/>
            </w:pPr>
            <w:r>
              <w:t xml:space="preserve">1</w:t>
            </w:r>
          </w:p>
        </w:tc>
        <w:tc>
          <w:tcPr/>
          <w:p>
            <w:pPr>
              <w:pStyle w:val="Compact"/>
              <w:jc w:val="left"/>
            </w:pPr>
            <w:r>
              <w:t xml:space="preserve">§1(b), Preamble, §5(c), §5(g) (new), §16</w:t>
            </w:r>
          </w:p>
        </w:tc>
        <w:tc>
          <w:tcPr/>
          <w:p>
            <w:pPr>
              <w:pStyle w:val="Compact"/>
              <w:jc w:val="left"/>
            </w:pPr>
            <w:r>
              <w:rPr>
                <w:b/>
                <w:bCs/>
              </w:rPr>
              <w:t xml:space="preserve">OWBPA compliance:</w:t>
            </w:r>
            <w:r>
              <w:t xml:space="preserve"> </w:t>
            </w:r>
            <w:r>
              <w:t xml:space="preserve">14-day consideration period changed to</w:t>
            </w:r>
            <w:r>
              <w:t xml:space="preserve"> </w:t>
            </w:r>
            <w:r>
              <w:rPr>
                <w:b/>
                <w:bCs/>
              </w:rPr>
              <w:t xml:space="preserve">21 days</w:t>
            </w:r>
            <w:r>
              <w:t xml:space="preserve">; added a</w:t>
            </w:r>
            <w:r>
              <w:t xml:space="preserve"> </w:t>
            </w:r>
            <w:r>
              <w:rPr>
                <w:b/>
                <w:bCs/>
              </w:rPr>
              <w:t xml:space="preserve">7-day revocation period</w:t>
            </w:r>
            <w:r>
              <w:t xml:space="preserve"> </w:t>
            </w:r>
            <w:r>
              <w:t xml:space="preserve">(new §5(g));</w:t>
            </w:r>
            <w:r>
              <w:t xml:space="preserve"> </w:t>
            </w:r>
            <w:r>
              <w:t xml:space="preserve">“</w:t>
            </w:r>
            <w:r>
              <w:t xml:space="preserve">Effective Date</w:t>
            </w:r>
            <w:r>
              <w:t xml:space="preserve">”</w:t>
            </w:r>
            <w:r>
              <w:t xml:space="preserve"> </w:t>
            </w:r>
            <w:r>
              <w:t xml:space="preserve">redefined to occur</w:t>
            </w:r>
            <w:r>
              <w:t xml:space="preserve"> </w:t>
            </w:r>
            <w:r>
              <w:rPr>
                <w:b/>
                <w:bCs/>
              </w:rPr>
              <w:t xml:space="preserve">after</w:t>
            </w:r>
            <w:r>
              <w:t xml:space="preserve"> </w:t>
            </w:r>
            <w:r>
              <w:t xml:space="preserve">the revocation period expires; payment timing aligned so no payment is released before the 8th day post-execution.</w:t>
            </w:r>
          </w:p>
        </w:tc>
      </w:tr>
      <w:tr>
        <w:tc>
          <w:tcPr/>
          <w:p>
            <w:pPr>
              <w:pStyle w:val="Compact"/>
              <w:jc w:val="left"/>
            </w:pPr>
            <w:r>
              <w:t xml:space="preserve">2</w:t>
            </w:r>
          </w:p>
        </w:tc>
        <w:tc>
          <w:tcPr/>
          <w:p>
            <w:pPr>
              <w:pStyle w:val="Compact"/>
              <w:jc w:val="left"/>
            </w:pPr>
            <w:r>
              <w:t xml:space="preserve">§3(d), §3(e)</w:t>
            </w:r>
          </w:p>
        </w:tc>
        <w:tc>
          <w:tcPr/>
          <w:p>
            <w:pPr>
              <w:pStyle w:val="Compact"/>
              <w:jc w:val="left"/>
            </w:pPr>
            <w:r>
              <w:rPr>
                <w:b/>
                <w:bCs/>
              </w:rPr>
              <w:t xml:space="preserve">RSU valuation corrected</w:t>
            </w:r>
            <w:r>
              <w:t xml:space="preserve"> </w:t>
            </w:r>
            <w:r>
              <w:t xml:space="preserve">to $12.50/share (current 409A), total</w:t>
            </w:r>
            <w:r>
              <w:t xml:space="preserve"> </w:t>
            </w:r>
            <w:r>
              <w:rPr>
                <w:b/>
                <w:bCs/>
              </w:rPr>
              <w:t xml:space="preserve">$537,500</w:t>
            </w:r>
            <w:r>
              <w:t xml:space="preserve">; acknowledged that the shares were</w:t>
            </w:r>
            <w:r>
              <w:t xml:space="preserve"> </w:t>
            </w:r>
            <w:r>
              <w:rPr>
                <w:b/>
                <w:bCs/>
              </w:rPr>
              <w:t xml:space="preserve">forfeited</w:t>
            </w:r>
            <w:r>
              <w:t xml:space="preserve"> </w:t>
            </w:r>
            <w:r>
              <w:t xml:space="preserve">at termination; conditioned acceleration on</w:t>
            </w:r>
            <w:r>
              <w:t xml:space="preserve"> </w:t>
            </w:r>
            <w:r>
              <w:rPr>
                <w:b/>
                <w:bCs/>
              </w:rPr>
              <w:t xml:space="preserve">Compensation Committee approval</w:t>
            </w:r>
            <w:r>
              <w:t xml:space="preserve">, with a</w:t>
            </w:r>
            <w:r>
              <w:t xml:space="preserve"> </w:t>
            </w:r>
            <w:r>
              <w:rPr>
                <w:b/>
                <w:bCs/>
              </w:rPr>
              <w:t xml:space="preserve">$62,500 cash fallback</w:t>
            </w:r>
            <w:r>
              <w:t xml:space="preserve"> </w:t>
            </w:r>
            <w:r>
              <w:t xml:space="preserve">if not approved.</w:t>
            </w:r>
          </w:p>
        </w:tc>
      </w:tr>
      <w:tr>
        <w:tc>
          <w:tcPr/>
          <w:p>
            <w:pPr>
              <w:pStyle w:val="Compact"/>
              <w:jc w:val="left"/>
            </w:pPr>
            <w:r>
              <w:t xml:space="preserve">3</w:t>
            </w:r>
          </w:p>
        </w:tc>
        <w:tc>
          <w:tcPr/>
          <w:p>
            <w:pPr>
              <w:pStyle w:val="Compact"/>
              <w:jc w:val="left"/>
            </w:pPr>
            <w:r>
              <w:t xml:space="preserve">§6, §7, §15(a)(ii)</w:t>
            </w:r>
          </w:p>
        </w:tc>
        <w:tc>
          <w:tcPr/>
          <w:p>
            <w:pPr>
              <w:pStyle w:val="Compact"/>
              <w:jc w:val="left"/>
            </w:pPr>
            <w:r>
              <w:rPr>
                <w:b/>
                <w:bCs/>
              </w:rPr>
              <w:t xml:space="preserve">Release/whistleblower carve-outs:</w:t>
            </w:r>
            <w:r>
              <w:t xml:space="preserve"> </w:t>
            </w:r>
            <w:r>
              <w:t xml:space="preserve">preserved Delano’s right to communicate with and file charges with government agencies (EEOC, NLRB, OSHA, DOL, SEC); added</w:t>
            </w:r>
            <w:r>
              <w:t xml:space="preserve"> </w:t>
            </w:r>
            <w:r>
              <w:rPr>
                <w:b/>
                <w:bCs/>
              </w:rPr>
              <w:t xml:space="preserve">DTSA immunity notice</w:t>
            </w:r>
            <w:r>
              <w:t xml:space="preserve"> </w:t>
            </w:r>
            <w:r>
              <w:t xml:space="preserve">(18 U.S.C. § 1833(b)); preserved the right to receive whistleblower awards while waiving personal monetary relief from Greenleaf.</w:t>
            </w:r>
          </w:p>
        </w:tc>
      </w:tr>
      <w:tr>
        <w:tc>
          <w:tcPr/>
          <w:p>
            <w:pPr>
              <w:pStyle w:val="Compact"/>
              <w:jc w:val="left"/>
            </w:pPr>
            <w:r>
              <w:t xml:space="preserve">4</w:t>
            </w:r>
          </w:p>
        </w:tc>
        <w:tc>
          <w:tcPr/>
          <w:p>
            <w:pPr>
              <w:pStyle w:val="Compact"/>
              <w:jc w:val="left"/>
            </w:pPr>
            <w:r>
              <w:t xml:space="preserve">§9</w:t>
            </w:r>
          </w:p>
        </w:tc>
        <w:tc>
          <w:tcPr/>
          <w:p>
            <w:pPr>
              <w:pStyle w:val="Compact"/>
              <w:jc w:val="left"/>
            </w:pPr>
            <w:r>
              <w:rPr>
                <w:b/>
                <w:bCs/>
              </w:rPr>
              <w:t xml:space="preserve">Non-compete:</w:t>
            </w:r>
            <w:r>
              <w:t xml:space="preserve"> </w:t>
            </w:r>
            <w:r>
              <w:t xml:space="preserve">removed</w:t>
            </w:r>
            <w:r>
              <w:t xml:space="preserve"> </w:t>
            </w:r>
            <w:r>
              <w:rPr>
                <w:b/>
                <w:bCs/>
              </w:rPr>
              <w:t xml:space="preserve">California</w:t>
            </w:r>
            <w:r>
              <w:t xml:space="preserve"> </w:t>
            </w:r>
            <w:r>
              <w:t xml:space="preserve">(unenforceable under Cal. Bus. &amp; Prof. Code § 16600).</w:t>
            </w:r>
          </w:p>
        </w:tc>
      </w:tr>
      <w:tr>
        <w:tc>
          <w:tcPr/>
          <w:p>
            <w:pPr>
              <w:pStyle w:val="Compact"/>
              <w:jc w:val="left"/>
            </w:pPr>
            <w:r>
              <w:t xml:space="preserve">5</w:t>
            </w:r>
          </w:p>
        </w:tc>
        <w:tc>
          <w:tcPr/>
          <w:p>
            <w:pPr>
              <w:pStyle w:val="Compact"/>
              <w:jc w:val="left"/>
            </w:pPr>
            <w:r>
              <w:t xml:space="preserve">§7</w:t>
            </w:r>
          </w:p>
        </w:tc>
        <w:tc>
          <w:tcPr/>
          <w:p>
            <w:pPr>
              <w:pStyle w:val="Compact"/>
              <w:jc w:val="left"/>
            </w:pPr>
            <w:r>
              <w:rPr>
                <w:b/>
                <w:bCs/>
              </w:rPr>
              <w:t xml:space="preserve">Non-disparagement:</w:t>
            </w:r>
            <w:r>
              <w:t xml:space="preserve"> </w:t>
            </w:r>
            <w:r>
              <w:t xml:space="preserve">“</w:t>
            </w:r>
            <w:r>
              <w:t xml:space="preserve">in perpetuity</w:t>
            </w:r>
            <w:r>
              <w:t xml:space="preserve">”</w:t>
            </w:r>
            <w:r>
              <w:t xml:space="preserve"> </w:t>
            </w:r>
            <w:r>
              <w:t xml:space="preserve">limited to</w:t>
            </w:r>
            <w:r>
              <w:t xml:space="preserve"> </w:t>
            </w:r>
            <w:r>
              <w:rPr>
                <w:b/>
                <w:bCs/>
              </w:rPr>
              <w:t xml:space="preserve">three (3) years</w:t>
            </w:r>
            <w:r>
              <w:t xml:space="preserve">; added truthful-statement / government-agency carve-out.</w:t>
            </w:r>
          </w:p>
        </w:tc>
      </w:tr>
      <w:tr>
        <w:tc>
          <w:tcPr/>
          <w:p>
            <w:pPr>
              <w:pStyle w:val="Compact"/>
              <w:jc w:val="left"/>
            </w:pPr>
            <w:r>
              <w:t xml:space="preserve">6</w:t>
            </w:r>
          </w:p>
        </w:tc>
        <w:tc>
          <w:tcPr/>
          <w:p>
            <w:pPr>
              <w:pStyle w:val="Compact"/>
              <w:jc w:val="left"/>
            </w:pPr>
            <w:r>
              <w:t xml:space="preserve">§2</w:t>
            </w:r>
          </w:p>
        </w:tc>
        <w:tc>
          <w:tcPr/>
          <w:p>
            <w:pPr>
              <w:pStyle w:val="Compact"/>
              <w:jc w:val="left"/>
            </w:pPr>
            <w:r>
              <w:rPr>
                <w:b/>
                <w:bCs/>
              </w:rPr>
              <w:t xml:space="preserve">2024 bonus:</w:t>
            </w:r>
            <w:r>
              <w:t xml:space="preserve"> </w:t>
            </w:r>
            <w:r>
              <w:t xml:space="preserve">explicitly acknowledged as unpaid and</w:t>
            </w:r>
            <w:r>
              <w:t xml:space="preserve"> </w:t>
            </w:r>
            <w:r>
              <w:rPr>
                <w:b/>
                <w:bCs/>
              </w:rPr>
              <w:t xml:space="preserve">resolved by the settlement</w:t>
            </w:r>
            <w:r>
              <w:t xml:space="preserve">.</w:t>
            </w:r>
          </w:p>
        </w:tc>
      </w:tr>
      <w:tr>
        <w:tc>
          <w:tcPr/>
          <w:p>
            <w:pPr>
              <w:pStyle w:val="Compact"/>
              <w:jc w:val="left"/>
            </w:pPr>
            <w:r>
              <w:t xml:space="preserve">7</w:t>
            </w:r>
          </w:p>
        </w:tc>
        <w:tc>
          <w:tcPr/>
          <w:p>
            <w:pPr>
              <w:pStyle w:val="Compact"/>
              <w:jc w:val="left"/>
            </w:pPr>
            <w:r>
              <w:t xml:space="preserve">§11</w:t>
            </w:r>
          </w:p>
        </w:tc>
        <w:tc>
          <w:tcPr/>
          <w:p>
            <w:pPr>
              <w:pStyle w:val="Compact"/>
              <w:jc w:val="left"/>
            </w:pPr>
            <w:r>
              <w:rPr>
                <w:b/>
                <w:bCs/>
              </w:rPr>
              <w:t xml:space="preserve">Reference:</w:t>
            </w:r>
            <w:r>
              <w:t xml:space="preserve"> </w:t>
            </w:r>
            <w:r>
              <w:t xml:space="preserve">softened</w:t>
            </w:r>
            <w:r>
              <w:t xml:space="preserve"> </w:t>
            </w:r>
            <w:r>
              <w:t xml:space="preserve">“</w:t>
            </w:r>
            <w:r>
              <w:t xml:space="preserve">positive / valued member … significant contributions</w:t>
            </w:r>
            <w:r>
              <w:t xml:space="preserve">”</w:t>
            </w:r>
            <w:r>
              <w:t xml:space="preserve"> </w:t>
            </w:r>
            <w:r>
              <w:t xml:space="preserve">to</w:t>
            </w:r>
            <w:r>
              <w:t xml:space="preserve"> </w:t>
            </w:r>
            <w:r>
              <w:rPr>
                <w:b/>
                <w:bCs/>
              </w:rPr>
              <w:t xml:space="preserve">neutral, factual, non-negative</w:t>
            </w:r>
            <w:r>
              <w:t xml:space="preserve"> </w:t>
            </w:r>
            <w:r>
              <w:t xml:space="preserve">plus eligibility for rehire.</w:t>
            </w:r>
          </w:p>
        </w:tc>
      </w:tr>
      <w:tr>
        <w:tc>
          <w:tcPr/>
          <w:p>
            <w:pPr>
              <w:pStyle w:val="Compact"/>
              <w:jc w:val="left"/>
            </w:pPr>
            <w:r>
              <w:t xml:space="preserve">8</w:t>
            </w:r>
          </w:p>
        </w:tc>
        <w:tc>
          <w:tcPr/>
          <w:p>
            <w:pPr>
              <w:pStyle w:val="Compact"/>
              <w:jc w:val="left"/>
            </w:pPr>
            <w:r>
              <w:t xml:space="preserve">§18</w:t>
            </w:r>
          </w:p>
        </w:tc>
        <w:tc>
          <w:tcPr/>
          <w:p>
            <w:pPr>
              <w:pStyle w:val="Compact"/>
              <w:jc w:val="left"/>
            </w:pPr>
            <w:r>
              <w:rPr>
                <w:b/>
                <w:bCs/>
              </w:rPr>
              <w:t xml:space="preserve">Entire agreement:</w:t>
            </w:r>
            <w:r>
              <w:t xml:space="preserve"> </w:t>
            </w:r>
            <w:r>
              <w:t xml:space="preserve">preserved the Equity Incentive Plan and RSU Grant Agreement for RSU administration/tax.</w:t>
            </w:r>
          </w:p>
        </w:tc>
      </w:tr>
      <w:tr>
        <w:tc>
          <w:tcPr/>
          <w:p>
            <w:pPr>
              <w:pStyle w:val="Compact"/>
              <w:jc w:val="left"/>
            </w:pPr>
            <w:r>
              <w:t xml:space="preserve">9</w:t>
            </w:r>
          </w:p>
        </w:tc>
        <w:tc>
          <w:tcPr/>
          <w:p>
            <w:pPr>
              <w:pStyle w:val="Compact"/>
              <w:jc w:val="left"/>
            </w:pPr>
            <w:r>
              <w:t xml:space="preserve">§§19–24 (new)</w:t>
            </w:r>
          </w:p>
        </w:tc>
        <w:tc>
          <w:tcPr/>
          <w:p>
            <w:pPr>
              <w:pStyle w:val="Compact"/>
              <w:jc w:val="left"/>
            </w:pPr>
            <w:r>
              <w:t xml:space="preserve">Added</w:t>
            </w:r>
            <w:r>
              <w:t xml:space="preserve"> </w:t>
            </w:r>
            <w:r>
              <w:rPr>
                <w:b/>
                <w:bCs/>
              </w:rPr>
              <w:t xml:space="preserve">Governing Law &amp; Venue</w:t>
            </w:r>
            <w:r>
              <w:t xml:space="preserve"> </w:t>
            </w:r>
            <w:r>
              <w:t xml:space="preserve">(Oregon / Multnomah County),</w:t>
            </w:r>
            <w:r>
              <w:t xml:space="preserve"> </w:t>
            </w:r>
            <w:r>
              <w:rPr>
                <w:b/>
                <w:bCs/>
              </w:rPr>
              <w:t xml:space="preserve">Return of Company Property</w:t>
            </w:r>
            <w:r>
              <w:t xml:space="preserve">,</w:t>
            </w:r>
            <w:r>
              <w:t xml:space="preserve"> </w:t>
            </w:r>
            <w:r>
              <w:rPr>
                <w:b/>
                <w:bCs/>
              </w:rPr>
              <w:t xml:space="preserve">Confidential Information &amp; Trade Secrets</w:t>
            </w:r>
            <w:r>
              <w:t xml:space="preserve"> </w:t>
            </w:r>
            <w:r>
              <w:t xml:space="preserve">(with DTSA notice),</w:t>
            </w:r>
            <w:r>
              <w:t xml:space="preserve"> </w:t>
            </w:r>
            <w:r>
              <w:rPr>
                <w:b/>
                <w:bCs/>
              </w:rPr>
              <w:t xml:space="preserve">Cooperation</w:t>
            </w:r>
            <w:r>
              <w:t xml:space="preserve">,</w:t>
            </w:r>
            <w:r>
              <w:t xml:space="preserve"> </w:t>
            </w:r>
            <w:r>
              <w:rPr>
                <w:b/>
                <w:bCs/>
              </w:rPr>
              <w:t xml:space="preserve">Notices</w:t>
            </w:r>
            <w:r>
              <w:t xml:space="preserve">, and</w:t>
            </w:r>
            <w:r>
              <w:t xml:space="preserve"> </w:t>
            </w:r>
            <w:r>
              <w:rPr>
                <w:b/>
                <w:bCs/>
              </w:rPr>
              <w:t xml:space="preserve">Successors &amp; Assigns</w:t>
            </w:r>
            <w:r>
              <w:t xml:space="preserve">.</w:t>
            </w:r>
          </w:p>
        </w:tc>
      </w:tr>
    </w:tbl>
    <w:bookmarkEnd w:id="22"/>
    <w:bookmarkStart w:id="26" w:name="iv.-key-issues-and-risks"/>
    <w:p>
      <w:pPr>
        <w:pStyle w:val="Heading2"/>
      </w:pPr>
      <w:r>
        <w:t xml:space="preserve">IV. Key Issues and Risks</w:t>
      </w:r>
    </w:p>
    <w:bookmarkStart w:id="23" w:name="a.-critical"/>
    <w:p>
      <w:pPr>
        <w:pStyle w:val="Heading3"/>
      </w:pPr>
      <w:r>
        <w:t xml:space="preserve">A. Critical</w:t>
      </w:r>
    </w:p>
    <w:p>
      <w:pPr>
        <w:pStyle w:val="FirstParagraph"/>
      </w:pPr>
      <w:r>
        <w:rPr>
          <w:b/>
          <w:bCs/>
        </w:rPr>
        <w:t xml:space="preserve">1. OWBPA / ADEA non-compliance (highest priority).</w:t>
      </w:r>
      <w:r>
        <w:t xml:space="preserve"> </w:t>
      </w:r>
      <w:r>
        <w:t xml:space="preserve">Because Delano is 58, any release of ADEA claims must satisfy the OWBPA, 29 U.S.C. § 626(f). For an</w:t>
      </w:r>
      <w:r>
        <w:t xml:space="preserve"> </w:t>
      </w:r>
      <w:r>
        <w:rPr>
          <w:b/>
          <w:bCs/>
        </w:rPr>
        <w:t xml:space="preserve">individual</w:t>
      </w:r>
      <w:r>
        <w:t xml:space="preserve"> </w:t>
      </w:r>
      <w:r>
        <w:t xml:space="preserve">termination (this is not a group layoff), the OWBPA requires: (i) a</w:t>
      </w:r>
      <w:r>
        <w:t xml:space="preserve"> </w:t>
      </w:r>
      <w:r>
        <w:rPr>
          <w:b/>
          <w:bCs/>
        </w:rPr>
        <w:t xml:space="preserve">21-day</w:t>
      </w:r>
      <w:r>
        <w:t xml:space="preserve"> </w:t>
      </w:r>
      <w:r>
        <w:t xml:space="preserve">consideration period; (ii) a</w:t>
      </w:r>
      <w:r>
        <w:t xml:space="preserve"> </w:t>
      </w:r>
      <w:r>
        <w:rPr>
          <w:b/>
          <w:bCs/>
        </w:rPr>
        <w:t xml:space="preserve">7-day revocation period</w:t>
      </w:r>
      <w:r>
        <w:t xml:space="preserve"> </w:t>
      </w:r>
      <w:r>
        <w:t xml:space="preserve">after execution, during which the release is not effective; and (iii) consideration in addition to anything already owed. The Draft provides only</w:t>
      </w:r>
      <w:r>
        <w:t xml:space="preserve"> </w:t>
      </w:r>
      <w:r>
        <w:rPr>
          <w:b/>
          <w:bCs/>
        </w:rPr>
        <w:t xml:space="preserve">14 days</w:t>
      </w:r>
      <w:r>
        <w:t xml:space="preserve"> </w:t>
      </w:r>
      <w:r>
        <w:t xml:space="preserve">and</w:t>
      </w:r>
      <w:r>
        <w:t xml:space="preserve"> </w:t>
      </w:r>
      <w:r>
        <w:rPr>
          <w:b/>
          <w:bCs/>
        </w:rPr>
        <w:t xml:space="preserve">no revocation period</w:t>
      </w:r>
      <w:r>
        <w:t xml:space="preserve">, and defines the</w:t>
      </w:r>
      <w:r>
        <w:t xml:space="preserve"> </w:t>
      </w:r>
      <w:r>
        <w:t xml:space="preserve">“</w:t>
      </w:r>
      <w:r>
        <w:t xml:space="preserve">Effective Date</w:t>
      </w:r>
      <w:r>
        <w:t xml:space="preserve">”</w:t>
      </w:r>
      <w:r>
        <w:t xml:space="preserve"> </w:t>
      </w:r>
      <w:r>
        <w:t xml:space="preserve">as the signing date.</w:t>
      </w:r>
      <w:r>
        <w:t xml:space="preserve"> </w:t>
      </w:r>
      <w:r>
        <w:rPr>
          <w:b/>
          <w:bCs/>
        </w:rPr>
        <w:t xml:space="preserve">Consequence:</w:t>
      </w:r>
      <w:r>
        <w:t xml:space="preserve"> </w:t>
      </w:r>
      <w:r>
        <w:t xml:space="preserve">the ADEA release is likely</w:t>
      </w:r>
      <w:r>
        <w:t xml:space="preserve"> </w:t>
      </w:r>
      <w:r>
        <w:rPr>
          <w:b/>
          <w:bCs/>
        </w:rPr>
        <w:t xml:space="preserve">knowing and voluntary</w:t>
      </w:r>
      <w:r>
        <w:t xml:space="preserve">-deficient and</w:t>
      </w:r>
      <w:r>
        <w:t xml:space="preserve"> </w:t>
      </w:r>
      <w:r>
        <w:rPr>
          <w:b/>
          <w:bCs/>
        </w:rPr>
        <w:t xml:space="preserve">invalid</w:t>
      </w:r>
      <w:r>
        <w:t xml:space="preserve">, meaning Greenleaf could pay more than half a million dollars and</w:t>
      </w:r>
      <w:r>
        <w:t xml:space="preserve"> </w:t>
      </w:r>
      <w:r>
        <w:rPr>
          <w:b/>
          <w:bCs/>
        </w:rPr>
        <w:t xml:space="preserve">still face an ADEA suit</w:t>
      </w:r>
      <w:r>
        <w:t xml:space="preserve">. The redline corrects all three elements.</w:t>
      </w:r>
      <w:r>
        <w:t xml:space="preserve"> </w:t>
      </w:r>
      <w:r>
        <w:rPr>
          <w:i/>
          <w:iCs/>
        </w:rPr>
        <w:t xml:space="preserve">This fix is non-negotiable for an enforceable ADEA release and should not be conceded in negotiation.</w:t>
      </w:r>
    </w:p>
    <w:p>
      <w:pPr>
        <w:pStyle w:val="BodyText"/>
      </w:pPr>
      <w:r>
        <w:rPr>
          <w:b/>
          <w:bCs/>
        </w:rPr>
        <w:t xml:space="preserve">2. Retaliation pretext — the replacement hire.</w:t>
      </w:r>
      <w:r>
        <w:t xml:space="preserve"> </w:t>
      </w:r>
      <w:r>
        <w:t xml:space="preserve">The Employment Summary documents that Greenleaf hired Raj Mehta into a substantially equivalent supply-chain leadership role on March 20, 2025—six days after terminating Delano for</w:t>
      </w:r>
      <w:r>
        <w:t xml:space="preserve"> </w:t>
      </w:r>
      <w:r>
        <w:t xml:space="preserve">“</w:t>
      </w:r>
      <w:r>
        <w:t xml:space="preserve">elimination of position.</w:t>
      </w:r>
      <w:r>
        <w:t xml:space="preserve">”</w:t>
      </w:r>
      <w:r>
        <w:t xml:space="preserve"> </w:t>
      </w:r>
      <w:r>
        <w:t xml:space="preserve">The timeline is damning:</w:t>
      </w:r>
    </w:p>
    <w:p>
      <w:pPr>
        <w:pStyle w:val="BlockText"/>
      </w:pPr>
      <w:r>
        <w:t xml:space="preserve">Nov 8, 2024 — internal whistleblower complaint → Dec 3, 2024 — Oregon OSHA complaint → Jan 22, 2025 — OSHA investigation opened → Feb 10, 2025 — administrative leave → Mar 14, 2025 — termination (</w:t>
      </w:r>
      <w:r>
        <w:t xml:space="preserve">“</w:t>
      </w:r>
      <w:r>
        <w:t xml:space="preserve">position eliminated</w:t>
      </w:r>
      <w:r>
        <w:t xml:space="preserve">”</w:t>
      </w:r>
      <w:r>
        <w:t xml:space="preserve">) → Mar 20, 2025 — replacement hired ($185,000).</w:t>
      </w:r>
    </w:p>
    <w:p>
      <w:pPr>
        <w:pStyle w:val="FirstParagraph"/>
      </w:pPr>
      <w:r>
        <w:t xml:space="preserve">This sequence is strong, likely near-conclusive evidence of</w:t>
      </w:r>
      <w:r>
        <w:t xml:space="preserve"> </w:t>
      </w:r>
      <w:r>
        <w:rPr>
          <w:b/>
          <w:bCs/>
        </w:rPr>
        <w:t xml:space="preserve">pretext</w:t>
      </w:r>
      <w:r>
        <w:t xml:space="preserve"> </w:t>
      </w:r>
      <w:r>
        <w:t xml:space="preserve">under Oregon’s whistleblower statute (ORS 654.062(5)) and the Oregon Fair Employment Practices Act (ORS Chapter 659A), and would support a finding of unlawful retaliation. The</w:t>
      </w:r>
      <w:r>
        <w:t xml:space="preserve"> </w:t>
      </w:r>
      <w:r>
        <w:t xml:space="preserve">“</w:t>
      </w:r>
      <w:r>
        <w:t xml:space="preserve">legitimate business reorganization</w:t>
      </w:r>
      <w:r>
        <w:t xml:space="preserve">”</w:t>
      </w:r>
      <w:r>
        <w:t xml:space="preserve"> </w:t>
      </w:r>
      <w:r>
        <w:t xml:space="preserve">contention in the Recitals and §13 is</w:t>
      </w:r>
      <w:r>
        <w:t xml:space="preserve"> </w:t>
      </w:r>
      <w:r>
        <w:rPr>
          <w:b/>
          <w:bCs/>
        </w:rPr>
        <w:t xml:space="preserve">directly contradicted by Greenleaf’s own HR records</w:t>
      </w:r>
      <w:r>
        <w:t xml:space="preserve">.</w:t>
      </w:r>
      <w:r>
        <w:t xml:space="preserve"> </w:t>
      </w:r>
      <w:r>
        <w:rPr>
          <w:b/>
          <w:bCs/>
        </w:rPr>
        <w:t xml:space="preserve">Risk assessment:</w:t>
      </w:r>
      <w:r>
        <w:t xml:space="preserve"> </w:t>
      </w:r>
      <w:r>
        <w:t xml:space="preserve">if this matter proceeds to litigation, Delano’s retaliation claim is strong, with exposure to</w:t>
      </w:r>
      <w:r>
        <w:t xml:space="preserve"> </w:t>
      </w:r>
      <w:r>
        <w:rPr>
          <w:b/>
          <w:bCs/>
        </w:rPr>
        <w:t xml:space="preserve">back pay, front pay, compensatory and punitive damages, attorney fees, and OSHA enforcement</w:t>
      </w:r>
      <w:r>
        <w:t xml:space="preserve">. This risk profile</w:t>
      </w:r>
      <w:r>
        <w:t xml:space="preserve"> </w:t>
      </w:r>
      <w:r>
        <w:rPr>
          <w:b/>
          <w:bCs/>
        </w:rPr>
        <w:t xml:space="preserve">strongly favors settling</w:t>
      </w:r>
      <w:r>
        <w:t xml:space="preserve"> </w:t>
      </w:r>
      <w:r>
        <w:t xml:space="preserve">on the terms redlined. The GC should be aware that the Draft’s</w:t>
      </w:r>
      <w:r>
        <w:t xml:space="preserve"> </w:t>
      </w:r>
      <w:r>
        <w:t xml:space="preserve">“</w:t>
      </w:r>
      <w:r>
        <w:t xml:space="preserve">no admission</w:t>
      </w:r>
      <w:r>
        <w:t xml:space="preserve">”</w:t>
      </w:r>
      <w:r>
        <w:t xml:space="preserve"> </w:t>
      </w:r>
      <w:r>
        <w:t xml:space="preserve">and</w:t>
      </w:r>
      <w:r>
        <w:t xml:space="preserve"> </w:t>
      </w:r>
      <w:r>
        <w:t xml:space="preserve">“</w:t>
      </w:r>
      <w:r>
        <w:t xml:space="preserve">legitimate reorganization</w:t>
      </w:r>
      <w:r>
        <w:t xml:space="preserve">”</w:t>
      </w:r>
      <w:r>
        <w:t xml:space="preserve"> </w:t>
      </w:r>
      <w:r>
        <w:t xml:space="preserve">language is preserved (as is appropriate for a settlement), but the underlying factual exposure is severe.</w:t>
      </w:r>
    </w:p>
    <w:p>
      <w:pPr>
        <w:pStyle w:val="BodyText"/>
      </w:pPr>
      <w:r>
        <w:rPr>
          <w:b/>
          <w:bCs/>
        </w:rPr>
        <w:t xml:space="preserve">3. RSU valuation error and false statement.</w:t>
      </w:r>
      <w:r>
        <w:t xml:space="preserve"> </w:t>
      </w:r>
      <w:r>
        <w:t xml:space="preserve">The Draft states the $10.00/share figure is</w:t>
      </w:r>
      <w:r>
        <w:t xml:space="preserve"> </w:t>
      </w:r>
      <w:r>
        <w:t xml:space="preserve">“</w:t>
      </w:r>
      <w:r>
        <w:t xml:space="preserve">based on the most recent independent valuation conducted by Ridgepoint Valuation Services.</w:t>
      </w:r>
      <w:r>
        <w:t xml:space="preserve">”</w:t>
      </w:r>
      <w:r>
        <w:t xml:space="preserve"> </w:t>
      </w:r>
      <w:r>
        <w:t xml:space="preserve">That is</w:t>
      </w:r>
      <w:r>
        <w:t xml:space="preserve"> </w:t>
      </w:r>
      <w:r>
        <w:rPr>
          <w:b/>
          <w:bCs/>
        </w:rPr>
        <w:t xml:space="preserve">factually incorrect</w:t>
      </w:r>
      <w:r>
        <w:t xml:space="preserve">: the most recent 409A valuation, dated</w:t>
      </w:r>
      <w:r>
        <w:t xml:space="preserve"> </w:t>
      </w:r>
      <w:r>
        <w:rPr>
          <w:b/>
          <w:bCs/>
        </w:rPr>
        <w:t xml:space="preserve">January 15, 2025</w:t>
      </w:r>
      <w:r>
        <w:t xml:space="preserve">, is</w:t>
      </w:r>
      <w:r>
        <w:t xml:space="preserve"> </w:t>
      </w:r>
      <w:r>
        <w:rPr>
          <w:b/>
          <w:bCs/>
        </w:rPr>
        <w:t xml:space="preserve">$12.50/share</w:t>
      </w:r>
      <w:r>
        <w:t xml:space="preserve">. Embedding a false statement about valuation in a signed agreement creates a misrepresentation risk and understates the consideration by</w:t>
      </w:r>
      <w:r>
        <w:t xml:space="preserve"> </w:t>
      </w:r>
      <w:r>
        <w:rPr>
          <w:b/>
          <w:bCs/>
        </w:rPr>
        <w:t xml:space="preserve">$12,500</w:t>
      </w:r>
      <w:r>
        <w:t xml:space="preserve"> </w:t>
      </w:r>
      <w:r>
        <w:t xml:space="preserve">(correct total</w:t>
      </w:r>
      <w:r>
        <w:t xml:space="preserve"> </w:t>
      </w:r>
      <w:r>
        <w:rPr>
          <w:b/>
          <w:bCs/>
        </w:rPr>
        <w:t xml:space="preserve">$537,500</w:t>
      </w:r>
      <w:r>
        <w:t xml:space="preserve">). Separately, the unvested RSUs were</w:t>
      </w:r>
      <w:r>
        <w:t xml:space="preserve"> </w:t>
      </w:r>
      <w:r>
        <w:rPr>
          <w:b/>
          <w:bCs/>
        </w:rPr>
        <w:t xml:space="preserve">forfeited</w:t>
      </w:r>
      <w:r>
        <w:t xml:space="preserve"> </w:t>
      </w:r>
      <w:r>
        <w:t xml:space="preserve">at termination under the Plan; the Draft’s</w:t>
      </w:r>
      <w:r>
        <w:t xml:space="preserve"> </w:t>
      </w:r>
      <w:r>
        <w:t xml:space="preserve">“</w:t>
      </w:r>
      <w:r>
        <w:t xml:space="preserve">accelerated vesting</w:t>
      </w:r>
      <w:r>
        <w:t xml:space="preserve">”</w:t>
      </w:r>
      <w:r>
        <w:t xml:space="preserve"> </w:t>
      </w:r>
      <w:r>
        <w:t xml:space="preserve">language does not acknowledge the forfeiture or that the</w:t>
      </w:r>
      <w:r>
        <w:t xml:space="preserve"> </w:t>
      </w:r>
      <w:r>
        <w:rPr>
          <w:b/>
          <w:bCs/>
        </w:rPr>
        <w:t xml:space="preserve">Compensation Committee</w:t>
      </w:r>
      <w:r>
        <w:t xml:space="preserve"> </w:t>
      </w:r>
      <w:r>
        <w:t xml:space="preserve">must exercise its discretionary authority to restore/accelerate the shares. The redline corrects the valuation, acknowledges the forfeiture, and conditions delivery on Compensation Committee approval with a cash fallback.</w:t>
      </w:r>
    </w:p>
    <w:bookmarkEnd w:id="23"/>
    <w:bookmarkStart w:id="24" w:name="b.-significant"/>
    <w:p>
      <w:pPr>
        <w:pStyle w:val="Heading3"/>
      </w:pPr>
      <w:r>
        <w:t xml:space="preserve">B. Significant</w:t>
      </w:r>
    </w:p>
    <w:p>
      <w:pPr>
        <w:pStyle w:val="FirstParagraph"/>
      </w:pPr>
      <w:r>
        <w:rPr>
          <w:b/>
          <w:bCs/>
        </w:rPr>
        <w:t xml:space="preserve">4. Non-compete enforceability.</w:t>
      </w:r>
      <w:r>
        <w:t xml:space="preserve"> </w:t>
      </w:r>
      <w:r>
        <w:t xml:space="preserve">The Draft imposes an 18-month non-compete across Oregon, Washington, Idaho, and California.</w:t>
      </w:r>
      <w:r>
        <w:t xml:space="preserve"> </w:t>
      </w:r>
      <w:r>
        <w:rPr>
          <w:b/>
          <w:bCs/>
        </w:rPr>
        <w:t xml:space="preserve">California is essentially unenforceable</w:t>
      </w:r>
      <w:r>
        <w:t xml:space="preserve"> </w:t>
      </w:r>
      <w:r>
        <w:t xml:space="preserve">for post-employment restraints (Cal. Bus. &amp; Prof. Code § 16600) and has been removed in the redline. The</w:t>
      </w:r>
      <w:r>
        <w:t xml:space="preserve"> </w:t>
      </w:r>
      <w:r>
        <w:rPr>
          <w:b/>
          <w:bCs/>
        </w:rPr>
        <w:t xml:space="preserve">Oregon</w:t>
      </w:r>
      <w:r>
        <w:t xml:space="preserve"> </w:t>
      </w:r>
      <w:r>
        <w:t xml:space="preserve">restraint must comply with ORS 653.295: the 18-month duration is within the statutory maximum, and Delano exceeds the salary threshold, but the statute imposes additional requirements (e.g., written notice to the employee within 15 days of termination if the covenant is to be enforced, and entry in connection with a bona fide advancement). A non-compete imposed</w:t>
      </w:r>
      <w:r>
        <w:t xml:space="preserve"> </w:t>
      </w:r>
      <w:r>
        <w:rPr>
          <w:b/>
          <w:bCs/>
        </w:rPr>
        <w:t xml:space="preserve">at termination/settlement</w:t>
      </w:r>
      <w:r>
        <w:t xml:space="preserve"> </w:t>
      </w:r>
      <w:r>
        <w:t xml:space="preserve">(rather than at hire) faces heightened judicial scrutiny, and the</w:t>
      </w:r>
      <w:r>
        <w:t xml:space="preserve"> </w:t>
      </w:r>
      <w:r>
        <w:rPr>
          <w:b/>
          <w:bCs/>
        </w:rPr>
        <w:t xml:space="preserve">tolling provision</w:t>
      </w:r>
      <w:r>
        <w:t xml:space="preserve"> </w:t>
      </w:r>
      <w:r>
        <w:t xml:space="preserve">could extend the restraint well beyond 18 months.</w:t>
      </w:r>
      <w:r>
        <w:t xml:space="preserve"> </w:t>
      </w:r>
      <w:r>
        <w:rPr>
          <w:b/>
          <w:bCs/>
        </w:rPr>
        <w:t xml:space="preserve">Recommendation:</w:t>
      </w:r>
      <w:r>
        <w:t xml:space="preserve"> </w:t>
      </w:r>
      <w:r>
        <w:t xml:space="preserve">confirm ORS 653.295 compliance, provide any required statutory notice, and consider narrowing the geographic or industry scope. Note also the</w:t>
      </w:r>
      <w:r>
        <w:t xml:space="preserve"> </w:t>
      </w:r>
      <w:r>
        <w:rPr>
          <w:b/>
          <w:bCs/>
        </w:rPr>
        <w:t xml:space="preserve">optics risk</w:t>
      </w:r>
      <w:r>
        <w:t xml:space="preserve"> </w:t>
      </w:r>
      <w:r>
        <w:t xml:space="preserve">of imposing a non-compete on a terminated whistleblower.</w:t>
      </w:r>
    </w:p>
    <w:p>
      <w:pPr>
        <w:pStyle w:val="BodyText"/>
      </w:pPr>
      <w:r>
        <w:rPr>
          <w:b/>
          <w:bCs/>
        </w:rPr>
        <w:t xml:space="preserve">5. Release overbreadth and whistleblower rights.</w:t>
      </w:r>
      <w:r>
        <w:t xml:space="preserve"> </w:t>
      </w:r>
      <w:r>
        <w:t xml:space="preserve">The original release (§4), confidentiality (§6), non-disparagement (§7), and no-future-filings representation (§15(a)(ii)) are broad enough to be challenged as chilling protected activity and as unenforceable. The redline adds standard, well-recognized carve-outs (agency communications, DTSA immunity, whistleblower-award preservation) that</w:t>
      </w:r>
      <w:r>
        <w:t xml:space="preserve"> </w:t>
      </w:r>
      <w:r>
        <w:rPr>
          <w:b/>
          <w:bCs/>
        </w:rPr>
        <w:t xml:space="preserve">improve enforceability</w:t>
      </w:r>
      <w:r>
        <w:t xml:space="preserve"> </w:t>
      </w:r>
      <w:r>
        <w:t xml:space="preserve">and reduce the chance a court severs the release. Note that the</w:t>
      </w:r>
      <w:r>
        <w:t xml:space="preserve"> </w:t>
      </w:r>
      <w:r>
        <w:rPr>
          <w:b/>
          <w:bCs/>
        </w:rPr>
        <w:t xml:space="preserve">pending OSHA investigation is a government enforcement action</w:t>
      </w:r>
      <w:r>
        <w:t xml:space="preserve"> </w:t>
      </w:r>
      <w:r>
        <w:t xml:space="preserve">that Delano cannot dismiss by private agreement; the release operates only as to his</w:t>
      </w:r>
      <w:r>
        <w:t xml:space="preserve"> </w:t>
      </w:r>
      <w:r>
        <w:rPr>
          <w:b/>
          <w:bCs/>
        </w:rPr>
        <w:t xml:space="preserve">private</w:t>
      </w:r>
      <w:r>
        <w:t xml:space="preserve"> </w:t>
      </w:r>
      <w:r>
        <w:t xml:space="preserve">claims and his right to personal recovery.</w:t>
      </w:r>
    </w:p>
    <w:p>
      <w:pPr>
        <w:pStyle w:val="BodyText"/>
      </w:pPr>
      <w:r>
        <w:rPr>
          <w:b/>
          <w:bCs/>
        </w:rPr>
        <w:t xml:space="preserve">6. Confidentiality and NLRB exposure.</w:t>
      </w:r>
      <w:r>
        <w:t xml:space="preserve"> </w:t>
      </w:r>
      <w:r>
        <w:t xml:space="preserve">Broad confidentiality clauses in severance agreements remain under scrutiny by the NLRB as potentially chilling Section 7 rights. The redline narrows the clause with government-agency and DTSA carve-outs. Greenleaf should be prepared to defend the confidentiality scope if challenged.</w:t>
      </w:r>
    </w:p>
    <w:p>
      <w:pPr>
        <w:pStyle w:val="BodyText"/>
      </w:pPr>
      <w:r>
        <w:rPr>
          <w:b/>
          <w:bCs/>
        </w:rPr>
        <w:t xml:space="preserve">7. 2024 bonus wage claim.</w:t>
      </w:r>
      <w:r>
        <w:t xml:space="preserve"> </w:t>
      </w:r>
      <w:r>
        <w:t xml:space="preserve">Records show the 2024 bonus (target $43,600) was</w:t>
      </w:r>
      <w:r>
        <w:t xml:space="preserve"> </w:t>
      </w:r>
      <w:r>
        <w:t xml:space="preserve">“</w:t>
      </w:r>
      <w:r>
        <w:t xml:space="preserve">not determined</w:t>
      </w:r>
      <w:r>
        <w:t xml:space="preserve">”</w:t>
      </w:r>
      <w:r>
        <w:t xml:space="preserve"> </w:t>
      </w:r>
      <w:r>
        <w:t xml:space="preserve">and unpaid. Oregon wage law may treat an</w:t>
      </w:r>
      <w:r>
        <w:t xml:space="preserve"> </w:t>
      </w:r>
      <w:r>
        <w:rPr>
          <w:b/>
          <w:bCs/>
        </w:rPr>
        <w:t xml:space="preserve">earned</w:t>
      </w:r>
      <w:r>
        <w:t xml:space="preserve"> </w:t>
      </w:r>
      <w:r>
        <w:t xml:space="preserve">bonus as wages owed. The original §2 representation that</w:t>
      </w:r>
      <w:r>
        <w:t xml:space="preserve"> </w:t>
      </w:r>
      <w:r>
        <w:t xml:space="preserve">“</w:t>
      </w:r>
      <w:r>
        <w:t xml:space="preserve">no … bonuses … are owed</w:t>
      </w:r>
      <w:r>
        <w:t xml:space="preserve">”</w:t>
      </w:r>
      <w:r>
        <w:t xml:space="preserve"> </w:t>
      </w:r>
      <w:r>
        <w:t xml:space="preserve">is</w:t>
      </w:r>
      <w:r>
        <w:t xml:space="preserve"> </w:t>
      </w:r>
      <w:r>
        <w:rPr>
          <w:b/>
          <w:bCs/>
        </w:rPr>
        <w:t xml:space="preserve">potentially inaccurate</w:t>
      </w:r>
      <w:r>
        <w:t xml:space="preserve"> </w:t>
      </w:r>
      <w:r>
        <w:t xml:space="preserve">and could itself be challenged. The redline explicitly acknowledges the unpaid 2024 bonus and resolves all related claims through the settlement consideration. Greenleaf should confirm internally whether the bonus was earned/accrued; if so, the settlement consideration should be understood to cover it.</w:t>
      </w:r>
    </w:p>
    <w:bookmarkEnd w:id="24"/>
    <w:bookmarkStart w:id="25" w:name="c.-important-housekeeping"/>
    <w:p>
      <w:pPr>
        <w:pStyle w:val="Heading3"/>
      </w:pPr>
      <w:r>
        <w:t xml:space="preserve">C. Important / Housekeeping</w:t>
      </w:r>
    </w:p>
    <w:p>
      <w:pPr>
        <w:pStyle w:val="FirstParagraph"/>
      </w:pPr>
      <w:r>
        <w:rPr>
          <w:b/>
          <w:bCs/>
        </w:rPr>
        <w:t xml:space="preserve">8. Missing governing-law and venue provision.</w:t>
      </w:r>
      <w:r>
        <w:t xml:space="preserve"> </w:t>
      </w:r>
      <w:r>
        <w:t xml:space="preserve">The Draft contains</w:t>
      </w:r>
      <w:r>
        <w:t xml:space="preserve"> </w:t>
      </w:r>
      <w:r>
        <w:rPr>
          <w:b/>
          <w:bCs/>
        </w:rPr>
        <w:t xml:space="preserve">no</w:t>
      </w:r>
      <w:r>
        <w:t xml:space="preserve"> </w:t>
      </w:r>
      <w:r>
        <w:t xml:space="preserve">governing-law, venue, or dispute-resolution clause—a significant omission. The redline adds Oregon governing law and exclusive venue in Multnomah County (§19).</w:t>
      </w:r>
    </w:p>
    <w:p>
      <w:pPr>
        <w:pStyle w:val="BodyText"/>
      </w:pPr>
      <w:r>
        <w:rPr>
          <w:b/>
          <w:bCs/>
        </w:rPr>
        <w:t xml:space="preserve">9. Missing return-of-property and confidential-information protections.</w:t>
      </w:r>
      <w:r>
        <w:t xml:space="preserve"> </w:t>
      </w:r>
      <w:r>
        <w:t xml:space="preserve">As a VP with access to supply-chain, vendor, pricing, and cold-chain data, Delano’s ongoing confidentiality obligations and confirmation of returned property should be documented. The redline adds §§20–21 (the latter with the DTSA immunity notice).</w:t>
      </w:r>
    </w:p>
    <w:p>
      <w:pPr>
        <w:pStyle w:val="BodyText"/>
      </w:pPr>
      <w:r>
        <w:rPr>
          <w:b/>
          <w:bCs/>
        </w:rPr>
        <w:t xml:space="preserve">10. Missing cooperation clause.</w:t>
      </w:r>
      <w:r>
        <w:t xml:space="preserve"> </w:t>
      </w:r>
      <w:r>
        <w:t xml:space="preserve">A cooperation clause is standard and useful given the pending OSHA investigation and transition. The redline adds §22, with a carve-out preserving Delano’s right to communicate with government agencies.</w:t>
      </w:r>
    </w:p>
    <w:p>
      <w:pPr>
        <w:pStyle w:val="BodyText"/>
      </w:pPr>
      <w:r>
        <w:rPr>
          <w:b/>
          <w:bCs/>
        </w:rPr>
        <w:t xml:space="preserve">11. Reference obligation.</w:t>
      </w:r>
      <w:r>
        <w:t xml:space="preserve"> </w:t>
      </w:r>
      <w:r>
        <w:t xml:space="preserve">The original §11 required Greenleaf to provide a</w:t>
      </w:r>
      <w:r>
        <w:t xml:space="preserve"> </w:t>
      </w:r>
      <w:r>
        <w:rPr>
          <w:b/>
          <w:bCs/>
        </w:rPr>
        <w:t xml:space="preserve">“</w:t>
      </w:r>
      <w:r>
        <w:rPr>
          <w:b/>
          <w:bCs/>
        </w:rPr>
        <w:t xml:space="preserve">positive</w:t>
      </w:r>
      <w:r>
        <w:rPr>
          <w:b/>
          <w:bCs/>
        </w:rPr>
        <w:t xml:space="preserve">”</w:t>
      </w:r>
      <w:r>
        <w:t xml:space="preserve"> </w:t>
      </w:r>
      <w:r>
        <w:t xml:space="preserve">reference and to state that Delano</w:t>
      </w:r>
      <w:r>
        <w:t xml:space="preserve"> </w:t>
      </w:r>
      <w:r>
        <w:t xml:space="preserve">“</w:t>
      </w:r>
      <w:r>
        <w:t xml:space="preserve">was a valued member … who made significant contributions</w:t>
      </w:r>
      <w:r>
        <w:t xml:space="preserve">”</w:t>
      </w:r>
      <w:r>
        <w:t xml:space="preserve">—binding Greenleaf to specific, subjective laudatory statements. The redline softens this to a</w:t>
      </w:r>
      <w:r>
        <w:t xml:space="preserve"> </w:t>
      </w:r>
      <w:r>
        <w:rPr>
          <w:b/>
          <w:bCs/>
        </w:rPr>
        <w:t xml:space="preserve">neutral, factual, non-negative</w:t>
      </w:r>
      <w:r>
        <w:t xml:space="preserve"> </w:t>
      </w:r>
      <w:r>
        <w:t xml:space="preserve">reference confirming dates, title, and eligibility for rehire, which is more defensible.</w:t>
      </w:r>
    </w:p>
    <w:p>
      <w:pPr>
        <w:pStyle w:val="BodyText"/>
      </w:pPr>
      <w:r>
        <w:rPr>
          <w:b/>
          <w:bCs/>
        </w:rPr>
        <w:t xml:space="preserve">12. Entire agreement superseded the Equity Plan.</w:t>
      </w:r>
      <w:r>
        <w:t xml:space="preserve"> </w:t>
      </w:r>
      <w:r>
        <w:t xml:space="preserve">The original §18 superseded</w:t>
      </w:r>
      <w:r>
        <w:t xml:space="preserve"> </w:t>
      </w:r>
      <w:r>
        <w:t xml:space="preserve">“</w:t>
      </w:r>
      <w:r>
        <w:t xml:space="preserve">all prior … agreements,</w:t>
      </w:r>
      <w:r>
        <w:t xml:space="preserve">”</w:t>
      </w:r>
      <w:r>
        <w:t xml:space="preserve"> </w:t>
      </w:r>
      <w:r>
        <w:t xml:space="preserve">which could be read to displace the Equity Incentive Plan and RSU Grant Agreement that govern the RSU terms. The redline preserves those instruments for RSU administration and tax treatment (§18).</w:t>
      </w:r>
    </w:p>
    <w:p>
      <w:pPr>
        <w:pStyle w:val="BodyText"/>
      </w:pPr>
      <w:r>
        <w:rPr>
          <w:b/>
          <w:bCs/>
        </w:rPr>
        <w:t xml:space="preserve">13. Non-disparagement duration.</w:t>
      </w:r>
      <w:r>
        <w:t xml:space="preserve"> </w:t>
      </w:r>
      <w:r>
        <w:t xml:space="preserve">“</w:t>
      </w:r>
      <w:r>
        <w:t xml:space="preserve">In perpetuity</w:t>
      </w:r>
      <w:r>
        <w:t xml:space="preserve">”</w:t>
      </w:r>
      <w:r>
        <w:t xml:space="preserve"> </w:t>
      </w:r>
      <w:r>
        <w:t xml:space="preserve">is likely unenforceable as to duration. The redline limits the obligation to three (3) years (§7).</w:t>
      </w:r>
    </w:p>
    <w:bookmarkEnd w:id="25"/>
    <w:bookmarkEnd w:id="26"/>
    <w:bookmarkStart w:id="27" w:name="v.-additional-diligence-and-next-steps"/>
    <w:p>
      <w:pPr>
        <w:pStyle w:val="Heading2"/>
      </w:pPr>
      <w:r>
        <w:t xml:space="preserve">V. Additional Diligence and Next Steps</w:t>
      </w:r>
    </w:p>
    <w:p>
      <w:pPr>
        <w:pStyle w:val="FirstParagraph"/>
      </w:pPr>
      <w:r>
        <w:t xml:space="preserve">Before execution, we recommend the following:</w:t>
      </w:r>
    </w:p>
    <w:p>
      <w:pPr>
        <w:numPr>
          <w:ilvl w:val="0"/>
          <w:numId w:val="1003"/>
        </w:numPr>
      </w:pPr>
      <w:r>
        <w:rPr>
          <w:b/>
          <w:bCs/>
        </w:rPr>
        <w:t xml:space="preserve">EPLI carrier notice and consent.</w:t>
      </w:r>
      <w:r>
        <w:t xml:space="preserve"> </w:t>
      </w:r>
      <w:r>
        <w:t xml:space="preserve">Provide the Draft (as redlined) to Greenleaf’s EPLI carrier,</w:t>
      </w:r>
      <w:r>
        <w:t xml:space="preserve"> </w:t>
      </w:r>
      <w:r>
        <w:rPr>
          <w:b/>
          <w:bCs/>
        </w:rPr>
        <w:t xml:space="preserve">Timberline Insurance Group</w:t>
      </w:r>
      <w:r>
        <w:t xml:space="preserve"> </w:t>
      </w:r>
      <w:r>
        <w:t xml:space="preserve">(Policy No. TIG-EPL-2024-00391). Many EPLI policies require</w:t>
      </w:r>
      <w:r>
        <w:t xml:space="preserve"> </w:t>
      </w:r>
      <w:r>
        <w:rPr>
          <w:b/>
          <w:bCs/>
        </w:rPr>
        <w:t xml:space="preserve">notice and consent</w:t>
      </w:r>
      <w:r>
        <w:t xml:space="preserve"> </w:t>
      </w:r>
      <w:r>
        <w:t xml:space="preserve">prior to settlement; failure to comply may jeopardize coverage. Confirm whether the carrier will fund any portion of the payment.</w:t>
      </w:r>
    </w:p>
    <w:p>
      <w:pPr>
        <w:numPr>
          <w:ilvl w:val="0"/>
          <w:numId w:val="1003"/>
        </w:numPr>
      </w:pPr>
      <w:r>
        <w:rPr>
          <w:b/>
          <w:bCs/>
        </w:rPr>
        <w:t xml:space="preserve">Compensation Committee approval.</w:t>
      </w:r>
      <w:r>
        <w:t xml:space="preserve"> </w:t>
      </w:r>
      <w:r>
        <w:t xml:space="preserve">Obtain</w:t>
      </w:r>
      <w:r>
        <w:t xml:space="preserve"> </w:t>
      </w:r>
      <w:r>
        <w:rPr>
          <w:b/>
          <w:bCs/>
        </w:rPr>
        <w:t xml:space="preserve">Compensation Committee</w:t>
      </w:r>
      <w:r>
        <w:t xml:space="preserve"> </w:t>
      </w:r>
      <w:r>
        <w:t xml:space="preserve">approval for the RSU acceleration (or be prepared to pay the</w:t>
      </w:r>
      <w:r>
        <w:t xml:space="preserve"> </w:t>
      </w:r>
      <w:r>
        <w:rPr>
          <w:b/>
          <w:bCs/>
        </w:rPr>
        <w:t xml:space="preserve">$62,500 cash fallback</w:t>
      </w:r>
      <w:r>
        <w:t xml:space="preserve">). This should be documented contemporaneously.</w:t>
      </w:r>
    </w:p>
    <w:p>
      <w:pPr>
        <w:numPr>
          <w:ilvl w:val="0"/>
          <w:numId w:val="1003"/>
        </w:numPr>
      </w:pPr>
      <w:r>
        <w:rPr>
          <w:b/>
          <w:bCs/>
        </w:rPr>
        <w:t xml:space="preserve">Tax-structure confirmation.</w:t>
      </w:r>
      <w:r>
        <w:t xml:space="preserve"> </w:t>
      </w:r>
      <w:r>
        <w:t xml:space="preserve">Have tax counsel confirm the allocation: $275,000 as non-wage emotional-distress damages (Form 1099-MISC), $125,000 as back-pay wages (Form W-2, subject to FICA and withholding), $75,000 as attorney fees to Engel &amp; Associates (Form 1099-NEC), and the RSU delivery taxed at fair market value under the Plan. Note that the $125,000</w:t>
      </w:r>
      <w:r>
        <w:t xml:space="preserve"> </w:t>
      </w:r>
      <w:r>
        <w:t xml:space="preserve">“</w:t>
      </w:r>
      <w:r>
        <w:t xml:space="preserve">back pay</w:t>
      </w:r>
      <w:r>
        <w:t xml:space="preserve">”</w:t>
      </w:r>
      <w:r>
        <w:t xml:space="preserve"> </w:t>
      </w:r>
      <w:r>
        <w:t xml:space="preserve">for approximately seven weeks exceeds Delano’s base wages for that period (~$31,000), indicating it bundles the unpaid 2024 bonus and other wage elements—consistent with resolving the bonus claim, but the characterization should withstand IRS scrutiny. The IRS could recharacterize the 1099-MISC / W-2 split.</w:t>
      </w:r>
    </w:p>
    <w:p>
      <w:pPr>
        <w:numPr>
          <w:ilvl w:val="0"/>
          <w:numId w:val="1003"/>
        </w:numPr>
      </w:pPr>
      <w:r>
        <w:rPr>
          <w:b/>
          <w:bCs/>
        </w:rPr>
        <w:t xml:space="preserve">Oregon non-compete compliance.</w:t>
      </w:r>
      <w:r>
        <w:t xml:space="preserve"> </w:t>
      </w:r>
      <w:r>
        <w:t xml:space="preserve">Confirm ORS 653.295 compliance and provide any required statutory notice if Greenleaf intends to enforce the non-compete.</w:t>
      </w:r>
    </w:p>
    <w:p>
      <w:pPr>
        <w:numPr>
          <w:ilvl w:val="0"/>
          <w:numId w:val="1003"/>
        </w:numPr>
      </w:pPr>
      <w:r>
        <w:rPr>
          <w:b/>
          <w:bCs/>
        </w:rPr>
        <w:t xml:space="preserve">Payment timing.</w:t>
      </w:r>
      <w:r>
        <w:t xml:space="preserve"> </w:t>
      </w:r>
      <w:r>
        <w:t xml:space="preserve">Ensure</w:t>
      </w:r>
      <w:r>
        <w:t xml:space="preserve"> </w:t>
      </w:r>
      <w:r>
        <w:rPr>
          <w:b/>
          <w:bCs/>
        </w:rPr>
        <w:t xml:space="preserve">no payment is released</w:t>
      </w:r>
      <w:r>
        <w:t xml:space="preserve"> </w:t>
      </w:r>
      <w:r>
        <w:t xml:space="preserve">before the 7-day revocation period expires (i.e., not before the 8th calendar day after Delano’s execution). Coordinate with payroll and the equity administrator (Cascadia Benefit Administrators for 401(k); the Plan administrator for RSUs).</w:t>
      </w:r>
    </w:p>
    <w:p>
      <w:pPr>
        <w:numPr>
          <w:ilvl w:val="0"/>
          <w:numId w:val="1003"/>
        </w:numPr>
      </w:pPr>
      <w:r>
        <w:rPr>
          <w:b/>
          <w:bCs/>
        </w:rPr>
        <w:t xml:space="preserve">Negotiation posture.</w:t>
      </w:r>
      <w:r>
        <w:t xml:space="preserve"> </w:t>
      </w:r>
      <w:r>
        <w:t xml:space="preserve">Return the redline to Engel &amp; Associates. Expect pushback on (a) the reference softening and (b) the non-compete scope. The</w:t>
      </w:r>
      <w:r>
        <w:t xml:space="preserve"> </w:t>
      </w:r>
      <w:r>
        <w:rPr>
          <w:b/>
          <w:bCs/>
        </w:rPr>
        <w:t xml:space="preserve">OWBPA corrections (21-day period and 7-day revocation) should be treated as non-negotiable</w:t>
      </w:r>
      <w:r>
        <w:t xml:space="preserve">—they protect Greenleaf, not Delano, and an invalid ADEA release benefits no one. The RSU valuation correction is a factual matter that opposing counsel should not contest.</w:t>
      </w:r>
    </w:p>
    <w:bookmarkEnd w:id="27"/>
    <w:bookmarkStart w:id="28" w:name="vi.-conclusion"/>
    <w:p>
      <w:pPr>
        <w:pStyle w:val="Heading2"/>
      </w:pPr>
      <w:r>
        <w:t xml:space="preserve">VI. Conclusion</w:t>
      </w:r>
    </w:p>
    <w:p>
      <w:pPr>
        <w:pStyle w:val="FirstParagraph"/>
      </w:pPr>
      <w:r>
        <w:t xml:space="preserve">The Draft is a workable foundation but, as presented, would expose Greenleaf to an</w:t>
      </w:r>
      <w:r>
        <w:t xml:space="preserve"> </w:t>
      </w:r>
      <w:r>
        <w:rPr>
          <w:b/>
          <w:bCs/>
        </w:rPr>
        <w:t xml:space="preserve">invalid ADEA release</w:t>
      </w:r>
      <w:r>
        <w:t xml:space="preserve">, an</w:t>
      </w:r>
      <w:r>
        <w:t xml:space="preserve"> </w:t>
      </w:r>
      <w:r>
        <w:rPr>
          <w:b/>
          <w:bCs/>
        </w:rPr>
        <w:t xml:space="preserve">understated and misstated settlement value</w:t>
      </w:r>
      <w:r>
        <w:t xml:space="preserve">, and several</w:t>
      </w:r>
      <w:r>
        <w:t xml:space="preserve"> </w:t>
      </w:r>
      <w:r>
        <w:rPr>
          <w:b/>
          <w:bCs/>
        </w:rPr>
        <w:t xml:space="preserve">unenforceable or overbroad provisions</w:t>
      </w:r>
      <w:r>
        <w:t xml:space="preserve">. More fundamentally, Greenleaf’s own records document</w:t>
      </w:r>
      <w:r>
        <w:t xml:space="preserve"> </w:t>
      </w:r>
      <w:r>
        <w:rPr>
          <w:b/>
          <w:bCs/>
        </w:rPr>
        <w:t xml:space="preserve">strong evidence of retaliation pretext</w:t>
      </w:r>
      <w:r>
        <w:t xml:space="preserve">, which makes the proposed settlement a sound risk-management decision—provided the redlined corrections are adopted. We recommend executing the settlement</w:t>
      </w:r>
      <w:r>
        <w:t xml:space="preserve"> </w:t>
      </w:r>
      <w:r>
        <w:rPr>
          <w:b/>
          <w:bCs/>
        </w:rPr>
        <w:t xml:space="preserve">as redlined</w:t>
      </w:r>
      <w:r>
        <w:t xml:space="preserve">, subject to the diligence steps in Part V. We are available to discuss any of the foregoing or to negotiate the revisions with opposing counsel.</w:t>
      </w:r>
    </w:p>
    <w:p>
      <w:pPr>
        <w:pStyle w:val="BodyText"/>
      </w:pPr>
      <w:r>
        <w:rPr>
          <w:i/>
          <w:iCs/>
        </w:rPr>
        <w:t xml:space="preserve">This memorandum is privileged and confidential attorney work product prepared in anticipation of litigation and for the purpose of providing legal advice. It should not be distributed outside the legal department without consultation.</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2026-06-29T00:36:00Z</dcterms:created>
  <dcterms:modified xsi:type="dcterms:W3CDTF">2026-06-29T00:36:00Z</dcterms:modified>
</cp:coreProperties>
</file>

<file path=docProps/custom.xml><?xml version="1.0" encoding="utf-8"?>
<Properties xmlns="http://schemas.openxmlformats.org/officeDocument/2006/custom-properties" xmlns:vt="http://schemas.openxmlformats.org/officeDocument/2006/docPropsVTypes"/>
</file>