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environmental-issues-memorandum"/>
    <w:p>
      <w:pPr>
        <w:pStyle w:val="Heading1"/>
      </w:pPr>
      <w:r>
        <w:t xml:space="preserve">ENVIRONMENTAL ISSUES MEMORANDUM</w:t>
      </w:r>
    </w:p>
    <w:p>
      <w:pPr>
        <w:pStyle w:val="FirstParagraph"/>
      </w:pPr>
      <w:r>
        <w:rPr>
          <w:b/>
          <w:bCs/>
        </w:rPr>
        <w:t xml:space="preserve">PRIVILEGED AND CONFIDENTIAL — ATTORNEY-CLIENT COMMUNICATION / ATTORNEY WORK PRODUCT</w:t>
      </w:r>
    </w:p>
    <w:p>
      <w:pPr>
        <w:pStyle w:val="BodyText"/>
      </w:pPr>
      <w:r>
        <w:rPr>
          <w:b/>
          <w:bCs/>
        </w:rPr>
        <w:t xml:space="preserve">TO:</w:t>
      </w:r>
      <w:r>
        <w:t xml:space="preserve"> </w:t>
      </w:r>
      <w:r>
        <w:t xml:space="preserve">Marcus Choi, Managing Partner, Cornerstone Industrial Partners LLC; Deal Team</w:t>
      </w:r>
      <w:r>
        <w:t xml:space="preserve"> </w:t>
      </w:r>
      <w:r>
        <w:rPr>
          <w:b/>
          <w:bCs/>
        </w:rPr>
        <w:t xml:space="preserve">CC:</w:t>
      </w:r>
      <w:r>
        <w:t xml:space="preserve"> </w:t>
      </w:r>
      <w:r>
        <w:t xml:space="preserve">Sarah Castellano, Partner, Whitfield &amp; Crane LLP; David Morales, Associate, Whitfield &amp; Crane LLP</w:t>
      </w:r>
      <w:r>
        <w:t xml:space="preserve"> </w:t>
      </w:r>
      <w:r>
        <w:rPr>
          <w:b/>
          <w:bCs/>
        </w:rPr>
        <w:t xml:space="preserve">FROM:</w:t>
      </w:r>
      <w:r>
        <w:t xml:space="preserve"> </w:t>
      </w:r>
      <w:r>
        <w:t xml:space="preserve">Environmental Due Diligence Counsel</w:t>
      </w:r>
      <w:r>
        <w:t xml:space="preserve"> </w:t>
      </w:r>
      <w:r>
        <w:rPr>
          <w:b/>
          <w:bCs/>
        </w:rPr>
        <w:t xml:space="preserve">DATE:</w:t>
      </w:r>
      <w:r>
        <w:t xml:space="preserve"> </w:t>
      </w:r>
      <w:r>
        <w:t xml:space="preserve">October 28, 2024</w:t>
      </w:r>
      <w:r>
        <w:t xml:space="preserve"> </w:t>
      </w:r>
      <w:r>
        <w:rPr>
          <w:b/>
          <w:bCs/>
        </w:rPr>
        <w:t xml:space="preserve">RE:</w:t>
      </w:r>
      <w:r>
        <w:t xml:space="preserve"> </w:t>
      </w:r>
      <w:r>
        <w:t xml:space="preserve">Environmental Issues and Severity Ratings — Proposed Acquisition of 4820 Lakeshore Industrial Drive, Toledo, Lucas County, Ohio 43611 (the</w:t>
      </w:r>
      <w:r>
        <w:t xml:space="preserve"> </w:t>
      </w:r>
      <w:r>
        <w:t xml:space="preserve">“</w:t>
      </w:r>
      <w:r>
        <w:t xml:space="preserve">Property</w:t>
      </w:r>
      <w:r>
        <w:t xml:space="preserve">”</w:t>
      </w:r>
      <w:r>
        <w:t xml:space="preserve">) from Breckenridge Manufacturing Co.</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environmental issues identified in our review of the Phase I Environmental Site Assessment (</w:t>
      </w:r>
      <w:r>
        <w:t xml:space="preserve">“</w:t>
      </w:r>
      <w:r>
        <w:t xml:space="preserve">Phase I ESA</w:t>
      </w:r>
      <w:r>
        <w:t xml:space="preserve">”</w:t>
      </w:r>
      <w:r>
        <w:t xml:space="preserve">) prepared by Greenfield Environmental Consultants Inc. (</w:t>
      </w:r>
      <w:r>
        <w:t xml:space="preserve">“</w:t>
      </w:r>
      <w:r>
        <w:t xml:space="preserve">Greenfield</w:t>
      </w:r>
      <w:r>
        <w:t xml:space="preserve">”</w:t>
      </w:r>
      <w:r>
        <w:t xml:space="preserve">) and the supporting environmental, regulatory, and transactional documents for Cornerstone Industrial Partners LLC’s (</w:t>
      </w:r>
      <w:r>
        <w:t xml:space="preserve">“</w:t>
      </w:r>
      <w:r>
        <w:t xml:space="preserve">Cornerstone</w:t>
      </w:r>
      <w:r>
        <w:t xml:space="preserve">”</w:t>
      </w:r>
      <w:r>
        <w:t xml:space="preserve"> </w:t>
      </w:r>
      <w:r>
        <w:t xml:space="preserve">or</w:t>
      </w:r>
      <w:r>
        <w:t xml:space="preserve"> </w:t>
      </w:r>
      <w:r>
        <w:t xml:space="preserve">“</w:t>
      </w:r>
      <w:r>
        <w:t xml:space="preserve">Buyer</w:t>
      </w:r>
      <w:r>
        <w:t xml:space="preserve">”</w:t>
      </w:r>
      <w:r>
        <w:t xml:space="preserve">) proposed acquisition of the approximately 14.7-acre former manufacturing complex located at 4820 Lakeshore Industrial Drive, Toledo, Ohio (the</w:t>
      </w:r>
      <w:r>
        <w:t xml:space="preserve"> </w:t>
      </w:r>
      <w:r>
        <w:t xml:space="preserve">“</w:t>
      </w:r>
      <w:r>
        <w:t xml:space="preserve">Property</w:t>
      </w:r>
      <w:r>
        <w:t xml:space="preserve">”</w:t>
      </w:r>
      <w:r>
        <w:t xml:space="preserve">) from Breckenridge Manufacturing Co. (</w:t>
      </w:r>
      <w:r>
        <w:t xml:space="preserve">“</w:t>
      </w:r>
      <w:r>
        <w:t xml:space="preserve">Breckenridge</w:t>
      </w:r>
      <w:r>
        <w:t xml:space="preserve">”</w:t>
      </w:r>
      <w:r>
        <w:t xml:space="preserve"> </w:t>
      </w:r>
      <w:r>
        <w:t xml:space="preserve">or</w:t>
      </w:r>
      <w:r>
        <w:t xml:space="preserve"> </w:t>
      </w:r>
      <w:r>
        <w:t xml:space="preserve">“</w:t>
      </w:r>
      <w:r>
        <w:t xml:space="preserve">Seller</w:t>
      </w:r>
      <w:r>
        <w:t xml:space="preserve">”</w:t>
      </w:r>
      <w:r>
        <w:t xml:space="preserve">) for a purchase price of $8,750,000, financed in part by a $6,125,000 acquisition loan from Great Lakes Capital Bank (the</w:t>
      </w:r>
      <w:r>
        <w:t xml:space="preserve"> </w:t>
      </w:r>
      <w:r>
        <w:t xml:space="preserve">“</w:t>
      </w:r>
      <w:r>
        <w:t xml:space="preserve">Lender</w:t>
      </w:r>
      <w:r>
        <w:t xml:space="preserve">”</w:t>
      </w:r>
      <w:r>
        <w:t xml:space="preserve">).</w:t>
      </w:r>
    </w:p>
    <w:p>
      <w:pPr>
        <w:pStyle w:val="BodyText"/>
      </w:pPr>
      <w:r>
        <w:rPr>
          <w:b/>
          <w:bCs/>
        </w:rPr>
        <w:t xml:space="preserve">Bottom line.</w:t>
      </w:r>
      <w:r>
        <w:t xml:space="preserve"> </w:t>
      </w:r>
      <w:r>
        <w:t xml:space="preserve">The Property carries</w:t>
      </w:r>
      <w:r>
        <w:t xml:space="preserve"> </w:t>
      </w:r>
      <w:r>
        <w:rPr>
          <w:b/>
          <w:bCs/>
        </w:rPr>
        <w:t xml:space="preserve">substantial environmental liability</w:t>
      </w:r>
      <w:r>
        <w:t xml:space="preserve">. The Phase I ESA identified two recognized environmental conditions (</w:t>
      </w:r>
      <w:r>
        <w:t xml:space="preserve">“</w:t>
      </w:r>
      <w:r>
        <w:t xml:space="preserve">RECs</w:t>
      </w:r>
      <w:r>
        <w:t xml:space="preserve">”</w:t>
      </w:r>
      <w:r>
        <w:t xml:space="preserve">) — decades of trichloroethylene (</w:t>
      </w:r>
      <w:r>
        <w:t xml:space="preserve">“</w:t>
      </w:r>
      <w:r>
        <w:t xml:space="preserve">TCE</w:t>
      </w:r>
      <w:r>
        <w:t xml:space="preserve">”</w:t>
      </w:r>
      <w:r>
        <w:t xml:space="preserve">) vapor degreasing with an actively leaking waste drum, and 39 years of hexavalent chromium electroplating with essentially no hazardous-waste disposal records and a documented regulatory violation. Our review further concludes that the ESA</w:t>
      </w:r>
      <w:r>
        <w:t xml:space="preserve"> </w:t>
      </w:r>
      <w:r>
        <w:rPr>
          <w:b/>
          <w:bCs/>
        </w:rPr>
        <w:t xml:space="preserve">under-classified at least three additional conditions</w:t>
      </w:r>
      <w:r>
        <w:t xml:space="preserve"> </w:t>
      </w:r>
      <w:r>
        <w:t xml:space="preserve">that should have been evaluated as RECs or investigated as such — most importantly, a confirmed tetrachloroethylene (</w:t>
      </w:r>
      <w:r>
        <w:t xml:space="preserve">“</w:t>
      </w:r>
      <w:r>
        <w:t xml:space="preserve">PCE</w:t>
      </w:r>
      <w:r>
        <w:t xml:space="preserve">”</w:t>
      </w:r>
      <w:r>
        <w:t xml:space="preserve">) groundwater plume migrating onto the Property from an adjacent upgradient dry cleaner, which the Lender’s due-diligence letter</w:t>
      </w:r>
      <w:r>
        <w:t xml:space="preserve"> </w:t>
      </w:r>
      <w:r>
        <w:rPr>
          <w:i/>
          <w:iCs/>
        </w:rPr>
        <w:t xml:space="preserve">expressly required</w:t>
      </w:r>
      <w:r>
        <w:t xml:space="preserve"> </w:t>
      </w:r>
      <w:r>
        <w:t xml:space="preserve">be identified as a REC. Several of Seller’s environmental representations in the Asset Purchase Agreement (</w:t>
      </w:r>
      <w:r>
        <w:t xml:space="preserve">“</w:t>
      </w:r>
      <w:r>
        <w:t xml:space="preserve">APA</w:t>
      </w:r>
      <w:r>
        <w:t xml:space="preserve">”</w:t>
      </w:r>
      <w:r>
        <w:t xml:space="preserve">) appear inaccurate, and the indemnification package (a $1,750,000 cap and a three-year survival period) is likely insufficient to cover the remediation exposure presented.</w:t>
      </w:r>
    </w:p>
    <w:p>
      <w:pPr>
        <w:pStyle w:val="BodyText"/>
      </w:pPr>
      <w:r>
        <w:t xml:space="preserve">We rate</w:t>
      </w:r>
      <w:r>
        <w:t xml:space="preserve"> </w:t>
      </w:r>
      <w:r>
        <w:rPr>
          <w:b/>
          <w:bCs/>
        </w:rPr>
        <w:t xml:space="preserve">three issues as Critical</w:t>
      </w:r>
      <w:r>
        <w:t xml:space="preserve">,</w:t>
      </w:r>
      <w:r>
        <w:t xml:space="preserve"> </w:t>
      </w:r>
      <w:r>
        <w:rPr>
          <w:b/>
          <w:bCs/>
        </w:rPr>
        <w:t xml:space="preserve">eight as High</w:t>
      </w:r>
      <w:r>
        <w:t xml:space="preserve">,</w:t>
      </w:r>
      <w:r>
        <w:t xml:space="preserve"> </w:t>
      </w:r>
      <w:r>
        <w:rPr>
          <w:b/>
          <w:bCs/>
        </w:rPr>
        <w:t xml:space="preserve">ten as Medium</w:t>
      </w:r>
      <w:r>
        <w:t xml:space="preserve">, and</w:t>
      </w:r>
      <w:r>
        <w:t xml:space="preserve"> </w:t>
      </w:r>
      <w:r>
        <w:rPr>
          <w:b/>
          <w:bCs/>
        </w:rPr>
        <w:t xml:space="preserve">four as Low</w:t>
      </w:r>
      <w:r>
        <w:t xml:space="preserve"> </w:t>
      </w:r>
      <w:r>
        <w:t xml:space="preserve">(25 issues total). We recommend that Buyer</w:t>
      </w:r>
      <w:r>
        <w:t xml:space="preserve"> </w:t>
      </w:r>
      <w:r>
        <w:rPr>
          <w:b/>
          <w:bCs/>
        </w:rPr>
        <w:t xml:space="preserve">not proceed to closing</w:t>
      </w:r>
      <w:r>
        <w:t xml:space="preserve"> </w:t>
      </w:r>
      <w:r>
        <w:t xml:space="preserve">on the current terms, that a Phase II ESA and vapor-intrusion assessment be commissioned immediately, that the APA be renegotiated to correct the environmental representations and strengthen the indemnity, and that Buyer evaluate its termination right under APA § 6.3(b) on or before the October 31, 2024 due-diligence deadline. A consolidated issue table with severity ratings appears in Section 5; detailed analysis follows.</w:t>
      </w:r>
    </w:p>
    <w:bookmarkEnd w:id="20"/>
    <w:bookmarkStart w:id="21" w:name="transaction-summary"/>
    <w:p>
      <w:pPr>
        <w:pStyle w:val="Heading2"/>
      </w:pPr>
      <w:r>
        <w:t xml:space="preserve">2. Transaction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Property</w:t>
            </w:r>
          </w:p>
        </w:tc>
        <w:tc>
          <w:tcPr/>
          <w:p>
            <w:pPr>
              <w:pStyle w:val="Compact"/>
              <w:jc w:val="left"/>
            </w:pPr>
            <w:r>
              <w:t xml:space="preserve">4820 Lakeshore Industrial Drive, Toledo, Lucas County, OH 43611</w:t>
            </w:r>
          </w:p>
        </w:tc>
      </w:tr>
      <w:tr>
        <w:tc>
          <w:tcPr/>
          <w:p>
            <w:pPr>
              <w:pStyle w:val="Compact"/>
              <w:jc w:val="left"/>
            </w:pPr>
            <w:r>
              <w:t xml:space="preserve">Parcels / Area</w:t>
            </w:r>
          </w:p>
        </w:tc>
        <w:tc>
          <w:tcPr/>
          <w:p>
            <w:pPr>
              <w:pStyle w:val="Compact"/>
              <w:jc w:val="left"/>
            </w:pPr>
            <w:r>
              <w:t xml:space="preserve">Lucas County Parcel Nos. 18-04562-001, -002, -003; ~14.7 acres</w:t>
            </w:r>
          </w:p>
        </w:tc>
      </w:tr>
      <w:tr>
        <w:tc>
          <w:tcPr/>
          <w:p>
            <w:pPr>
              <w:pStyle w:val="Compact"/>
              <w:jc w:val="left"/>
            </w:pPr>
            <w:r>
              <w:t xml:space="preserve">Improvements</w:t>
            </w:r>
          </w:p>
        </w:tc>
        <w:tc>
          <w:tcPr/>
          <w:p>
            <w:pPr>
              <w:pStyle w:val="Compact"/>
              <w:jc w:val="left"/>
            </w:pPr>
            <w:r>
              <w:t xml:space="preserve">Main manufacturing bldg ~100,000 sf (78,000 sf built 1962 + 22,000 sf addition 1978); warehouse ~35,000 sf (1985); maintenance/utility bldg ~6,500 sf (1972)</w:t>
            </w:r>
          </w:p>
        </w:tc>
      </w:tr>
      <w:tr>
        <w:tc>
          <w:tcPr/>
          <w:p>
            <w:pPr>
              <w:pStyle w:val="Compact"/>
              <w:jc w:val="left"/>
            </w:pPr>
            <w:r>
              <w:t xml:space="preserve">Seller</w:t>
            </w:r>
          </w:p>
        </w:tc>
        <w:tc>
          <w:tcPr/>
          <w:p>
            <w:pPr>
              <w:pStyle w:val="Compact"/>
              <w:jc w:val="left"/>
            </w:pPr>
            <w:r>
              <w:t xml:space="preserve">Breckenridge Manufacturing Co. (Gerald Breckenridge III, President); owned since 1961</w:t>
            </w:r>
          </w:p>
        </w:tc>
      </w:tr>
      <w:tr>
        <w:tc>
          <w:tcPr/>
          <w:p>
            <w:pPr>
              <w:pStyle w:val="Compact"/>
              <w:jc w:val="left"/>
            </w:pPr>
            <w:r>
              <w:t xml:space="preserve">Buyer</w:t>
            </w:r>
          </w:p>
        </w:tc>
        <w:tc>
          <w:tcPr/>
          <w:p>
            <w:pPr>
              <w:pStyle w:val="Compact"/>
              <w:jc w:val="left"/>
            </w:pPr>
            <w:r>
              <w:t xml:space="preserve">Cornerstone Industrial Partners LLC (Marcus Choi, Managing Partner)</w:t>
            </w:r>
          </w:p>
        </w:tc>
      </w:tr>
      <w:tr>
        <w:tc>
          <w:tcPr/>
          <w:p>
            <w:pPr>
              <w:pStyle w:val="Compact"/>
              <w:jc w:val="left"/>
            </w:pPr>
            <w:r>
              <w:t xml:space="preserve">Purchase Price</w:t>
            </w:r>
          </w:p>
        </w:tc>
        <w:tc>
          <w:tcPr/>
          <w:p>
            <w:pPr>
              <w:pStyle w:val="Compact"/>
              <w:jc w:val="left"/>
            </w:pPr>
            <w:r>
              <w:t xml:space="preserve">$8,750,000</w:t>
            </w:r>
          </w:p>
        </w:tc>
      </w:tr>
      <w:tr>
        <w:tc>
          <w:tcPr/>
          <w:p>
            <w:pPr>
              <w:pStyle w:val="Compact"/>
              <w:jc w:val="left"/>
            </w:pPr>
            <w:r>
              <w:t xml:space="preserve">Earnest Money</w:t>
            </w:r>
          </w:p>
        </w:tc>
        <w:tc>
          <w:tcPr/>
          <w:p>
            <w:pPr>
              <w:pStyle w:val="Compact"/>
              <w:jc w:val="left"/>
            </w:pPr>
            <w:r>
              <w:t xml:space="preserve">$437,500 (5%), held by Fidelity Abstract &amp; Title</w:t>
            </w:r>
          </w:p>
        </w:tc>
      </w:tr>
      <w:tr>
        <w:tc>
          <w:tcPr/>
          <w:p>
            <w:pPr>
              <w:pStyle w:val="Compact"/>
              <w:jc w:val="left"/>
            </w:pPr>
            <w:r>
              <w:t xml:space="preserve">Lender / Loan</w:t>
            </w:r>
          </w:p>
        </w:tc>
        <w:tc>
          <w:tcPr/>
          <w:p>
            <w:pPr>
              <w:pStyle w:val="Compact"/>
              <w:jc w:val="left"/>
            </w:pPr>
            <w:r>
              <w:t xml:space="preserve">Great Lakes Capital Bank; Loan No. GLCB-2024-08173; $6,125,000 (~70% LTV); Buyer equity $2,625,000</w:t>
            </w:r>
          </w:p>
        </w:tc>
      </w:tr>
      <w:tr>
        <w:tc>
          <w:tcPr/>
          <w:p>
            <w:pPr>
              <w:pStyle w:val="Compact"/>
              <w:jc w:val="left"/>
            </w:pPr>
            <w:r>
              <w:t xml:space="preserve">APA Effective Date</w:t>
            </w:r>
          </w:p>
        </w:tc>
        <w:tc>
          <w:tcPr/>
          <w:p>
            <w:pPr>
              <w:pStyle w:val="Compact"/>
              <w:jc w:val="left"/>
            </w:pPr>
            <w:r>
              <w:t xml:space="preserve">September 1, 2024</w:t>
            </w:r>
          </w:p>
        </w:tc>
      </w:tr>
      <w:tr>
        <w:tc>
          <w:tcPr/>
          <w:p>
            <w:pPr>
              <w:pStyle w:val="Compact"/>
              <w:jc w:val="left"/>
            </w:pPr>
            <w:r>
              <w:t xml:space="preserve">Environmental Due Diligence Period</w:t>
            </w:r>
          </w:p>
        </w:tc>
        <w:tc>
          <w:tcPr/>
          <w:p>
            <w:pPr>
              <w:pStyle w:val="Compact"/>
              <w:jc w:val="left"/>
            </w:pPr>
            <w:r>
              <w:t xml:space="preserve">Expires 5:00 p.m. ET, October 31, 2024 (60 days)</w:t>
            </w:r>
          </w:p>
        </w:tc>
      </w:tr>
      <w:tr>
        <w:tc>
          <w:tcPr/>
          <w:p>
            <w:pPr>
              <w:pStyle w:val="Compact"/>
              <w:jc w:val="left"/>
            </w:pPr>
            <w:r>
              <w:t xml:space="preserve">Closing Date</w:t>
            </w:r>
          </w:p>
        </w:tc>
        <w:tc>
          <w:tcPr/>
          <w:p>
            <w:pPr>
              <w:pStyle w:val="Compact"/>
              <w:jc w:val="left"/>
            </w:pPr>
            <w:r>
              <w:t xml:space="preserve">December 15, 2024</w:t>
            </w:r>
          </w:p>
        </w:tc>
      </w:tr>
      <w:tr>
        <w:tc>
          <w:tcPr/>
          <w:p>
            <w:pPr>
              <w:pStyle w:val="Compact"/>
              <w:jc w:val="left"/>
            </w:pPr>
            <w:r>
              <w:t xml:space="preserve">Phase I ESA</w:t>
            </w:r>
          </w:p>
        </w:tc>
        <w:tc>
          <w:tcPr/>
          <w:p>
            <w:pPr>
              <w:pStyle w:val="Compact"/>
              <w:jc w:val="left"/>
            </w:pPr>
            <w:r>
              <w:t xml:space="preserve">Greenfield Environmental Consultants Inc. (Lauren Haddad, P.E., OH Lic. No. 67842); site reconnaissance October 2, 2024; report dated October 25, 2024; ASTM E1527-21; Project No. GEC-2024-0347; authorized reliance parties: Cornerstone and Great Lakes Capital Bank</w:t>
            </w:r>
          </w:p>
        </w:tc>
      </w:tr>
      <w:tr>
        <w:tc>
          <w:tcPr/>
          <w:p>
            <w:pPr>
              <w:pStyle w:val="Compact"/>
              <w:jc w:val="left"/>
            </w:pPr>
            <w:r>
              <w:t xml:space="preserve">Buyer’s Counsel</w:t>
            </w:r>
          </w:p>
        </w:tc>
        <w:tc>
          <w:tcPr/>
          <w:p>
            <w:pPr>
              <w:pStyle w:val="Compact"/>
              <w:jc w:val="left"/>
            </w:pPr>
            <w:r>
              <w:t xml:space="preserve">Whitfield &amp; Crane LLP (Sarah Castellano, lead partner)</w:t>
            </w:r>
          </w:p>
        </w:tc>
      </w:tr>
    </w:tbl>
    <w:p>
      <w:pPr>
        <w:pStyle w:val="BodyText"/>
      </w:pPr>
      <w:r>
        <w:rPr>
          <w:b/>
          <w:bCs/>
        </w:rPr>
        <w:t xml:space="preserve">Historical use.</w:t>
      </w:r>
      <w:r>
        <w:t xml:space="preserve"> </w:t>
      </w:r>
      <w:r>
        <w:t xml:space="preserve">Agricultural/residential (Halstead family) pre-1961, including a farmhouse served by a 500-gallon heating-oil underground storage tank (</w:t>
      </w:r>
      <w:r>
        <w:t xml:space="preserve">“</w:t>
      </w:r>
      <w:r>
        <w:t xml:space="preserve">UST</w:t>
      </w:r>
      <w:r>
        <w:t xml:space="preserve">”</w:t>
      </w:r>
      <w:r>
        <w:t xml:space="preserve">). Manufacturing from 1961 through December 2019: metal stamping; TCE vapor degreasing (1961–1992); hexavalent chromium and nickel electroplating (1965–2004); and painting. The Property has been used solely for warehousing since December 2019.</w:t>
      </w:r>
    </w:p>
    <w:bookmarkEnd w:id="21"/>
    <w:bookmarkStart w:id="22" w:name="documents-reviewed"/>
    <w:p>
      <w:pPr>
        <w:pStyle w:val="Heading2"/>
      </w:pPr>
      <w:r>
        <w:t xml:space="preserve">3. Documents Reviewed</w:t>
      </w:r>
    </w:p>
    <w:p>
      <w:pPr>
        <w:pStyle w:val="Compact"/>
        <w:numPr>
          <w:ilvl w:val="0"/>
          <w:numId w:val="1001"/>
        </w:numPr>
      </w:pPr>
      <w:r>
        <w:t xml:space="preserve">Phase I ESA, Greenfield Environmental Consultants Inc., dated October 25, 2024 (Project No. GEC-2024-0347).</w:t>
      </w:r>
    </w:p>
    <w:p>
      <w:pPr>
        <w:pStyle w:val="Compact"/>
        <w:numPr>
          <w:ilvl w:val="0"/>
          <w:numId w:val="1001"/>
        </w:numPr>
      </w:pPr>
      <w:r>
        <w:t xml:space="preserve">EDR Radius Map Report database summary (EDR Inquiry No. 6742891), dated September 15, 2024 (subject-property, adjacent-property, and orphan-site listings).</w:t>
      </w:r>
    </w:p>
    <w:p>
      <w:pPr>
        <w:pStyle w:val="Compact"/>
        <w:numPr>
          <w:ilvl w:val="0"/>
          <w:numId w:val="1001"/>
        </w:numPr>
      </w:pPr>
      <w:r>
        <w:t xml:space="preserve">Ohio EPA, Division of Environmental Response and Revitalization, Northwest District Office, records-response letter dated September 28, 2024 (File Ref. DERR-NW-2024-RR-0438), including the July 17, 2003 Compliance Evaluation Inspection report.</w:t>
      </w:r>
    </w:p>
    <w:p>
      <w:pPr>
        <w:pStyle w:val="Compact"/>
        <w:numPr>
          <w:ilvl w:val="0"/>
          <w:numId w:val="1001"/>
        </w:numPr>
      </w:pPr>
      <w:r>
        <w:t xml:space="preserve">Great Lakes Capital Bank environmental due-diligence requirements letter, dated September 10, 2024 (Loan No. GLCB-2024-08173).</w:t>
      </w:r>
    </w:p>
    <w:p>
      <w:pPr>
        <w:pStyle w:val="Compact"/>
        <w:numPr>
          <w:ilvl w:val="0"/>
          <w:numId w:val="1001"/>
        </w:numPr>
      </w:pPr>
      <w:r>
        <w:t xml:space="preserve">Asset Purchase Agreement excerpt (Articles I, IV §§ 4.12–4.13, VI § 6.3, VIII §§ 8.1–8.4, and Schedule 4.13), dated September 1, 2024.</w:t>
      </w:r>
    </w:p>
    <w:p>
      <w:pPr>
        <w:pStyle w:val="FirstParagraph"/>
      </w:pPr>
      <w:r>
        <w:t xml:space="preserve">A separate set of materials in the due-diligence file pertains to a</w:t>
      </w:r>
      <w:r>
        <w:t xml:space="preserve"> </w:t>
      </w:r>
      <w:r>
        <w:rPr>
          <w:b/>
          <w:bCs/>
        </w:rPr>
        <w:t xml:space="preserve">different, unrelated property</w:t>
      </w:r>
      <w:r>
        <w:t xml:space="preserve"> </w:t>
      </w:r>
      <w:r>
        <w:t xml:space="preserve">(2850 Millrace Road, Dayton, Ohio) and a different seller; those materials are not part of this acquisition and are not analyzed here. See Section 10 (Scope Note).</w:t>
      </w:r>
    </w:p>
    <w:bookmarkEnd w:id="22"/>
    <w:bookmarkStart w:id="23" w:name="severity-rating-scale"/>
    <w:p>
      <w:pPr>
        <w:pStyle w:val="Heading2"/>
      </w:pPr>
      <w:r>
        <w:t xml:space="preserve">4. Severity Rating Scale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Meaning</w:t>
            </w:r>
          </w:p>
        </w:tc>
      </w:tr>
      <w:tr>
        <w:tc>
          <w:tcPr/>
          <w:p>
            <w:pPr>
              <w:pStyle w:val="Compact"/>
              <w:jc w:val="left"/>
            </w:pPr>
            <w:r>
              <w:rPr>
                <w:b/>
                <w:bCs/>
              </w:rPr>
              <w:t xml:space="preserve">Critical</w:t>
            </w:r>
          </w:p>
        </w:tc>
        <w:tc>
          <w:tcPr/>
          <w:p>
            <w:pPr>
              <w:pStyle w:val="Compact"/>
              <w:jc w:val="left"/>
            </w:pPr>
            <w:r>
              <w:t xml:space="preserve">Severe risk to human health or the environment; remediation costs likely to approach or exceed the indemnification cap and/or a material fraction of Property value; triggers Lender decline risk or fundamental restructuring; deal-threatening on current terms.</w:t>
            </w:r>
          </w:p>
        </w:tc>
      </w:tr>
      <w:tr>
        <w:tc>
          <w:tcPr/>
          <w:p>
            <w:pPr>
              <w:pStyle w:val="Compact"/>
              <w:jc w:val="left"/>
            </w:pPr>
            <w:r>
              <w:rPr>
                <w:b/>
                <w:bCs/>
              </w:rPr>
              <w:t xml:space="preserve">High</w:t>
            </w:r>
          </w:p>
        </w:tc>
        <w:tc>
          <w:tcPr/>
          <w:p>
            <w:pPr>
              <w:pStyle w:val="Compact"/>
              <w:jc w:val="left"/>
            </w:pPr>
            <w:r>
              <w:t xml:space="preserve">Significant environmental or transactional risk; requires Phase II investigation and likely remediation; material cost potential; triggers Lender conditional requirements; requires contractual remedies or renegotiation.</w:t>
            </w:r>
          </w:p>
        </w:tc>
      </w:tr>
      <w:tr>
        <w:tc>
          <w:tcPr/>
          <w:p>
            <w:pPr>
              <w:pStyle w:val="Compact"/>
              <w:jc w:val="left"/>
            </w:pPr>
            <w:r>
              <w:rPr>
                <w:b/>
                <w:bCs/>
              </w:rPr>
              <w:t xml:space="preserve">Medium</w:t>
            </w:r>
          </w:p>
        </w:tc>
        <w:tc>
          <w:tcPr/>
          <w:p>
            <w:pPr>
              <w:pStyle w:val="Compact"/>
              <w:jc w:val="left"/>
            </w:pPr>
            <w:r>
              <w:t xml:space="preserve">Notable issue requiring further investigation and/or contractual attention; manageable with appropriate due diligence and risk allocation.</w:t>
            </w:r>
          </w:p>
        </w:tc>
      </w:tr>
      <w:tr>
        <w:tc>
          <w:tcPr/>
          <w:p>
            <w:pPr>
              <w:pStyle w:val="Compact"/>
              <w:jc w:val="left"/>
            </w:pPr>
            <w:r>
              <w:rPr>
                <w:b/>
                <w:bCs/>
              </w:rPr>
              <w:t xml:space="preserve">Low</w:t>
            </w:r>
          </w:p>
        </w:tc>
        <w:tc>
          <w:tcPr/>
          <w:p>
            <w:pPr>
              <w:pStyle w:val="Compact"/>
              <w:jc w:val="left"/>
            </w:pPr>
            <w:r>
              <w:t xml:space="preserve">Minor or de minimis condition; limited potential impact; monitor or address through routine due diligence and standard contractual provisions.</w:t>
            </w:r>
          </w:p>
        </w:tc>
      </w:tr>
    </w:tbl>
    <w:bookmarkEnd w:id="23"/>
    <w:bookmarkStart w:id="24" w:name="consolidated-issue-table"/>
    <w:p>
      <w:pPr>
        <w:pStyle w:val="Heading2"/>
      </w:pPr>
      <w:r>
        <w:t xml:space="preserve">5. Consolidated Issue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r>
      <w:tr>
        <w:tc>
          <w:tcPr/>
          <w:p>
            <w:pPr>
              <w:pStyle w:val="Compact"/>
              <w:jc w:val="left"/>
            </w:pPr>
            <w:r>
              <w:t xml:space="preserve">E-1</w:t>
            </w:r>
          </w:p>
        </w:tc>
        <w:tc>
          <w:tcPr/>
          <w:p>
            <w:pPr>
              <w:pStyle w:val="Compact"/>
              <w:jc w:val="left"/>
            </w:pPr>
            <w:r>
              <w:t xml:space="preserve">Former TCE vapor degreasing operations + abandoned leaking waste-TCE drum (REC-1)</w:t>
            </w:r>
          </w:p>
        </w:tc>
        <w:tc>
          <w:tcPr/>
          <w:p>
            <w:pPr>
              <w:pStyle w:val="Compact"/>
              <w:jc w:val="left"/>
            </w:pPr>
            <w:r>
              <w:t xml:space="preserve">On-site REC</w:t>
            </w:r>
          </w:p>
        </w:tc>
        <w:tc>
          <w:tcPr/>
          <w:p>
            <w:pPr>
              <w:pStyle w:val="Compact"/>
              <w:jc w:val="left"/>
            </w:pPr>
            <w:r>
              <w:rPr>
                <w:b/>
                <w:bCs/>
              </w:rPr>
              <w:t xml:space="preserve">Critical</w:t>
            </w:r>
          </w:p>
        </w:tc>
      </w:tr>
      <w:tr>
        <w:tc>
          <w:tcPr/>
          <w:p>
            <w:pPr>
              <w:pStyle w:val="Compact"/>
              <w:jc w:val="left"/>
            </w:pPr>
            <w:r>
              <w:t xml:space="preserve">E-2</w:t>
            </w:r>
          </w:p>
        </w:tc>
        <w:tc>
          <w:tcPr/>
          <w:p>
            <w:pPr>
              <w:pStyle w:val="Compact"/>
              <w:jc w:val="left"/>
            </w:pPr>
            <w:r>
              <w:t xml:space="preserve">Former hexavalent chromium / nickel electroplating operations (REC-2)</w:t>
            </w:r>
          </w:p>
        </w:tc>
        <w:tc>
          <w:tcPr/>
          <w:p>
            <w:pPr>
              <w:pStyle w:val="Compact"/>
              <w:jc w:val="left"/>
            </w:pPr>
            <w:r>
              <w:t xml:space="preserve">On-site REC</w:t>
            </w:r>
          </w:p>
        </w:tc>
        <w:tc>
          <w:tcPr/>
          <w:p>
            <w:pPr>
              <w:pStyle w:val="Compact"/>
              <w:jc w:val="left"/>
            </w:pPr>
            <w:r>
              <w:rPr>
                <w:b/>
                <w:bCs/>
              </w:rPr>
              <w:t xml:space="preserve">Critical</w:t>
            </w:r>
          </w:p>
        </w:tc>
      </w:tr>
      <w:tr>
        <w:tc>
          <w:tcPr/>
          <w:p>
            <w:pPr>
              <w:pStyle w:val="Compact"/>
              <w:jc w:val="left"/>
            </w:pPr>
            <w:r>
              <w:t xml:space="preserve">E-3</w:t>
            </w:r>
          </w:p>
        </w:tc>
        <w:tc>
          <w:tcPr/>
          <w:p>
            <w:pPr>
              <w:pStyle w:val="Compact"/>
              <w:jc w:val="left"/>
            </w:pPr>
            <w:r>
              <w:t xml:space="preserve">Off-site PCE groundwater plume migrating onto the Property from Lake Erie Dry Cleaning (not classified as a REC by the ESA)</w:t>
            </w:r>
          </w:p>
        </w:tc>
        <w:tc>
          <w:tcPr/>
          <w:p>
            <w:pPr>
              <w:pStyle w:val="Compact"/>
              <w:jc w:val="left"/>
            </w:pPr>
            <w:r>
              <w:t xml:space="preserve">Off-site / under-classified</w:t>
            </w:r>
          </w:p>
        </w:tc>
        <w:tc>
          <w:tcPr/>
          <w:p>
            <w:pPr>
              <w:pStyle w:val="Compact"/>
              <w:jc w:val="left"/>
            </w:pPr>
            <w:r>
              <w:rPr>
                <w:b/>
                <w:bCs/>
              </w:rPr>
              <w:t xml:space="preserve">Critical</w:t>
            </w:r>
          </w:p>
        </w:tc>
      </w:tr>
      <w:tr>
        <w:tc>
          <w:tcPr/>
          <w:p>
            <w:pPr>
              <w:pStyle w:val="Compact"/>
              <w:jc w:val="left"/>
            </w:pPr>
            <w:r>
              <w:t xml:space="preserve">E-4</w:t>
            </w:r>
          </w:p>
        </w:tc>
        <w:tc>
          <w:tcPr/>
          <w:p>
            <w:pPr>
              <w:pStyle w:val="Compact"/>
              <w:jc w:val="left"/>
            </w:pPr>
            <w:r>
              <w:t xml:space="preserve">Unregistered, unclosed 2,000-gallon waste-solvent UST (status unknown)</w:t>
            </w:r>
          </w:p>
        </w:tc>
        <w:tc>
          <w:tcPr/>
          <w:p>
            <w:pPr>
              <w:pStyle w:val="Compact"/>
              <w:jc w:val="left"/>
            </w:pPr>
            <w:r>
              <w:t xml:space="preserve">On-site / under-classified</w:t>
            </w:r>
          </w:p>
        </w:tc>
        <w:tc>
          <w:tcPr/>
          <w:p>
            <w:pPr>
              <w:pStyle w:val="Compact"/>
              <w:jc w:val="left"/>
            </w:pPr>
            <w:r>
              <w:rPr>
                <w:b/>
                <w:bCs/>
              </w:rPr>
              <w:t xml:space="preserve">High</w:t>
            </w:r>
          </w:p>
        </w:tc>
      </w:tr>
      <w:tr>
        <w:tc>
          <w:tcPr/>
          <w:p>
            <w:pPr>
              <w:pStyle w:val="Compact"/>
              <w:jc w:val="left"/>
            </w:pPr>
            <w:r>
              <w:t xml:space="preserve">E-5</w:t>
            </w:r>
          </w:p>
        </w:tc>
        <w:tc>
          <w:tcPr/>
          <w:p>
            <w:pPr>
              <w:pStyle w:val="Compact"/>
              <w:jc w:val="left"/>
            </w:pPr>
            <w:r>
              <w:t xml:space="preserve">Former outdoor drum-storage area with stressed vegetation (east side)</w:t>
            </w:r>
          </w:p>
        </w:tc>
        <w:tc>
          <w:tcPr/>
          <w:p>
            <w:pPr>
              <w:pStyle w:val="Compact"/>
              <w:jc w:val="left"/>
            </w:pPr>
            <w:r>
              <w:t xml:space="preserve">On-site / under-classified</w:t>
            </w:r>
          </w:p>
        </w:tc>
        <w:tc>
          <w:tcPr/>
          <w:p>
            <w:pPr>
              <w:pStyle w:val="Compact"/>
              <w:jc w:val="left"/>
            </w:pPr>
            <w:r>
              <w:rPr>
                <w:b/>
                <w:bCs/>
              </w:rPr>
              <w:t xml:space="preserve">High</w:t>
            </w:r>
          </w:p>
        </w:tc>
      </w:tr>
      <w:tr>
        <w:tc>
          <w:tcPr/>
          <w:p>
            <w:pPr>
              <w:pStyle w:val="Compact"/>
              <w:jc w:val="left"/>
            </w:pPr>
            <w:r>
              <w:t xml:space="preserve">E-6</w:t>
            </w:r>
          </w:p>
        </w:tc>
        <w:tc>
          <w:tcPr/>
          <w:p>
            <w:pPr>
              <w:pStyle w:val="Compact"/>
              <w:jc w:val="left"/>
            </w:pPr>
            <w:r>
              <w:t xml:space="preserve">Vapor intrusion risk (TCE and PCE) in occupied warehouse buildings</w:t>
            </w:r>
          </w:p>
        </w:tc>
        <w:tc>
          <w:tcPr/>
          <w:p>
            <w:pPr>
              <w:pStyle w:val="Compact"/>
              <w:jc w:val="left"/>
            </w:pPr>
            <w:r>
              <w:t xml:space="preserve">On-site / non-scope</w:t>
            </w:r>
          </w:p>
        </w:tc>
        <w:tc>
          <w:tcPr/>
          <w:p>
            <w:pPr>
              <w:pStyle w:val="Compact"/>
              <w:jc w:val="left"/>
            </w:pPr>
            <w:r>
              <w:rPr>
                <w:b/>
                <w:bCs/>
              </w:rPr>
              <w:t xml:space="preserve">High</w:t>
            </w:r>
          </w:p>
        </w:tc>
      </w:tr>
      <w:tr>
        <w:tc>
          <w:tcPr/>
          <w:p>
            <w:pPr>
              <w:pStyle w:val="Compact"/>
              <w:jc w:val="left"/>
            </w:pPr>
            <w:r>
              <w:t xml:space="preserve">E-7</w:t>
            </w:r>
          </w:p>
        </w:tc>
        <w:tc>
          <w:tcPr/>
          <w:p>
            <w:pPr>
              <w:pStyle w:val="Compact"/>
              <w:jc w:val="left"/>
            </w:pPr>
            <w:r>
              <w:t xml:space="preserve">Unknown monitoring well</w:t>
            </w:r>
            <w:r>
              <w:t xml:space="preserve"> </w:t>
            </w:r>
            <w:r>
              <w:t xml:space="preserve">“</w:t>
            </w:r>
            <w:r>
              <w:t xml:space="preserve">MW-1</w:t>
            </w:r>
            <w:r>
              <w:t xml:space="preserve">”</w:t>
            </w:r>
            <w:r>
              <w:t xml:space="preserve"> </w:t>
            </w:r>
            <w:r>
              <w:t xml:space="preserve">near northeast boundary</w:t>
            </w:r>
          </w:p>
        </w:tc>
        <w:tc>
          <w:tcPr/>
          <w:p>
            <w:pPr>
              <w:pStyle w:val="Compact"/>
              <w:jc w:val="left"/>
            </w:pPr>
            <w:r>
              <w:t xml:space="preserve">Data gap</w:t>
            </w:r>
          </w:p>
        </w:tc>
        <w:tc>
          <w:tcPr/>
          <w:p>
            <w:pPr>
              <w:pStyle w:val="Compact"/>
              <w:jc w:val="left"/>
            </w:pPr>
            <w:r>
              <w:rPr>
                <w:b/>
                <w:bCs/>
              </w:rPr>
              <w:t xml:space="preserve">Medium</w:t>
            </w:r>
          </w:p>
        </w:tc>
      </w:tr>
      <w:tr>
        <w:tc>
          <w:tcPr/>
          <w:p>
            <w:pPr>
              <w:pStyle w:val="Compact"/>
              <w:jc w:val="left"/>
            </w:pPr>
            <w:r>
              <w:t xml:space="preserve">E-8</w:t>
            </w:r>
          </w:p>
        </w:tc>
        <w:tc>
          <w:tcPr/>
          <w:p>
            <w:pPr>
              <w:pStyle w:val="Compact"/>
              <w:jc w:val="left"/>
            </w:pPr>
            <w:r>
              <w:t xml:space="preserve">500-gallon heating-oil UST (Halstead farmhouse) — no closure documentation</w:t>
            </w:r>
          </w:p>
        </w:tc>
        <w:tc>
          <w:tcPr/>
          <w:p>
            <w:pPr>
              <w:pStyle w:val="Compact"/>
              <w:jc w:val="left"/>
            </w:pPr>
            <w:r>
              <w:t xml:space="preserve">On-site / documentation gap</w:t>
            </w:r>
          </w:p>
        </w:tc>
        <w:tc>
          <w:tcPr/>
          <w:p>
            <w:pPr>
              <w:pStyle w:val="Compact"/>
              <w:jc w:val="left"/>
            </w:pPr>
            <w:r>
              <w:rPr>
                <w:b/>
                <w:bCs/>
              </w:rPr>
              <w:t xml:space="preserve">Low</w:t>
            </w:r>
          </w:p>
        </w:tc>
      </w:tr>
      <w:tr>
        <w:tc>
          <w:tcPr/>
          <w:p>
            <w:pPr>
              <w:pStyle w:val="Compact"/>
              <w:jc w:val="left"/>
            </w:pPr>
            <w:r>
              <w:t xml:space="preserve">E-9</w:t>
            </w:r>
          </w:p>
        </w:tc>
        <w:tc>
          <w:tcPr/>
          <w:p>
            <w:pPr>
              <w:pStyle w:val="Compact"/>
              <w:jc w:val="left"/>
            </w:pPr>
            <w:r>
              <w:t xml:space="preserve">2003 Ohio EPA NOV and consent order (file archived; corrective-action completion unconfirmed)</w:t>
            </w:r>
          </w:p>
        </w:tc>
        <w:tc>
          <w:tcPr/>
          <w:p>
            <w:pPr>
              <w:pStyle w:val="Compact"/>
              <w:jc w:val="left"/>
            </w:pPr>
            <w:r>
              <w:t xml:space="preserve">Regulatory / data gap</w:t>
            </w:r>
          </w:p>
        </w:tc>
        <w:tc>
          <w:tcPr/>
          <w:p>
            <w:pPr>
              <w:pStyle w:val="Compact"/>
              <w:jc w:val="left"/>
            </w:pPr>
            <w:r>
              <w:rPr>
                <w:b/>
                <w:bCs/>
              </w:rPr>
              <w:t xml:space="preserve">Medium</w:t>
            </w:r>
          </w:p>
        </w:tc>
      </w:tr>
      <w:tr>
        <w:tc>
          <w:tcPr/>
          <w:p>
            <w:pPr>
              <w:pStyle w:val="Compact"/>
              <w:jc w:val="left"/>
            </w:pPr>
            <w:r>
              <w:t xml:space="preserve">E-10</w:t>
            </w:r>
          </w:p>
        </w:tc>
        <w:tc>
          <w:tcPr/>
          <w:p>
            <w:pPr>
              <w:pStyle w:val="Compact"/>
              <w:jc w:val="left"/>
            </w:pPr>
            <w:r>
              <w:t xml:space="preserve">Missing hazardous-waste disposal records, 1965–2003 (39 years)</w:t>
            </w:r>
          </w:p>
        </w:tc>
        <w:tc>
          <w:tcPr/>
          <w:p>
            <w:pPr>
              <w:pStyle w:val="Compact"/>
              <w:jc w:val="left"/>
            </w:pPr>
            <w:r>
              <w:t xml:space="preserve">Data gap</w:t>
            </w:r>
          </w:p>
        </w:tc>
        <w:tc>
          <w:tcPr/>
          <w:p>
            <w:pPr>
              <w:pStyle w:val="Compact"/>
              <w:jc w:val="left"/>
            </w:pPr>
            <w:r>
              <w:rPr>
                <w:b/>
                <w:bCs/>
              </w:rPr>
              <w:t xml:space="preserve">Medium</w:t>
            </w:r>
          </w:p>
        </w:tc>
      </w:tr>
      <w:tr>
        <w:tc>
          <w:tcPr/>
          <w:p>
            <w:pPr>
              <w:pStyle w:val="Compact"/>
              <w:jc w:val="left"/>
            </w:pPr>
            <w:r>
              <w:t xml:space="preserve">E-11</w:t>
            </w:r>
          </w:p>
        </w:tc>
        <w:tc>
          <w:tcPr/>
          <w:p>
            <w:pPr>
              <w:pStyle w:val="Compact"/>
              <w:jc w:val="left"/>
            </w:pPr>
            <w:r>
              <w:t xml:space="preserve">Seller declined to produce corporate records, 1961–1990</w:t>
            </w:r>
          </w:p>
        </w:tc>
        <w:tc>
          <w:tcPr/>
          <w:p>
            <w:pPr>
              <w:pStyle w:val="Compact"/>
              <w:jc w:val="left"/>
            </w:pPr>
            <w:r>
              <w:t xml:space="preserve">Data gap / cooperation</w:t>
            </w:r>
          </w:p>
        </w:tc>
        <w:tc>
          <w:tcPr/>
          <w:p>
            <w:pPr>
              <w:pStyle w:val="Compact"/>
              <w:jc w:val="left"/>
            </w:pPr>
            <w:r>
              <w:rPr>
                <w:b/>
                <w:bCs/>
              </w:rPr>
              <w:t xml:space="preserve">Medium</w:t>
            </w:r>
          </w:p>
        </w:tc>
      </w:tr>
      <w:tr>
        <w:tc>
          <w:tcPr/>
          <w:p>
            <w:pPr>
              <w:pStyle w:val="Compact"/>
              <w:jc w:val="left"/>
            </w:pPr>
            <w:r>
              <w:t xml:space="preserve">E-12</w:t>
            </w:r>
          </w:p>
        </w:tc>
        <w:tc>
          <w:tcPr/>
          <w:p>
            <w:pPr>
              <w:pStyle w:val="Compact"/>
              <w:jc w:val="left"/>
            </w:pPr>
            <w:r>
              <w:t xml:space="preserve">Groundwater Management Zone (</w:t>
            </w:r>
            <w:r>
              <w:t xml:space="preserve">“</w:t>
            </w:r>
            <w:r>
              <w:t xml:space="preserve">GMZ</w:t>
            </w:r>
            <w:r>
              <w:t xml:space="preserve">”</w:t>
            </w:r>
            <w:r>
              <w:t xml:space="preserve">) restrictions applicable to the Property</w:t>
            </w:r>
          </w:p>
        </w:tc>
        <w:tc>
          <w:tcPr/>
          <w:p>
            <w:pPr>
              <w:pStyle w:val="Compact"/>
              <w:jc w:val="left"/>
            </w:pPr>
            <w:r>
              <w:t xml:space="preserve">Regulatory / use restriction</w:t>
            </w:r>
          </w:p>
        </w:tc>
        <w:tc>
          <w:tcPr/>
          <w:p>
            <w:pPr>
              <w:pStyle w:val="Compact"/>
              <w:jc w:val="left"/>
            </w:pPr>
            <w:r>
              <w:rPr>
                <w:b/>
                <w:bCs/>
              </w:rPr>
              <w:t xml:space="preserve">Medium</w:t>
            </w:r>
          </w:p>
        </w:tc>
      </w:tr>
      <w:tr>
        <w:tc>
          <w:tcPr/>
          <w:p>
            <w:pPr>
              <w:pStyle w:val="Compact"/>
              <w:jc w:val="left"/>
            </w:pPr>
            <w:r>
              <w:t xml:space="preserve">E-13</w:t>
            </w:r>
          </w:p>
        </w:tc>
        <w:tc>
          <w:tcPr/>
          <w:p>
            <w:pPr>
              <w:pStyle w:val="Compact"/>
              <w:jc w:val="left"/>
            </w:pPr>
            <w:r>
              <w:t xml:space="preserve">Active registered 10,000-gallon diesel UST</w:t>
            </w:r>
          </w:p>
        </w:tc>
        <w:tc>
          <w:tcPr/>
          <w:p>
            <w:pPr>
              <w:pStyle w:val="Compact"/>
              <w:jc w:val="left"/>
            </w:pPr>
            <w:r>
              <w:t xml:space="preserve">On-site / informational</w:t>
            </w:r>
          </w:p>
        </w:tc>
        <w:tc>
          <w:tcPr/>
          <w:p>
            <w:pPr>
              <w:pStyle w:val="Compact"/>
              <w:jc w:val="left"/>
            </w:pPr>
            <w:r>
              <w:rPr>
                <w:b/>
                <w:bCs/>
              </w:rPr>
              <w:t xml:space="preserve">Low</w:t>
            </w:r>
          </w:p>
        </w:tc>
      </w:tr>
      <w:tr>
        <w:tc>
          <w:tcPr/>
          <w:p>
            <w:pPr>
              <w:pStyle w:val="Compact"/>
              <w:jc w:val="left"/>
            </w:pPr>
            <w:r>
              <w:t xml:space="preserve">E-14</w:t>
            </w:r>
          </w:p>
        </w:tc>
        <w:tc>
          <w:tcPr/>
          <w:p>
            <w:pPr>
              <w:pStyle w:val="Compact"/>
              <w:jc w:val="left"/>
            </w:pPr>
            <w:r>
              <w:t xml:space="preserve">RCRA Small Quantity Generator status</w:t>
            </w:r>
          </w:p>
        </w:tc>
        <w:tc>
          <w:tcPr/>
          <w:p>
            <w:pPr>
              <w:pStyle w:val="Compact"/>
              <w:jc w:val="left"/>
            </w:pPr>
            <w:r>
              <w:t xml:space="preserve">Informational</w:t>
            </w:r>
          </w:p>
        </w:tc>
        <w:tc>
          <w:tcPr/>
          <w:p>
            <w:pPr>
              <w:pStyle w:val="Compact"/>
              <w:jc w:val="left"/>
            </w:pPr>
            <w:r>
              <w:rPr>
                <w:b/>
                <w:bCs/>
              </w:rPr>
              <w:t xml:space="preserve">Low</w:t>
            </w:r>
          </w:p>
        </w:tc>
      </w:tr>
      <w:tr>
        <w:tc>
          <w:tcPr/>
          <w:p>
            <w:pPr>
              <w:pStyle w:val="Compact"/>
              <w:jc w:val="left"/>
            </w:pPr>
            <w:r>
              <w:t xml:space="preserve">E-15</w:t>
            </w:r>
          </w:p>
        </w:tc>
        <w:tc>
          <w:tcPr/>
          <w:p>
            <w:pPr>
              <w:pStyle w:val="Compact"/>
              <w:jc w:val="left"/>
            </w:pPr>
            <w:r>
              <w:t xml:space="preserve">Asbestos-containing materials and lead-based paint (non-scope; not surveyed)</w:t>
            </w:r>
          </w:p>
        </w:tc>
        <w:tc>
          <w:tcPr/>
          <w:p>
            <w:pPr>
              <w:pStyle w:val="Compact"/>
              <w:jc w:val="left"/>
            </w:pPr>
            <w:r>
              <w:t xml:space="preserve">Non-scope</w:t>
            </w:r>
          </w:p>
        </w:tc>
        <w:tc>
          <w:tcPr/>
          <w:p>
            <w:pPr>
              <w:pStyle w:val="Compact"/>
              <w:jc w:val="left"/>
            </w:pPr>
            <w:r>
              <w:rPr>
                <w:b/>
                <w:bCs/>
              </w:rPr>
              <w:t xml:space="preserve">Medium</w:t>
            </w:r>
          </w:p>
        </w:tc>
      </w:tr>
      <w:tr>
        <w:tc>
          <w:tcPr/>
          <w:p>
            <w:pPr>
              <w:pStyle w:val="Compact"/>
              <w:jc w:val="left"/>
            </w:pPr>
            <w:r>
              <w:t xml:space="preserve">E-16</w:t>
            </w:r>
          </w:p>
        </w:tc>
        <w:tc>
          <w:tcPr/>
          <w:p>
            <w:pPr>
              <w:pStyle w:val="Compact"/>
              <w:jc w:val="left"/>
            </w:pPr>
            <w:r>
              <w:t xml:space="preserve">1988 degreasing-solvent spill (documented; Seller denies knowledge)</w:t>
            </w:r>
          </w:p>
        </w:tc>
        <w:tc>
          <w:tcPr/>
          <w:p>
            <w:pPr>
              <w:pStyle w:val="Compact"/>
              <w:jc w:val="left"/>
            </w:pPr>
            <w:r>
              <w:t xml:space="preserve">On-site / credibility</w:t>
            </w:r>
          </w:p>
        </w:tc>
        <w:tc>
          <w:tcPr/>
          <w:p>
            <w:pPr>
              <w:pStyle w:val="Compact"/>
              <w:jc w:val="left"/>
            </w:pPr>
            <w:r>
              <w:rPr>
                <w:b/>
                <w:bCs/>
              </w:rPr>
              <w:t xml:space="preserve">Medium</w:t>
            </w:r>
          </w:p>
        </w:tc>
      </w:tr>
      <w:tr>
        <w:tc>
          <w:tcPr/>
          <w:p>
            <w:pPr>
              <w:pStyle w:val="Compact"/>
              <w:jc w:val="left"/>
            </w:pPr>
            <w:r>
              <w:t xml:space="preserve">C-1</w:t>
            </w:r>
          </w:p>
        </w:tc>
        <w:tc>
          <w:tcPr/>
          <w:p>
            <w:pPr>
              <w:pStyle w:val="Compact"/>
              <w:jc w:val="left"/>
            </w:pPr>
            <w:r>
              <w:t xml:space="preserve">Seller’s environmental representations (APA §§ 4.12, 4.13) appear inaccurate/breached</w:t>
            </w:r>
          </w:p>
        </w:tc>
        <w:tc>
          <w:tcPr/>
          <w:p>
            <w:pPr>
              <w:pStyle w:val="Compact"/>
              <w:jc w:val="left"/>
            </w:pPr>
            <w:r>
              <w:t xml:space="preserve">Contractual</w:t>
            </w:r>
          </w:p>
        </w:tc>
        <w:tc>
          <w:tcPr/>
          <w:p>
            <w:pPr>
              <w:pStyle w:val="Compact"/>
              <w:jc w:val="left"/>
            </w:pPr>
            <w:r>
              <w:rPr>
                <w:b/>
                <w:bCs/>
              </w:rPr>
              <w:t xml:space="preserve">High</w:t>
            </w:r>
          </w:p>
        </w:tc>
      </w:tr>
      <w:tr>
        <w:tc>
          <w:tcPr/>
          <w:p>
            <w:pPr>
              <w:pStyle w:val="Compact"/>
              <w:jc w:val="left"/>
            </w:pPr>
            <w:r>
              <w:t xml:space="preserve">C-2</w:t>
            </w:r>
          </w:p>
        </w:tc>
        <w:tc>
          <w:tcPr/>
          <w:p>
            <w:pPr>
              <w:pStyle w:val="Compact"/>
              <w:jc w:val="left"/>
            </w:pPr>
            <w:r>
              <w:t xml:space="preserve">Indemnification cap ($1.75M) and 3-year survival likely insufficient</w:t>
            </w:r>
          </w:p>
        </w:tc>
        <w:tc>
          <w:tcPr/>
          <w:p>
            <w:pPr>
              <w:pStyle w:val="Compact"/>
              <w:jc w:val="left"/>
            </w:pPr>
            <w:r>
              <w:t xml:space="preserve">Contractual</w:t>
            </w:r>
          </w:p>
        </w:tc>
        <w:tc>
          <w:tcPr/>
          <w:p>
            <w:pPr>
              <w:pStyle w:val="Compact"/>
              <w:jc w:val="left"/>
            </w:pPr>
            <w:r>
              <w:rPr>
                <w:b/>
                <w:bCs/>
              </w:rPr>
              <w:t xml:space="preserve">High</w:t>
            </w:r>
          </w:p>
        </w:tc>
      </w:tr>
      <w:tr>
        <w:tc>
          <w:tcPr/>
          <w:p>
            <w:pPr>
              <w:pStyle w:val="Compact"/>
              <w:jc w:val="left"/>
            </w:pPr>
            <w:r>
              <w:t xml:space="preserve">C-3</w:t>
            </w:r>
          </w:p>
        </w:tc>
        <w:tc>
          <w:tcPr/>
          <w:p>
            <w:pPr>
              <w:pStyle w:val="Compact"/>
              <w:jc w:val="left"/>
            </w:pPr>
            <w:r>
              <w:t xml:space="preserve">Lender conditional requirements (Phase II, PLL insurance, escrow, remediation plan, VI assessment) not yet satisfied</w:t>
            </w:r>
          </w:p>
        </w:tc>
        <w:tc>
          <w:tcPr/>
          <w:p>
            <w:pPr>
              <w:pStyle w:val="Compact"/>
              <w:jc w:val="left"/>
            </w:pPr>
            <w:r>
              <w:t xml:space="preserve">Lender / closing condition</w:t>
            </w:r>
          </w:p>
        </w:tc>
        <w:tc>
          <w:tcPr/>
          <w:p>
            <w:pPr>
              <w:pStyle w:val="Compact"/>
              <w:jc w:val="left"/>
            </w:pPr>
            <w:r>
              <w:rPr>
                <w:b/>
                <w:bCs/>
              </w:rPr>
              <w:t xml:space="preserve">High</w:t>
            </w:r>
          </w:p>
        </w:tc>
      </w:tr>
      <w:tr>
        <w:tc>
          <w:tcPr/>
          <w:p>
            <w:pPr>
              <w:pStyle w:val="Compact"/>
              <w:jc w:val="left"/>
            </w:pPr>
            <w:r>
              <w:t xml:space="preserve">C-4</w:t>
            </w:r>
          </w:p>
        </w:tc>
        <w:tc>
          <w:tcPr/>
          <w:p>
            <w:pPr>
              <w:pStyle w:val="Compact"/>
              <w:jc w:val="left"/>
            </w:pPr>
            <w:r>
              <w:t xml:space="preserve">Phase I ESA under-classification; failure to identify off-site PCE plume as a REC (Lender requirement)</w:t>
            </w:r>
          </w:p>
        </w:tc>
        <w:tc>
          <w:tcPr/>
          <w:p>
            <w:pPr>
              <w:pStyle w:val="Compact"/>
              <w:jc w:val="left"/>
            </w:pPr>
            <w:r>
              <w:t xml:space="preserve">Lender / ESA adequacy</w:t>
            </w:r>
          </w:p>
        </w:tc>
        <w:tc>
          <w:tcPr/>
          <w:p>
            <w:pPr>
              <w:pStyle w:val="Compact"/>
              <w:jc w:val="left"/>
            </w:pPr>
            <w:r>
              <w:rPr>
                <w:b/>
                <w:bCs/>
              </w:rPr>
              <w:t xml:space="preserve">High</w:t>
            </w:r>
          </w:p>
        </w:tc>
      </w:tr>
      <w:tr>
        <w:tc>
          <w:tcPr/>
          <w:p>
            <w:pPr>
              <w:pStyle w:val="Compact"/>
              <w:jc w:val="left"/>
            </w:pPr>
            <w:r>
              <w:t xml:space="preserve">C-5</w:t>
            </w:r>
          </w:p>
        </w:tc>
        <w:tc>
          <w:tcPr/>
          <w:p>
            <w:pPr>
              <w:pStyle w:val="Compact"/>
              <w:jc w:val="left"/>
            </w:pPr>
            <w:r>
              <w:t xml:space="preserve">Seller cooperation and disclosure concerns (potential fraud / intentional misrepresentation indicators)</w:t>
            </w:r>
          </w:p>
        </w:tc>
        <w:tc>
          <w:tcPr/>
          <w:p>
            <w:pPr>
              <w:pStyle w:val="Compact"/>
              <w:jc w:val="left"/>
            </w:pPr>
            <w:r>
              <w:t xml:space="preserve">Contractual / credibility</w:t>
            </w:r>
          </w:p>
        </w:tc>
        <w:tc>
          <w:tcPr/>
          <w:p>
            <w:pPr>
              <w:pStyle w:val="Compact"/>
              <w:jc w:val="left"/>
            </w:pPr>
            <w:r>
              <w:rPr>
                <w:b/>
                <w:bCs/>
              </w:rPr>
              <w:t xml:space="preserve">High</w:t>
            </w:r>
          </w:p>
        </w:tc>
      </w:tr>
      <w:tr>
        <w:tc>
          <w:tcPr/>
          <w:p>
            <w:pPr>
              <w:pStyle w:val="Compact"/>
              <w:jc w:val="left"/>
            </w:pPr>
            <w:r>
              <w:t xml:space="preserve">C-6</w:t>
            </w:r>
          </w:p>
        </w:tc>
        <w:tc>
          <w:tcPr/>
          <w:p>
            <w:pPr>
              <w:pStyle w:val="Compact"/>
              <w:jc w:val="left"/>
            </w:pPr>
            <w:r>
              <w:t xml:space="preserve">Buyer’s environmental termination right under APA § 6.3(b) — time-sensitive</w:t>
            </w:r>
          </w:p>
        </w:tc>
        <w:tc>
          <w:tcPr/>
          <w:p>
            <w:pPr>
              <w:pStyle w:val="Compact"/>
              <w:jc w:val="left"/>
            </w:pPr>
            <w:r>
              <w:t xml:space="preserve">Contractual</w:t>
            </w:r>
          </w:p>
        </w:tc>
        <w:tc>
          <w:tcPr/>
          <w:p>
            <w:pPr>
              <w:pStyle w:val="Compact"/>
              <w:jc w:val="left"/>
            </w:pPr>
            <w:r>
              <w:rPr>
                <w:b/>
                <w:bCs/>
              </w:rPr>
              <w:t xml:space="preserve">Medium</w:t>
            </w:r>
          </w:p>
        </w:tc>
      </w:tr>
      <w:tr>
        <w:tc>
          <w:tcPr/>
          <w:p>
            <w:pPr>
              <w:pStyle w:val="Compact"/>
              <w:jc w:val="left"/>
            </w:pPr>
            <w:r>
              <w:t xml:space="preserve">C-7</w:t>
            </w:r>
          </w:p>
        </w:tc>
        <w:tc>
          <w:tcPr/>
          <w:p>
            <w:pPr>
              <w:pStyle w:val="Compact"/>
              <w:jc w:val="left"/>
            </w:pPr>
            <w:r>
              <w:t xml:space="preserve">AAI compliance and post-closing continuing obligations</w:t>
            </w:r>
          </w:p>
        </w:tc>
        <w:tc>
          <w:tcPr/>
          <w:p>
            <w:pPr>
              <w:pStyle w:val="Compact"/>
              <w:jc w:val="left"/>
            </w:pPr>
            <w:r>
              <w:t xml:space="preserve">Regulatory / liability defense</w:t>
            </w:r>
          </w:p>
        </w:tc>
        <w:tc>
          <w:tcPr/>
          <w:p>
            <w:pPr>
              <w:pStyle w:val="Compact"/>
              <w:jc w:val="left"/>
            </w:pPr>
            <w:r>
              <w:rPr>
                <w:b/>
                <w:bCs/>
              </w:rPr>
              <w:t xml:space="preserve">Medium</w:t>
            </w:r>
          </w:p>
        </w:tc>
      </w:tr>
      <w:tr>
        <w:tc>
          <w:tcPr/>
          <w:p>
            <w:pPr>
              <w:pStyle w:val="Compact"/>
              <w:jc w:val="left"/>
            </w:pPr>
            <w:r>
              <w:t xml:space="preserve">C-8</w:t>
            </w:r>
          </w:p>
        </w:tc>
        <w:tc>
          <w:tcPr/>
          <w:p>
            <w:pPr>
              <w:pStyle w:val="Compact"/>
              <w:jc w:val="left"/>
            </w:pPr>
            <w:r>
              <w:t xml:space="preserve">Potential conflict of interest — Whitfield &amp; Crane LLP as both Buyer’s counsel and Lender’s environmental counsel</w:t>
            </w:r>
          </w:p>
        </w:tc>
        <w:tc>
          <w:tcPr/>
          <w:p>
            <w:pPr>
              <w:pStyle w:val="Compact"/>
              <w:jc w:val="left"/>
            </w:pPr>
            <w:r>
              <w:t xml:space="preserve">Governance / independence</w:t>
            </w:r>
          </w:p>
        </w:tc>
        <w:tc>
          <w:tcPr/>
          <w:p>
            <w:pPr>
              <w:pStyle w:val="Compact"/>
              <w:jc w:val="left"/>
            </w:pPr>
            <w:r>
              <w:rPr>
                <w:b/>
                <w:bCs/>
              </w:rPr>
              <w:t xml:space="preserve">Medium</w:t>
            </w:r>
          </w:p>
        </w:tc>
      </w:tr>
      <w:tr>
        <w:tc>
          <w:tcPr/>
          <w:p>
            <w:pPr>
              <w:pStyle w:val="Compact"/>
              <w:jc w:val="left"/>
            </w:pPr>
            <w:r>
              <w:t xml:space="preserve">C-9</w:t>
            </w:r>
          </w:p>
        </w:tc>
        <w:tc>
          <w:tcPr/>
          <w:p>
            <w:pPr>
              <w:pStyle w:val="Compact"/>
              <w:jc w:val="left"/>
            </w:pPr>
            <w:r>
              <w:t xml:space="preserve">Adjacent/nearby database listings (Toledo Coatings, Bayshore Auto Salvage, etc.)</w:t>
            </w:r>
          </w:p>
        </w:tc>
        <w:tc>
          <w:tcPr/>
          <w:p>
            <w:pPr>
              <w:pStyle w:val="Compact"/>
              <w:jc w:val="left"/>
            </w:pPr>
            <w:r>
              <w:t xml:space="preserve">Off-site / context</w:t>
            </w:r>
          </w:p>
        </w:tc>
        <w:tc>
          <w:tcPr/>
          <w:p>
            <w:pPr>
              <w:pStyle w:val="Compact"/>
              <w:jc w:val="left"/>
            </w:pPr>
            <w:r>
              <w:rPr>
                <w:b/>
                <w:bCs/>
              </w:rPr>
              <w:t xml:space="preserve">Low</w:t>
            </w:r>
          </w:p>
        </w:tc>
      </w:tr>
    </w:tbl>
    <w:bookmarkEnd w:id="24"/>
    <w:bookmarkStart w:id="44" w:name="environmental-issues"/>
    <w:p>
      <w:pPr>
        <w:pStyle w:val="Heading2"/>
      </w:pPr>
      <w:r>
        <w:t xml:space="preserve">6. Environmental Issues</w:t>
      </w:r>
    </w:p>
    <w:bookmarkStart w:id="27" w:name="Xa6530e13715598ddd4d911fa8d8a7ea9b98ebb0"/>
    <w:p>
      <w:pPr>
        <w:pStyle w:val="Heading3"/>
      </w:pPr>
      <w:r>
        <w:t xml:space="preserve">6.1 Recognized Environmental Conditions Identified in the Phase I ESA</w:t>
      </w:r>
    </w:p>
    <w:bookmarkStart w:id="25" w:name="X3308dae82f0560a3531000f78e7ff42b387e87e"/>
    <w:p>
      <w:pPr>
        <w:pStyle w:val="Heading4"/>
      </w:pPr>
      <w:r>
        <w:t xml:space="preserve">E-1 — Former TCE Vapor Degreasing Operations and Abandoned Waste-TCE Drum (REC-1) — CRITICAL</w:t>
      </w:r>
    </w:p>
    <w:p>
      <w:pPr>
        <w:pStyle w:val="FirstParagraph"/>
      </w:pPr>
      <w:r>
        <w:t xml:space="preserve">TCE was used as a vapor-degreasing solvent in the northwest corner of the main manufacturing building from 1961 through approximately 1992 — more than 30 years. The Phase I ESA documented: (a) visible dark staining penetrating the concrete floor slab across approximately 4,000 square feet, with multiple floor cracks; (b) a</w:t>
      </w:r>
      <w:r>
        <w:t xml:space="preserve"> </w:t>
      </w:r>
      <w:r>
        <w:rPr>
          <w:b/>
          <w:bCs/>
        </w:rPr>
        <w:t xml:space="preserve">photoionization-detector (</w:t>
      </w:r>
      <w:r>
        <w:rPr>
          <w:b/>
          <w:bCs/>
        </w:rPr>
        <w:t xml:space="preserve">“</w:t>
      </w:r>
      <w:r>
        <w:rPr>
          <w:b/>
          <w:bCs/>
        </w:rPr>
        <w:t xml:space="preserve">PID</w:t>
      </w:r>
      <w:r>
        <w:rPr>
          <w:b/>
          <w:bCs/>
        </w:rPr>
        <w:t xml:space="preserve">”</w:t>
      </w:r>
      <w:r>
        <w:rPr>
          <w:b/>
          <w:bCs/>
        </w:rPr>
        <w:t xml:space="preserve">) reading of 42.3 ppm</w:t>
      </w:r>
      <w:r>
        <w:t xml:space="preserve"> </w:t>
      </w:r>
      <w:r>
        <w:t xml:space="preserve">at a floor crack, against a building background of &lt;0.5 ppm — strong evidence of residual chlorinated-solvent vapors emanating from the subsurface; (c)</w:t>
      </w:r>
      <w:r>
        <w:t xml:space="preserve"> </w:t>
      </w:r>
      <w:r>
        <w:rPr>
          <w:b/>
          <w:bCs/>
        </w:rPr>
        <w:t xml:space="preserve">no closure, decommissioning, or confirmation-sampling documentation</w:t>
      </w:r>
      <w:r>
        <w:t xml:space="preserve"> </w:t>
      </w:r>
      <w:r>
        <w:t xml:space="preserve">for the degreasing area after TCE use ceased; and (d) an</w:t>
      </w:r>
      <w:r>
        <w:t xml:space="preserve"> </w:t>
      </w:r>
      <w:r>
        <w:rPr>
          <w:b/>
          <w:bCs/>
        </w:rPr>
        <w:t xml:space="preserve">abandoned 55-gallon drum labeled</w:t>
      </w:r>
      <w:r>
        <w:rPr>
          <w:b/>
          <w:bCs/>
        </w:rPr>
        <w:t xml:space="preserve"> </w:t>
      </w:r>
      <w:r>
        <w:rPr>
          <w:b/>
          <w:bCs/>
        </w:rPr>
        <w:t xml:space="preserve">“</w:t>
      </w:r>
      <w:r>
        <w:rPr>
          <w:b/>
          <w:bCs/>
        </w:rPr>
        <w:t xml:space="preserve">WASTE TRICHLOROETHYLENE</w:t>
      </w:r>
      <w:r>
        <w:rPr>
          <w:b/>
          <w:bCs/>
        </w:rPr>
        <w:t xml:space="preserve">”</w:t>
      </w:r>
      <w:r>
        <w:t xml:space="preserve"> </w:t>
      </w:r>
      <w:r>
        <w:t xml:space="preserve">on the ground behind the maintenance/utility building, approximately half full, with a rusted bottom and</w:t>
      </w:r>
      <w:r>
        <w:t xml:space="preserve"> </w:t>
      </w:r>
      <w:r>
        <w:rPr>
          <w:b/>
          <w:bCs/>
        </w:rPr>
        <w:t xml:space="preserve">evidence of past leakage</w:t>
      </w:r>
      <w:r>
        <w:t xml:space="preserve"> </w:t>
      </w:r>
      <w:r>
        <w:t xml:space="preserve">onto surrounding soil (an approximately 3 ft × 3 ft stained, vegetation-free area). A 1988 Toledo Fire Department incident report documents a separate</w:t>
      </w:r>
      <w:r>
        <w:t xml:space="preserve"> </w:t>
      </w:r>
      <w:r>
        <w:t xml:space="preserve">“</w:t>
      </w:r>
      <w:r>
        <w:t xml:space="preserve">chemical spill</w:t>
      </w:r>
      <w:r>
        <w:t xml:space="preserve">”</w:t>
      </w:r>
      <w:r>
        <w:t xml:space="preserve"> </w:t>
      </w:r>
      <w:r>
        <w:t xml:space="preserve">of</w:t>
      </w:r>
      <w:r>
        <w:t xml:space="preserve"> </w:t>
      </w:r>
      <w:r>
        <w:t xml:space="preserve">“</w:t>
      </w:r>
      <w:r>
        <w:t xml:space="preserve">unknown quantity of degreasing solvent</w:t>
      </w:r>
      <w:r>
        <w:t xml:space="preserve">”</w:t>
      </w:r>
      <w:r>
        <w:t xml:space="preserve"> </w:t>
      </w:r>
      <w:r>
        <w:t xml:space="preserve">from an overturned drum at the Property.</w:t>
      </w:r>
    </w:p>
    <w:p>
      <w:pPr>
        <w:pStyle w:val="BodyText"/>
      </w:pPr>
      <w:r>
        <w:rPr>
          <w:b/>
          <w:bCs/>
        </w:rPr>
        <w:t xml:space="preserve">Why Critical.</w:t>
      </w:r>
      <w:r>
        <w:t xml:space="preserve"> </w:t>
      </w:r>
      <w:r>
        <w:t xml:space="preserve">TCE is a probable human carcinogen, is highly mobile in the subsurface, can migrate as dense non-aqueous-phase liquid (</w:t>
      </w:r>
      <w:r>
        <w:t xml:space="preserve">“</w:t>
      </w:r>
      <w:r>
        <w:t xml:space="preserve">DNAPL</w:t>
      </w:r>
      <w:r>
        <w:t xml:space="preserve">”</w:t>
      </w:r>
      <w:r>
        <w:t xml:space="preserve">), and is a leading driver of vapor-intrusion risk. The combination of (i) three decades of use, (ii) an elevated PID reading indicating vapors beneath the slab, (iii) an undocumented closure, (iv) an actively leaking waste drum in contact with soil, and (v) a documented historical spill indicates a likely release of chlorinated solvents to soil and probably to groundwater (estimated water table 8–15 ft bgs). This is the most serious on-site condition and will require soil, groundwater, and soil-vapor investigation, with a realistic prospect of remediation and vapor mitigation.</w:t>
      </w:r>
    </w:p>
    <w:bookmarkEnd w:id="25"/>
    <w:bookmarkStart w:id="26" w:name="Xb98c69b0905620d5d4cb3f8b732dd3c9e4be149"/>
    <w:p>
      <w:pPr>
        <w:pStyle w:val="Heading4"/>
      </w:pPr>
      <w:r>
        <w:t xml:space="preserve">E-2 — Former Hexavalent Chromium / Nickel Electroplating Operations (REC-2) — CRITICAL</w:t>
      </w:r>
    </w:p>
    <w:p>
      <w:pPr>
        <w:pStyle w:val="FirstParagraph"/>
      </w:pPr>
      <w:r>
        <w:t xml:space="preserve">Electroplating using hexavalent chromium and nickel solutions was conducted in the south wing of the main building from 1965 through 2004 — approximately 39 years. The ESA documented: (a) prominent blue-green staining on floors and lower walls consistent with chromium residues; (b) concrete pitting, etching, and chemical degradation; (c) an</w:t>
      </w:r>
      <w:r>
        <w:t xml:space="preserve"> </w:t>
      </w:r>
      <w:r>
        <w:rPr>
          <w:b/>
          <w:bCs/>
        </w:rPr>
        <w:t xml:space="preserve">in-ground sump containing approximately four inches of liquid with a visible iridescent sheen</w:t>
      </w:r>
      <w:r>
        <w:t xml:space="preserve"> </w:t>
      </w:r>
      <w:r>
        <w:t xml:space="preserve">of undetermined composition; (d)</w:t>
      </w:r>
      <w:r>
        <w:t xml:space="preserve"> </w:t>
      </w:r>
      <w:r>
        <w:rPr>
          <w:b/>
          <w:bCs/>
        </w:rPr>
        <w:t xml:space="preserve">hazardous-waste disposal documentation for only the final year of operations (2004)</w:t>
      </w:r>
      <w:r>
        <w:t xml:space="preserve"> </w:t>
      </w:r>
      <w:r>
        <w:t xml:space="preserve">— six manifests for 14,200 pounds under RCRA codes D007 (chromium) and F006 (electroplating sludge) — with</w:t>
      </w:r>
      <w:r>
        <w:t xml:space="preserve"> </w:t>
      </w:r>
      <w:r>
        <w:rPr>
          <w:b/>
          <w:bCs/>
        </w:rPr>
        <w:t xml:space="preserve">no manifests or disposal records for the preceding 39 years (1965–2003)</w:t>
      </w:r>
      <w:r>
        <w:t xml:space="preserve">; and (e) a 2003 Ohio EPA Notice of Violation (</w:t>
      </w:r>
      <w:r>
        <w:t xml:space="preserve">“</w:t>
      </w:r>
      <w:r>
        <w:t xml:space="preserve">NOV</w:t>
      </w:r>
      <w:r>
        <w:t xml:space="preserve">”</w:t>
      </w:r>
      <w:r>
        <w:t xml:space="preserve">) for improper hazardous-waste storage (see E-9).</w:t>
      </w:r>
    </w:p>
    <w:p>
      <w:pPr>
        <w:pStyle w:val="BodyText"/>
      </w:pPr>
      <w:r>
        <w:rPr>
          <w:b/>
          <w:bCs/>
        </w:rPr>
        <w:t xml:space="preserve">Why Critical.</w:t>
      </w:r>
      <w:r>
        <w:t xml:space="preserve"> </w:t>
      </w:r>
      <w:r>
        <w:t xml:space="preserve">Hexavalent chromium is a known human carcinogen. The near-total absence of disposal records over 39 years, visible contamination, liquid waste in the sump, and a documented regulatory violation collectively indicate a likely release of chromium and related metals to the subsurface. The Ohio EPA records-response letter (Section 1) independently confirms that Ohio EPA has no hazardous-waste manifests or biennial reports on file for any year other than 2004 — corroborating the documentation gap from the regulatory side.</w:t>
      </w:r>
    </w:p>
    <w:bookmarkEnd w:id="26"/>
    <w:bookmarkEnd w:id="27"/>
    <w:bookmarkStart w:id="32" w:name="Xdbfb0fec6fee499c9a78e98eff8fa6eea8f56be"/>
    <w:p>
      <w:pPr>
        <w:pStyle w:val="Heading3"/>
      </w:pPr>
      <w:r>
        <w:t xml:space="preserve">6.2 Conditions the ESA Did Not Classify as RECs (Under-Classification Concerns)</w:t>
      </w:r>
    </w:p>
    <w:p>
      <w:pPr>
        <w:pStyle w:val="FirstParagraph"/>
      </w:pPr>
      <w:r>
        <w:t xml:space="preserve">A central finding of our review is that the Phase I ESA identified only two RECs but</w:t>
      </w:r>
      <w:r>
        <w:t xml:space="preserve"> </w:t>
      </w:r>
      <w:r>
        <w:rPr>
          <w:b/>
          <w:bCs/>
        </w:rPr>
        <w:t xml:space="preserve">discussed, without classifying, several additional conditions that in our judgment meet the REC standard or warrant REC-level investigation.</w:t>
      </w:r>
      <w:r>
        <w:t xml:space="preserve"> </w:t>
      </w:r>
      <w:r>
        <w:t xml:space="preserve">This is significant both for Buyer’s risk assessment and for Lender compliance (see C-4).</w:t>
      </w:r>
    </w:p>
    <w:bookmarkStart w:id="28" w:name="X3428b7354e4339af7a564b5c2e5530ffa2e536a"/>
    <w:p>
      <w:pPr>
        <w:pStyle w:val="Heading4"/>
      </w:pPr>
      <w:r>
        <w:t xml:space="preserve">E-3 — Off-Site PCE Groundwater Plume from Lake Erie Dry Cleaning — CRITICAL</w:t>
      </w:r>
    </w:p>
    <w:p>
      <w:pPr>
        <w:pStyle w:val="FirstParagraph"/>
      </w:pPr>
      <w:r>
        <w:t xml:space="preserve">The former Lake Erie Dry Cleaning facility at 4900 Lakeshore Industrial Drive is located</w:t>
      </w:r>
      <w:r>
        <w:t xml:space="preserve"> </w:t>
      </w:r>
      <w:r>
        <w:rPr>
          <w:b/>
          <w:bCs/>
        </w:rPr>
        <w:t xml:space="preserve">immediately north of and hydraulically upgradient</w:t>
      </w:r>
      <w:r>
        <w:t xml:space="preserve"> </w:t>
      </w:r>
      <w:r>
        <w:t xml:space="preserve">from the Property, approximately 120 feet from the Property boundary. It is a confirmed Ohio EPA release site (VAP ID NW-0923) with a documented PCE groundwater plume. The 2014 investigation reported</w:t>
      </w:r>
      <w:r>
        <w:t xml:space="preserve"> </w:t>
      </w:r>
      <w:r>
        <w:rPr>
          <w:b/>
          <w:bCs/>
        </w:rPr>
        <w:t xml:space="preserve">PCE at 87 µg/L at monitoring well MW-7</w:t>
      </w:r>
      <w:r>
        <w:t xml:space="preserve"> </w:t>
      </w:r>
      <w:r>
        <w:t xml:space="preserve">(located ~120 ft north of the Property boundary), against the</w:t>
      </w:r>
      <w:r>
        <w:t xml:space="preserve"> </w:t>
      </w:r>
      <w:r>
        <w:rPr>
          <w:b/>
          <w:bCs/>
        </w:rPr>
        <w:t xml:space="preserve">Ohio generic groundwater standard of 5 µg/L — an exceedance of approximately 17.4×.</w:t>
      </w:r>
      <w:r>
        <w:t xml:space="preserve"> </w:t>
      </w:r>
      <w:r>
        <w:t xml:space="preserve">The plume migrates</w:t>
      </w:r>
      <w:r>
        <w:t xml:space="preserve"> </w:t>
      </w:r>
      <w:r>
        <w:rPr>
          <w:b/>
          <w:bCs/>
        </w:rPr>
        <w:t xml:space="preserve">south-southeast — directly toward the Property.</w:t>
      </w:r>
      <w:r>
        <w:t xml:space="preserve"> </w:t>
      </w:r>
      <w:r>
        <w:t xml:space="preserve">Critically:</w:t>
      </w:r>
    </w:p>
    <w:p>
      <w:pPr>
        <w:pStyle w:val="Compact"/>
        <w:numPr>
          <w:ilvl w:val="0"/>
          <w:numId w:val="1002"/>
        </w:numPr>
      </w:pPr>
      <w:r>
        <w:t xml:space="preserve">The Property is located within a</w:t>
      </w:r>
      <w:r>
        <w:t xml:space="preserve"> </w:t>
      </w:r>
      <w:r>
        <w:rPr>
          <w:b/>
          <w:bCs/>
        </w:rPr>
        <w:t xml:space="preserve">designated Groundwater Management Zone (</w:t>
      </w:r>
      <w:r>
        <w:rPr>
          <w:b/>
          <w:bCs/>
        </w:rPr>
        <w:t xml:space="preserve">“</w:t>
      </w:r>
      <w:r>
        <w:rPr>
          <w:b/>
          <w:bCs/>
        </w:rPr>
        <w:t xml:space="preserve">GMZ</w:t>
      </w:r>
      <w:r>
        <w:rPr>
          <w:b/>
          <w:bCs/>
        </w:rPr>
        <w:t xml:space="preserve">”</w:t>
      </w:r>
      <w:r>
        <w:rPr>
          <w:b/>
          <w:bCs/>
        </w:rPr>
        <w:t xml:space="preserve">)</w:t>
      </w:r>
      <w:r>
        <w:t xml:space="preserve"> </w:t>
      </w:r>
      <w:r>
        <w:t xml:space="preserve">established by Ohio EPA for this plume (see E-12).</w:t>
      </w:r>
    </w:p>
    <w:p>
      <w:pPr>
        <w:pStyle w:val="Compact"/>
        <w:numPr>
          <w:ilvl w:val="0"/>
          <w:numId w:val="1002"/>
        </w:numPr>
      </w:pPr>
      <w:r>
        <w:t xml:space="preserve">A 2018 Ohio VAP Covenant Not to Sue applies</w:t>
      </w:r>
      <w:r>
        <w:t xml:space="preserve"> </w:t>
      </w:r>
      <w:r>
        <w:rPr>
          <w:b/>
          <w:bCs/>
        </w:rPr>
        <w:t xml:space="preserve">only to the dry-cleaner parcel</w:t>
      </w:r>
      <w:r>
        <w:t xml:space="preserve"> </w:t>
      </w:r>
      <w:r>
        <w:t xml:space="preserve">and does</w:t>
      </w:r>
      <w:r>
        <w:t xml:space="preserve"> </w:t>
      </w:r>
      <w:r>
        <w:rPr>
          <w:b/>
          <w:bCs/>
        </w:rPr>
        <w:t xml:space="preserve">not</w:t>
      </w:r>
      <w:r>
        <w:t xml:space="preserve"> </w:t>
      </w:r>
      <w:r>
        <w:t xml:space="preserve">address off-site migration.</w:t>
      </w:r>
    </w:p>
    <w:p>
      <w:pPr>
        <w:pStyle w:val="Compact"/>
        <w:numPr>
          <w:ilvl w:val="0"/>
          <w:numId w:val="1002"/>
        </w:numPr>
      </w:pPr>
      <w:r>
        <w:rPr>
          <w:b/>
          <w:bCs/>
        </w:rPr>
        <w:t xml:space="preserve">No investigation of PCE in groundwater beneath the Property has been conducted</w:t>
      </w:r>
      <w:r>
        <w:t xml:space="preserve">, and the plume’s lateral and vertical extent onto the Property has</w:t>
      </w:r>
      <w:r>
        <w:t xml:space="preserve"> </w:t>
      </w:r>
      <w:r>
        <w:rPr>
          <w:b/>
          <w:bCs/>
        </w:rPr>
        <w:t xml:space="preserve">not been delineated</w:t>
      </w:r>
      <w:r>
        <w:t xml:space="preserve"> </w:t>
      </w:r>
      <w:r>
        <w:t xml:space="preserve">(per the Ohio EPA response letter, Section 4).</w:t>
      </w:r>
    </w:p>
    <w:p>
      <w:pPr>
        <w:pStyle w:val="FirstParagraph"/>
      </w:pPr>
      <w:r>
        <w:t xml:space="preserve">The Phase I ESA</w:t>
      </w:r>
      <w:r>
        <w:t xml:space="preserve"> </w:t>
      </w:r>
      <w:r>
        <w:rPr>
          <w:b/>
          <w:bCs/>
        </w:rPr>
        <w:t xml:space="preserve">discussed</w:t>
      </w:r>
      <w:r>
        <w:t xml:space="preserve"> </w:t>
      </w:r>
      <w:r>
        <w:t xml:space="preserve">this plume in its records-review section but</w:t>
      </w:r>
      <w:r>
        <w:t xml:space="preserve"> </w:t>
      </w:r>
      <w:r>
        <w:rPr>
          <w:b/>
          <w:bCs/>
        </w:rPr>
        <w:t xml:space="preserve">did not classify it as a REC.</w:t>
      </w:r>
      <w:r>
        <w:t xml:space="preserve"> </w:t>
      </w:r>
      <w:r>
        <w:t xml:space="preserve">This is, in our view, an under-classification: a confirmed release of a carcinogenic chlorinated solvent, documented at 17× the standard 120 feet upgradient and migrating toward the Property, with the Property inside the regulatory GMZ and no on-Property delineation, readily satisfies the ASTM E1527-21 REC definition (likely presence of a hazardous substance at the Property due to a release under conditions indicative of a release). It is also a</w:t>
      </w:r>
      <w:r>
        <w:t xml:space="preserve"> </w:t>
      </w:r>
      <w:r>
        <w:rPr>
          <w:b/>
          <w:bCs/>
        </w:rPr>
        <w:t xml:space="preserve">direct non-compliance with the Lender’s express requirement</w:t>
      </w:r>
      <w:r>
        <w:t xml:space="preserve"> </w:t>
      </w:r>
      <w:r>
        <w:t xml:space="preserve">that off-site plumes migrating toward the Property</w:t>
      </w:r>
      <w:r>
        <w:t xml:space="preserve"> </w:t>
      </w:r>
      <w:r>
        <w:t xml:space="preserve">“</w:t>
      </w:r>
      <w:r>
        <w:t xml:space="preserve">must be identified as recognized environmental conditions</w:t>
      </w:r>
      <w:r>
        <w:t xml:space="preserve">”</w:t>
      </w:r>
      <w:r>
        <w:t xml:space="preserve"> </w:t>
      </w:r>
      <w:r>
        <w:t xml:space="preserve">(Lender letter, Section 2). See C-4.</w:t>
      </w:r>
    </w:p>
    <w:p>
      <w:pPr>
        <w:pStyle w:val="BodyText"/>
      </w:pPr>
      <w:r>
        <w:rPr>
          <w:b/>
          <w:bCs/>
        </w:rPr>
        <w:t xml:space="preserve">Why Critical.</w:t>
      </w:r>
      <w:r>
        <w:t xml:space="preserve"> </w:t>
      </w:r>
      <w:r>
        <w:t xml:space="preserve">An uncontrolled, migrating carcinogenic solvent plume of unknown extent beneath an occupied industrial property presents severe environmental, vapor-intrusion, and liability exposure, and is not addressed by any existing regulatory closure on the Property side.</w:t>
      </w:r>
    </w:p>
    <w:bookmarkEnd w:id="28"/>
    <w:bookmarkStart w:id="29" w:name="X73852179f8433629ff205851e01ab866dcee45e"/>
    <w:p>
      <w:pPr>
        <w:pStyle w:val="Heading4"/>
      </w:pPr>
      <w:r>
        <w:t xml:space="preserve">E-4 — Unregistered, Unclosed 2,000-Gallon Waste-Solvent UST — HIGH</w:t>
      </w:r>
    </w:p>
    <w:p>
      <w:pPr>
        <w:pStyle w:val="FirstParagraph"/>
      </w:pPr>
      <w:r>
        <w:t xml:space="preserve">The 1987 Sanborn fire-insurance map depicts a</w:t>
      </w:r>
      <w:r>
        <w:t xml:space="preserve"> </w:t>
      </w:r>
      <w:r>
        <w:rPr>
          <w:b/>
          <w:bCs/>
        </w:rPr>
        <w:t xml:space="preserve">2,000-gallon waste-solvent UST</w:t>
      </w:r>
      <w:r>
        <w:t xml:space="preserve"> </w:t>
      </w:r>
      <w:r>
        <w:t xml:space="preserve">on the east side of the Property, in the vicinity of the former electroplating shop. The Ohio EPA/BUSTR records response and the EDR database summary both confirm that</w:t>
      </w:r>
      <w:r>
        <w:t xml:space="preserve"> </w:t>
      </w:r>
      <w:r>
        <w:rPr>
          <w:b/>
          <w:bCs/>
        </w:rPr>
        <w:t xml:space="preserve">no registration, installation, closure, or removal records exist</w:t>
      </w:r>
      <w:r>
        <w:t xml:space="preserve"> </w:t>
      </w:r>
      <w:r>
        <w:t xml:space="preserve">for this tank. No surface evidence (fill/vent pipes) was observed during reconnaissance. Its status is</w:t>
      </w:r>
      <w:r>
        <w:t xml:space="preserve"> </w:t>
      </w:r>
      <w:r>
        <w:rPr>
          <w:b/>
          <w:bCs/>
        </w:rPr>
        <w:t xml:space="preserve">unknown — it may remain in place.</w:t>
      </w:r>
      <w:r>
        <w:t xml:space="preserve"> </w:t>
      </w:r>
      <w:r>
        <w:t xml:space="preserve">The EDR summary expressly flags this tank as</w:t>
      </w:r>
      <w:r>
        <w:t xml:space="preserve"> </w:t>
      </w:r>
      <w:r>
        <w:t xml:space="preserve">“</w:t>
      </w:r>
      <w:r>
        <w:t xml:space="preserve">UNKNOWN — tank may remain in place.</w:t>
      </w:r>
      <w:r>
        <w:t xml:space="preserve">”</w:t>
      </w:r>
      <w:r>
        <w:t xml:space="preserve"> </w:t>
      </w:r>
      <w:r>
        <w:t xml:space="preserve">The ESA described the tank but did not classify it as a REC.</w:t>
      </w:r>
    </w:p>
    <w:p>
      <w:pPr>
        <w:pStyle w:val="BodyText"/>
      </w:pPr>
      <w:r>
        <w:rPr>
          <w:b/>
          <w:bCs/>
        </w:rPr>
        <w:t xml:space="preserve">Why High.</w:t>
      </w:r>
      <w:r>
        <w:t xml:space="preserve"> </w:t>
      </w:r>
      <w:r>
        <w:t xml:space="preserve">A 2,000-gallon UST that held</w:t>
      </w:r>
      <w:r>
        <w:t xml:space="preserve"> </w:t>
      </w:r>
      <w:r>
        <w:t xml:space="preserve">“</w:t>
      </w:r>
      <w:r>
        <w:t xml:space="preserve">waste solvent</w:t>
      </w:r>
      <w:r>
        <w:t xml:space="preserve">”</w:t>
      </w:r>
      <w:r>
        <w:t xml:space="preserve"> </w:t>
      </w:r>
      <w:r>
        <w:t xml:space="preserve">— in the context of a facility that used TCE for degreasing for 30 years — is a potentially significant uncharacterized source of chlorinated-solvent contamination, located near the former outdoor drum-storage area (E-5) and the former electroplating operations. An unregistered, undocumented UST of unknown integrity warrants geophysical survey and subsurface investigation.</w:t>
      </w:r>
    </w:p>
    <w:bookmarkEnd w:id="29"/>
    <w:bookmarkStart w:id="30" w:name="Xdc97750dae98ca1237a888fb4b11e88e45d1397"/>
    <w:p>
      <w:pPr>
        <w:pStyle w:val="Heading4"/>
      </w:pPr>
      <w:r>
        <w:t xml:space="preserve">E-5 — Former Outdoor Drum-Storage Area (East Side) — HIGH</w:t>
      </w:r>
    </w:p>
    <w:p>
      <w:pPr>
        <w:pStyle w:val="FirstParagraph"/>
      </w:pPr>
      <w:r>
        <w:t xml:space="preserve">An approximately 40 ft × 60 ft area on the east side, delineated by deteriorating concrete curbing, exhibits</w:t>
      </w:r>
      <w:r>
        <w:t xml:space="preserve"> </w:t>
      </w:r>
      <w:r>
        <w:rPr>
          <w:b/>
          <w:bCs/>
        </w:rPr>
        <w:t xml:space="preserve">stressed/sparse vegetation</w:t>
      </w:r>
      <w:r>
        <w:t xml:space="preserve"> </w:t>
      </w:r>
      <w:r>
        <w:t xml:space="preserve">relative to surrounding areas and corresponds to drum/container storage visible in the 1990 and 2000 aerial photographs. Seller’s principal acknowledged,</w:t>
      </w:r>
      <w:r>
        <w:t xml:space="preserve"> </w:t>
      </w:r>
      <w:r>
        <w:t xml:space="preserve">“</w:t>
      </w:r>
      <w:r>
        <w:t xml:space="preserve">We used to keep drums out there before the EPA came around,</w:t>
      </w:r>
      <w:r>
        <w:t xml:space="preserve">”</w:t>
      </w:r>
      <w:r>
        <w:t xml:space="preserve"> </w:t>
      </w:r>
      <w:r>
        <w:t xml:space="preserve">but could not identify the materials stored, the duration, or any cleanup. The ESA described the area but did not classify it as a REC.</w:t>
      </w:r>
    </w:p>
    <w:p>
      <w:pPr>
        <w:pStyle w:val="BodyText"/>
      </w:pPr>
      <w:r>
        <w:rPr>
          <w:b/>
          <w:bCs/>
        </w:rPr>
        <w:t xml:space="preserve">Why High.</w:t>
      </w:r>
      <w:r>
        <w:t xml:space="preserve"> </w:t>
      </w:r>
      <w:r>
        <w:t xml:space="preserve">Historical outdoor storage of drums of unknown contents (potentially spent solvents and electroplating wastes) on an unpaved surface with present-day stressed vegetation is indicative of a potential release. This area is proximate to the 2,000-gallon waste-solvent UST (E-4) and warrants subsurface investigation.</w:t>
      </w:r>
    </w:p>
    <w:bookmarkEnd w:id="30"/>
    <w:bookmarkStart w:id="31" w:name="Xd57cd86dc10f11067482970d80d968e22ef4fbf"/>
    <w:p>
      <w:pPr>
        <w:pStyle w:val="Heading4"/>
      </w:pPr>
      <w:r>
        <w:t xml:space="preserve">E-6 — Vapor Intrusion Risk (TCE and PCE) — HIGH</w:t>
      </w:r>
    </w:p>
    <w:p>
      <w:pPr>
        <w:pStyle w:val="FirstParagraph"/>
      </w:pPr>
      <w:r>
        <w:t xml:space="preserve">The Property is</w:t>
      </w:r>
      <w:r>
        <w:t xml:space="preserve"> </w:t>
      </w:r>
      <w:r>
        <w:rPr>
          <w:b/>
          <w:bCs/>
        </w:rPr>
        <w:t xml:space="preserve">occupied</w:t>
      </w:r>
      <w:r>
        <w:t xml:space="preserve"> </w:t>
      </w:r>
      <w:r>
        <w:t xml:space="preserve">(active warehousing). Two volatile-constituent sources are present: (i) TCE beneath/within the former degreasing area, with a</w:t>
      </w:r>
      <w:r>
        <w:t xml:space="preserve"> </w:t>
      </w:r>
      <w:r>
        <w:rPr>
          <w:b/>
          <w:bCs/>
        </w:rPr>
        <w:t xml:space="preserve">42.3 ppm PID reading at a floor crack</w:t>
      </w:r>
      <w:r>
        <w:t xml:space="preserve"> </w:t>
      </w:r>
      <w:r>
        <w:t xml:space="preserve">(E-1); and (ii) the off-site PCE plume migrating toward and potentially beneath the Property (E-3). Both TCE and PCE are volatile chlorinated solvents with well-established vapor-intrusion pathways. The Lender’s requirements (Section 3.B.5) mandate a vapor-intrusion assessment where VOCs are present in soil or groundwater, and a vapor-mitigation plan where risks warrant.</w:t>
      </w:r>
    </w:p>
    <w:p>
      <w:pPr>
        <w:pStyle w:val="BodyText"/>
      </w:pPr>
      <w:r>
        <w:rPr>
          <w:b/>
          <w:bCs/>
        </w:rPr>
        <w:t xml:space="preserve">Why High.</w:t>
      </w:r>
      <w:r>
        <w:t xml:space="preserve"> </w:t>
      </w:r>
      <w:r>
        <w:t xml:space="preserve">Vapor intrusion into occupied structures is a present-day human-health exposure pathway and a Lender condition. The elevated PID reading alone indicates vapor entry potential; the PCE plume adds a second source. A vapor-intrusion assessment (sub-slab soil gas and/or indoor air) should be performed before closing.</w:t>
      </w:r>
    </w:p>
    <w:bookmarkEnd w:id="31"/>
    <w:bookmarkEnd w:id="32"/>
    <w:bookmarkStart w:id="43" w:name="Xb417508516236b3e1bdad5bb67249ee3f7905af"/>
    <w:p>
      <w:pPr>
        <w:pStyle w:val="Heading3"/>
      </w:pPr>
      <w:r>
        <w:t xml:space="preserve">6.3 Additional On-Site and Data-Gap Conditions</w:t>
      </w:r>
    </w:p>
    <w:bookmarkStart w:id="33" w:name="e-7-unknown-monitoring-well-mw-1-medium"/>
    <w:p>
      <w:pPr>
        <w:pStyle w:val="Heading4"/>
      </w:pPr>
      <w:r>
        <w:t xml:space="preserve">E-7 — Unknown Monitoring Well</w:t>
      </w:r>
      <w:r>
        <w:t xml:space="preserve"> </w:t>
      </w:r>
      <w:r>
        <w:t xml:space="preserve">“</w:t>
      </w:r>
      <w:r>
        <w:t xml:space="preserve">MW-1</w:t>
      </w:r>
      <w:r>
        <w:t xml:space="preserve">”</w:t>
      </w:r>
      <w:r>
        <w:t xml:space="preserve"> </w:t>
      </w:r>
      <w:r>
        <w:t xml:space="preserve">— MEDIUM</w:t>
      </w:r>
    </w:p>
    <w:p>
      <w:pPr>
        <w:pStyle w:val="FirstParagraph"/>
      </w:pPr>
      <w:r>
        <w:t xml:space="preserve">A flush-mounted monitoring well labeled</w:t>
      </w:r>
      <w:r>
        <w:t xml:space="preserve"> </w:t>
      </w:r>
      <w:r>
        <w:t xml:space="preserve">“</w:t>
      </w:r>
      <w:r>
        <w:t xml:space="preserve">MW-1</w:t>
      </w:r>
      <w:r>
        <w:t xml:space="preserve">”</w:t>
      </w:r>
      <w:r>
        <w:t xml:space="preserve"> </w:t>
      </w:r>
      <w:r>
        <w:t xml:space="preserve">was observed near the northeast Property boundary. No installation logs, construction details, or analytical data were located, and Seller disclaimed any knowledge of its origin or purpose. Given its location near the northeast boundary and the south-southeast migration of the Lake Erie Dry Cleaning PCE plume from the north,</w:t>
      </w:r>
      <w:r>
        <w:t xml:space="preserve"> </w:t>
      </w:r>
      <w:r>
        <w:rPr>
          <w:b/>
          <w:bCs/>
        </w:rPr>
        <w:t xml:space="preserve">MW-1 may be associated with the dry-cleaner plume investigation.</w:t>
      </w:r>
      <w:r>
        <w:t xml:space="preserve"> </w:t>
      </w:r>
      <w:r>
        <w:t xml:space="preserve">The well is in disrepair (damaged cover, loose bolts, debris).</w:t>
      </w:r>
    </w:p>
    <w:p>
      <w:pPr>
        <w:pStyle w:val="BodyText"/>
      </w:pPr>
      <w:r>
        <w:rPr>
          <w:b/>
          <w:bCs/>
        </w:rPr>
        <w:t xml:space="preserve">Why Medium.</w:t>
      </w:r>
      <w:r>
        <w:t xml:space="preserve"> </w:t>
      </w:r>
      <w:r>
        <w:t xml:space="preserve">An uncharacterized monitoring well is both a data gap (potentially relevant analytical data may exist somewhere) and a physical/abandonment concern. Its possible connection to the PCE plume should be investigated; Ohio EPA and the dry-cleaner’s environmental consultant should be queried.</w:t>
      </w:r>
    </w:p>
    <w:bookmarkEnd w:id="33"/>
    <w:bookmarkStart w:id="34" w:name="Xd03732d505b4178c6a0209ae84837cf26bac3e4"/>
    <w:p>
      <w:pPr>
        <w:pStyle w:val="Heading4"/>
      </w:pPr>
      <w:r>
        <w:t xml:space="preserve">E-8 — 500-Gallon Heating-Oil UST (Halstead Farmhouse) — LOW</w:t>
      </w:r>
    </w:p>
    <w:p>
      <w:pPr>
        <w:pStyle w:val="FirstParagraph"/>
      </w:pPr>
      <w:r>
        <w:t xml:space="preserve">The 1948 and 1955 Sanborn maps show a 500-gallon heating-oil UST serving the Halstead farmhouse (northwest portion), which was demolished in 1961. No BUSTR registration or closure records exist, and no surface evidence was observed. The ESA classified this as a historical REC (</w:t>
      </w:r>
      <w:r>
        <w:t xml:space="preserve">“</w:t>
      </w:r>
      <w:r>
        <w:t xml:space="preserve">HREC</w:t>
      </w:r>
      <w:r>
        <w:t xml:space="preserve">”</w:t>
      </w:r>
      <w:r>
        <w:t xml:space="preserve">) on the assumption the tank was removed with the farmhouse.</w:t>
      </w:r>
    </w:p>
    <w:p>
      <w:pPr>
        <w:pStyle w:val="BodyText"/>
      </w:pPr>
      <w:r>
        <w:rPr>
          <w:b/>
          <w:bCs/>
        </w:rPr>
        <w:t xml:space="preserve">Why Low.</w:t>
      </w:r>
      <w:r>
        <w:t xml:space="preserve"> </w:t>
      </w:r>
      <w:r>
        <w:t xml:space="preserve">A small heating-oil tank likely removed more than 60 years ago presents limited risk, but the</w:t>
      </w:r>
      <w:r>
        <w:t xml:space="preserve"> </w:t>
      </w:r>
      <w:r>
        <w:rPr>
          <w:b/>
          <w:bCs/>
        </w:rPr>
        <w:t xml:space="preserve">absence of any closure documentation</w:t>
      </w:r>
      <w:r>
        <w:t xml:space="preserve"> </w:t>
      </w:r>
      <w:r>
        <w:t xml:space="preserve">leaves its status technically unconfirmed. We rate this Low but recommend a geophysical confirmation as part of the Phase II, particularly if redevelopment is planned for the northwest area.</w:t>
      </w:r>
    </w:p>
    <w:bookmarkEnd w:id="34"/>
    <w:bookmarkStart w:id="35" w:name="X26355debf5b90fafa6949e4fe0e581ef24fda27"/>
    <w:p>
      <w:pPr>
        <w:pStyle w:val="Heading4"/>
      </w:pPr>
      <w:r>
        <w:t xml:space="preserve">E-9 — 2003 Ohio EPA NOV and Consent Order — MEDIUM</w:t>
      </w:r>
    </w:p>
    <w:p>
      <w:pPr>
        <w:pStyle w:val="FirstParagraph"/>
      </w:pPr>
      <w:r>
        <w:t xml:space="preserve">A July 17, 2003 Ohio EPA Compliance Evaluation Inspection documented: (1) improper storage of hazardous waste in rusted, visibly leaking 55-gallon drums (electroplating sludge and spent chromium-bearing wastewater) in an outdoor east-side area, with ground staining; (2) failure to label containers with accumulation-start dates; and (3) failure to maintain hazardous-waste determination records. This resulted in NOV File No. NW-2003-0471, resolved by a Director’s Final Findings and Orders (consent order) requiring a facility-wide waste audit, proper disposal, a waste-management plan, and a compliance certification.</w:t>
      </w:r>
      <w:r>
        <w:t xml:space="preserve"> </w:t>
      </w:r>
      <w:r>
        <w:rPr>
          <w:b/>
          <w:bCs/>
        </w:rPr>
        <w:t xml:space="preserve">The consent order file is archived and was not produced; completion of the corrective actions is unconfirmed.</w:t>
      </w:r>
    </w:p>
    <w:p>
      <w:pPr>
        <w:pStyle w:val="BodyText"/>
      </w:pPr>
      <w:r>
        <w:rPr>
          <w:b/>
          <w:bCs/>
        </w:rPr>
        <w:t xml:space="preserve">Why Medium.</w:t>
      </w:r>
      <w:r>
        <w:t xml:space="preserve"> </w:t>
      </w:r>
      <w:r>
        <w:t xml:space="preserve">The NOV is resolved in principle, but the inability to confirm completion of the consent-order corrective actions is an open data gap. The NOV is also directly relevant to Seller’s representations (see C-1) and to the historical drum-storage condition (E-5).</w:t>
      </w:r>
    </w:p>
    <w:bookmarkEnd w:id="35"/>
    <w:bookmarkStart w:id="36" w:name="Xb06654739bdef8c2719db748e95dca8af440e7c"/>
    <w:p>
      <w:pPr>
        <w:pStyle w:val="Heading4"/>
      </w:pPr>
      <w:r>
        <w:t xml:space="preserve">E-10 — Missing Hazardous-Waste Disposal Records, 1965–2003 — MEDIUM</w:t>
      </w:r>
    </w:p>
    <w:p>
      <w:pPr>
        <w:pStyle w:val="FirstParagraph"/>
      </w:pPr>
      <w:r>
        <w:t xml:space="preserve">Ohio EPA confirms that the only hazardous-waste manifests on file are for 2004. The absence of disposal documentation for 39 years of electroplating is a significant data gap that both limits characterization of historical waste-management practices and raises the possibility of undocumented on-site disposal or releases.</w:t>
      </w:r>
    </w:p>
    <w:bookmarkEnd w:id="36"/>
    <w:bookmarkStart w:id="37" w:name="X7835e95c09ac905a5444fb2763938418bf79cfb"/>
    <w:p>
      <w:pPr>
        <w:pStyle w:val="Heading4"/>
      </w:pPr>
      <w:r>
        <w:t xml:space="preserve">E-11 — Seller Declined to Produce Corporate Records, 1961–1990 — MEDIUM</w:t>
      </w:r>
    </w:p>
    <w:p>
      <w:pPr>
        <w:pStyle w:val="FirstParagraph"/>
      </w:pPr>
      <w:r>
        <w:t xml:space="preserve">Seller’s principal stated that operating, environmental, and waste-disposal records from 1961–1990 are</w:t>
      </w:r>
      <w:r>
        <w:t xml:space="preserve"> </w:t>
      </w:r>
      <w:r>
        <w:t xml:space="preserve">“</w:t>
      </w:r>
      <w:r>
        <w:t xml:space="preserve">in storage</w:t>
      </w:r>
      <w:r>
        <w:t xml:space="preserve">”</w:t>
      </w:r>
      <w:r>
        <w:t xml:space="preserve"> </w:t>
      </w:r>
      <w:r>
        <w:t xml:space="preserve">and declined to produce them. This limits the ability to characterize early operations and is a cooperation/disclosure concern relevant to the reliability of Seller’s representations (see C-5).</w:t>
      </w:r>
    </w:p>
    <w:bookmarkEnd w:id="37"/>
    <w:bookmarkStart w:id="38" w:name="X3e79693dbb34c26bd19fb7fd6422aef17da8745"/>
    <w:p>
      <w:pPr>
        <w:pStyle w:val="Heading4"/>
      </w:pPr>
      <w:r>
        <w:t xml:space="preserve">E-12 — Groundwater Management Zone (GMZ) Restrictions — MEDIUM</w:t>
      </w:r>
    </w:p>
    <w:p>
      <w:pPr>
        <w:pStyle w:val="FirstParagraph"/>
      </w:pPr>
      <w:r>
        <w:t xml:space="preserve">The Property lies within an Ohio EPA-designated GMZ established for the Lake Erie Dry Cleaning PCE plume. The GMZ may restrict new groundwater withdrawals, new well installations, and certain land uses. This is a form of institutional control applicable to the Property and is relevant to Seller’s representation in APA § 4.12(e) (see C-1) and to Buyer’s planned use.</w:t>
      </w:r>
    </w:p>
    <w:bookmarkEnd w:id="38"/>
    <w:bookmarkStart w:id="39" w:name="e-13-active-10000-gallon-diesel-ust-low"/>
    <w:p>
      <w:pPr>
        <w:pStyle w:val="Heading4"/>
      </w:pPr>
      <w:r>
        <w:t xml:space="preserve">E-13 — Active 10,000-Gallon Diesel UST — LOW</w:t>
      </w:r>
    </w:p>
    <w:p>
      <w:pPr>
        <w:pStyle w:val="FirstParagraph"/>
      </w:pPr>
      <w:r>
        <w:t xml:space="preserve">One active, registered 10,000-gallon diesel UST (Ohio Facility ID 48-22-10-0087), installed 1978, upgraded with cathodic protection in 1998, last inspected May 2022 with no violations. Not a REC. Note: the Lender’s post-closing covenants (Lender letter, Section 6(d)) prohibit installing, using, operating, or closing any UST without the Lender’s consent; the existing UST should be disclosed to the Lender, and Buyer should decide whether to retain or remove it.</w:t>
      </w:r>
    </w:p>
    <w:bookmarkEnd w:id="39"/>
    <w:bookmarkStart w:id="40" w:name="X51349bbdb06af37484230a35e13413cbf0f0281"/>
    <w:p>
      <w:pPr>
        <w:pStyle w:val="Heading4"/>
      </w:pPr>
      <w:r>
        <w:t xml:space="preserve">E-14 — RCRA Small Quantity Generator Status — LOW</w:t>
      </w:r>
    </w:p>
    <w:p>
      <w:pPr>
        <w:pStyle w:val="FirstParagraph"/>
      </w:pPr>
      <w:r>
        <w:t xml:space="preserve">The Property is listed as a RCRA Small Quantity Generator (EPA ID OHD044891237), consistent with historical operations. Standing alone, this is an informational item, not a REC.</w:t>
      </w:r>
    </w:p>
    <w:bookmarkEnd w:id="40"/>
    <w:bookmarkStart w:id="41" w:name="Xfb498b8567a556177a1f08d30f63dc41592945f"/>
    <w:p>
      <w:pPr>
        <w:pStyle w:val="Heading4"/>
      </w:pPr>
      <w:r>
        <w:t xml:space="preserve">E-15 — Asbestos-Containing Materials and Lead-Based Paint (Non-Scope) — MEDIUM</w:t>
      </w:r>
    </w:p>
    <w:p>
      <w:pPr>
        <w:pStyle w:val="FirstParagraph"/>
      </w:pPr>
      <w:r>
        <w:t xml:space="preserve">The buildings (constructed 1962, 1972, 1978, 1985) predate the 1981 ACM and 1978 lead-based-paint benchmarks. No asbestos or lead-based-paint survey was performed. If Buyer’s planned light-industrial/warehouse redevelopment involves renovation or demolition, ACM and LBP surveys and appropriate management/removal will be required.</w:t>
      </w:r>
    </w:p>
    <w:bookmarkEnd w:id="41"/>
    <w:bookmarkStart w:id="42" w:name="X914686c839c8c9626c519d9ab221dc9201f461a"/>
    <w:p>
      <w:pPr>
        <w:pStyle w:val="Heading4"/>
      </w:pPr>
      <w:r>
        <w:t xml:space="preserve">E-16 — 1988 Degreasing-Solvent Spill — MEDIUM</w:t>
      </w:r>
    </w:p>
    <w:p>
      <w:pPr>
        <w:pStyle w:val="FirstParagraph"/>
      </w:pPr>
      <w:r>
        <w:t xml:space="preserve">A March 14, 1988 Toledo Fire Department report documents a</w:t>
      </w:r>
      <w:r>
        <w:t xml:space="preserve"> </w:t>
      </w:r>
      <w:r>
        <w:t xml:space="preserve">“</w:t>
      </w:r>
      <w:r>
        <w:t xml:space="preserve">chemical spill</w:t>
      </w:r>
      <w:r>
        <w:t xml:space="preserve">”</w:t>
      </w:r>
      <w:r>
        <w:t xml:space="preserve"> </w:t>
      </w:r>
      <w:r>
        <w:t xml:space="preserve">of</w:t>
      </w:r>
      <w:r>
        <w:t xml:space="preserve"> </w:t>
      </w:r>
      <w:r>
        <w:t xml:space="preserve">“</w:t>
      </w:r>
      <w:r>
        <w:t xml:space="preserve">unknown quantity of degreasing solvent</w:t>
      </w:r>
      <w:r>
        <w:t xml:space="preserve">”</w:t>
      </w:r>
      <w:r>
        <w:t xml:space="preserve"> </w:t>
      </w:r>
      <w:r>
        <w:t xml:space="preserve">from an overturned drum, cleaned up by Breckenridge employees with no follow-up inspection. Seller’s principal stated he was</w:t>
      </w:r>
      <w:r>
        <w:t xml:space="preserve"> </w:t>
      </w:r>
      <w:r>
        <w:t xml:space="preserve">“</w:t>
      </w:r>
      <w:r>
        <w:t xml:space="preserve">not aware of any spills.</w:t>
      </w:r>
      <w:r>
        <w:t xml:space="preserve">”</w:t>
      </w:r>
      <w:r>
        <w:t xml:space="preserve"> </w:t>
      </w:r>
      <w:r>
        <w:t xml:space="preserve">This release is part of the REC-1 picture (E-1) but is separately significant for its bearing on Seller’s representations and credibility (C-1, C-5).</w:t>
      </w:r>
    </w:p>
    <w:bookmarkEnd w:id="42"/>
    <w:bookmarkEnd w:id="43"/>
    <w:bookmarkEnd w:id="44"/>
    <w:bookmarkStart w:id="54" w:name="contractual-and-transactional-issues"/>
    <w:p>
      <w:pPr>
        <w:pStyle w:val="Heading2"/>
      </w:pPr>
      <w:r>
        <w:t xml:space="preserve">7. Contractual and Transactional Issues</w:t>
      </w:r>
    </w:p>
    <w:bookmarkStart w:id="45" w:name="X670be7f42d38168c258a1fdad667cb3272464f7"/>
    <w:p>
      <w:pPr>
        <w:pStyle w:val="Heading3"/>
      </w:pPr>
      <w:r>
        <w:t xml:space="preserve">C-1 — Seller’s Environmental Representations Appear Inaccurate / Breached — HIGH</w:t>
      </w:r>
    </w:p>
    <w:p>
      <w:pPr>
        <w:pStyle w:val="FirstParagraph"/>
      </w:pPr>
      <w:r>
        <w:t xml:space="preserve">Seller’s representations in APA Article IV (§§ 4.12–4.13) and the associated schedules appear inconsistent with the documented record:</w:t>
      </w:r>
    </w:p>
    <w:p>
      <w:pPr>
        <w:pStyle w:val="Compact"/>
        <w:numPr>
          <w:ilvl w:val="0"/>
          <w:numId w:val="1003"/>
        </w:numPr>
      </w:pPr>
      <w:r>
        <w:rPr>
          <w:b/>
          <w:bCs/>
        </w:rPr>
        <w:t xml:space="preserve">§ 4.12(a) / Schedule 4.12(a) (</w:t>
      </w:r>
      <w:r>
        <w:rPr>
          <w:b/>
          <w:bCs/>
        </w:rPr>
        <w:t xml:space="preserve">“</w:t>
      </w:r>
      <w:r>
        <w:rPr>
          <w:b/>
          <w:bCs/>
        </w:rPr>
        <w:t xml:space="preserve">None</w:t>
      </w:r>
      <w:r>
        <w:rPr>
          <w:b/>
          <w:bCs/>
        </w:rPr>
        <w:t xml:space="preserve">”</w:t>
      </w:r>
      <w:r>
        <w:rPr>
          <w:b/>
          <w:bCs/>
        </w:rPr>
        <w:t xml:space="preserve">) —</w:t>
      </w:r>
      <w:r>
        <w:rPr>
          <w:b/>
          <w:bCs/>
        </w:rPr>
        <w:t xml:space="preserve"> </w:t>
      </w:r>
      <w:r>
        <w:rPr>
          <w:b/>
          <w:bCs/>
        </w:rPr>
        <w:t xml:space="preserve">“</w:t>
      </w:r>
      <w:r>
        <w:rPr>
          <w:b/>
          <w:bCs/>
        </w:rPr>
        <w:t xml:space="preserve">no Release… of any Hazardous Substances at, on, under, or from the Property.</w:t>
      </w:r>
      <w:r>
        <w:rPr>
          <w:b/>
          <w:bCs/>
        </w:rPr>
        <w:t xml:space="preserve">”</w:t>
      </w:r>
      <w:r>
        <w:t xml:space="preserve"> </w:t>
      </w:r>
      <w:r>
        <w:t xml:space="preserve">Appears breached by the 1988 degreasing-solvent spill (Toledo Fire Department record), the 2003 NOV’s documented leaking drums and ground staining, the abandoned leaking waste-TCE drum, and the migrating PCE plume.</w:t>
      </w:r>
    </w:p>
    <w:p>
      <w:pPr>
        <w:pStyle w:val="Compact"/>
        <w:numPr>
          <w:ilvl w:val="0"/>
          <w:numId w:val="1003"/>
        </w:numPr>
      </w:pPr>
      <w:r>
        <w:rPr>
          <w:b/>
          <w:bCs/>
        </w:rPr>
        <w:t xml:space="preserve">§ 4.12(b) —</w:t>
      </w:r>
      <w:r>
        <w:rPr>
          <w:b/>
          <w:bCs/>
        </w:rPr>
        <w:t xml:space="preserve"> </w:t>
      </w:r>
      <w:r>
        <w:rPr>
          <w:b/>
          <w:bCs/>
        </w:rPr>
        <w:t xml:space="preserve">“</w:t>
      </w:r>
      <w:r>
        <w:rPr>
          <w:b/>
          <w:bCs/>
        </w:rPr>
        <w:t xml:space="preserve">material compliance with all applicable Environmental Laws.</w:t>
      </w:r>
      <w:r>
        <w:rPr>
          <w:b/>
          <w:bCs/>
        </w:rPr>
        <w:t xml:space="preserve">”</w:t>
      </w:r>
      <w:r>
        <w:t xml:space="preserve"> </w:t>
      </w:r>
      <w:r>
        <w:t xml:space="preserve">Appears breached by the 2003 NOV and consent order for improper hazardous-waste storage.</w:t>
      </w:r>
    </w:p>
    <w:p>
      <w:pPr>
        <w:pStyle w:val="Compact"/>
        <w:numPr>
          <w:ilvl w:val="0"/>
          <w:numId w:val="1003"/>
        </w:numPr>
      </w:pPr>
      <w:r>
        <w:rPr>
          <w:b/>
          <w:bCs/>
        </w:rPr>
        <w:t xml:space="preserve">§ 4.12(c) / Schedule 4.12(c) (</w:t>
      </w:r>
      <w:r>
        <w:rPr>
          <w:b/>
          <w:bCs/>
        </w:rPr>
        <w:t xml:space="preserve">“</w:t>
      </w:r>
      <w:r>
        <w:rPr>
          <w:b/>
          <w:bCs/>
        </w:rPr>
        <w:t xml:space="preserve">None</w:t>
      </w:r>
      <w:r>
        <w:rPr>
          <w:b/>
          <w:bCs/>
        </w:rPr>
        <w:t xml:space="preserve">”</w:t>
      </w:r>
      <w:r>
        <w:rPr>
          <w:b/>
          <w:bCs/>
        </w:rPr>
        <w:t xml:space="preserve">) —</w:t>
      </w:r>
      <w:r>
        <w:rPr>
          <w:b/>
          <w:bCs/>
        </w:rPr>
        <w:t xml:space="preserve"> </w:t>
      </w:r>
      <w:r>
        <w:rPr>
          <w:b/>
          <w:bCs/>
        </w:rPr>
        <w:t xml:space="preserve">“</w:t>
      </w:r>
      <w:r>
        <w:rPr>
          <w:b/>
          <w:bCs/>
        </w:rPr>
        <w:t xml:space="preserve">Seller has not received any Environmental Notice.</w:t>
      </w:r>
      <w:r>
        <w:rPr>
          <w:b/>
          <w:bCs/>
        </w:rPr>
        <w:t xml:space="preserve">”</w:t>
      </w:r>
      <w:r>
        <w:t xml:space="preserve"> </w:t>
      </w:r>
      <w:r>
        <w:t xml:space="preserve">Appears breached: the 2003 NOV (File No. NW-2003-0471) is, by the APA’s own definition, an</w:t>
      </w:r>
      <w:r>
        <w:t xml:space="preserve"> </w:t>
      </w:r>
      <w:r>
        <w:t xml:space="preserve">“</w:t>
      </w:r>
      <w:r>
        <w:t xml:space="preserve">Environmental Notice.</w:t>
      </w:r>
      <w:r>
        <w:t xml:space="preserve">”</w:t>
      </w:r>
      <w:r>
        <w:t xml:space="preserve"> </w:t>
      </w:r>
      <w:r>
        <w:t xml:space="preserve">Schedule 4.12(c) should have disclosed it.</w:t>
      </w:r>
    </w:p>
    <w:p>
      <w:pPr>
        <w:pStyle w:val="Compact"/>
        <w:numPr>
          <w:ilvl w:val="0"/>
          <w:numId w:val="1003"/>
        </w:numPr>
      </w:pPr>
      <w:r>
        <w:rPr>
          <w:b/>
          <w:bCs/>
        </w:rPr>
        <w:t xml:space="preserve">§ 4.12(e) —</w:t>
      </w:r>
      <w:r>
        <w:rPr>
          <w:b/>
          <w:bCs/>
        </w:rPr>
        <w:t xml:space="preserve"> </w:t>
      </w:r>
      <w:r>
        <w:rPr>
          <w:b/>
          <w:bCs/>
        </w:rPr>
        <w:t xml:space="preserve">“</w:t>
      </w:r>
      <w:r>
        <w:rPr>
          <w:b/>
          <w:bCs/>
        </w:rPr>
        <w:t xml:space="preserve">no environmental liens, deed restrictions, engineering controls, institutional controls, activity and use limitations, or environmental covenants… applicable to the Property.</w:t>
      </w:r>
      <w:r>
        <w:rPr>
          <w:b/>
          <w:bCs/>
        </w:rPr>
        <w:t xml:space="preserve">”</w:t>
      </w:r>
      <w:r>
        <w:t xml:space="preserve"> </w:t>
      </w:r>
      <w:r>
        <w:t xml:space="preserve">Questionable: the GMZ designation (E-12) is an institutional control applicable to the Property restricting groundwater use and well installation.</w:t>
      </w:r>
    </w:p>
    <w:p>
      <w:pPr>
        <w:pStyle w:val="Compact"/>
        <w:numPr>
          <w:ilvl w:val="0"/>
          <w:numId w:val="1003"/>
        </w:numPr>
      </w:pPr>
      <w:r>
        <w:rPr>
          <w:b/>
          <w:bCs/>
        </w:rPr>
        <w:t xml:space="preserve">§ 4.13(a) / Schedule 4.13 —</w:t>
      </w:r>
      <w:r>
        <w:rPr>
          <w:b/>
          <w:bCs/>
        </w:rPr>
        <w:t xml:space="preserve"> </w:t>
      </w:r>
      <w:r>
        <w:rPr>
          <w:b/>
          <w:bCs/>
        </w:rPr>
        <w:t xml:space="preserve">“</w:t>
      </w:r>
      <w:r>
        <w:rPr>
          <w:b/>
          <w:bCs/>
        </w:rPr>
        <w:t xml:space="preserve">true, correct, and complete list of all Underground Storage Tanks… No other Underground Storage Tanks are or have been located on the Property.</w:t>
      </w:r>
      <w:r>
        <w:rPr>
          <w:b/>
          <w:bCs/>
        </w:rPr>
        <w:t xml:space="preserve">”</w:t>
      </w:r>
      <w:r>
        <w:t xml:space="preserve"> </w:t>
      </w:r>
      <w:r>
        <w:t xml:space="preserve">Appears breached: Schedule 4.13 lists only the active 10,000-gallon diesel UST and omits the 2,000-gallon waste-solvent UST and the 500-gallon heating-oil UST identified in historical Sanborn records.</w:t>
      </w:r>
    </w:p>
    <w:p>
      <w:pPr>
        <w:pStyle w:val="Compact"/>
        <w:numPr>
          <w:ilvl w:val="0"/>
          <w:numId w:val="1003"/>
        </w:numPr>
      </w:pPr>
      <w:r>
        <w:rPr>
          <w:b/>
          <w:bCs/>
        </w:rPr>
        <w:t xml:space="preserve">§ 4.13(b) —</w:t>
      </w:r>
      <w:r>
        <w:rPr>
          <w:b/>
          <w:bCs/>
        </w:rPr>
        <w:t xml:space="preserve"> </w:t>
      </w:r>
      <w:r>
        <w:rPr>
          <w:b/>
          <w:bCs/>
        </w:rPr>
        <w:t xml:space="preserve">“</w:t>
      </w:r>
      <w:r>
        <w:rPr>
          <w:b/>
          <w:bCs/>
        </w:rPr>
        <w:t xml:space="preserve">no Releases from any Underground Storage Tank.</w:t>
      </w:r>
      <w:r>
        <w:rPr>
          <w:b/>
          <w:bCs/>
        </w:rPr>
        <w:t xml:space="preserve">”</w:t>
      </w:r>
      <w:r>
        <w:t xml:space="preserve"> </w:t>
      </w:r>
      <w:r>
        <w:t xml:space="preserve">Questionable as to the two unregistered, undocumented USTs of unknown status.</w:t>
      </w:r>
    </w:p>
    <w:p>
      <w:pPr>
        <w:pStyle w:val="FirstParagraph"/>
      </w:pPr>
      <w:r>
        <w:rPr>
          <w:b/>
          <w:bCs/>
        </w:rPr>
        <w:t xml:space="preserve">Significance.</w:t>
      </w:r>
      <w:r>
        <w:t xml:space="preserve"> </w:t>
      </w:r>
      <w:r>
        <w:t xml:space="preserve">These are not merely technical inaccuracies. The omission of the 2003 NOV from Schedule 4.12(c) and the omission of two historical USTs from Schedule 4.13 are specific, documentable discrepancies. Combined with the Seller-cooperation concerns below (C-5), they may support a claim that the environmental representations were knowingly inaccurate, which would invoke the</w:t>
      </w:r>
      <w:r>
        <w:t xml:space="preserve"> </w:t>
      </w:r>
      <w:r>
        <w:rPr>
          <w:b/>
          <w:bCs/>
        </w:rPr>
        <w:t xml:space="preserve">fraud / intentional-misrepresentation exception</w:t>
      </w:r>
      <w:r>
        <w:t xml:space="preserve"> </w:t>
      </w:r>
      <w:r>
        <w:t xml:space="preserve">in APA § 8.4(d) — lifting the basket, the indemnification cap, and the survival period.</w:t>
      </w:r>
    </w:p>
    <w:bookmarkEnd w:id="45"/>
    <w:bookmarkStart w:id="46" w:name="X484a8c2be81d469ec28a8cacd72e50ba525620b"/>
    <w:p>
      <w:pPr>
        <w:pStyle w:val="Heading3"/>
      </w:pPr>
      <w:r>
        <w:t xml:space="preserve">C-2 — Indemnification Cap and Survival Period Likely Insufficient — HIGH</w:t>
      </w:r>
    </w:p>
    <w:p>
      <w:pPr>
        <w:pStyle w:val="FirstParagraph"/>
      </w:pPr>
      <w:r>
        <w:t xml:space="preserve">The APA’s indemnification framework (Article VIII) provides:</w:t>
      </w:r>
    </w:p>
    <w:p>
      <w:pPr>
        <w:pStyle w:val="Compact"/>
        <w:numPr>
          <w:ilvl w:val="0"/>
          <w:numId w:val="1004"/>
        </w:numPr>
      </w:pPr>
      <w:r>
        <w:rPr>
          <w:b/>
          <w:bCs/>
        </w:rPr>
        <w:t xml:space="preserve">Basket:</w:t>
      </w:r>
      <w:r>
        <w:t xml:space="preserve"> </w:t>
      </w:r>
      <w:r>
        <w:t xml:space="preserve">$87,500 (1% of price) — a</w:t>
      </w:r>
      <w:r>
        <w:t xml:space="preserve"> </w:t>
      </w:r>
      <w:r>
        <w:t xml:space="preserve">“</w:t>
      </w:r>
      <w:r>
        <w:t xml:space="preserve">true deductible</w:t>
      </w:r>
      <w:r>
        <w:t xml:space="preserve">”</w:t>
      </w:r>
      <w:r>
        <w:t xml:space="preserve"> </w:t>
      </w:r>
      <w:r>
        <w:t xml:space="preserve">that converts to first-dollar coverage once exceeded. Importantly, the basket</w:t>
      </w:r>
      <w:r>
        <w:t xml:space="preserve"> </w:t>
      </w:r>
      <w:r>
        <w:rPr>
          <w:b/>
          <w:bCs/>
        </w:rPr>
        <w:t xml:space="preserve">does not apply</w:t>
      </w:r>
      <w:r>
        <w:t xml:space="preserve"> </w:t>
      </w:r>
      <w:r>
        <w:t xml:space="preserve">to Pre-Closing Environmental Liabilities (§ 8.2(a)(iii)) or to covenant/third-party claims (§§ 8.2(a)(ii), (iv)) — those may be asserted without regard to the basket.</w:t>
      </w:r>
    </w:p>
    <w:p>
      <w:pPr>
        <w:pStyle w:val="Compact"/>
        <w:numPr>
          <w:ilvl w:val="0"/>
          <w:numId w:val="1004"/>
        </w:numPr>
      </w:pPr>
      <w:r>
        <w:rPr>
          <w:b/>
          <w:bCs/>
        </w:rPr>
        <w:t xml:space="preserve">Cap:</w:t>
      </w:r>
      <w:r>
        <w:t xml:space="preserve"> </w:t>
      </w:r>
      <w:r>
        <w:t xml:space="preserve">$1,750,000 (20% of price) — applies to</w:t>
      </w:r>
      <w:r>
        <w:t xml:space="preserve"> </w:t>
      </w:r>
      <w:r>
        <w:rPr>
          <w:b/>
          <w:bCs/>
        </w:rPr>
        <w:t xml:space="preserve">all</w:t>
      </w:r>
      <w:r>
        <w:t xml:space="preserve"> </w:t>
      </w:r>
      <w:r>
        <w:t xml:space="preserve">indemnity claims, including Pre-Closing Environmental Liabilities.</w:t>
      </w:r>
    </w:p>
    <w:p>
      <w:pPr>
        <w:pStyle w:val="Compact"/>
        <w:numPr>
          <w:ilvl w:val="0"/>
          <w:numId w:val="1004"/>
        </w:numPr>
      </w:pPr>
      <w:r>
        <w:rPr>
          <w:b/>
          <w:bCs/>
        </w:rPr>
        <w:t xml:space="preserve">Survival:</w:t>
      </w:r>
      <w:r>
        <w:t xml:space="preserve"> </w:t>
      </w:r>
      <w:r>
        <w:t xml:space="preserve">3 years from closing — applies to representation claims</w:t>
      </w:r>
      <w:r>
        <w:t xml:space="preserve"> </w:t>
      </w:r>
      <w:r>
        <w:rPr>
          <w:b/>
          <w:bCs/>
        </w:rPr>
        <w:t xml:space="preserve">and</w:t>
      </w:r>
      <w:r>
        <w:t xml:space="preserve"> </w:t>
      </w:r>
      <w:r>
        <w:t xml:space="preserve">to Pre-Closing Environmental Liabilities (§ 8.4(c)).</w:t>
      </w:r>
    </w:p>
    <w:p>
      <w:pPr>
        <w:pStyle w:val="Compact"/>
        <w:numPr>
          <w:ilvl w:val="0"/>
          <w:numId w:val="1004"/>
        </w:numPr>
      </w:pPr>
      <w:r>
        <w:rPr>
          <w:b/>
          <w:bCs/>
        </w:rPr>
        <w:t xml:space="preserve">Fraud exception (§ 8.4(d)):</w:t>
      </w:r>
      <w:r>
        <w:t xml:space="preserve"> </w:t>
      </w:r>
      <w:r>
        <w:t xml:space="preserve">the basket, cap, and survival do not apply to losses from fraud or intentional misrepresentation.</w:t>
      </w:r>
    </w:p>
    <w:p>
      <w:pPr>
        <w:pStyle w:val="FirstParagraph"/>
      </w:pPr>
      <w:r>
        <w:rPr>
          <w:b/>
          <w:bCs/>
        </w:rPr>
        <w:t xml:space="preserve">Why High.</w:t>
      </w:r>
      <w:r>
        <w:t xml:space="preserve"> </w:t>
      </w:r>
      <w:r>
        <w:t xml:space="preserve">The realistic remediation exposure — chlorinated-solvent (TCE) soil/groundwater/vapor, hexavalent chromium soil/groundwater, an off-site PCE plume, two uncharacterized USTs, and a former drum-storage area — could readily exceed $1,750,000, particularly if groundwater remediation or vapor mitigation is required. A three-year survival period is short for latent environmental conditions that may not manifest for years. We recommend renegotiating to (i) increase the cap or create a separate, larger environmental carve-out, (ii) extend the survival period for environmental matters (or make environmental indemnity perpetual), (iii) require a specific indemnity/escrow for the known RECs, and (iv) require Seller to fund the Phase II.</w:t>
      </w:r>
    </w:p>
    <w:bookmarkEnd w:id="46"/>
    <w:bookmarkStart w:id="47" w:name="Xc940bcd83c395d44768b061db1276c935c16820"/>
    <w:p>
      <w:pPr>
        <w:pStyle w:val="Heading3"/>
      </w:pPr>
      <w:r>
        <w:t xml:space="preserve">C-3 — Lender Conditional Requirements Not Yet Satisfied — HIGH</w:t>
      </w:r>
    </w:p>
    <w:p>
      <w:pPr>
        <w:pStyle w:val="FirstParagraph"/>
      </w:pPr>
      <w:r>
        <w:t xml:space="preserve">Because the Phase I ESA identifies RECs, the Lender will</w:t>
      </w:r>
      <w:r>
        <w:t xml:space="preserve"> </w:t>
      </w:r>
      <w:r>
        <w:rPr>
          <w:b/>
          <w:bCs/>
        </w:rPr>
        <w:t xml:space="preserve">not</w:t>
      </w:r>
      <w:r>
        <w:t xml:space="preserve"> </w:t>
      </w:r>
      <w:r>
        <w:t xml:space="preserve">fund on the Phase I alone. Under Lender letter Section 3.B, before closing Buyer must deliver: (1) a</w:t>
      </w:r>
      <w:r>
        <w:t xml:space="preserve"> </w:t>
      </w:r>
      <w:r>
        <w:rPr>
          <w:b/>
          <w:bCs/>
        </w:rPr>
        <w:t xml:space="preserve">Phase II ESA</w:t>
      </w:r>
      <w:r>
        <w:t xml:space="preserve"> </w:t>
      </w:r>
      <w:r>
        <w:t xml:space="preserve">(ASTM E1903-19) with</w:t>
      </w:r>
      <w:r>
        <w:t xml:space="preserve"> </w:t>
      </w:r>
      <w:r>
        <w:rPr>
          <w:b/>
          <w:bCs/>
        </w:rPr>
        <w:t xml:space="preserve">quantified best-case, most-likely, and worst-case remediation cost estimates</w:t>
      </w:r>
      <w:r>
        <w:t xml:space="preserve">; (2)</w:t>
      </w:r>
      <w:r>
        <w:t xml:space="preserve"> </w:t>
      </w:r>
      <w:r>
        <w:rPr>
          <w:b/>
          <w:bCs/>
        </w:rPr>
        <w:t xml:space="preserve">Pollution Legal Liability insurance</w:t>
      </w:r>
      <w:r>
        <w:t xml:space="preserve"> </w:t>
      </w:r>
      <w:r>
        <w:t xml:space="preserve">with limits of not less than the greater of the worst-case estimate or $5,000,000, a 10-year term, with the Bank as additional insured and loss payee; (3) an</w:t>
      </w:r>
      <w:r>
        <w:t xml:space="preserve"> </w:t>
      </w:r>
      <w:r>
        <w:rPr>
          <w:b/>
          <w:bCs/>
        </w:rPr>
        <w:t xml:space="preserve">Environmental Escrow</w:t>
      </w:r>
      <w:r>
        <w:t xml:space="preserve"> </w:t>
      </w:r>
      <w:r>
        <w:t xml:space="preserve">at 125% of the most-likely estimate if that estimate exceeds $250,000; (4) a</w:t>
      </w:r>
      <w:r>
        <w:t xml:space="preserve"> </w:t>
      </w:r>
      <w:r>
        <w:rPr>
          <w:b/>
          <w:bCs/>
        </w:rPr>
        <w:t xml:space="preserve">remediation plan</w:t>
      </w:r>
      <w:r>
        <w:t xml:space="preserve"> </w:t>
      </w:r>
      <w:r>
        <w:t xml:space="preserve">if estimated costs exceed $500,000; and (5) a</w:t>
      </w:r>
      <w:r>
        <w:t xml:space="preserve"> </w:t>
      </w:r>
      <w:r>
        <w:rPr>
          <w:b/>
          <w:bCs/>
        </w:rPr>
        <w:t xml:space="preserve">vapor-intrusion assessment</w:t>
      </w:r>
      <w:r>
        <w:t xml:space="preserve"> </w:t>
      </w:r>
      <w:r>
        <w:t xml:space="preserve">(and mitigation plan if warranted) given the presence of VOCs. None of these has been completed. The Lender’s delivery deadline for the Phase II, PLL binder, and escrow evidence is</w:t>
      </w:r>
      <w:r>
        <w:t xml:space="preserve"> </w:t>
      </w:r>
      <w:r>
        <w:rPr>
          <w:b/>
          <w:bCs/>
        </w:rPr>
        <w:t xml:space="preserve">November 30, 2024</w:t>
      </w:r>
      <w:r>
        <w:t xml:space="preserve"> </w:t>
      </w:r>
      <w:r>
        <w:t xml:space="preserve">(15 days before closing) — an aggressive timeline that leaves little margin. The Lender also reserves the right to decline under Section 3.C if, among other things, unresolved data gaps prevent adequate risk characterization (several exist here — see E-7, E-10, E-11, E-9) or if the worst-case estimate exceeds 50% of appraised value.</w:t>
      </w:r>
    </w:p>
    <w:bookmarkEnd w:id="47"/>
    <w:bookmarkStart w:id="48" w:name="X1145d84346f759a1eea0b07bf901ff2f05b02d9"/>
    <w:p>
      <w:pPr>
        <w:pStyle w:val="Heading3"/>
      </w:pPr>
      <w:r>
        <w:t xml:space="preserve">C-4 — Phase I ESA Under-Classification; Failure to Identify the PCE Plume as a REC — HIGH</w:t>
      </w:r>
    </w:p>
    <w:p>
      <w:pPr>
        <w:pStyle w:val="FirstParagraph"/>
      </w:pPr>
      <w:r>
        <w:t xml:space="preserve">As detailed in E-3, the Lender’s letter (Section 2) expressly requires the Phase I ESA to evaluate off-site contamination migrating toward the Property and to</w:t>
      </w:r>
      <w:r>
        <w:t xml:space="preserve"> </w:t>
      </w:r>
      <w:r>
        <w:rPr>
          <w:b/>
          <w:bCs/>
        </w:rPr>
        <w:t xml:space="preserve">identify any such conditions as recognized environmental conditions.</w:t>
      </w:r>
      <w:r>
        <w:t xml:space="preserve"> </w:t>
      </w:r>
      <w:r>
        <w:t xml:space="preserve">The Greenfield ESA evaluated the Lake Erie Dry Cleaning PCE plume but did not classify it as a REC. In our view this is both an under-classification under ASTM E1527-21 and a</w:t>
      </w:r>
      <w:r>
        <w:t xml:space="preserve"> </w:t>
      </w:r>
      <w:r>
        <w:rPr>
          <w:b/>
          <w:bCs/>
        </w:rPr>
        <w:t xml:space="preserve">direct non-compliance with the Lender’s due-diligence requirements.</w:t>
      </w:r>
      <w:r>
        <w:t xml:space="preserve"> </w:t>
      </w:r>
      <w:r>
        <w:t xml:space="preserve">The Lender’s environmental counsel is expected to review the ESA for AAI compliance and may require supplementation. We recommend promptly requesting that Greenfield supplement the ESA to (i) classify the PCE plume as a REC, (ii) address the 2,000-gallon waste-solvent UST and the former drum-storage area, and (iii) reconcile the GMZ/institutional-control disclosure with APA § 4.12(e).</w:t>
      </w:r>
    </w:p>
    <w:bookmarkEnd w:id="48"/>
    <w:bookmarkStart w:id="49" w:name="Xb8793dc9c4677916a4be1def04ce29616815459"/>
    <w:p>
      <w:pPr>
        <w:pStyle w:val="Heading3"/>
      </w:pPr>
      <w:r>
        <w:t xml:space="preserve">C-5 — Seller Cooperation and Disclosure Concerns (Fraud Indicators) — HIGH</w:t>
      </w:r>
    </w:p>
    <w:p>
      <w:pPr>
        <w:pStyle w:val="FirstParagraph"/>
      </w:pPr>
      <w:r>
        <w:t xml:space="preserve">Several of Seller’s principal’s statements are inconsistent with the documented record:</w:t>
      </w:r>
    </w:p>
    <w:p>
      <w:pPr>
        <w:pStyle w:val="Compact"/>
        <w:numPr>
          <w:ilvl w:val="0"/>
          <w:numId w:val="1005"/>
        </w:numPr>
      </w:pPr>
      <w:r>
        <w:t xml:space="preserve">He stated he was</w:t>
      </w:r>
      <w:r>
        <w:t xml:space="preserve"> </w:t>
      </w:r>
      <w:r>
        <w:t xml:space="preserve">“</w:t>
      </w:r>
      <w:r>
        <w:t xml:space="preserve">not aware of any spills,</w:t>
      </w:r>
      <w:r>
        <w:t xml:space="preserve">”</w:t>
      </w:r>
      <w:r>
        <w:t xml:space="preserve"> </w:t>
      </w:r>
      <w:r>
        <w:t xml:space="preserve">despite the 1988 Toledo Fire Department spill report.</w:t>
      </w:r>
    </w:p>
    <w:p>
      <w:pPr>
        <w:pStyle w:val="Compact"/>
        <w:numPr>
          <w:ilvl w:val="0"/>
          <w:numId w:val="1005"/>
        </w:numPr>
      </w:pPr>
      <w:r>
        <w:t xml:space="preserve">He characterized the 2003 NOV as</w:t>
      </w:r>
      <w:r>
        <w:t xml:space="preserve"> </w:t>
      </w:r>
      <w:r>
        <w:t xml:space="preserve">“</w:t>
      </w:r>
      <w:r>
        <w:t xml:space="preserve">resolved years ago</w:t>
      </w:r>
      <w:r>
        <w:t xml:space="preserve">”</w:t>
      </w:r>
      <w:r>
        <w:t xml:space="preserve"> </w:t>
      </w:r>
      <w:r>
        <w:t xml:space="preserve">but could not produce the consent order (which is archived and unconfirmed as to completion).</w:t>
      </w:r>
    </w:p>
    <w:p>
      <w:pPr>
        <w:pStyle w:val="Compact"/>
        <w:numPr>
          <w:ilvl w:val="0"/>
          <w:numId w:val="1005"/>
        </w:numPr>
      </w:pPr>
      <w:r>
        <w:t xml:space="preserve">He acknowledged outdoor drum storage</w:t>
      </w:r>
      <w:r>
        <w:t xml:space="preserve"> </w:t>
      </w:r>
      <w:r>
        <w:t xml:space="preserve">“</w:t>
      </w:r>
      <w:r>
        <w:t xml:space="preserve">before the EPA came around</w:t>
      </w:r>
      <w:r>
        <w:t xml:space="preserve">”</w:t>
      </w:r>
      <w:r>
        <w:t xml:space="preserve"> </w:t>
      </w:r>
      <w:r>
        <w:t xml:space="preserve">but could not identify the materials or any cleanup.</w:t>
      </w:r>
    </w:p>
    <w:p>
      <w:pPr>
        <w:pStyle w:val="Compact"/>
        <w:numPr>
          <w:ilvl w:val="0"/>
          <w:numId w:val="1005"/>
        </w:numPr>
      </w:pPr>
      <w:r>
        <w:t xml:space="preserve">He disclaimed knowledge of monitoring well MW-1.</w:t>
      </w:r>
    </w:p>
    <w:p>
      <w:pPr>
        <w:pStyle w:val="Compact"/>
        <w:numPr>
          <w:ilvl w:val="0"/>
          <w:numId w:val="1005"/>
        </w:numPr>
      </w:pPr>
      <w:r>
        <w:t xml:space="preserve">He</w:t>
      </w:r>
      <w:r>
        <w:t xml:space="preserve"> </w:t>
      </w:r>
      <w:r>
        <w:rPr>
          <w:b/>
          <w:bCs/>
        </w:rPr>
        <w:t xml:space="preserve">declined to produce corporate records from 1961–1990.</w:t>
      </w:r>
    </w:p>
    <w:p>
      <w:pPr>
        <w:pStyle w:val="FirstParagraph"/>
      </w:pPr>
      <w:r>
        <w:t xml:space="preserve">These inconsistencies, together with the apparent inaccuracies in Schedules 4.12 and 4.13 (C-1), raise concerns about the reliability of Seller’s environmental disclosures and may support a fraud / intentional-misrepresentation theory that would unlock the § 8.4(d) exception to the cap, basket, and survival period. We recommend documenting these discrepancies carefully, demanding production of the 1961–1990 records and the consent order, and preserving all evidence of inconsistent statements.</w:t>
      </w:r>
    </w:p>
    <w:bookmarkEnd w:id="49"/>
    <w:bookmarkStart w:id="50" w:name="X2fec50239ee48486b3f2588da46972d18ed9fcc"/>
    <w:p>
      <w:pPr>
        <w:pStyle w:val="Heading3"/>
      </w:pPr>
      <w:r>
        <w:t xml:space="preserve">C-6 — Buyer’s Environmental Termination Right (APA § 6.3(b)) — MEDIUM (Time-Sensitive)</w:t>
      </w:r>
    </w:p>
    <w:p>
      <w:pPr>
        <w:pStyle w:val="FirstParagraph"/>
      </w:pPr>
      <w:r>
        <w:t xml:space="preserve">Under APA § 6.3(b), Buyer may terminate the APA and recover the full $437,500 earnest money if the Phase I ESA (or any environmental investigation) identifies RECs that</w:t>
      </w:r>
      <w:r>
        <w:t xml:space="preserve"> </w:t>
      </w:r>
      <w:r>
        <w:t xml:space="preserve">“</w:t>
      </w:r>
      <w:r>
        <w:t xml:space="preserve">could result in Remediation Costs exceeding $500,000,</w:t>
      </w:r>
      <w:r>
        <w:t xml:space="preserve">”</w:t>
      </w:r>
      <w:r>
        <w:t xml:space="preserve"> </w:t>
      </w:r>
      <w:r>
        <w:t xml:space="preserve">by written notice delivered</w:t>
      </w:r>
      <w:r>
        <w:t xml:space="preserve"> </w:t>
      </w:r>
      <w:r>
        <w:rPr>
          <w:b/>
          <w:bCs/>
        </w:rPr>
        <w:t xml:space="preserve">on or before 5:00 p.m. ET on October 31, 2024.</w:t>
      </w:r>
      <w:r>
        <w:t xml:space="preserve"> </w:t>
      </w:r>
      <w:r>
        <w:t xml:space="preserve">If Buyer does not terminate by then, the right is</w:t>
      </w:r>
      <w:r>
        <w:t xml:space="preserve"> </w:t>
      </w:r>
      <w:r>
        <w:rPr>
          <w:b/>
          <w:bCs/>
        </w:rPr>
        <w:t xml:space="preserve">deemed waived</w:t>
      </w:r>
      <w:r>
        <w:t xml:space="preserve"> </w:t>
      </w:r>
      <w:r>
        <w:t xml:space="preserve">(§ 6.3(c)), though indemnification rights survive. The ESA was dated October 25, 2024, leaving approximately six days to evaluate. Because the ESA under-classified the PCE plume and other conditions (C-4), Buyer’s informed-decision window was effectively impaired.</w:t>
      </w:r>
      <w:r>
        <w:t xml:space="preserve"> </w:t>
      </w:r>
      <w:r>
        <w:rPr>
          <w:b/>
          <w:bCs/>
        </w:rPr>
        <w:t xml:space="preserve">This is actionable now:</w:t>
      </w:r>
      <w:r>
        <w:t xml:space="preserve"> </w:t>
      </w:r>
      <w:r>
        <w:t xml:space="preserve">Buyer should promptly obtain a preliminary remediation-cost range (even a desk-top estimate) to assess whether the $500,000 threshold is plausibly exceeded — on the facts here (TCE, chromium, PCE plume, two USTs), it likely is — and decide whether to exercise the termination right, renegotiate, or proceed. If Buyer proceeds, it should do so only with a renegotiated indemnity and the Lender’s conditional items in motion.</w:t>
      </w:r>
    </w:p>
    <w:bookmarkEnd w:id="50"/>
    <w:bookmarkStart w:id="51" w:name="X434581339ed643ee30a4b217c62b6ae6e64e269"/>
    <w:p>
      <w:pPr>
        <w:pStyle w:val="Heading3"/>
      </w:pPr>
      <w:r>
        <w:t xml:space="preserve">C-7 — AAI Compliance and Post-Closing Continuing Obligations — MEDIUM</w:t>
      </w:r>
    </w:p>
    <w:p>
      <w:pPr>
        <w:pStyle w:val="FirstParagraph"/>
      </w:pPr>
      <w:r>
        <w:t xml:space="preserve">The Phase I ESA conforms to ASTM E1527-21 and includes the AAI elements, and Greenfield carries $5,000,000 in professional-liability insurance (exceeding the Lender’s $2,000,000 minimum). However, the unresolved data gaps (E-7, E-10, E-11, E-9) and the under-classification (C-4) may affect the adequacy of AAI for the bona fide prospective purchaser defense, particularly as to the off-site PCE plume. Post-closing, Buyer must satisfy CERCLA continuing obligations — including taking reasonable steps to prevent future releases, cooperating with regulatory authorities, complying with institutional controls (the GMZ), and providing appropriate care with respect to hazardous substances — which are especially salient given the migrating PCE plume and the on-site RECs.</w:t>
      </w:r>
    </w:p>
    <w:bookmarkEnd w:id="51"/>
    <w:bookmarkStart w:id="52" w:name="Xbaa628e5933bb20d2edb9a44f250fdc493b8274"/>
    <w:p>
      <w:pPr>
        <w:pStyle w:val="Heading3"/>
      </w:pPr>
      <w:r>
        <w:t xml:space="preserve">C-8 — Potential Conflict of Interest (Whitfield &amp; Crane LLP) — MEDIUM</w:t>
      </w:r>
    </w:p>
    <w:p>
      <w:pPr>
        <w:pStyle w:val="FirstParagraph"/>
      </w:pPr>
      <w:r>
        <w:t xml:space="preserve">The APA and the Greenfield ESA identify Whitfield &amp; Crane LLP (Sarah Castellano) as</w:t>
      </w:r>
      <w:r>
        <w:t xml:space="preserve"> </w:t>
      </w:r>
      <w:r>
        <w:rPr>
          <w:b/>
          <w:bCs/>
        </w:rPr>
        <w:t xml:space="preserve">Buyer’s counsel.</w:t>
      </w:r>
      <w:r>
        <w:t xml:space="preserve"> </w:t>
      </w:r>
      <w:r>
        <w:t xml:space="preserve">The Lender’s requirements letter (Section 4) states that</w:t>
      </w:r>
      <w:r>
        <w:t xml:space="preserve"> </w:t>
      </w:r>
      <w:r>
        <w:t xml:space="preserve">“</w:t>
      </w:r>
      <w:r>
        <w:t xml:space="preserve">the Bank’s environmental counsel, Whitfield &amp; Crane LLP, will independently review the Phase I ESA for AAI compliance,</w:t>
      </w:r>
      <w:r>
        <w:t xml:space="preserve">”</w:t>
      </w:r>
      <w:r>
        <w:t xml:space="preserve"> </w:t>
      </w:r>
      <w:r>
        <w:t xml:space="preserve">and copies Sarah Castellano and David Morales of the same firm. If the same firm (and partner) is representing both Buyer and the Lender in the same transaction — and is charged with independently reviewing the Buyer’s ESA on the Lender’s behalf — that compromises the independence of the Lender’s AAI review and presents a conflict-of-interest concern. We recommend confirming the engagement scope immediately and, if necessary, requesting that the Lender retain independent environmental counsel for the AAI review.</w:t>
      </w:r>
    </w:p>
    <w:bookmarkEnd w:id="52"/>
    <w:bookmarkStart w:id="53" w:name="Xeb2317994300e485da1411a22de4cfc67937e14"/>
    <w:p>
      <w:pPr>
        <w:pStyle w:val="Heading3"/>
      </w:pPr>
      <w:r>
        <w:t xml:space="preserve">C-9 — Adjacent / Nearby Database Listings — LOW</w:t>
      </w:r>
    </w:p>
    <w:p>
      <w:pPr>
        <w:pStyle w:val="FirstParagraph"/>
      </w:pPr>
      <w:r>
        <w:t xml:space="preserve">Other nearby listings (Toledo Coatings &amp; Adhesives, east — EPA NFA 1999; Bayshore Auto Salvage, NE 0.20 mi — closed LUST 2003, plume migrating away; former Sunoco station, SSW 0.25 mi — closed LUST 1999; Great Lakes Metal Finishing, ENE 350 ft — compliant SQG, no releases; Metro Petroleum, NNE 0.30 mi — compliant) are low-concern or closed and do not, on present information, represent RECs for the Property. The Norfolk Southern railroad right-of-way herbicide use and the sanitary-sewer trunk line (a potential preferential pathway) are de minimis/contextual. These should be confirmed in the Phase II but are not primary drivers.</w:t>
      </w:r>
    </w:p>
    <w:bookmarkEnd w:id="53"/>
    <w:bookmarkEnd w:id="54"/>
    <w:bookmarkStart w:id="55" w:name="recommendations-action-items"/>
    <w:p>
      <w:pPr>
        <w:pStyle w:val="Heading2"/>
      </w:pPr>
      <w:r>
        <w:t xml:space="preserve">8. Recommendations / Action Items</w:t>
      </w:r>
    </w:p>
    <w:p>
      <w:pPr>
        <w:pStyle w:val="Compact"/>
        <w:numPr>
          <w:ilvl w:val="0"/>
          <w:numId w:val="1006"/>
        </w:numPr>
      </w:pPr>
      <w:r>
        <w:rPr>
          <w:b/>
          <w:bCs/>
        </w:rPr>
        <w:t xml:space="preserve">Do not close on current terms.</w:t>
      </w:r>
      <w:r>
        <w:t xml:space="preserve"> </w:t>
      </w:r>
      <w:r>
        <w:t xml:space="preserve">Proceed only after a Phase II ESA, vapor-intrusion assessment, and remediation-cost estimates are in hand and the APA and Lender conditions are addressed.</w:t>
      </w:r>
    </w:p>
    <w:p>
      <w:pPr>
        <w:pStyle w:val="Compact"/>
        <w:numPr>
          <w:ilvl w:val="0"/>
          <w:numId w:val="1006"/>
        </w:numPr>
      </w:pPr>
      <w:r>
        <w:rPr>
          <w:b/>
          <w:bCs/>
        </w:rPr>
        <w:t xml:space="preserve">Commission a Phase II ESA immediately</w:t>
      </w:r>
      <w:r>
        <w:t xml:space="preserve"> </w:t>
      </w:r>
      <w:r>
        <w:t xml:space="preserve">(ASTM E1903-19) covering, at minimum: (a) the former TCE degreasing area and the abandoned waste-TCE drum (soil, groundwater, and soil vapor for VOCs/TCE and degradation products); (b) the former electroplating room, including sump-liquid characterization and sub-slab soil/groundwater for metals (hexavalent and total chromium, nickel); (c) the off-site PCE plume — install/confirm monitoring wells on the Property and sample groundwater for PCE and daughter products; (d) the 2,000-gallon waste-solvent UST area and the former outdoor drum-storage area (geophysical survey + soil/groundwater); and (e) the 500-gallon heating-oil UST area (geophysical confirmation).</w:t>
      </w:r>
    </w:p>
    <w:p>
      <w:pPr>
        <w:pStyle w:val="Compact"/>
        <w:numPr>
          <w:ilvl w:val="0"/>
          <w:numId w:val="1006"/>
        </w:numPr>
      </w:pPr>
      <w:r>
        <w:rPr>
          <w:b/>
          <w:bCs/>
        </w:rPr>
        <w:t xml:space="preserve">Perform a vapor-intrusion assessment</w:t>
      </w:r>
      <w:r>
        <w:t xml:space="preserve"> </w:t>
      </w:r>
      <w:r>
        <w:t xml:space="preserve">(sub-slab soil gas and/or indoor air) for the occupied warehouse buildings, given the 42.3 ppm PID reading and the PCE plume; prepare a vapor-mitigation plan if warranted.</w:t>
      </w:r>
    </w:p>
    <w:p>
      <w:pPr>
        <w:pStyle w:val="Compact"/>
        <w:numPr>
          <w:ilvl w:val="0"/>
          <w:numId w:val="1006"/>
        </w:numPr>
      </w:pPr>
      <w:r>
        <w:rPr>
          <w:b/>
          <w:bCs/>
        </w:rPr>
        <w:t xml:space="preserve">Obtain quantified remediation cost estimates</w:t>
      </w:r>
      <w:r>
        <w:t xml:space="preserve"> </w:t>
      </w:r>
      <w:r>
        <w:t xml:space="preserve">(best-case, most-likely, worst-case) to satisfy the Lender and to inform the § 6.3(b) termination decision.</w:t>
      </w:r>
    </w:p>
    <w:p>
      <w:pPr>
        <w:pStyle w:val="Compact"/>
        <w:numPr>
          <w:ilvl w:val="0"/>
          <w:numId w:val="1006"/>
        </w:numPr>
      </w:pPr>
      <w:r>
        <w:rPr>
          <w:b/>
          <w:bCs/>
        </w:rPr>
        <w:t xml:space="preserve">Request that Greenfield supplement the Phase I ESA</w:t>
      </w:r>
      <w:r>
        <w:t xml:space="preserve"> </w:t>
      </w:r>
      <w:r>
        <w:t xml:space="preserve">to classify the PCE plume as a REC, address the 2,000-gallon waste-solvent UST and former drum-storage area, and reconcile the GMZ/institutional-control disclosure — to cure the Lender-compliance gap (C-4).</w:t>
      </w:r>
    </w:p>
    <w:p>
      <w:pPr>
        <w:pStyle w:val="Compact"/>
        <w:numPr>
          <w:ilvl w:val="0"/>
          <w:numId w:val="1006"/>
        </w:numPr>
      </w:pPr>
      <w:r>
        <w:rPr>
          <w:b/>
          <w:bCs/>
        </w:rPr>
        <w:t xml:space="preserve">Renegotiate the APA:</w:t>
      </w:r>
      <w:r>
        <w:t xml:space="preserve"> </w:t>
      </w:r>
      <w:r>
        <w:t xml:space="preserve">correct Schedules 4.12 and 4.13; require Seller to produce the 1961–1990 corporate records and the 2003 consent order; increase the environmental indemnity cap or add a separate environmental carve-out; extend (or eliminate) the survival period for environmental matters; require a specific indemnity/escrow for the known RECs; and require Seller to fund the Phase II.</w:t>
      </w:r>
    </w:p>
    <w:p>
      <w:pPr>
        <w:pStyle w:val="Compact"/>
        <w:numPr>
          <w:ilvl w:val="0"/>
          <w:numId w:val="1006"/>
        </w:numPr>
      </w:pPr>
      <w:r>
        <w:rPr>
          <w:b/>
          <w:bCs/>
        </w:rPr>
        <w:t xml:space="preserve">Evaluate the § 6.3(b) termination right now</w:t>
      </w:r>
      <w:r>
        <w:t xml:space="preserve">, on or before October 31, 2024, using the preliminary cost range; document the basis for any decision.</w:t>
      </w:r>
    </w:p>
    <w:p>
      <w:pPr>
        <w:pStyle w:val="Compact"/>
        <w:numPr>
          <w:ilvl w:val="0"/>
          <w:numId w:val="1006"/>
        </w:numPr>
      </w:pPr>
      <w:r>
        <w:rPr>
          <w:b/>
          <w:bCs/>
        </w:rPr>
        <w:t xml:space="preserve">Initiate the Lender’s conditional items</w:t>
      </w:r>
      <w:r>
        <w:t xml:space="preserve"> </w:t>
      </w:r>
      <w:r>
        <w:t xml:space="preserve">(PLL insurance binder, escrow, remediation plan) to meet the November 30, 2024 deadline, and confirm the appraised value to assess the Section 3.C decline risk (worst-case &gt; 50% of value).</w:t>
      </w:r>
    </w:p>
    <w:p>
      <w:pPr>
        <w:pStyle w:val="Compact"/>
        <w:numPr>
          <w:ilvl w:val="0"/>
          <w:numId w:val="1006"/>
        </w:numPr>
      </w:pPr>
      <w:r>
        <w:rPr>
          <w:b/>
          <w:bCs/>
        </w:rPr>
        <w:t xml:space="preserve">Resolve the Whitfield &amp; Crane conflict</w:t>
      </w:r>
      <w:r>
        <w:t xml:space="preserve"> </w:t>
      </w:r>
      <w:r>
        <w:t xml:space="preserve">(C-8) and confirm independent AAI review for the Lender.</w:t>
      </w:r>
    </w:p>
    <w:p>
      <w:pPr>
        <w:pStyle w:val="Compact"/>
        <w:numPr>
          <w:ilvl w:val="0"/>
          <w:numId w:val="1006"/>
        </w:numPr>
      </w:pPr>
      <w:r>
        <w:rPr>
          <w:b/>
          <w:bCs/>
        </w:rPr>
        <w:t xml:space="preserve">Preserve evidence</w:t>
      </w:r>
      <w:r>
        <w:t xml:space="preserve"> </w:t>
      </w:r>
      <w:r>
        <w:t xml:space="preserve">of Seller’s inconsistent statements and the schedule discrepancies to preserve the fraud / intentional-misrepresentation theory under § 8.4(d).</w:t>
      </w:r>
    </w:p>
    <w:p>
      <w:pPr>
        <w:pStyle w:val="Compact"/>
        <w:numPr>
          <w:ilvl w:val="0"/>
          <w:numId w:val="1006"/>
        </w:numPr>
      </w:pPr>
      <w:r>
        <w:rPr>
          <w:b/>
          <w:bCs/>
        </w:rPr>
        <w:t xml:space="preserve">Plan for continuing obligations</w:t>
      </w:r>
      <w:r>
        <w:t xml:space="preserve"> </w:t>
      </w:r>
      <w:r>
        <w:t xml:space="preserve">post-closing (reasonable steps, GMZ compliance, cooperation with Ohio EPA on the PCE plume), and commission ACM/LBP surveys before any renovation or demolition.</w:t>
      </w:r>
    </w:p>
    <w:bookmarkEnd w:id="55"/>
    <w:bookmarkStart w:id="56" w:name="overall-risk-assessment"/>
    <w:p>
      <w:pPr>
        <w:pStyle w:val="Heading2"/>
      </w:pPr>
      <w:r>
        <w:t xml:space="preserve">9. Overall Risk Assessment</w:t>
      </w:r>
    </w:p>
    <w:p>
      <w:pPr>
        <w:pStyle w:val="FirstParagraph"/>
      </w:pPr>
      <w:r>
        <w:t xml:space="preserve">This is a</w:t>
      </w:r>
      <w:r>
        <w:t xml:space="preserve"> </w:t>
      </w:r>
      <w:r>
        <w:rPr>
          <w:b/>
          <w:bCs/>
        </w:rPr>
        <w:t xml:space="preserve">high-environmental-risk acquisition.</w:t>
      </w:r>
      <w:r>
        <w:t xml:space="preserve"> </w:t>
      </w:r>
      <w:r>
        <w:t xml:space="preserve">The Property has two confirmed on-site RECs involving carcinogenic constituents (TCE and hexavalent chromium) with decades of undocumented waste management, plus a confirmed off-site PCE plume migrating onto the Property that the ESA failed to classify as a REC. Multiple Seller representations appear inaccurate, the indemnification package is likely under-sized for the exposure, and the Lender’s conditional requirements are unmet. The transaction is viable only with (i) a properly scoped Phase II and vapor-intrusion assessment, (ii) a renegotiated indemnity and corrected representations, (iii) satisfaction of the Lender’s conditional items, and (iv) a deliberate, documented decision on the § 6.3(b) termination right before October 31, 2024. On current terms and current information, we do not recommend proceeding to closing.</w:t>
      </w:r>
    </w:p>
    <w:bookmarkEnd w:id="56"/>
    <w:bookmarkStart w:id="57" w:name="scope-note"/>
    <w:p>
      <w:pPr>
        <w:pStyle w:val="Heading2"/>
      </w:pPr>
      <w:r>
        <w:t xml:space="preserve">10. Scope Note</w:t>
      </w:r>
    </w:p>
    <w:p>
      <w:pPr>
        <w:pStyle w:val="FirstParagraph"/>
      </w:pPr>
      <w:r>
        <w:t xml:space="preserve">The due-diligence file also contains environmental materials for a</w:t>
      </w:r>
      <w:r>
        <w:t xml:space="preserve"> </w:t>
      </w:r>
      <w:r>
        <w:rPr>
          <w:b/>
          <w:bCs/>
        </w:rPr>
        <w:t xml:space="preserve">separate, unrelated property</w:t>
      </w:r>
      <w:r>
        <w:t xml:space="preserve"> </w:t>
      </w:r>
      <w:r>
        <w:t xml:space="preserve">at 2850 Millrace Road, Dayton, Ohio (a Phase I ESA by Terravista Environmental Consulting Inc. dated April 18, 2025, a GeoSearch database summary dated March 28, 2025, and a 2004 UST closure report by Redland Environmental Services). Those materials pertain to a different seller (Valtec Manufacturing Holdings Inc.), a different purchase price, and a different transaction timeline, and are</w:t>
      </w:r>
      <w:r>
        <w:t xml:space="preserve"> </w:t>
      </w:r>
      <w:r>
        <w:rPr>
          <w:b/>
          <w:bCs/>
        </w:rPr>
        <w:t xml:space="preserve">not part of the acquisition that is the subject of this memorandum.</w:t>
      </w:r>
      <w:r>
        <w:t xml:space="preserve"> </w:t>
      </w:r>
      <w:r>
        <w:t xml:space="preserve">They have been excluded from the analysis above. If Cornerstone is separately evaluating the Dayton property, we recommend a stand-alone issues memo for that transaction.</w:t>
      </w:r>
    </w:p>
    <w:p>
      <w:r>
        <w:pict>
          <v:rect style="width:0;height:1.5pt" o:hralign="center" o:hrstd="t" o:hr="t"/>
        </w:pict>
      </w:r>
    </w:p>
    <w:p>
      <w:pPr>
        <w:pStyle w:val="FirstParagraph"/>
      </w:pPr>
      <w:r>
        <w:rPr>
          <w:i/>
          <w:iCs/>
        </w:rPr>
        <w:t xml:space="preserve">This memorandum is privileged and confidential, prepared in anticipation of litigation and for the purpose of facilitating legal advice in connection with the proposed acquisition. It should not be distributed outside the deal team and counsel without authorization.</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2026-06-28T09:56:29Z</dcterms:created>
  <dcterms:modified xsi:type="dcterms:W3CDTF">2026-06-28T09:56:29Z</dcterms:modified>
</cp:coreProperties>
</file>

<file path=docProps/custom.xml><?xml version="1.0" encoding="utf-8"?>
<Properties xmlns="http://schemas.openxmlformats.org/officeDocument/2006/custom-properties" xmlns:vt="http://schemas.openxmlformats.org/officeDocument/2006/docPropsVTypes"/>
</file>