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1c490f654c4105499f584bfdddd5889499e1c5"/>
    <w:p>
      <w:pPr>
        <w:pStyle w:val="Heading1"/>
      </w:pPr>
      <w:r>
        <w:t xml:space="preserve">ENVIRONMENTAL DUE DILIGENCE ISSUES MEMORANDUM</w:t>
      </w:r>
    </w:p>
    <w:p>
      <w:pPr>
        <w:pStyle w:val="FirstParagraph"/>
      </w:pPr>
      <w:r>
        <w:rPr>
          <w:b/>
          <w:bCs/>
        </w:rPr>
        <w:t xml:space="preserve">PRIVILEGED &amp; CONFIDENTIAL — PREPARED IN ANTICIPATION OF TRANSACTION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Cornerstone Industrial Partners LLC (</w:t>
            </w:r>
            <w:r>
              <w:t xml:space="preserve">“</w:t>
            </w:r>
            <w:r>
              <w:t xml:space="preserve">Buyer</w:t>
            </w:r>
            <w:r>
              <w:t xml:space="preserve">”</w:t>
            </w:r>
            <w:r>
              <w:t xml:space="preserve">); Whitfield &amp; Crane LLP, Buyer’s Counsel</w:t>
            </w:r>
          </w:p>
        </w:tc>
      </w:tr>
      <w:tr>
        <w:tc>
          <w:tcPr/>
          <w:p>
            <w:pPr>
              <w:pStyle w:val="Compact"/>
              <w:jc w:val="left"/>
            </w:pPr>
            <w:r>
              <w:rPr>
                <w:b/>
                <w:bCs/>
              </w:rPr>
              <w:t xml:space="preserve">From:</w:t>
            </w:r>
          </w:p>
        </w:tc>
        <w:tc>
          <w:tcPr/>
          <w:p>
            <w:pPr>
              <w:pStyle w:val="Compact"/>
              <w:jc w:val="left"/>
            </w:pPr>
            <w:r>
              <w:t xml:space="preserve">Environmental Due Diligence Review</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Environmental Issues and Severity Ratings — Proposed Acquisition of 4820 Lakeshore Industrial Drive, Toledo, Lucas County, Ohio 43611 (the</w:t>
            </w:r>
            <w:r>
              <w:t xml:space="preserve"> </w:t>
            </w:r>
            <w:r>
              <w:t xml:space="preserve">“</w:t>
            </w:r>
            <w:r>
              <w:t xml:space="preserve">Property</w:t>
            </w:r>
            <w:r>
              <w:t xml:space="preserve">”</w:t>
            </w:r>
            <w:r>
              <w:t xml:space="preserve">) from Breckenridge Manufacturing Co.</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issues identified in the Phase I Environmental Site Assessment (</w:t>
      </w:r>
      <w:r>
        <w:t xml:space="preserve">“</w:t>
      </w:r>
      <w:r>
        <w:t xml:space="preserve">Phase I ESA</w:t>
      </w:r>
      <w:r>
        <w:t xml:space="preserve">”</w:t>
      </w:r>
      <w:r>
        <w:t xml:space="preserve">) and supporting environmental documents for Buyer’s proposed acquisition of the approximately 14.7-acre former manufacturing/warehouse complex located at 4820 Lakeshore Industrial Drive, Toledo, Ohio (the</w:t>
      </w:r>
      <w:r>
        <w:t xml:space="preserve"> </w:t>
      </w:r>
      <w:r>
        <w:t xml:space="preserve">“</w:t>
      </w:r>
      <w:r>
        <w:t xml:space="preserve">Property</w:t>
      </w:r>
      <w:r>
        <w:t xml:space="preserve">”</w:t>
      </w:r>
      <w:r>
        <w:t xml:space="preserve">) from Breckenridge Manufacturing Co. (</w:t>
      </w:r>
      <w:r>
        <w:t xml:space="preserve">“</w:t>
      </w:r>
      <w:r>
        <w:t xml:space="preserve">Seller</w:t>
      </w:r>
      <w:r>
        <w:t xml:space="preserve">”</w:t>
      </w:r>
      <w:r>
        <w:t xml:space="preserve">), for a purchase price of $8,750,000, financed in part by a $6,125,000 acquisition loan from Great Lakes Capital Bank (the</w:t>
      </w:r>
      <w:r>
        <w:t xml:space="preserve"> </w:t>
      </w:r>
      <w:r>
        <w:t xml:space="preserve">“</w:t>
      </w:r>
      <w:r>
        <w:t xml:space="preserve">Lender</w:t>
      </w:r>
      <w:r>
        <w:t xml:space="preserve">”</w:t>
      </w:r>
      <w:r>
        <w:t xml:space="preserve">). The transaction is scheduled to close on December 15, 2024.</w:t>
      </w:r>
    </w:p>
    <w:p>
      <w:pPr>
        <w:pStyle w:val="BodyText"/>
      </w:pPr>
      <w:r>
        <w:rPr>
          <w:b/>
          <w:bCs/>
        </w:rPr>
        <w:t xml:space="preserve">Bottom line.</w:t>
      </w:r>
      <w:r>
        <w:t xml:space="preserve"> </w:t>
      </w:r>
      <w:r>
        <w:t xml:space="preserve">The Phase I ESA (Greenfield Environmental Consultants Inc., dated October 25, 2024) identified</w:t>
      </w:r>
      <w:r>
        <w:t xml:space="preserve"> </w:t>
      </w:r>
      <w:r>
        <w:rPr>
          <w:b/>
          <w:bCs/>
        </w:rPr>
        <w:t xml:space="preserve">two on-site recognized environmental conditions (</w:t>
      </w:r>
      <w:r>
        <w:rPr>
          <w:b/>
          <w:bCs/>
        </w:rPr>
        <w:t xml:space="preserve">“</w:t>
      </w:r>
      <w:r>
        <w:rPr>
          <w:b/>
          <w:bCs/>
        </w:rPr>
        <w:t xml:space="preserve">RECs</w:t>
      </w:r>
      <w:r>
        <w:rPr>
          <w:b/>
          <w:bCs/>
        </w:rPr>
        <w:t xml:space="preserve">”</w:t>
      </w:r>
      <w:r>
        <w:rPr>
          <w:b/>
          <w:bCs/>
        </w:rPr>
        <w:t xml:space="preserve">)</w:t>
      </w:r>
      <w:r>
        <w:t xml:space="preserve">: (i) a 30-year trichloroethylene (</w:t>
      </w:r>
      <w:r>
        <w:t xml:space="preserve">“</w:t>
      </w:r>
      <w:r>
        <w:t xml:space="preserve">TCE</w:t>
      </w:r>
      <w:r>
        <w:t xml:space="preserve">”</w:t>
      </w:r>
      <w:r>
        <w:t xml:space="preserve">) vapor-degreasing operation with an abandoned, leaking waste-TCE drum and a documented 1988 solvent spill; and (ii) a 39-year hexavalent chromium electroplating operation with visible chromium staining, a contaminated sump, and no hazardous-waste disposal records for 1965–2003. The supporting record reveals a</w:t>
      </w:r>
      <w:r>
        <w:t xml:space="preserve"> </w:t>
      </w:r>
      <w:r>
        <w:rPr>
          <w:b/>
          <w:bCs/>
        </w:rPr>
        <w:t xml:space="preserve">third, equally serious condition that the Phase I did not classify as a REC</w:t>
      </w:r>
      <w:r>
        <w:t xml:space="preserve">: a confirmed tetrachloroethylene (</w:t>
      </w:r>
      <w:r>
        <w:t xml:space="preserve">“</w:t>
      </w:r>
      <w:r>
        <w:t xml:space="preserve">PCE</w:t>
      </w:r>
      <w:r>
        <w:t xml:space="preserve">”</w:t>
      </w:r>
      <w:r>
        <w:t xml:space="preserve">) groundwater plume from the adjacent, hydraulically upgradient former Lake Erie Dry Cleaning facility (4900 Lakeshore Industrial Drive) that is migrating toward the Property, with PCE detected at 87 µg/L (17.4× the Ohio standard) only 120 feet north of the Property boundary. The Property lies within a state-designated Groundwater Management Zone, and</w:t>
      </w:r>
      <w:r>
        <w:t xml:space="preserve"> </w:t>
      </w:r>
      <w:r>
        <w:rPr>
          <w:b/>
          <w:bCs/>
        </w:rPr>
        <w:t xml:space="preserve">no investigation of PCE beneath the Property has ever been conducted.</w:t>
      </w:r>
    </w:p>
    <w:p>
      <w:pPr>
        <w:pStyle w:val="BodyText"/>
      </w:pPr>
      <w:r>
        <w:t xml:space="preserve">Compounding the environmental picture,</w:t>
      </w:r>
      <w:r>
        <w:t xml:space="preserve"> </w:t>
      </w:r>
      <w:r>
        <w:rPr>
          <w:b/>
          <w:bCs/>
        </w:rPr>
        <w:t xml:space="preserve">multiple of Seller’s environmental representations in the Asset Purchase Agreement appear to be breached</w:t>
      </w:r>
      <w:r>
        <w:t xml:space="preserve"> </w:t>
      </w:r>
      <w:r>
        <w:t xml:space="preserve">— including the representations that there have been no releases (§4.12(a)), no environmental notices or consent orders (§4.12(c)), and that Schedule 4.13 is a complete list of all underground storage tanks (§4.13(a)). The contractual risk-allocation package is thin: Seller’s indemnity is capped at</w:t>
      </w:r>
      <w:r>
        <w:t xml:space="preserve"> </w:t>
      </w:r>
      <w:r>
        <w:rPr>
          <w:b/>
          <w:bCs/>
        </w:rPr>
        <w:t xml:space="preserve">$1,750,000 (20% of the purchase price)</w:t>
      </w:r>
      <w:r>
        <w:t xml:space="preserve"> </w:t>
      </w:r>
      <w:r>
        <w:t xml:space="preserve">and survives for only</w:t>
      </w:r>
      <w:r>
        <w:t xml:space="preserve"> </w:t>
      </w:r>
      <w:r>
        <w:rPr>
          <w:b/>
          <w:bCs/>
        </w:rPr>
        <w:t xml:space="preserve">three years</w:t>
      </w:r>
      <w:r>
        <w:t xml:space="preserve">, which is unlikely to cover the remediation of three serious contaminant issues and may expire before latent groundwater conditions manifest. The Lender has stated it</w:t>
      </w:r>
      <w:r>
        <w:t xml:space="preserve"> </w:t>
      </w:r>
      <w:r>
        <w:rPr>
          <w:b/>
          <w:bCs/>
        </w:rPr>
        <w:t xml:space="preserve">will not fund on the Phase I alone</w:t>
      </w:r>
      <w:r>
        <w:t xml:space="preserve"> </w:t>
      </w:r>
      <w:r>
        <w:t xml:space="preserve">and requires, before closing, a Phase II ESA with quantified cost estimates, pollution legal liability insurance of at least $5,000,000 (10-year term), a remediation-cost escrow, an approved remediation plan, and a vapor intrusion assessment.</w:t>
      </w:r>
    </w:p>
    <w:p>
      <w:pPr>
        <w:pStyle w:val="BodyText"/>
      </w:pPr>
      <w:r>
        <w:t xml:space="preserve">Buyer’s contractual right to terminate the Agreement on environmental grounds (for RECs reasonably expected to cause remediation costs exceeding $500,000)</w:t>
      </w:r>
      <w:r>
        <w:t xml:space="preserve"> </w:t>
      </w:r>
      <w:r>
        <w:rPr>
          <w:b/>
          <w:bCs/>
        </w:rPr>
        <w:t xml:space="preserve">expires at 5:00 p.m. Eastern Time on October 31, 2024</w:t>
      </w:r>
      <w:r>
        <w:t xml:space="preserve"> </w:t>
      </w:r>
      <w:r>
        <w:t xml:space="preserve">— three days from the date of this memorandum.</w:t>
      </w:r>
    </w:p>
    <w:p>
      <w:pPr>
        <w:pStyle w:val="BodyText"/>
      </w:pPr>
      <w:r>
        <w:t xml:space="preserve">We rate the identified issues as follows:</w:t>
      </w:r>
      <w:r>
        <w:t xml:space="preserve"> </w:t>
      </w:r>
      <w:r>
        <w:rPr>
          <w:b/>
          <w:bCs/>
        </w:rPr>
        <w:t xml:space="preserve">5 Critical, 9 High, 4 Medium, and 10 Low.</w:t>
      </w:r>
      <w:r>
        <w:t xml:space="preserve"> </w:t>
      </w:r>
      <w:r>
        <w:t xml:space="preserve">The Critical and High issues, individually and collectively, warrant Phase II investigation, enhanced contractual protection, satisfaction of the Lender’s conditional requirements, and a prompt decision on the termination right. Recommended actions are set forth in Section 8.</w:t>
      </w:r>
    </w:p>
    <w:p>
      <w:r>
        <w:pict>
          <v:rect style="width:0;height:1.5pt" o:hralign="center" o:hrstd="t" o:hr="t"/>
        </w:pict>
      </w:r>
    </w:p>
    <w:bookmarkEnd w:id="20"/>
    <w:bookmarkStart w:id="21" w:name="scope-of-review-and-documents-reviewed"/>
    <w:p>
      <w:pPr>
        <w:pStyle w:val="Heading2"/>
      </w:pPr>
      <w:r>
        <w:t xml:space="preserve">2. Scope of Review and Documents Reviewed</w:t>
      </w:r>
    </w:p>
    <w:p>
      <w:pPr>
        <w:pStyle w:val="FirstParagraph"/>
      </w:pPr>
      <w:r>
        <w:t xml:space="preserve">This memorandum is based on review of the following documents, all of which pertain to the Property and the proposed acquisition:</w:t>
      </w:r>
    </w:p>
    <w:p>
      <w:pPr>
        <w:pStyle w:val="Compact"/>
        <w:numPr>
          <w:ilvl w:val="0"/>
          <w:numId w:val="1001"/>
        </w:numPr>
      </w:pPr>
      <w:r>
        <w:rPr>
          <w:b/>
          <w:bCs/>
        </w:rPr>
        <w:t xml:space="preserve">Phase I ESA</w:t>
      </w:r>
      <w:r>
        <w:t xml:space="preserve"> </w:t>
      </w:r>
      <w:r>
        <w:t xml:space="preserve">— Greenfield Environmental Consultants Inc.,</w:t>
      </w:r>
      <w:r>
        <w:t xml:space="preserve"> </w:t>
      </w:r>
      <w:r>
        <w:rPr>
          <w:i/>
          <w:iCs/>
        </w:rPr>
        <w:t xml:space="preserve">Phase I Environmental Site Assessment, 4820 Lakeshore Industrial Drive, Toledo, Lucas County, Ohio 43611</w:t>
      </w:r>
      <w:r>
        <w:t xml:space="preserve">, Project No. GEC-2024-0347, dated October 25, 2024 (site reconnaissance October 2, 2024), prepared in conformance with ASTM E1527-21.</w:t>
      </w:r>
    </w:p>
    <w:p>
      <w:pPr>
        <w:pStyle w:val="Compact"/>
        <w:numPr>
          <w:ilvl w:val="0"/>
          <w:numId w:val="1001"/>
        </w:numPr>
      </w:pPr>
      <w:r>
        <w:rPr>
          <w:b/>
          <w:bCs/>
        </w:rPr>
        <w:t xml:space="preserve">EDR Database Summary</w:t>
      </w:r>
      <w:r>
        <w:t xml:space="preserve"> </w:t>
      </w:r>
      <w:r>
        <w:t xml:space="preserve">— Environmental Data Resources, Inc., Radius Map Report summary pages, Inquiry No. 6742891, dated September 15, 2024 (subject property, adjacent property, and orphan site listings).</w:t>
      </w:r>
    </w:p>
    <w:p>
      <w:pPr>
        <w:pStyle w:val="Compact"/>
        <w:numPr>
          <w:ilvl w:val="0"/>
          <w:numId w:val="1001"/>
        </w:numPr>
      </w:pPr>
      <w:r>
        <w:rPr>
          <w:b/>
          <w:bCs/>
        </w:rPr>
        <w:t xml:space="preserve">Ohio EPA Response</w:t>
      </w:r>
      <w:r>
        <w:t xml:space="preserve"> </w:t>
      </w:r>
      <w:r>
        <w:t xml:space="preserve">— Ohio EPA, Division of Environmental Response and Revitalization, Northwest District Office, File Ref. DERR-NW-2024-RR-0438, dated September 28, 2024 (response to Greenfield’s records request).</w:t>
      </w:r>
    </w:p>
    <w:p>
      <w:pPr>
        <w:pStyle w:val="Compact"/>
        <w:numPr>
          <w:ilvl w:val="0"/>
          <w:numId w:val="1001"/>
        </w:numPr>
      </w:pPr>
      <w:r>
        <w:rPr>
          <w:b/>
          <w:bCs/>
        </w:rPr>
        <w:t xml:space="preserve">Lender Requirements Letter</w:t>
      </w:r>
      <w:r>
        <w:t xml:space="preserve"> </w:t>
      </w:r>
      <w:r>
        <w:t xml:space="preserve">— Great Lakes Capital Bank, Commercial Real Estate Lending Division (J. Pham), dated September 10, 2024, Loan No. GLCB-2024-08173.</w:t>
      </w:r>
    </w:p>
    <w:p>
      <w:pPr>
        <w:pStyle w:val="Compact"/>
        <w:numPr>
          <w:ilvl w:val="0"/>
          <w:numId w:val="1001"/>
        </w:numPr>
      </w:pPr>
      <w:r>
        <w:rPr>
          <w:b/>
          <w:bCs/>
        </w:rPr>
        <w:t xml:space="preserve">Asset Purchase Agreement (Excerpt)</w:t>
      </w:r>
      <w:r>
        <w:t xml:space="preserve"> </w:t>
      </w:r>
      <w:r>
        <w:t xml:space="preserve">— by and between Breckenridge Manufacturing Co. (Seller) and Cornerstone Industrial Partners LLC (Buyer), dated September 1, 2024 (Article I definitions; §§4.12–4.13; §6.3; §§8.1–8.4; Schedule 4.13).</w:t>
      </w:r>
    </w:p>
    <w:p>
      <w:pPr>
        <w:pStyle w:val="FirstParagraph"/>
      </w:pPr>
      <w:r>
        <w:rPr>
          <w:b/>
          <w:bCs/>
        </w:rPr>
        <w:t xml:space="preserve">Documents excluded as out of scope.</w:t>
      </w:r>
      <w:r>
        <w:t xml:space="preserve"> </w:t>
      </w:r>
      <w:r>
        <w:t xml:space="preserve">A separate set of environmental documents in the data room — a Phase I ESA, an environmental database search summary, and a 2004 underground storage tank closure report — all pertain to a</w:t>
      </w:r>
      <w:r>
        <w:t xml:space="preserve"> </w:t>
      </w:r>
      <w:r>
        <w:rPr>
          <w:b/>
          <w:bCs/>
        </w:rPr>
        <w:t xml:space="preserve">different property</w:t>
      </w:r>
      <w:r>
        <w:t xml:space="preserve"> </w:t>
      </w:r>
      <w:r>
        <w:t xml:space="preserve">(2850 Millrace Road, Dayton, Ohio) and a</w:t>
      </w:r>
      <w:r>
        <w:t xml:space="preserve"> </w:t>
      </w:r>
      <w:r>
        <w:rPr>
          <w:b/>
          <w:bCs/>
        </w:rPr>
        <w:t xml:space="preserve">different, unrelated Cornerstone transaction</w:t>
      </w:r>
      <w:r>
        <w:t xml:space="preserve"> </w:t>
      </w:r>
      <w:r>
        <w:t xml:space="preserve">(different seller, different counsel, different purchase price, and a Phase I dated April 2025). Those documents do not relate to the Property or to Seller, and are not part of the due-diligence record for this acquisition. They have been reviewed only to confirm that they are not germane, and are excluded from the analysis below. Care should be taken not to import conditions, database listings, or regulatory closures from the Dayton property into this transaction.</w:t>
      </w:r>
    </w:p>
    <w:p>
      <w:r>
        <w:pict>
          <v:rect style="width:0;height:1.5pt" o:hralign="center" o:hrstd="t" o:hr="t"/>
        </w:pict>
      </w:r>
    </w:p>
    <w:bookmarkEnd w:id="21"/>
    <w:bookmarkStart w:id="22" w:name="transaction-overview"/>
    <w:p>
      <w:pPr>
        <w:pStyle w:val="Heading2"/>
      </w:pPr>
      <w:r>
        <w:t xml:space="preserve">3.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4820 Lakeshore Industrial Drive, Toledo, Lucas County, Ohio 43611; ~14.7 acres; three parcels (18-04562-001/-002/-003)</w:t>
            </w:r>
          </w:p>
        </w:tc>
      </w:tr>
      <w:tr>
        <w:tc>
          <w:tcPr/>
          <w:p>
            <w:pPr>
              <w:pStyle w:val="Compact"/>
              <w:jc w:val="left"/>
            </w:pPr>
            <w:r>
              <w:t xml:space="preserve">Improvements</w:t>
            </w:r>
          </w:p>
        </w:tc>
        <w:tc>
          <w:tcPr/>
          <w:p>
            <w:pPr>
              <w:pStyle w:val="Compact"/>
              <w:jc w:val="left"/>
            </w:pPr>
            <w:r>
              <w:t xml:space="preserve">Main manufacturing building (~100,000 sf, 1962 + 1978 addition); warehouse (~35,000 sf, 1985); maintenance/utility building (~6,500 sf, 1972)</w:t>
            </w:r>
          </w:p>
        </w:tc>
      </w:tr>
      <w:tr>
        <w:tc>
          <w:tcPr/>
          <w:p>
            <w:pPr>
              <w:pStyle w:val="Compact"/>
              <w:jc w:val="left"/>
            </w:pPr>
            <w:r>
              <w:t xml:space="preserve">Seller</w:t>
            </w:r>
          </w:p>
        </w:tc>
        <w:tc>
          <w:tcPr/>
          <w:p>
            <w:pPr>
              <w:pStyle w:val="Compact"/>
              <w:jc w:val="left"/>
            </w:pPr>
            <w:r>
              <w:t xml:space="preserve">Breckenridge Manufacturing Co. (owned/operated since 1961; manufacturing ceased Dec. 2019; warehouse use since)</w:t>
            </w:r>
          </w:p>
        </w:tc>
      </w:tr>
      <w:tr>
        <w:tc>
          <w:tcPr/>
          <w:p>
            <w:pPr>
              <w:pStyle w:val="Compact"/>
              <w:jc w:val="left"/>
            </w:pPr>
            <w:r>
              <w:t xml:space="preserve">Buyer</w:t>
            </w:r>
          </w:p>
        </w:tc>
        <w:tc>
          <w:tcPr/>
          <w:p>
            <w:pPr>
              <w:pStyle w:val="Compact"/>
              <w:jc w:val="left"/>
            </w:pPr>
            <w:r>
              <w:t xml:space="preserve">Cornerstone Industrial Partners LLC</w:t>
            </w:r>
          </w:p>
        </w:tc>
      </w:tr>
      <w:tr>
        <w:tc>
          <w:tcPr/>
          <w:p>
            <w:pPr>
              <w:pStyle w:val="Compact"/>
              <w:jc w:val="left"/>
            </w:pPr>
            <w:r>
              <w:t xml:space="preserve">Purchase Price</w:t>
            </w:r>
          </w:p>
        </w:tc>
        <w:tc>
          <w:tcPr/>
          <w:p>
            <w:pPr>
              <w:pStyle w:val="Compact"/>
              <w:jc w:val="left"/>
            </w:pPr>
            <w:r>
              <w:t xml:space="preserve">$8,750,000</w:t>
            </w:r>
          </w:p>
        </w:tc>
      </w:tr>
      <w:tr>
        <w:tc>
          <w:tcPr/>
          <w:p>
            <w:pPr>
              <w:pStyle w:val="Compact"/>
              <w:jc w:val="left"/>
            </w:pPr>
            <w:r>
              <w:t xml:space="preserve">Lender / Loan</w:t>
            </w:r>
          </w:p>
        </w:tc>
        <w:tc>
          <w:tcPr/>
          <w:p>
            <w:pPr>
              <w:pStyle w:val="Compact"/>
              <w:jc w:val="left"/>
            </w:pPr>
            <w:r>
              <w:t xml:space="preserve">Great Lakes Capital Bank; $6,125,000 (~70% LTV); Buyer equity $2,625,000</w:t>
            </w:r>
          </w:p>
        </w:tc>
      </w:tr>
      <w:tr>
        <w:tc>
          <w:tcPr/>
          <w:p>
            <w:pPr>
              <w:pStyle w:val="Compact"/>
              <w:jc w:val="left"/>
            </w:pPr>
            <w:r>
              <w:t xml:space="preserve">Effective Date</w:t>
            </w:r>
          </w:p>
        </w:tc>
        <w:tc>
          <w:tcPr/>
          <w:p>
            <w:pPr>
              <w:pStyle w:val="Compact"/>
              <w:jc w:val="left"/>
            </w:pPr>
            <w:r>
              <w:t xml:space="preserve">September 1, 2024</w:t>
            </w:r>
          </w:p>
        </w:tc>
      </w:tr>
      <w:tr>
        <w:tc>
          <w:tcPr/>
          <w:p>
            <w:pPr>
              <w:pStyle w:val="Compact"/>
              <w:jc w:val="left"/>
            </w:pPr>
            <w:r>
              <w:t xml:space="preserve">Environmental Due Diligence Period</w:t>
            </w:r>
          </w:p>
        </w:tc>
        <w:tc>
          <w:tcPr/>
          <w:p>
            <w:pPr>
              <w:pStyle w:val="Compact"/>
              <w:jc w:val="left"/>
            </w:pPr>
            <w:r>
              <w:t xml:space="preserve">September 1 – October 31, 2024 (60 days; auto-expires)</w:t>
            </w:r>
          </w:p>
        </w:tc>
      </w:tr>
      <w:tr>
        <w:tc>
          <w:tcPr/>
          <w:p>
            <w:pPr>
              <w:pStyle w:val="Compact"/>
              <w:jc w:val="left"/>
            </w:pPr>
            <w:r>
              <w:t xml:space="preserve">Closing Date</w:t>
            </w:r>
          </w:p>
        </w:tc>
        <w:tc>
          <w:tcPr/>
          <w:p>
            <w:pPr>
              <w:pStyle w:val="Compact"/>
              <w:jc w:val="left"/>
            </w:pPr>
            <w:r>
              <w:t xml:space="preserve">December 15, 2024</w:t>
            </w:r>
          </w:p>
        </w:tc>
      </w:tr>
      <w:tr>
        <w:tc>
          <w:tcPr/>
          <w:p>
            <w:pPr>
              <w:pStyle w:val="Compact"/>
              <w:jc w:val="left"/>
            </w:pPr>
            <w:r>
              <w:t xml:space="preserve">Lender Phase I delivery deadline</w:t>
            </w:r>
          </w:p>
        </w:tc>
        <w:tc>
          <w:tcPr/>
          <w:p>
            <w:pPr>
              <w:pStyle w:val="Compact"/>
              <w:jc w:val="left"/>
            </w:pPr>
            <w:r>
              <w:t xml:space="preserve">November 15, 2024</w:t>
            </w:r>
          </w:p>
        </w:tc>
      </w:tr>
      <w:tr>
        <w:tc>
          <w:tcPr/>
          <w:p>
            <w:pPr>
              <w:pStyle w:val="Compact"/>
              <w:jc w:val="left"/>
            </w:pPr>
            <w:r>
              <w:t xml:space="preserve">Lender Phase II / insurance / escrow deadline</w:t>
            </w:r>
          </w:p>
        </w:tc>
        <w:tc>
          <w:tcPr/>
          <w:p>
            <w:pPr>
              <w:pStyle w:val="Compact"/>
              <w:jc w:val="left"/>
            </w:pPr>
            <w:r>
              <w:t xml:space="preserve">November 30, 2024</w:t>
            </w:r>
          </w:p>
        </w:tc>
      </w:tr>
    </w:tbl>
    <w:p>
      <w:pPr>
        <w:pStyle w:val="BodyText"/>
      </w:pPr>
      <w:r>
        <w:rPr>
          <w:b/>
          <w:bCs/>
        </w:rPr>
        <w:t xml:space="preserve">Key contractual environmental terms (Asset Purchase Agreement):</w:t>
      </w:r>
    </w:p>
    <w:p>
      <w:pPr>
        <w:pStyle w:val="Compact"/>
        <w:numPr>
          <w:ilvl w:val="0"/>
          <w:numId w:val="1002"/>
        </w:numPr>
      </w:pPr>
      <w:r>
        <w:rPr>
          <w:b/>
          <w:bCs/>
        </w:rPr>
        <w:t xml:space="preserve">§6.3(b)–(c) Termination right.</w:t>
      </w:r>
      <w:r>
        <w:t xml:space="preserve"> </w:t>
      </w:r>
      <w:r>
        <w:t xml:space="preserve">Buyer may terminate and recover its $437,500 earnest money if the Phase I (or any environmental investigation) identifies RECs that, in Buyer’s reasonable judgment, could result in remediation costs exceeding</w:t>
      </w:r>
      <w:r>
        <w:t xml:space="preserve"> </w:t>
      </w:r>
      <w:r>
        <w:rPr>
          <w:b/>
          <w:bCs/>
        </w:rPr>
        <w:t xml:space="preserve">$500,000</w:t>
      </w:r>
      <w:r>
        <w:t xml:space="preserve">. The termination notice must be delivered</w:t>
      </w:r>
      <w:r>
        <w:t xml:space="preserve"> </w:t>
      </w:r>
      <w:r>
        <w:rPr>
          <w:b/>
          <w:bCs/>
        </w:rPr>
        <w:t xml:space="preserve">on or before October 31, 2024</w:t>
      </w:r>
      <w:r>
        <w:t xml:space="preserve">. If not exercised, the right is</w:t>
      </w:r>
      <w:r>
        <w:t xml:space="preserve"> </w:t>
      </w:r>
      <w:r>
        <w:rPr>
          <w:b/>
          <w:bCs/>
        </w:rPr>
        <w:t xml:space="preserve">deemed waived</w:t>
      </w:r>
      <w:r>
        <w:t xml:space="preserve"> </w:t>
      </w:r>
      <w:r>
        <w:t xml:space="preserve">automatically; indemnification rights under Article VIII are expressly preserved.</w:t>
      </w:r>
    </w:p>
    <w:p>
      <w:pPr>
        <w:pStyle w:val="Compact"/>
        <w:numPr>
          <w:ilvl w:val="0"/>
          <w:numId w:val="1002"/>
        </w:numPr>
      </w:pPr>
      <w:r>
        <w:rPr>
          <w:b/>
          <w:bCs/>
        </w:rPr>
        <w:t xml:space="preserve">§8.2 Seller indemnity.</w:t>
      </w:r>
      <w:r>
        <w:t xml:space="preserve"> </w:t>
      </w:r>
      <w:r>
        <w:t xml:space="preserve">Seller indemnifies Buyer for (i) breaches of reps/warranties (including §§4.12–4.13), (ii) breaches of covenants, (iii)</w:t>
      </w:r>
      <w:r>
        <w:t xml:space="preserve"> </w:t>
      </w:r>
      <w:r>
        <w:rPr>
          <w:b/>
          <w:bCs/>
        </w:rPr>
        <w:t xml:space="preserve">Pre-Closing Environmental Liabilities</w:t>
      </w:r>
      <w:r>
        <w:t xml:space="preserve"> </w:t>
      </w:r>
      <w:r>
        <w:t xml:space="preserve">(regardless of when discovered), and (iv) pre-closing third-party claims. Indemnity is the</w:t>
      </w:r>
      <w:r>
        <w:t xml:space="preserve"> </w:t>
      </w:r>
      <w:r>
        <w:rPr>
          <w:b/>
          <w:bCs/>
        </w:rPr>
        <w:t xml:space="preserve">sole and exclusive remedy</w:t>
      </w:r>
      <w:r>
        <w:t xml:space="preserve">, except for fraud or intentional misrepresentation.</w:t>
      </w:r>
    </w:p>
    <w:p>
      <w:pPr>
        <w:pStyle w:val="Compact"/>
        <w:numPr>
          <w:ilvl w:val="0"/>
          <w:numId w:val="1002"/>
        </w:numPr>
      </w:pPr>
      <w:r>
        <w:rPr>
          <w:b/>
          <w:bCs/>
        </w:rPr>
        <w:t xml:space="preserve">§8.4(a) Basket.</w:t>
      </w:r>
      <w:r>
        <w:t xml:space="preserve"> </w:t>
      </w:r>
      <w:r>
        <w:t xml:space="preserve">$87,500 (1% of price); applies</w:t>
      </w:r>
      <w:r>
        <w:t xml:space="preserve"> </w:t>
      </w:r>
      <w:r>
        <w:rPr>
          <w:b/>
          <w:bCs/>
        </w:rPr>
        <w:t xml:space="preserve">only</w:t>
      </w:r>
      <w:r>
        <w:t xml:space="preserve"> </w:t>
      </w:r>
      <w:r>
        <w:t xml:space="preserve">to rep/warranty breaches (§8.2(a)(i)).</w:t>
      </w:r>
      <w:r>
        <w:t xml:space="preserve"> </w:t>
      </w:r>
      <w:r>
        <w:rPr>
          <w:b/>
          <w:bCs/>
        </w:rPr>
        <w:t xml:space="preserve">The basket does not apply to Pre-Closing Environmental Liabilities</w:t>
      </w:r>
      <w:r>
        <w:t xml:space="preserve"> </w:t>
      </w:r>
      <w:r>
        <w:t xml:space="preserve">(§8.2(a)(iii)) — environmental claims are first-dollar.</w:t>
      </w:r>
    </w:p>
    <w:p>
      <w:pPr>
        <w:pStyle w:val="Compact"/>
        <w:numPr>
          <w:ilvl w:val="0"/>
          <w:numId w:val="1002"/>
        </w:numPr>
      </w:pPr>
      <w:r>
        <w:rPr>
          <w:b/>
          <w:bCs/>
        </w:rPr>
        <w:t xml:space="preserve">§8.4(b) Indemnification Cap.</w:t>
      </w:r>
      <w:r>
        <w:t xml:space="preserve"> </w:t>
      </w:r>
      <w:r>
        <w:rPr>
          <w:b/>
          <w:bCs/>
        </w:rPr>
        <w:t xml:space="preserve">$1,750,000 (20% of price)</w:t>
      </w:r>
      <w:r>
        <w:t xml:space="preserve">, applying to</w:t>
      </w:r>
      <w:r>
        <w:t xml:space="preserve"> </w:t>
      </w:r>
      <w:r>
        <w:rPr>
          <w:b/>
          <w:bCs/>
        </w:rPr>
        <w:t xml:space="preserve">all</w:t>
      </w:r>
      <w:r>
        <w:t xml:space="preserve"> </w:t>
      </w:r>
      <w:r>
        <w:t xml:space="preserve">claims including Pre-Closing Environmental Liabilities.</w:t>
      </w:r>
    </w:p>
    <w:p>
      <w:pPr>
        <w:pStyle w:val="Compact"/>
        <w:numPr>
          <w:ilvl w:val="0"/>
          <w:numId w:val="1002"/>
        </w:numPr>
      </w:pPr>
      <w:r>
        <w:rPr>
          <w:b/>
          <w:bCs/>
        </w:rPr>
        <w:t xml:space="preserve">§8.4(c) Survival Period.</w:t>
      </w:r>
      <w:r>
        <w:t xml:space="preserve"> </w:t>
      </w:r>
      <w:r>
        <w:t xml:space="preserve">Reps/warranties and Pre-Closing Environmental Liabilities survive for</w:t>
      </w:r>
      <w:r>
        <w:t xml:space="preserve"> </w:t>
      </w:r>
      <w:r>
        <w:rPr>
          <w:b/>
          <w:bCs/>
        </w:rPr>
        <w:t xml:space="preserve">three (3) years</w:t>
      </w:r>
      <w:r>
        <w:t xml:space="preserve"> </w:t>
      </w:r>
      <w:r>
        <w:t xml:space="preserve">after closing.</w:t>
      </w:r>
    </w:p>
    <w:p>
      <w:pPr>
        <w:pStyle w:val="Compact"/>
        <w:numPr>
          <w:ilvl w:val="0"/>
          <w:numId w:val="1002"/>
        </w:numPr>
      </w:pPr>
      <w:r>
        <w:rPr>
          <w:b/>
          <w:bCs/>
        </w:rPr>
        <w:t xml:space="preserve">§8.4(d) Fraud exception.</w:t>
      </w:r>
      <w:r>
        <w:t xml:space="preserve"> </w:t>
      </w:r>
      <w:r>
        <w:t xml:space="preserve">The basket, cap, and survival period</w:t>
      </w:r>
      <w:r>
        <w:t xml:space="preserve"> </w:t>
      </w:r>
      <w:r>
        <w:rPr>
          <w:b/>
          <w:bCs/>
        </w:rPr>
        <w:t xml:space="preserve">do not apply</w:t>
      </w:r>
      <w:r>
        <w:t xml:space="preserve"> </w:t>
      </w:r>
      <w:r>
        <w:t xml:space="preserve">to fraud or intentional misrepresentation.</w:t>
      </w:r>
    </w:p>
    <w:p>
      <w:pPr>
        <w:pStyle w:val="Compact"/>
        <w:numPr>
          <w:ilvl w:val="0"/>
          <w:numId w:val="1002"/>
        </w:numPr>
      </w:pPr>
      <w:r>
        <w:rPr>
          <w:b/>
          <w:bCs/>
        </w:rPr>
        <w:t xml:space="preserve">§§4.12–4.13 Seller environmental reps.</w:t>
      </w:r>
      <w:r>
        <w:t xml:space="preserve"> </w:t>
      </w:r>
      <w:r>
        <w:t xml:space="preserve">Seller represents,</w:t>
      </w:r>
      <w:r>
        <w:t xml:space="preserve"> </w:t>
      </w:r>
      <w:r>
        <w:rPr>
          <w:i/>
          <w:iCs/>
        </w:rPr>
        <w:t xml:space="preserve">to its knowledge</w:t>
      </w:r>
      <w:r>
        <w:t xml:space="preserve">, that there have been no releases (§4.12(a)); material compliance with environmental laws and permits (§4.12(b)); no environmental notices, enforcement actions, or consent orders (§4.12(c), Schedule 4.12(c):</w:t>
      </w:r>
      <w:r>
        <w:t xml:space="preserve"> </w:t>
      </w:r>
      <w:r>
        <w:t xml:space="preserve">“</w:t>
      </w:r>
      <w:r>
        <w:t xml:space="preserve">None</w:t>
      </w:r>
      <w:r>
        <w:t xml:space="preserve">”</w:t>
      </w:r>
      <w:r>
        <w:t xml:space="preserve">); delivery of all environmental documents (§4.12(d)); no environmental liens/AULs/covenants (§4.12(e)); and that Schedule 4.13 is a complete list of all USTs, all properly registered/closed, with no releases (§4.13). Schedule 4.13 lists only the active 10,000-gallon diesel UST and states</w:t>
      </w:r>
      <w:r>
        <w:t xml:space="preserve"> </w:t>
      </w:r>
      <w:r>
        <w:t xml:space="preserve">“</w:t>
      </w:r>
      <w:r>
        <w:t xml:space="preserve">No other Underground Storage Tanks are or have been located on the Property.</w:t>
      </w:r>
      <w:r>
        <w:t xml:space="preserve">”</w:t>
      </w:r>
    </w:p>
    <w:p>
      <w:r>
        <w:pict>
          <v:rect style="width:0;height:1.5pt" o:hralign="center" o:hrstd="t" o:hr="t"/>
        </w:pict>
      </w:r>
    </w:p>
    <w:bookmarkEnd w:id="22"/>
    <w:bookmarkStart w:id="23" w:name="severity-rating-scale"/>
    <w:p>
      <w:pPr>
        <w:pStyle w:val="Heading2"/>
      </w:pPr>
      <w:r>
        <w:t xml:space="preserve">4. Severity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Conditions that, in our judgment, jeopardize transaction viability, trigger or threaten Lender non-funding rights, present remediation/liability exposure likely to exceed the indemnification cap, constitute apparent breaches of Seller’s representations, or require immediate go/no-go action (including the termination decision).</w:t>
            </w:r>
          </w:p>
        </w:tc>
      </w:tr>
      <w:tr>
        <w:tc>
          <w:tcPr/>
          <w:p>
            <w:pPr>
              <w:pStyle w:val="Compact"/>
              <w:jc w:val="left"/>
            </w:pPr>
            <w:r>
              <w:rPr>
                <w:b/>
                <w:bCs/>
              </w:rPr>
              <w:t xml:space="preserve">High</w:t>
            </w:r>
          </w:p>
        </w:tc>
        <w:tc>
          <w:tcPr/>
          <w:p>
            <w:pPr>
              <w:pStyle w:val="Compact"/>
              <w:jc w:val="left"/>
            </w:pPr>
            <w:r>
              <w:t xml:space="preserve">Significant environmental or legal issues requiring Phase II investigation, remediation planning, insurance/escrow, or contractual remedies before closing; material to deal economics or Lender funding.</w:t>
            </w:r>
          </w:p>
        </w:tc>
      </w:tr>
      <w:tr>
        <w:tc>
          <w:tcPr/>
          <w:p>
            <w:pPr>
              <w:pStyle w:val="Compact"/>
              <w:jc w:val="left"/>
            </w:pPr>
            <w:r>
              <w:rPr>
                <w:b/>
                <w:bCs/>
              </w:rPr>
              <w:t xml:space="preserve">Medium</w:t>
            </w:r>
          </w:p>
        </w:tc>
        <w:tc>
          <w:tcPr/>
          <w:p>
            <w:pPr>
              <w:pStyle w:val="Compact"/>
              <w:jc w:val="left"/>
            </w:pPr>
            <w:r>
              <w:t xml:space="preserve">Issues warranting investigation, contractual protection, or monitoring, but not, standing alone, likely to be deal-disqualifying; includes unverified regulatory items and non-scope considerations.</w:t>
            </w:r>
          </w:p>
        </w:tc>
      </w:tr>
      <w:tr>
        <w:tc>
          <w:tcPr/>
          <w:p>
            <w:pPr>
              <w:pStyle w:val="Compact"/>
              <w:jc w:val="left"/>
            </w:pPr>
            <w:r>
              <w:rPr>
                <w:b/>
                <w:bCs/>
              </w:rPr>
              <w:t xml:space="preserve">Low</w:t>
            </w:r>
          </w:p>
        </w:tc>
        <w:tc>
          <w:tcPr/>
          <w:p>
            <w:pPr>
              <w:pStyle w:val="Compact"/>
              <w:jc w:val="left"/>
            </w:pPr>
            <w:r>
              <w:t xml:space="preserve">Minor, historical, de minimis, or remote conditions noted for the record; low likelihood of material impact.</w:t>
            </w:r>
          </w:p>
        </w:tc>
      </w:tr>
    </w:tbl>
    <w:p>
      <w:r>
        <w:pict>
          <v:rect style="width:0;height:1.5pt" o:hralign="center" o:hrstd="t" o:hr="t"/>
        </w:pict>
      </w:r>
    </w:p>
    <w:bookmarkEnd w:id="23"/>
    <w:bookmarkStart w:id="24" w:name="summary-of-issues-by-severity"/>
    <w:p>
      <w:pPr>
        <w:pStyle w:val="Heading2"/>
      </w:pPr>
      <w:r>
        <w:t xml:space="preserve">5. Summary of Issues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C1</w:t>
            </w:r>
          </w:p>
        </w:tc>
        <w:tc>
          <w:tcPr/>
          <w:p>
            <w:pPr>
              <w:pStyle w:val="Compact"/>
              <w:jc w:val="left"/>
            </w:pPr>
            <w:r>
              <w:t xml:space="preserve">On-site TCE vapor-degreasing release; abandoned leaking waste-TCE drum; 1988 solvent spill (Phase I REC No. 1)</w:t>
            </w:r>
          </w:p>
        </w:tc>
        <w:tc>
          <w:tcPr/>
          <w:p>
            <w:pPr>
              <w:pStyle w:val="Compact"/>
              <w:jc w:val="left"/>
            </w:pPr>
            <w:r>
              <w:t xml:space="preserve">Environmental</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On-site hexavalent chromium electroplating release; contaminated sump; 39 yrs. without waste manifests; 2003 NOV (Phase I REC No. 2)</w:t>
            </w:r>
          </w:p>
        </w:tc>
        <w:tc>
          <w:tcPr/>
          <w:p>
            <w:pPr>
              <w:pStyle w:val="Compact"/>
              <w:jc w:val="left"/>
            </w:pPr>
            <w:r>
              <w:t xml:space="preserve">Environmental</w:t>
            </w:r>
          </w:p>
        </w:tc>
        <w:tc>
          <w:tcPr/>
          <w:p>
            <w:pPr>
              <w:pStyle w:val="Compact"/>
              <w:jc w:val="left"/>
            </w:pPr>
            <w:r>
              <w:rPr>
                <w:b/>
                <w:bCs/>
              </w:rPr>
              <w:t xml:space="preserve">Critical</w:t>
            </w:r>
          </w:p>
        </w:tc>
      </w:tr>
      <w:tr>
        <w:tc>
          <w:tcPr/>
          <w:p>
            <w:pPr>
              <w:pStyle w:val="Compact"/>
              <w:jc w:val="left"/>
            </w:pPr>
            <w:r>
              <w:t xml:space="preserve">C3</w:t>
            </w:r>
          </w:p>
        </w:tc>
        <w:tc>
          <w:tcPr/>
          <w:p>
            <w:pPr>
              <w:pStyle w:val="Compact"/>
              <w:jc w:val="left"/>
            </w:pPr>
            <w:r>
              <w:t xml:space="preserve">Off-site PCE groundwater plume (Lake Erie Dry Cleaning) migrating onto Property; Property within GMZ; uncharacterized beneath Property; not classified as a REC</w:t>
            </w:r>
          </w:p>
        </w:tc>
        <w:tc>
          <w:tcPr/>
          <w:p>
            <w:pPr>
              <w:pStyle w:val="Compact"/>
              <w:jc w:val="left"/>
            </w:pPr>
            <w:r>
              <w:t xml:space="preserve">Environmental / Lender</w:t>
            </w:r>
          </w:p>
        </w:tc>
        <w:tc>
          <w:tcPr/>
          <w:p>
            <w:pPr>
              <w:pStyle w:val="Compact"/>
              <w:jc w:val="left"/>
            </w:pPr>
            <w:r>
              <w:rPr>
                <w:b/>
                <w:bCs/>
              </w:rPr>
              <w:t xml:space="preserve">Critical</w:t>
            </w:r>
          </w:p>
        </w:tc>
      </w:tr>
      <w:tr>
        <w:tc>
          <w:tcPr/>
          <w:p>
            <w:pPr>
              <w:pStyle w:val="Compact"/>
              <w:jc w:val="left"/>
            </w:pPr>
            <w:r>
              <w:t xml:space="preserve">C4</w:t>
            </w:r>
          </w:p>
        </w:tc>
        <w:tc>
          <w:tcPr/>
          <w:p>
            <w:pPr>
              <w:pStyle w:val="Compact"/>
              <w:jc w:val="left"/>
            </w:pPr>
            <w:r>
              <w:t xml:space="preserve">Apparent breaches of Seller’s environmental representations (§§4.12, 4.13) and UST schedule</w:t>
            </w:r>
          </w:p>
        </w:tc>
        <w:tc>
          <w:tcPr/>
          <w:p>
            <w:pPr>
              <w:pStyle w:val="Compact"/>
              <w:jc w:val="left"/>
            </w:pPr>
            <w:r>
              <w:t xml:space="preserve">Legal</w:t>
            </w:r>
          </w:p>
        </w:tc>
        <w:tc>
          <w:tcPr/>
          <w:p>
            <w:pPr>
              <w:pStyle w:val="Compact"/>
              <w:jc w:val="left"/>
            </w:pPr>
            <w:r>
              <w:rPr>
                <w:b/>
                <w:bCs/>
              </w:rPr>
              <w:t xml:space="preserve">Critical</w:t>
            </w:r>
          </w:p>
        </w:tc>
      </w:tr>
      <w:tr>
        <w:tc>
          <w:tcPr/>
          <w:p>
            <w:pPr>
              <w:pStyle w:val="Compact"/>
              <w:jc w:val="left"/>
            </w:pPr>
            <w:r>
              <w:t xml:space="preserve">C5</w:t>
            </w:r>
          </w:p>
        </w:tc>
        <w:tc>
          <w:tcPr/>
          <w:p>
            <w:pPr>
              <w:pStyle w:val="Compact"/>
              <w:jc w:val="left"/>
            </w:pPr>
            <w:r>
              <w:t xml:space="preserve">Lender funding conditions unsatisfied (Phase II, PLL insurance, escrow, remediation plan, vapor intrusion assessment)</w:t>
            </w:r>
          </w:p>
        </w:tc>
        <w:tc>
          <w:tcPr/>
          <w:p>
            <w:pPr>
              <w:pStyle w:val="Compact"/>
              <w:jc w:val="left"/>
            </w:pPr>
            <w:r>
              <w:t xml:space="preserve">Transactional</w:t>
            </w:r>
          </w:p>
        </w:tc>
        <w:tc>
          <w:tcPr/>
          <w:p>
            <w:pPr>
              <w:pStyle w:val="Compact"/>
              <w:jc w:val="left"/>
            </w:pPr>
            <w:r>
              <w:rPr>
                <w:b/>
                <w:bCs/>
              </w:rPr>
              <w:t xml:space="preserve">Critical</w:t>
            </w:r>
          </w:p>
        </w:tc>
      </w:tr>
      <w:tr>
        <w:tc>
          <w:tcPr/>
          <w:p>
            <w:pPr>
              <w:pStyle w:val="Compact"/>
              <w:jc w:val="left"/>
            </w:pPr>
            <w:r>
              <w:t xml:space="preserve">H1</w:t>
            </w:r>
          </w:p>
        </w:tc>
        <w:tc>
          <w:tcPr/>
          <w:p>
            <w:pPr>
              <w:pStyle w:val="Compact"/>
              <w:jc w:val="left"/>
            </w:pPr>
            <w:r>
              <w:t xml:space="preserve">Unregistered/unclosed 2,000-gal. waste-solvent UST (1987 Sanborn); status unknown, may remain in place</w:t>
            </w:r>
          </w:p>
        </w:tc>
        <w:tc>
          <w:tcPr/>
          <w:p>
            <w:pPr>
              <w:pStyle w:val="Compact"/>
              <w:jc w:val="left"/>
            </w:pPr>
            <w:r>
              <w:t xml:space="preserve">Environmental / Regulatory</w:t>
            </w:r>
          </w:p>
        </w:tc>
        <w:tc>
          <w:tcPr/>
          <w:p>
            <w:pPr>
              <w:pStyle w:val="Compact"/>
              <w:jc w:val="left"/>
            </w:pPr>
            <w:r>
              <w:rPr>
                <w:b/>
                <w:bCs/>
              </w:rPr>
              <w:t xml:space="preserve">High</w:t>
            </w:r>
          </w:p>
        </w:tc>
      </w:tr>
      <w:tr>
        <w:tc>
          <w:tcPr/>
          <w:p>
            <w:pPr>
              <w:pStyle w:val="Compact"/>
              <w:jc w:val="left"/>
            </w:pPr>
            <w:r>
              <w:t xml:space="preserve">H2</w:t>
            </w:r>
          </w:p>
        </w:tc>
        <w:tc>
          <w:tcPr/>
          <w:p>
            <w:pPr>
              <w:pStyle w:val="Compact"/>
              <w:jc w:val="left"/>
            </w:pPr>
            <w:r>
              <w:t xml:space="preserve">2003 Ohio EPA NOV and Director’s Final Findings &amp; Orders (consent order); compliance certification unverified; documented leaking drums with ground staining</w:t>
            </w:r>
          </w:p>
        </w:tc>
        <w:tc>
          <w:tcPr/>
          <w:p>
            <w:pPr>
              <w:pStyle w:val="Compact"/>
              <w:jc w:val="left"/>
            </w:pPr>
            <w:r>
              <w:t xml:space="preserve">Regulatory / Legal</w:t>
            </w:r>
          </w:p>
        </w:tc>
        <w:tc>
          <w:tcPr/>
          <w:p>
            <w:pPr>
              <w:pStyle w:val="Compact"/>
              <w:jc w:val="left"/>
            </w:pPr>
            <w:r>
              <w:rPr>
                <w:b/>
                <w:bCs/>
              </w:rPr>
              <w:t xml:space="preserve">High</w:t>
            </w:r>
          </w:p>
        </w:tc>
      </w:tr>
      <w:tr>
        <w:tc>
          <w:tcPr/>
          <w:p>
            <w:pPr>
              <w:pStyle w:val="Compact"/>
              <w:jc w:val="left"/>
            </w:pPr>
            <w:r>
              <w:t xml:space="preserve">H3</w:t>
            </w:r>
          </w:p>
        </w:tc>
        <w:tc>
          <w:tcPr/>
          <w:p>
            <w:pPr>
              <w:pStyle w:val="Compact"/>
              <w:jc w:val="left"/>
            </w:pPr>
            <w:r>
              <w:t xml:space="preserve">Former outdoor drum-storage area (east side, ~40×60 ft); stressed vegetation; ~100+ drums historically; ties to 2003 NOV</w:t>
            </w:r>
          </w:p>
        </w:tc>
        <w:tc>
          <w:tcPr/>
          <w:p>
            <w:pPr>
              <w:pStyle w:val="Compact"/>
              <w:jc w:val="left"/>
            </w:pPr>
            <w:r>
              <w:t xml:space="preserve">Environmental</w:t>
            </w:r>
          </w:p>
        </w:tc>
        <w:tc>
          <w:tcPr/>
          <w:p>
            <w:pPr>
              <w:pStyle w:val="Compact"/>
              <w:jc w:val="left"/>
            </w:pPr>
            <w:r>
              <w:rPr>
                <w:b/>
                <w:bCs/>
              </w:rPr>
              <w:t xml:space="preserve">High</w:t>
            </w:r>
          </w:p>
        </w:tc>
      </w:tr>
      <w:tr>
        <w:tc>
          <w:tcPr/>
          <w:p>
            <w:pPr>
              <w:pStyle w:val="Compact"/>
              <w:jc w:val="left"/>
            </w:pPr>
            <w:r>
              <w:t xml:space="preserve">H4</w:t>
            </w:r>
          </w:p>
        </w:tc>
        <w:tc>
          <w:tcPr/>
          <w:p>
            <w:pPr>
              <w:pStyle w:val="Compact"/>
              <w:jc w:val="left"/>
            </w:pPr>
            <w:r>
              <w:t xml:space="preserve">Vapor intrusion risk from on-site TCE and off-site PCE (volatile chlorinated solvents); Lender-required assessment</w:t>
            </w:r>
          </w:p>
        </w:tc>
        <w:tc>
          <w:tcPr/>
          <w:p>
            <w:pPr>
              <w:pStyle w:val="Compact"/>
              <w:jc w:val="left"/>
            </w:pPr>
            <w:r>
              <w:t xml:space="preserve">Environmental / Health</w:t>
            </w:r>
          </w:p>
        </w:tc>
        <w:tc>
          <w:tcPr/>
          <w:p>
            <w:pPr>
              <w:pStyle w:val="Compact"/>
              <w:jc w:val="left"/>
            </w:pPr>
            <w:r>
              <w:rPr>
                <w:b/>
                <w:bCs/>
              </w:rPr>
              <w:t xml:space="preserve">High</w:t>
            </w:r>
          </w:p>
        </w:tc>
      </w:tr>
      <w:tr>
        <w:tc>
          <w:tcPr/>
          <w:p>
            <w:pPr>
              <w:pStyle w:val="Compact"/>
              <w:jc w:val="left"/>
            </w:pPr>
            <w:r>
              <w:t xml:space="preserve">H5</w:t>
            </w:r>
          </w:p>
        </w:tc>
        <w:tc>
          <w:tcPr/>
          <w:p>
            <w:pPr>
              <w:pStyle w:val="Compact"/>
              <w:jc w:val="left"/>
            </w:pPr>
            <w:r>
              <w:t xml:space="preserve">Indemnification cap ($1.75M / 20%) likely insufficient for anticipated remediation</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H6</w:t>
            </w:r>
          </w:p>
        </w:tc>
        <w:tc>
          <w:tcPr/>
          <w:p>
            <w:pPr>
              <w:pStyle w:val="Compact"/>
              <w:jc w:val="left"/>
            </w:pPr>
            <w:r>
              <w:t xml:space="preserve">3-year survival period likely too short for latent groundwater contamination</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H7</w:t>
            </w:r>
          </w:p>
        </w:tc>
        <w:tc>
          <w:tcPr/>
          <w:p>
            <w:pPr>
              <w:pStyle w:val="Compact"/>
              <w:jc w:val="left"/>
            </w:pPr>
            <w:r>
              <w:t xml:space="preserve">Buyer’s termination right (§6.3(b)) — October 31, 2024 deadline; remediation likely &gt; $500K threshold</w:t>
            </w:r>
          </w:p>
        </w:tc>
        <w:tc>
          <w:tcPr/>
          <w:p>
            <w:pPr>
              <w:pStyle w:val="Compact"/>
              <w:jc w:val="left"/>
            </w:pPr>
            <w:r>
              <w:t xml:space="preserve">Transactional</w:t>
            </w:r>
          </w:p>
        </w:tc>
        <w:tc>
          <w:tcPr/>
          <w:p>
            <w:pPr>
              <w:pStyle w:val="Compact"/>
              <w:jc w:val="left"/>
            </w:pPr>
            <w:r>
              <w:rPr>
                <w:b/>
                <w:bCs/>
              </w:rPr>
              <w:t xml:space="preserve">High</w:t>
            </w:r>
          </w:p>
        </w:tc>
      </w:tr>
      <w:tr>
        <w:tc>
          <w:tcPr/>
          <w:p>
            <w:pPr>
              <w:pStyle w:val="Compact"/>
              <w:jc w:val="left"/>
            </w:pPr>
            <w:r>
              <w:t xml:space="preserve">H8</w:t>
            </w:r>
          </w:p>
        </w:tc>
        <w:tc>
          <w:tcPr/>
          <w:p>
            <w:pPr>
              <w:pStyle w:val="Compact"/>
              <w:jc w:val="left"/>
            </w:pPr>
            <w:r>
              <w:t xml:space="preserve">Phase I did not classify off-site PCE plume as a REC — potential non-compliance with Lender’s express requirement</w:t>
            </w:r>
          </w:p>
        </w:tc>
        <w:tc>
          <w:tcPr/>
          <w:p>
            <w:pPr>
              <w:pStyle w:val="Compact"/>
              <w:jc w:val="left"/>
            </w:pPr>
            <w:r>
              <w:t xml:space="preserve">Lender / Due diligence</w:t>
            </w:r>
          </w:p>
        </w:tc>
        <w:tc>
          <w:tcPr/>
          <w:p>
            <w:pPr>
              <w:pStyle w:val="Compact"/>
              <w:jc w:val="left"/>
            </w:pPr>
            <w:r>
              <w:rPr>
                <w:b/>
                <w:bCs/>
              </w:rPr>
              <w:t xml:space="preserve">High</w:t>
            </w:r>
          </w:p>
        </w:tc>
      </w:tr>
      <w:tr>
        <w:tc>
          <w:tcPr/>
          <w:p>
            <w:pPr>
              <w:pStyle w:val="Compact"/>
              <w:jc w:val="left"/>
            </w:pPr>
            <w:r>
              <w:t xml:space="preserve">H9</w:t>
            </w:r>
          </w:p>
        </w:tc>
        <w:tc>
          <w:tcPr/>
          <w:p>
            <w:pPr>
              <w:pStyle w:val="Compact"/>
              <w:jc w:val="left"/>
            </w:pPr>
            <w:r>
              <w:t xml:space="preserve">Cumulative unresolved data gaps — Lender 3.C(d) decline risk and AAI-adequacy concern</w:t>
            </w:r>
          </w:p>
        </w:tc>
        <w:tc>
          <w:tcPr/>
          <w:p>
            <w:pPr>
              <w:pStyle w:val="Compact"/>
              <w:jc w:val="left"/>
            </w:pPr>
            <w:r>
              <w:t xml:space="preserve">Due diligence</w:t>
            </w:r>
          </w:p>
        </w:tc>
        <w:tc>
          <w:tcPr/>
          <w:p>
            <w:pPr>
              <w:pStyle w:val="Compact"/>
              <w:jc w:val="left"/>
            </w:pPr>
            <w:r>
              <w:rPr>
                <w:b/>
                <w:bCs/>
              </w:rPr>
              <w:t xml:space="preserve">High</w:t>
            </w:r>
          </w:p>
        </w:tc>
      </w:tr>
      <w:tr>
        <w:tc>
          <w:tcPr/>
          <w:p>
            <w:pPr>
              <w:pStyle w:val="Compact"/>
              <w:jc w:val="left"/>
            </w:pPr>
            <w:r>
              <w:t xml:space="preserve">M1</w:t>
            </w:r>
          </w:p>
        </w:tc>
        <w:tc>
          <w:tcPr/>
          <w:p>
            <w:pPr>
              <w:pStyle w:val="Compact"/>
              <w:jc w:val="left"/>
            </w:pPr>
            <w:r>
              <w:t xml:space="preserve">Unregistered/unclosed 500-gal. heating-oil UST (Halstead farmhouse, pre-1961); status unknown</w:t>
            </w:r>
          </w:p>
        </w:tc>
        <w:tc>
          <w:tcPr/>
          <w:p>
            <w:pPr>
              <w:pStyle w:val="Compact"/>
              <w:jc w:val="left"/>
            </w:pPr>
            <w:r>
              <w:t xml:space="preserve">Environmental</w:t>
            </w:r>
          </w:p>
        </w:tc>
        <w:tc>
          <w:tcPr/>
          <w:p>
            <w:pPr>
              <w:pStyle w:val="Compact"/>
              <w:jc w:val="left"/>
            </w:pPr>
            <w:r>
              <w:rPr>
                <w:b/>
                <w:bCs/>
              </w:rPr>
              <w:t xml:space="preserve">Medium</w:t>
            </w:r>
          </w:p>
        </w:tc>
      </w:tr>
      <w:tr>
        <w:tc>
          <w:tcPr/>
          <w:p>
            <w:pPr>
              <w:pStyle w:val="Compact"/>
              <w:jc w:val="left"/>
            </w:pPr>
            <w:r>
              <w:t xml:space="preserve">M2</w:t>
            </w:r>
          </w:p>
        </w:tc>
        <w:tc>
          <w:tcPr/>
          <w:p>
            <w:pPr>
              <w:pStyle w:val="Compact"/>
              <w:jc w:val="left"/>
            </w:pPr>
            <w:r>
              <w:t xml:space="preserve">Undocumented monitoring well MW-1 (NE boundary); damaged; possible link to dry-cleaner plume investigation; undisclosed data</w:t>
            </w:r>
          </w:p>
        </w:tc>
        <w:tc>
          <w:tcPr/>
          <w:p>
            <w:pPr>
              <w:pStyle w:val="Compact"/>
              <w:jc w:val="left"/>
            </w:pPr>
            <w:r>
              <w:t xml:space="preserve">Environmental / Data gap</w:t>
            </w:r>
          </w:p>
        </w:tc>
        <w:tc>
          <w:tcPr/>
          <w:p>
            <w:pPr>
              <w:pStyle w:val="Compact"/>
              <w:jc w:val="left"/>
            </w:pPr>
            <w:r>
              <w:rPr>
                <w:b/>
                <w:bCs/>
              </w:rPr>
              <w:t xml:space="preserve">Medium</w:t>
            </w:r>
          </w:p>
        </w:tc>
      </w:tr>
      <w:tr>
        <w:tc>
          <w:tcPr/>
          <w:p>
            <w:pPr>
              <w:pStyle w:val="Compact"/>
              <w:jc w:val="left"/>
            </w:pPr>
            <w:r>
              <w:t xml:space="preserve">M3</w:t>
            </w:r>
          </w:p>
        </w:tc>
        <w:tc>
          <w:tcPr/>
          <w:p>
            <w:pPr>
              <w:pStyle w:val="Compact"/>
              <w:jc w:val="left"/>
            </w:pPr>
            <w:r>
              <w:t xml:space="preserve">Seller credibility / evasive interview responses; inconsistencies with documented facts</w:t>
            </w:r>
          </w:p>
        </w:tc>
        <w:tc>
          <w:tcPr/>
          <w:p>
            <w:pPr>
              <w:pStyle w:val="Compact"/>
              <w:jc w:val="left"/>
            </w:pPr>
            <w:r>
              <w:t xml:space="preserve">Legal / Transactional</w:t>
            </w:r>
          </w:p>
        </w:tc>
        <w:tc>
          <w:tcPr/>
          <w:p>
            <w:pPr>
              <w:pStyle w:val="Compact"/>
              <w:jc w:val="left"/>
            </w:pPr>
            <w:r>
              <w:rPr>
                <w:b/>
                <w:bCs/>
              </w:rPr>
              <w:t xml:space="preserve">Medium</w:t>
            </w:r>
          </w:p>
        </w:tc>
      </w:tr>
      <w:tr>
        <w:tc>
          <w:tcPr/>
          <w:p>
            <w:pPr>
              <w:pStyle w:val="Compact"/>
              <w:jc w:val="left"/>
            </w:pPr>
            <w:r>
              <w:t xml:space="preserve">M4</w:t>
            </w:r>
          </w:p>
        </w:tc>
        <w:tc>
          <w:tcPr/>
          <w:p>
            <w:pPr>
              <w:pStyle w:val="Compact"/>
              <w:jc w:val="left"/>
            </w:pPr>
            <w:r>
              <w:t xml:space="preserve">Asbestos-containing materials and lead-based paint (non-scope); pre-1980 buildings; redevelopment implications</w:t>
            </w:r>
          </w:p>
        </w:tc>
        <w:tc>
          <w:tcPr/>
          <w:p>
            <w:pPr>
              <w:pStyle w:val="Compact"/>
              <w:jc w:val="left"/>
            </w:pPr>
            <w:r>
              <w:t xml:space="preserve">Environmental / Non-scope</w:t>
            </w:r>
          </w:p>
        </w:tc>
        <w:tc>
          <w:tcPr/>
          <w:p>
            <w:pPr>
              <w:pStyle w:val="Compact"/>
              <w:jc w:val="left"/>
            </w:pPr>
            <w:r>
              <w:rPr>
                <w:b/>
                <w:bCs/>
              </w:rPr>
              <w:t xml:space="preserve">Medium</w:t>
            </w:r>
          </w:p>
        </w:tc>
      </w:tr>
      <w:tr>
        <w:tc>
          <w:tcPr/>
          <w:p>
            <w:pPr>
              <w:pStyle w:val="Compact"/>
              <w:jc w:val="left"/>
            </w:pPr>
            <w:r>
              <w:t xml:space="preserve">L1–L10</w:t>
            </w:r>
          </w:p>
        </w:tc>
        <w:tc>
          <w:tcPr/>
          <w:p>
            <w:pPr>
              <w:pStyle w:val="Compact"/>
              <w:jc w:val="left"/>
            </w:pPr>
            <w:r>
              <w:t xml:space="preserve">Active diesel UST; RCRA-SQG status; adjacent/nearby compliant or closed facilities; railroad herbicide; orphan sites; sewer line</w:t>
            </w:r>
          </w:p>
        </w:tc>
        <w:tc>
          <w:tcPr/>
          <w:p>
            <w:pPr>
              <w:pStyle w:val="Compact"/>
              <w:jc w:val="left"/>
            </w:pPr>
            <w:r>
              <w:t xml:space="preserve">Various</w:t>
            </w:r>
          </w:p>
        </w:tc>
        <w:tc>
          <w:tcPr/>
          <w:p>
            <w:pPr>
              <w:pStyle w:val="Compact"/>
              <w:jc w:val="left"/>
            </w:pPr>
            <w:r>
              <w:rPr>
                <w:b/>
                <w:bCs/>
              </w:rPr>
              <w:t xml:space="preserve">Low</w:t>
            </w:r>
          </w:p>
        </w:tc>
      </w:tr>
    </w:tbl>
    <w:p>
      <w:r>
        <w:pict>
          <v:rect style="width:0;height:1.5pt" o:hralign="center" o:hrstd="t" o:hr="t"/>
        </w:pict>
      </w:r>
    </w:p>
    <w:bookmarkEnd w:id="24"/>
    <w:bookmarkStart w:id="47" w:name="detailed-discussion"/>
    <w:p>
      <w:pPr>
        <w:pStyle w:val="Heading2"/>
      </w:pPr>
      <w:r>
        <w:t xml:space="preserve">6. Detailed Discussion</w:t>
      </w:r>
    </w:p>
    <w:bookmarkStart w:id="30" w:name="a.-critical-issues"/>
    <w:p>
      <w:pPr>
        <w:pStyle w:val="Heading3"/>
      </w:pPr>
      <w:r>
        <w:t xml:space="preserve">A. Critical Issues</w:t>
      </w:r>
    </w:p>
    <w:bookmarkStart w:id="25" w:name="X266a79697a32ffb6a00626b0df18e39439f8341"/>
    <w:p>
      <w:pPr>
        <w:pStyle w:val="Heading4"/>
      </w:pPr>
      <w:r>
        <w:t xml:space="preserve">C1 — On-Site TCE Vapor-Degreasing Release (Phase I REC No. 1) — CRITICAL</w:t>
      </w:r>
    </w:p>
    <w:p>
      <w:pPr>
        <w:pStyle w:val="FirstParagraph"/>
      </w:pPr>
      <w:r>
        <w:t xml:space="preserve">TCE — a probable human carcinogen and a persistent, mobile chlorinated solvent — was used as a vapor-degreasing solvent in the northwest corner of the main manufacturing building from 1961 through approximately 1992, a period of more than 30 years (Phase I §5.3, §9.1). The former degreasing area exhibits visible floor-slab and lower-wall staining across approximately 4,000 square feet, and a photoionization detector (</w:t>
      </w:r>
      <w:r>
        <w:t xml:space="preserve">“</w:t>
      </w:r>
      <w:r>
        <w:t xml:space="preserve">PID</w:t>
      </w:r>
      <w:r>
        <w:t xml:space="preserve">”</w:t>
      </w:r>
      <w:r>
        <w:t xml:space="preserve">) reading of</w:t>
      </w:r>
      <w:r>
        <w:t xml:space="preserve"> </w:t>
      </w:r>
      <w:r>
        <w:rPr>
          <w:b/>
          <w:bCs/>
        </w:rPr>
        <w:t xml:space="preserve">42.3 ppm</w:t>
      </w:r>
      <w:r>
        <w:t xml:space="preserve"> </w:t>
      </w:r>
      <w:r>
        <w:t xml:space="preserve">was recorded at a crack in the floor slab — orders of magnitude above the sub-0.5 ppm background readings elsewhere in the building — indicating residual VOC vapors emanating from beneath the slab.</w:t>
      </w:r>
      <w:r>
        <w:t xml:space="preserve"> </w:t>
      </w:r>
      <w:r>
        <w:rPr>
          <w:b/>
          <w:bCs/>
        </w:rPr>
        <w:t xml:space="preserve">No closure documentation, decommissioning records, or soil/groundwater confirmation sampling exists</w:t>
      </w:r>
      <w:r>
        <w:t xml:space="preserve"> </w:t>
      </w:r>
      <w:r>
        <w:t xml:space="preserve">for the degreasing area following the reported cessation of TCE use in 1992.</w:t>
      </w:r>
    </w:p>
    <w:p>
      <w:pPr>
        <w:pStyle w:val="BodyText"/>
      </w:pPr>
      <w:r>
        <w:t xml:space="preserve">A</w:t>
      </w:r>
      <w:r>
        <w:t xml:space="preserve"> </w:t>
      </w:r>
      <w:r>
        <w:rPr>
          <w:b/>
          <w:bCs/>
        </w:rPr>
        <w:t xml:space="preserve">55-gallon drum labeled</w:t>
      </w:r>
      <w:r>
        <w:rPr>
          <w:b/>
          <w:bCs/>
        </w:rPr>
        <w:t xml:space="preserve"> </w:t>
      </w:r>
      <w:r>
        <w:rPr>
          <w:b/>
          <w:bCs/>
        </w:rPr>
        <w:t xml:space="preserve">“</w:t>
      </w:r>
      <w:r>
        <w:rPr>
          <w:b/>
          <w:bCs/>
        </w:rPr>
        <w:t xml:space="preserve">WASTE TRICHLOROETHYLENE</w:t>
      </w:r>
      <w:r>
        <w:rPr>
          <w:b/>
          <w:bCs/>
        </w:rPr>
        <w:t xml:space="preserve">”</w:t>
      </w:r>
      <w:r>
        <w:t xml:space="preserve"> </w:t>
      </w:r>
      <w:r>
        <w:t xml:space="preserve">was observed on the ground surface behind the maintenance/utility building, approximately half full, with a rusted bottom and evidence of past leakage; stained soil (approximately 3 ft × 3 ft, dark and oily, devoid of vegetation) was observed beneath the drum. Seller’s principal acknowledged the drum had been</w:t>
      </w:r>
      <w:r>
        <w:t xml:space="preserve"> </w:t>
      </w:r>
      <w:r>
        <w:t xml:space="preserve">“</w:t>
      </w:r>
      <w:r>
        <w:t xml:space="preserve">there for years</w:t>
      </w:r>
      <w:r>
        <w:t xml:space="preserve">”</w:t>
      </w:r>
      <w:r>
        <w:t xml:space="preserve"> </w:t>
      </w:r>
      <w:r>
        <w:t xml:space="preserve">and was</w:t>
      </w:r>
      <w:r>
        <w:t xml:space="preserve"> </w:t>
      </w:r>
      <w:r>
        <w:t xml:space="preserve">“</w:t>
      </w:r>
      <w:r>
        <w:t xml:space="preserve">probably from the early ’90s.</w:t>
      </w:r>
      <w:r>
        <w:t xml:space="preserve">”</w:t>
      </w:r>
      <w:r>
        <w:t xml:space="preserve"> </w:t>
      </w:r>
      <w:r>
        <w:t xml:space="preserve">In addition, City of Toledo Fire Department records document a</w:t>
      </w:r>
      <w:r>
        <w:t xml:space="preserve"> </w:t>
      </w:r>
      <w:r>
        <w:rPr>
          <w:b/>
          <w:bCs/>
        </w:rPr>
        <w:t xml:space="preserve">March 14, 1988</w:t>
      </w:r>
      <w:r>
        <w:rPr>
          <w:b/>
          <w:bCs/>
        </w:rPr>
        <w:t xml:space="preserve"> </w:t>
      </w:r>
      <w:r>
        <w:rPr>
          <w:b/>
          <w:bCs/>
        </w:rPr>
        <w:t xml:space="preserve">“</w:t>
      </w:r>
      <w:r>
        <w:rPr>
          <w:b/>
          <w:bCs/>
        </w:rPr>
        <w:t xml:space="preserve">chemical spill</w:t>
      </w:r>
      <w:r>
        <w:rPr>
          <w:b/>
          <w:bCs/>
        </w:rPr>
        <w:t xml:space="preserve">”</w:t>
      </w:r>
      <w:r>
        <w:t xml:space="preserve"> </w:t>
      </w:r>
      <w:r>
        <w:t xml:space="preserve">of an</w:t>
      </w:r>
      <w:r>
        <w:t xml:space="preserve"> </w:t>
      </w:r>
      <w:r>
        <w:t xml:space="preserve">“</w:t>
      </w:r>
      <w:r>
        <w:t xml:space="preserve">unknown quantity of degreasing solvent</w:t>
      </w:r>
      <w:r>
        <w:t xml:space="preserve">”</w:t>
      </w:r>
      <w:r>
        <w:t xml:space="preserve"> </w:t>
      </w:r>
      <w:r>
        <w:t xml:space="preserve">from an overturned drum at the Property, cleaned up by Seller’s employees with no follow-up inspection or environmental assessment.</w:t>
      </w:r>
    </w:p>
    <w:p>
      <w:pPr>
        <w:pStyle w:val="BodyText"/>
      </w:pPr>
      <w:r>
        <w:rPr>
          <w:b/>
          <w:bCs/>
        </w:rPr>
        <w:t xml:space="preserve">Why Critical.</w:t>
      </w:r>
      <w:r>
        <w:t xml:space="preserve"> </w:t>
      </w:r>
      <w:r>
        <w:t xml:space="preserve">A 30-year TCE source, elevated PID vapor readings at the floor slab, an actively leaking waste drum with stained soil, and a documented uncharacterized spill collectively indicate a likely release of chlorinated solvents to soil and potentially to groundwater beneath and downgradient of the main building. TCE and its degradation products (cis-1,2-DCE, vinyl chloride) are among the most difficult and costly contaminants to remediate, frequently requiring soil excavation, in-situ treatment, groundwater pump-and-treat or enhanced bioremediation, and long-term monitoring. TCE is also a potent vapor-intrusion driver (see H4). Remediation costs for a 30-year chlorinated-solvent source can readily approach or exceed the $500,000 contractual termination threshold and the $1,750,000 indemnification cap. A Phase II ESA (soil borings, monitoring wells, soil-vapor/sub-slab sampling) in the former degreasing area and at the drum location is essential.</w:t>
      </w:r>
    </w:p>
    <w:bookmarkEnd w:id="25"/>
    <w:bookmarkStart w:id="26" w:name="X466e9d65a6ee20325c6c7f1b2bf38b86e31fe5d"/>
    <w:p>
      <w:pPr>
        <w:pStyle w:val="Heading4"/>
      </w:pPr>
      <w:r>
        <w:t xml:space="preserve">C2 — On-Site Hexavalent Chromium Electroplating Release (Phase I REC No. 2) — CRITICAL</w:t>
      </w:r>
    </w:p>
    <w:p>
      <w:pPr>
        <w:pStyle w:val="FirstParagraph"/>
      </w:pPr>
      <w:r>
        <w:t xml:space="preserve">Electroplating operations using</w:t>
      </w:r>
      <w:r>
        <w:t xml:space="preserve"> </w:t>
      </w:r>
      <w:r>
        <w:rPr>
          <w:b/>
          <w:bCs/>
        </w:rPr>
        <w:t xml:space="preserve">hexavalent chromium</w:t>
      </w:r>
      <w:r>
        <w:t xml:space="preserve"> </w:t>
      </w:r>
      <w:r>
        <w:t xml:space="preserve">and nickel plating solutions were conducted in the south wing of the main manufacturing building from 1965 through 2004 — approximately 39 years (Phase I §5.3, §9.1). The former electroplating room exhibits prominent</w:t>
      </w:r>
      <w:r>
        <w:t xml:space="preserve"> </w:t>
      </w:r>
      <w:r>
        <w:rPr>
          <w:b/>
          <w:bCs/>
        </w:rPr>
        <w:t xml:space="preserve">blue-green staining</w:t>
      </w:r>
      <w:r>
        <w:t xml:space="preserve"> </w:t>
      </w:r>
      <w:r>
        <w:t xml:space="preserve">on the concrete floor and lower walls (consistent with chromium residues), with concrete pitting, etching, and chemical degradation indicative of prolonged exposure to acidic and alkaline plating solutions. An</w:t>
      </w:r>
      <w:r>
        <w:t xml:space="preserve"> </w:t>
      </w:r>
      <w:r>
        <w:rPr>
          <w:b/>
          <w:bCs/>
        </w:rPr>
        <w:t xml:space="preserve">in-ground concrete sump</w:t>
      </w:r>
      <w:r>
        <w:t xml:space="preserve"> </w:t>
      </w:r>
      <w:r>
        <w:t xml:space="preserve">in the center of the room contains approximately four inches of liquid with a</w:t>
      </w:r>
      <w:r>
        <w:t xml:space="preserve"> </w:t>
      </w:r>
      <w:r>
        <w:rPr>
          <w:b/>
          <w:bCs/>
        </w:rPr>
        <w:t xml:space="preserve">visible iridescent sheen</w:t>
      </w:r>
      <w:r>
        <w:t xml:space="preserve"> </w:t>
      </w:r>
      <w:r>
        <w:t xml:space="preserve">and a greenish tint; the liquid was not sampled.</w:t>
      </w:r>
    </w:p>
    <w:p>
      <w:pPr>
        <w:pStyle w:val="BodyText"/>
      </w:pPr>
      <w:r>
        <w:t xml:space="preserve">Critically,</w:t>
      </w:r>
      <w:r>
        <w:t xml:space="preserve"> </w:t>
      </w:r>
      <w:r>
        <w:rPr>
          <w:b/>
          <w:bCs/>
        </w:rPr>
        <w:t xml:space="preserve">hazardous-waste disposal documentation exists only for the final year of operations (2004)</w:t>
      </w:r>
      <w:r>
        <w:t xml:space="preserve"> </w:t>
      </w:r>
      <w:r>
        <w:t xml:space="preserve">— six manifests documenting 14,200 pounds of waste under RCRA codes D007 (chromium) and F006 (electroplating sludge).</w:t>
      </w:r>
      <w:r>
        <w:t xml:space="preserve"> </w:t>
      </w:r>
      <w:r>
        <w:rPr>
          <w:b/>
          <w:bCs/>
        </w:rPr>
        <w:t xml:space="preserve">No manifests, biennial reports, or disposal records exist for the preceding 39 years (1965–2003)</w:t>
      </w:r>
      <w:r>
        <w:t xml:space="preserve">, a gap independently confirmed by Ohio EPA (Ohio EPA Response §1:</w:t>
      </w:r>
      <w:r>
        <w:t xml:space="preserve"> </w:t>
      </w:r>
      <w:r>
        <w:t xml:space="preserve">“</w:t>
      </w:r>
      <w:r>
        <w:t xml:space="preserve">no hazardous waste manifests, biennial reports, or annual hazardous waste generation reports on file for this facility for any reporting year other than 2004</w:t>
      </w:r>
      <w:r>
        <w:t xml:space="preserve">”</w:t>
      </w:r>
      <w:r>
        <w:t xml:space="preserve">). A</w:t>
      </w:r>
      <w:r>
        <w:t xml:space="preserve"> </w:t>
      </w:r>
      <w:r>
        <w:rPr>
          <w:b/>
          <w:bCs/>
        </w:rPr>
        <w:t xml:space="preserve">2003 Ohio EPA compliance inspection</w:t>
      </w:r>
      <w:r>
        <w:t xml:space="preserve"> </w:t>
      </w:r>
      <w:r>
        <w:t xml:space="preserve">documented improper hazardous-waste storage and resulted in a Notice of Violation and consent order (see H2).</w:t>
      </w:r>
    </w:p>
    <w:p>
      <w:pPr>
        <w:pStyle w:val="BodyText"/>
      </w:pPr>
      <w:r>
        <w:rPr>
          <w:b/>
          <w:bCs/>
        </w:rPr>
        <w:t xml:space="preserve">Why Critical.</w:t>
      </w:r>
      <w:r>
        <w:t xml:space="preserve"> </w:t>
      </w:r>
      <w:r>
        <w:t xml:space="preserve">Hexavalent chromium is a potent carcinogen and a regulated hazardous substance; F006 electroplating sludge is a listed hazardous waste. A 39-year electroplating source with visible chromium residues, a contaminated sump, near-total absence of waste-disposal documentation, and a documented regulatory violation strongly indicate potential releases of chromium and related metals to the subsurface (soil and groundwater) beneath and around the south wing. The combination of C1 (TCE) and C2 (hexavalent chromium) — two distinct, serious contaminant sources in different portions of the main building — substantially increases the likelihood that remediation costs will exceed both the $500,000 termination threshold and the $1,750,000 indemnification cap. A Phase II ESA (sump-liquid characterization, soil borings through the slab, monitoring wells for metals including hexavalent chromium) is essential.</w:t>
      </w:r>
    </w:p>
    <w:bookmarkEnd w:id="26"/>
    <w:bookmarkStart w:id="27" w:name="Xab5313ebf3ea95ec78e5331af75c206cc5e41d5"/>
    <w:p>
      <w:pPr>
        <w:pStyle w:val="Heading4"/>
      </w:pPr>
      <w:r>
        <w:t xml:space="preserve">C3 — Off-Site PCE Groundwater Plume Migrating Onto the Property — CRITICAL</w:t>
      </w:r>
    </w:p>
    <w:p>
      <w:pPr>
        <w:pStyle w:val="FirstParagraph"/>
      </w:pPr>
      <w:r>
        <w:t xml:space="preserve">The former</w:t>
      </w:r>
      <w:r>
        <w:t xml:space="preserve"> </w:t>
      </w:r>
      <w:r>
        <w:rPr>
          <w:b/>
          <w:bCs/>
        </w:rPr>
        <w:t xml:space="preserve">Lake Erie Dry Cleaning</w:t>
      </w:r>
      <w:r>
        <w:t xml:space="preserve"> </w:t>
      </w:r>
      <w:r>
        <w:t xml:space="preserve">facility at 4900 Lakeshore Industrial Drive, located</w:t>
      </w:r>
      <w:r>
        <w:t xml:space="preserve"> </w:t>
      </w:r>
      <w:r>
        <w:rPr>
          <w:b/>
          <w:bCs/>
        </w:rPr>
        <w:t xml:space="preserve">immediately north and hydraulically upgradient</w:t>
      </w:r>
      <w:r>
        <w:t xml:space="preserve"> </w:t>
      </w:r>
      <w:r>
        <w:t xml:space="preserve">of the Property (approximately 120 feet from the Property boundary), is a confirmed release site on the Ohio EPA Master Sites List (VAP ID NW-0923) with a documented</w:t>
      </w:r>
      <w:r>
        <w:t xml:space="preserve"> </w:t>
      </w:r>
      <w:r>
        <w:rPr>
          <w:b/>
          <w:bCs/>
        </w:rPr>
        <w:t xml:space="preserve">PCE groundwater contamination plume</w:t>
      </w:r>
      <w:r>
        <w:t xml:space="preserve"> </w:t>
      </w:r>
      <w:r>
        <w:t xml:space="preserve">(Phase I §5.1.1; Ohio EPA Response §4; EDR Summary, Adjacent Property A1). The 2014 investigation detected</w:t>
      </w:r>
      <w:r>
        <w:t xml:space="preserve"> </w:t>
      </w:r>
      <w:r>
        <w:rPr>
          <w:b/>
          <w:bCs/>
        </w:rPr>
        <w:t xml:space="preserve">PCE at 87 µg/L</w:t>
      </w:r>
      <w:r>
        <w:t xml:space="preserve"> </w:t>
      </w:r>
      <w:r>
        <w:t xml:space="preserve">at monitoring well MW-7 (located approximately 120 feet north of the Property boundary) —</w:t>
      </w:r>
      <w:r>
        <w:t xml:space="preserve"> </w:t>
      </w:r>
      <w:r>
        <w:rPr>
          <w:b/>
          <w:bCs/>
        </w:rPr>
        <w:t xml:space="preserve">17.4 times</w:t>
      </w:r>
      <w:r>
        <w:t xml:space="preserve"> </w:t>
      </w:r>
      <w:r>
        <w:t xml:space="preserve">the Ohio generic groundwater standard of 5 µg/L. The documented plume migration direction is</w:t>
      </w:r>
      <w:r>
        <w:t xml:space="preserve"> </w:t>
      </w:r>
      <w:r>
        <w:rPr>
          <w:b/>
          <w:bCs/>
        </w:rPr>
        <w:t xml:space="preserve">south-southeast — directly toward the Property</w:t>
      </w:r>
      <w:r>
        <w:t xml:space="preserve"> </w:t>
      </w:r>
      <w:r>
        <w:t xml:space="preserve">— consistent with regional groundwater flow. A Covenant Not to Sue was issued under the Ohio VAP in 2018, but it</w:t>
      </w:r>
      <w:r>
        <w:t xml:space="preserve"> </w:t>
      </w:r>
      <w:r>
        <w:rPr>
          <w:b/>
          <w:bCs/>
        </w:rPr>
        <w:t xml:space="preserve">applies exclusively to the dry-cleaner parcel and does not address off-site migration</w:t>
      </w:r>
      <w:r>
        <w:t xml:space="preserve">. An environmental covenant recorded against the dry-cleaner parcel restricts groundwater use and requires maintenance of a sub-slab vapor mitigation system there.</w:t>
      </w:r>
    </w:p>
    <w:p>
      <w:pPr>
        <w:pStyle w:val="BodyText"/>
      </w:pPr>
      <w:r>
        <w:t xml:space="preserve">Ohio EPA has confirmed that</w:t>
      </w:r>
      <w:r>
        <w:t xml:space="preserve"> </w:t>
      </w:r>
      <w:r>
        <w:rPr>
          <w:b/>
          <w:bCs/>
        </w:rPr>
        <w:t xml:space="preserve">the Property is located within a designated Groundwater Management Zone (</w:t>
      </w:r>
      <w:r>
        <w:rPr>
          <w:b/>
          <w:bCs/>
        </w:rPr>
        <w:t xml:space="preserve">“</w:t>
      </w:r>
      <w:r>
        <w:rPr>
          <w:b/>
          <w:bCs/>
        </w:rPr>
        <w:t xml:space="preserve">GMZ</w:t>
      </w:r>
      <w:r>
        <w:rPr>
          <w:b/>
          <w:bCs/>
        </w:rPr>
        <w:t xml:space="preserve">”</w:t>
      </w:r>
      <w:r>
        <w:rPr>
          <w:b/>
          <w:bCs/>
        </w:rPr>
        <w:t xml:space="preserve">)</w:t>
      </w:r>
      <w:r>
        <w:t xml:space="preserve"> </w:t>
      </w:r>
      <w:r>
        <w:t xml:space="preserve">established in connection with this plume, and that</w:t>
      </w:r>
      <w:r>
        <w:t xml:space="preserve"> </w:t>
      </w:r>
      <w:r>
        <w:rPr>
          <w:b/>
          <w:bCs/>
        </w:rPr>
        <w:t xml:space="preserve">no investigation of PCE concentrations in groundwater beneath the Property has been conducted</w:t>
      </w:r>
      <w:r>
        <w:t xml:space="preserve"> </w:t>
      </w:r>
      <w:r>
        <w:t xml:space="preserve">and the lateral and vertical extent of plume migration onto or beneath the Property has not been delineated (Ohio EPA Response §4). The GMZ may impose restrictions on new groundwater withdrawals, new well installations, and certain land uses.</w:t>
      </w:r>
    </w:p>
    <w:p>
      <w:pPr>
        <w:pStyle w:val="BodyText"/>
      </w:pPr>
      <w:r>
        <w:rPr>
          <w:b/>
          <w:bCs/>
        </w:rPr>
        <w:t xml:space="preserve">The Phase I ESA did not classify this condition as a REC.</w:t>
      </w:r>
      <w:r>
        <w:t xml:space="preserve"> </w:t>
      </w:r>
      <w:r>
        <w:t xml:space="preserve">It disclosed the plume, the GMZ designation, and the upgradient position of the source in its records-review section, but its Findings (§9) list only the two on-site RECs. This is significant because the Lender’s requirements letter (§2) expressly requires that the Phase I</w:t>
      </w:r>
      <w:r>
        <w:t xml:space="preserve"> </w:t>
      </w:r>
      <w:r>
        <w:t xml:space="preserve">“</w:t>
      </w:r>
      <w:r>
        <w:t xml:space="preserve">evaluate off-site sources of contamination that may be migrating onto or otherwise affecting the subject Property, including… contaminated groundwater plumes from adjacent or nearby properties,</w:t>
      </w:r>
      <w:r>
        <w:t xml:space="preserve">”</w:t>
      </w:r>
      <w:r>
        <w:t xml:space="preserve"> </w:t>
      </w:r>
      <w:r>
        <w:t xml:space="preserve">and that</w:t>
      </w:r>
      <w:r>
        <w:t xml:space="preserve"> </w:t>
      </w:r>
      <w:r>
        <w:t xml:space="preserve">“</w:t>
      </w:r>
      <w:r>
        <w:t xml:space="preserve">any such conditions must be identified as recognized environmental conditions.</w:t>
      </w:r>
      <w:r>
        <w:t xml:space="preserve">”</w:t>
      </w:r>
      <w:r>
        <w:t xml:space="preserve"> </w:t>
      </w:r>
      <w:r>
        <w:t xml:space="preserve">An upgradient PCE plume at 17.4× the standard, 120 feet from the Property, migrating toward the Property, with the Property inside the GMZ and its groundwater never tested, is precisely the circumstance the Lender required to be flagged as a REC.</w:t>
      </w:r>
    </w:p>
    <w:p>
      <w:pPr>
        <w:pStyle w:val="BodyText"/>
      </w:pPr>
      <w:r>
        <w:rPr>
          <w:b/>
          <w:bCs/>
        </w:rPr>
        <w:t xml:space="preserve">Why Critical.</w:t>
      </w:r>
      <w:r>
        <w:t xml:space="preserve"> </w:t>
      </w:r>
      <w:r>
        <w:t xml:space="preserve">PCE is a probable human carcinogen and, like TCE, a persistent chlorinated solvent that drives both groundwater contamination and vapor intrusion (see H4). An uncharacterized, migrating off-site plume beneath the Property presents (i) direct environmental liability and remediation exposure; (ii) CERCLA exposure as a subsequent purchaser, for which the contiguous property owner defense (CERCLA §107(q)) and bona fide prospective purchaser defense (§107(r)) require All Appropriate Inquiries and ongoing</w:t>
      </w:r>
      <w:r>
        <w:t xml:space="preserve"> </w:t>
      </w:r>
      <w:r>
        <w:t xml:space="preserve">“</w:t>
      </w:r>
      <w:r>
        <w:t xml:space="preserve">reasonable steps</w:t>
      </w:r>
      <w:r>
        <w:t xml:space="preserve">”</w:t>
      </w:r>
      <w:r>
        <w:t xml:space="preserve"> </w:t>
      </w:r>
      <w:r>
        <w:t xml:space="preserve">and institutional-control compliance — defenses that are undermined when the condition is not even identified as a REC; (iii) land-use constraints via the GMZ; and (iv) a Lender-compliance failure (see H8). This issue should be treated as a REC for all due-diligence and decision purposes, and the Phase I should be supplemented accordingly.</w:t>
      </w:r>
    </w:p>
    <w:bookmarkEnd w:id="27"/>
    <w:bookmarkStart w:id="28" w:name="X7ba47896c2e1d2e4f36716004525490ceedabcb"/>
    <w:p>
      <w:pPr>
        <w:pStyle w:val="Heading4"/>
      </w:pPr>
      <w:r>
        <w:t xml:space="preserve">C4 — Apparent Breaches of Seller’s Environmental Representations — CRITICAL</w:t>
      </w:r>
    </w:p>
    <w:p>
      <w:pPr>
        <w:pStyle w:val="FirstParagraph"/>
      </w:pPr>
      <w:r>
        <w:t xml:space="preserve">The documented record is inconsistent with several of Seller’s environmental representations in the Asset Purchase Agreement, any one of which supports an indemnification claim and, depending on Seller’s knowledge, may support a fraud/intentional-misrepresentation claim that would pierce the basket, cap, and survival period (§8.4(d)).</w:t>
      </w:r>
    </w:p>
    <w:p>
      <w:pPr>
        <w:pStyle w:val="Compact"/>
        <w:numPr>
          <w:ilvl w:val="0"/>
          <w:numId w:val="1003"/>
        </w:numPr>
      </w:pPr>
      <w:r>
        <w:rPr>
          <w:b/>
          <w:bCs/>
        </w:rPr>
        <w:t xml:space="preserve">§4.12(a) —</w:t>
      </w:r>
      <w:r>
        <w:rPr>
          <w:b/>
          <w:bCs/>
        </w:rPr>
        <w:t xml:space="preserve"> </w:t>
      </w:r>
      <w:r>
        <w:rPr>
          <w:b/>
          <w:bCs/>
        </w:rPr>
        <w:t xml:space="preserve">“</w:t>
      </w:r>
      <w:r>
        <w:rPr>
          <w:b/>
          <w:bCs/>
        </w:rPr>
        <w:t xml:space="preserve">no release</w:t>
      </w:r>
      <w:r>
        <w:rPr>
          <w:b/>
          <w:bCs/>
        </w:rPr>
        <w:t xml:space="preserve">”</w:t>
      </w:r>
      <w:r>
        <w:rPr>
          <w:b/>
          <w:bCs/>
        </w:rPr>
        <w:t xml:space="preserve"> </w:t>
      </w:r>
      <w:r>
        <w:rPr>
          <w:b/>
          <w:bCs/>
        </w:rPr>
        <w:t xml:space="preserve">(Schedule 4.12(a):</w:t>
      </w:r>
      <w:r>
        <w:rPr>
          <w:b/>
          <w:bCs/>
        </w:rPr>
        <w:t xml:space="preserve"> </w:t>
      </w:r>
      <w:r>
        <w:rPr>
          <w:b/>
          <w:bCs/>
        </w:rPr>
        <w:t xml:space="preserve">“</w:t>
      </w:r>
      <w:r>
        <w:rPr>
          <w:b/>
          <w:bCs/>
        </w:rPr>
        <w:t xml:space="preserve">None</w:t>
      </w:r>
      <w:r>
        <w:rPr>
          <w:b/>
          <w:bCs/>
        </w:rPr>
        <w:t xml:space="preserve">”</w:t>
      </w:r>
      <w:r>
        <w:rPr>
          <w:b/>
          <w:bCs/>
        </w:rPr>
        <w:t xml:space="preserve">).</w:t>
      </w:r>
      <w:r>
        <w:t xml:space="preserve"> </w:t>
      </w:r>
      <w:r>
        <w:t xml:space="preserve">Likely breached. Documented releases include the 1988 degreasing-solvent spill (Toledo Fire Department records); the 2003 inspection’s observation of rusted, leaking 55-gallon drums of electroplating sludge with ground staining in the outdoor storage area (Ohio EPA Response §2); the abandoned, leaking waste-TCE drum with stained soil; the electroplating-room staining and contaminated sump; and the off-site PCE plume migrating onto the Property.</w:t>
      </w:r>
    </w:p>
    <w:p>
      <w:pPr>
        <w:pStyle w:val="Compact"/>
        <w:numPr>
          <w:ilvl w:val="0"/>
          <w:numId w:val="1003"/>
        </w:numPr>
      </w:pPr>
      <w:r>
        <w:rPr>
          <w:b/>
          <w:bCs/>
        </w:rPr>
        <w:t xml:space="preserve">§4.12(b) —</w:t>
      </w:r>
      <w:r>
        <w:rPr>
          <w:b/>
          <w:bCs/>
        </w:rPr>
        <w:t xml:space="preserve"> </w:t>
      </w:r>
      <w:r>
        <w:rPr>
          <w:b/>
          <w:bCs/>
        </w:rPr>
        <w:t xml:space="preserve">“</w:t>
      </w:r>
      <w:r>
        <w:rPr>
          <w:b/>
          <w:bCs/>
        </w:rPr>
        <w:t xml:space="preserve">material compliance</w:t>
      </w:r>
      <w:r>
        <w:rPr>
          <w:b/>
          <w:bCs/>
        </w:rPr>
        <w:t xml:space="preserve">”</w:t>
      </w:r>
      <w:r>
        <w:rPr>
          <w:b/>
          <w:bCs/>
        </w:rPr>
        <w:t xml:space="preserve"> </w:t>
      </w:r>
      <w:r>
        <w:rPr>
          <w:b/>
          <w:bCs/>
        </w:rPr>
        <w:t xml:space="preserve">with environmental laws and permits.</w:t>
      </w:r>
      <w:r>
        <w:t xml:space="preserve"> </w:t>
      </w:r>
      <w:r>
        <w:t xml:space="preserve">Likely breached. The 2003 NOV and Director’s Final Findings &amp; Orders (consent order) document non-compliance with Ohio hazardous-waste regulations, and Ohio EPA has no hazardous-waste manifests or biennial reports for 1965–2003 despite 39 years of electroplating operations.</w:t>
      </w:r>
    </w:p>
    <w:p>
      <w:pPr>
        <w:pStyle w:val="Compact"/>
        <w:numPr>
          <w:ilvl w:val="0"/>
          <w:numId w:val="1003"/>
        </w:numPr>
      </w:pPr>
      <w:r>
        <w:rPr>
          <w:b/>
          <w:bCs/>
        </w:rPr>
        <w:t xml:space="preserve">§4.12(c) —</w:t>
      </w:r>
      <w:r>
        <w:rPr>
          <w:b/>
          <w:bCs/>
        </w:rPr>
        <w:t xml:space="preserve"> </w:t>
      </w:r>
      <w:r>
        <w:rPr>
          <w:b/>
          <w:bCs/>
        </w:rPr>
        <w:t xml:space="preserve">“</w:t>
      </w:r>
      <w:r>
        <w:rPr>
          <w:b/>
          <w:bCs/>
        </w:rPr>
        <w:t xml:space="preserve">no Environmental Notice… no consent orders</w:t>
      </w:r>
      <w:r>
        <w:rPr>
          <w:b/>
          <w:bCs/>
        </w:rPr>
        <w:t xml:space="preserve">”</w:t>
      </w:r>
      <w:r>
        <w:rPr>
          <w:b/>
          <w:bCs/>
        </w:rPr>
        <w:t xml:space="preserve"> </w:t>
      </w:r>
      <w:r>
        <w:rPr>
          <w:b/>
          <w:bCs/>
        </w:rPr>
        <w:t xml:space="preserve">(Schedule 4.12(c):</w:t>
      </w:r>
      <w:r>
        <w:rPr>
          <w:b/>
          <w:bCs/>
        </w:rPr>
        <w:t xml:space="preserve"> </w:t>
      </w:r>
      <w:r>
        <w:rPr>
          <w:b/>
          <w:bCs/>
        </w:rPr>
        <w:t xml:space="preserve">“</w:t>
      </w:r>
      <w:r>
        <w:rPr>
          <w:b/>
          <w:bCs/>
        </w:rPr>
        <w:t xml:space="preserve">None</w:t>
      </w:r>
      <w:r>
        <w:rPr>
          <w:b/>
          <w:bCs/>
        </w:rPr>
        <w:t xml:space="preserve">”</w:t>
      </w:r>
      <w:r>
        <w:rPr>
          <w:b/>
          <w:bCs/>
        </w:rPr>
        <w:t xml:space="preserve">).</w:t>
      </w:r>
      <w:r>
        <w:t xml:space="preserve"> </w:t>
      </w:r>
      <w:r>
        <w:rPr>
          <w:b/>
          <w:bCs/>
        </w:rPr>
        <w:t xml:space="preserve">Clearly breached.</w:t>
      </w:r>
      <w:r>
        <w:t xml:space="preserve"> </w:t>
      </w:r>
      <w:r>
        <w:t xml:space="preserve">Ohio EPA issued a Notice of Violation (File No. NW-2003-0471) on August 12, 2003, and the matter was resolved through a</w:t>
      </w:r>
      <w:r>
        <w:t xml:space="preserve"> </w:t>
      </w:r>
      <w:r>
        <w:rPr>
          <w:b/>
          <w:bCs/>
        </w:rPr>
        <w:t xml:space="preserve">Director’s Final Findings and Orders (consent order)</w:t>
      </w:r>
      <w:r>
        <w:t xml:space="preserve"> </w:t>
      </w:r>
      <w:r>
        <w:t xml:space="preserve">— a</w:t>
      </w:r>
      <w:r>
        <w:t xml:space="preserve"> </w:t>
      </w:r>
      <w:r>
        <w:t xml:space="preserve">“</w:t>
      </w:r>
      <w:r>
        <w:t xml:space="preserve">consent order</w:t>
      </w:r>
      <w:r>
        <w:t xml:space="preserve">”</w:t>
      </w:r>
      <w:r>
        <w:t xml:space="preserve"> </w:t>
      </w:r>
      <w:r>
        <w:t xml:space="preserve">within the meaning of §4.12(c). Schedule 4.12(c)’s representation that there are</w:t>
      </w:r>
      <w:r>
        <w:t xml:space="preserve"> </w:t>
      </w:r>
      <w:r>
        <w:t xml:space="preserve">“</w:t>
      </w:r>
      <w:r>
        <w:t xml:space="preserve">None</w:t>
      </w:r>
      <w:r>
        <w:t xml:space="preserve">”</w:t>
      </w:r>
      <w:r>
        <w:t xml:space="preserve"> </w:t>
      </w:r>
      <w:r>
        <w:t xml:space="preserve">is false.</w:t>
      </w:r>
    </w:p>
    <w:p>
      <w:pPr>
        <w:pStyle w:val="Compact"/>
        <w:numPr>
          <w:ilvl w:val="0"/>
          <w:numId w:val="1003"/>
        </w:numPr>
      </w:pPr>
      <w:r>
        <w:rPr>
          <w:b/>
          <w:bCs/>
        </w:rPr>
        <w:t xml:space="preserve">§4.12(d) — delivery of all environmental documents.</w:t>
      </w:r>
      <w:r>
        <w:t xml:space="preserve"> </w:t>
      </w:r>
      <w:r>
        <w:t xml:space="preserve">Questionable. Seller produced no hazardous-waste manifests for 1965–2003, did not produce the consent order or compliance certification, declined to produce corporate records for 1961–1990, and provided no records regarding the undocumented monitoring well MW-1.</w:t>
      </w:r>
    </w:p>
    <w:p>
      <w:pPr>
        <w:pStyle w:val="Compact"/>
        <w:numPr>
          <w:ilvl w:val="0"/>
          <w:numId w:val="1003"/>
        </w:numPr>
      </w:pPr>
      <w:r>
        <w:rPr>
          <w:b/>
          <w:bCs/>
        </w:rPr>
        <w:t xml:space="preserve">§4.12(e) — no environmental liens/AULs/covenants.</w:t>
      </w:r>
      <w:r>
        <w:t xml:space="preserve"> </w:t>
      </w:r>
      <w:r>
        <w:t xml:space="preserve">Technically arguable as to recorded instruments on the Property itself (the environmental covenant is on the adjacent dry-cleaner parcel), but the Property’s inclusion in a state-designated GMZ is an institutional control of relevance that should be disclosed and evaluated.</w:t>
      </w:r>
    </w:p>
    <w:p>
      <w:pPr>
        <w:pStyle w:val="Compact"/>
        <w:numPr>
          <w:ilvl w:val="0"/>
          <w:numId w:val="1003"/>
        </w:numPr>
      </w:pPr>
      <w:r>
        <w:rPr>
          <w:b/>
          <w:bCs/>
        </w:rPr>
        <w:t xml:space="preserve">§4.13(a) — Schedule 4.13 is a</w:t>
      </w:r>
      <w:r>
        <w:rPr>
          <w:b/>
          <w:bCs/>
        </w:rPr>
        <w:t xml:space="preserve"> </w:t>
      </w:r>
      <w:r>
        <w:rPr>
          <w:b/>
          <w:bCs/>
        </w:rPr>
        <w:t xml:space="preserve">“</w:t>
      </w:r>
      <w:r>
        <w:rPr>
          <w:b/>
          <w:bCs/>
        </w:rPr>
        <w:t xml:space="preserve">true, correct, and complete list of all Underground Storage Tanks.</w:t>
      </w:r>
      <w:r>
        <w:rPr>
          <w:b/>
          <w:bCs/>
        </w:rPr>
        <w:t xml:space="preserve">”</w:t>
      </w:r>
      <w:r>
        <w:t xml:space="preserve"> </w:t>
      </w:r>
      <w:r>
        <w:rPr>
          <w:b/>
          <w:bCs/>
        </w:rPr>
        <w:t xml:space="preserve">Breached.</w:t>
      </w:r>
      <w:r>
        <w:t xml:space="preserve"> </w:t>
      </w:r>
      <w:r>
        <w:t xml:space="preserve">Historical Sanborn fire-insurance maps depict a</w:t>
      </w:r>
      <w:r>
        <w:t xml:space="preserve"> </w:t>
      </w:r>
      <w:r>
        <w:rPr>
          <w:b/>
          <w:bCs/>
        </w:rPr>
        <w:t xml:space="preserve">2,000-gallon waste-solvent UST</w:t>
      </w:r>
      <w:r>
        <w:t xml:space="preserve"> </w:t>
      </w:r>
      <w:r>
        <w:t xml:space="preserve">(1987 edition) and a</w:t>
      </w:r>
      <w:r>
        <w:t xml:space="preserve"> </w:t>
      </w:r>
      <w:r>
        <w:rPr>
          <w:b/>
          <w:bCs/>
        </w:rPr>
        <w:t xml:space="preserve">500-gallon heating-oil UST</w:t>
      </w:r>
      <w:r>
        <w:t xml:space="preserve"> </w:t>
      </w:r>
      <w:r>
        <w:t xml:space="preserve">(1951 edition, Halstead farmhouse) at the Property. Neither appears on Schedule 4.13, which affirmatively states</w:t>
      </w:r>
      <w:r>
        <w:t xml:space="preserve"> </w:t>
      </w:r>
      <w:r>
        <w:t xml:space="preserve">“</w:t>
      </w:r>
      <w:r>
        <w:t xml:space="preserve">No other Underground Storage Tanks are or have been located on the Property.</w:t>
      </w:r>
      <w:r>
        <w:t xml:space="preserve">”</w:t>
      </w:r>
      <w:r>
        <w:t xml:space="preserve"> </w:t>
      </w:r>
      <w:r>
        <w:t xml:space="preserve">Ohio EPA/BUSTR has no registration or closure records for either tank (Ohio EPA Response §3; EDR Summary, Sanborn UST references). The representation that all USTs</w:t>
      </w:r>
      <w:r>
        <w:t xml:space="preserve"> </w:t>
      </w:r>
      <w:r>
        <w:t xml:space="preserve">“</w:t>
      </w:r>
      <w:r>
        <w:t xml:space="preserve">have been properly registered… and… properly closed</w:t>
      </w:r>
      <w:r>
        <w:t xml:space="preserve">”</w:t>
      </w:r>
      <w:r>
        <w:t xml:space="preserve"> </w:t>
      </w:r>
      <w:r>
        <w:t xml:space="preserve">is also breached as to these two tanks.</w:t>
      </w:r>
    </w:p>
    <w:p>
      <w:pPr>
        <w:pStyle w:val="Compact"/>
        <w:numPr>
          <w:ilvl w:val="0"/>
          <w:numId w:val="1003"/>
        </w:numPr>
      </w:pPr>
      <w:r>
        <w:rPr>
          <w:b/>
          <w:bCs/>
        </w:rPr>
        <w:t xml:space="preserve">§4.13(b) —</w:t>
      </w:r>
      <w:r>
        <w:rPr>
          <w:b/>
          <w:bCs/>
        </w:rPr>
        <w:t xml:space="preserve"> </w:t>
      </w:r>
      <w:r>
        <w:rPr>
          <w:b/>
          <w:bCs/>
        </w:rPr>
        <w:t xml:space="preserve">“</w:t>
      </w:r>
      <w:r>
        <w:rPr>
          <w:b/>
          <w:bCs/>
        </w:rPr>
        <w:t xml:space="preserve">no Releases from any Underground Storage Tank.</w:t>
      </w:r>
      <w:r>
        <w:rPr>
          <w:b/>
          <w:bCs/>
        </w:rPr>
        <w:t xml:space="preserve">”</w:t>
      </w:r>
      <w:r>
        <w:t xml:space="preserve"> </w:t>
      </w:r>
      <w:r>
        <w:t xml:space="preserve">At minimum not verifiable, and likely breached, given the unregistered waste-solvent UST of unknown integrity (see H1).</w:t>
      </w:r>
    </w:p>
    <w:p>
      <w:pPr>
        <w:pStyle w:val="FirstParagraph"/>
      </w:pPr>
      <w:r>
        <w:rPr>
          <w:b/>
          <w:bCs/>
        </w:rPr>
        <w:t xml:space="preserve">Why Critical.</w:t>
      </w:r>
      <w:r>
        <w:t xml:space="preserve"> </w:t>
      </w:r>
      <w:r>
        <w:t xml:space="preserve">These apparent breaches are the legal foundation for Buyer’s indemnification recovery and for any fraud/intentional-misrepresentation claim that would avoid the $1,750,000 cap and three-year survival limit. The clearest false statements — Schedule 4.12(c) (</w:t>
      </w:r>
      <w:r>
        <w:t xml:space="preserve">“</w:t>
      </w:r>
      <w:r>
        <w:t xml:space="preserve">None</w:t>
      </w:r>
      <w:r>
        <w:t xml:space="preserve">”</w:t>
      </w:r>
      <w:r>
        <w:t xml:space="preserve">) and Schedule 4.13’s omission of two historical USTs — are particularly significant because they are not hedged by a</w:t>
      </w:r>
      <w:r>
        <w:t xml:space="preserve"> </w:t>
      </w:r>
      <w:r>
        <w:t xml:space="preserve">“</w:t>
      </w:r>
      <w:r>
        <w:t xml:space="preserve">to Seller’s knowledge</w:t>
      </w:r>
      <w:r>
        <w:t xml:space="preserve">”</w:t>
      </w:r>
      <w:r>
        <w:t xml:space="preserve"> </w:t>
      </w:r>
      <w:r>
        <w:t xml:space="preserve">qualifier in the same manner as §4.12(a). Buyer’s counsel should demand that Seller update Schedules 4.12 and 4.13 to reflect the true facts before closing, and should preserve all evidence of Seller’s knowledge (including the interview inconsistencies noted at M3).</w:t>
      </w:r>
    </w:p>
    <w:bookmarkEnd w:id="28"/>
    <w:bookmarkStart w:id="29" w:name="X91171eb3d5ea6a68b2a989f5b4bc3607f4e5432"/>
    <w:p>
      <w:pPr>
        <w:pStyle w:val="Heading4"/>
      </w:pPr>
      <w:r>
        <w:t xml:space="preserve">C5 — Lender Funding Conditions Not Satisfied — CRITICAL</w:t>
      </w:r>
    </w:p>
    <w:p>
      <w:pPr>
        <w:pStyle w:val="FirstParagraph"/>
      </w:pPr>
      <w:r>
        <w:t xml:space="preserve">Because the Phase I identified RECs, the Lender has stated it</w:t>
      </w:r>
      <w:r>
        <w:t xml:space="preserve"> </w:t>
      </w:r>
      <w:r>
        <w:rPr>
          <w:b/>
          <w:bCs/>
        </w:rPr>
        <w:t xml:space="preserve">will not fund the Loan on the Phase I alone</w:t>
      </w:r>
      <w:r>
        <w:t xml:space="preserve"> </w:t>
      </w:r>
      <w:r>
        <w:t xml:space="preserve">(Lender Letter §3.B). Before closing, Buyer must satisfy</w:t>
      </w:r>
      <w:r>
        <w:t xml:space="preserve"> </w:t>
      </w:r>
      <w:r>
        <w:rPr>
          <w:b/>
          <w:bCs/>
        </w:rPr>
        <w:t xml:space="preserve">all</w:t>
      </w:r>
      <w:r>
        <w:t xml:space="preserve"> </w:t>
      </w:r>
      <w:r>
        <w:t xml:space="preserve">of the following, with deliverables due to the Lender by</w:t>
      </w:r>
      <w:r>
        <w:t xml:space="preserve"> </w:t>
      </w:r>
      <w:r>
        <w:rPr>
          <w:b/>
          <w:bCs/>
        </w:rPr>
        <w:t xml:space="preserve">November 30, 2024</w:t>
      </w:r>
      <w:r>
        <w:t xml:space="preserve">:</w:t>
      </w:r>
    </w:p>
    <w:p>
      <w:pPr>
        <w:pStyle w:val="Compact"/>
        <w:numPr>
          <w:ilvl w:val="0"/>
          <w:numId w:val="1004"/>
        </w:numPr>
      </w:pPr>
      <w:r>
        <w:rPr>
          <w:b/>
          <w:bCs/>
        </w:rPr>
        <w:t xml:space="preserve">Phase II ESA</w:t>
      </w:r>
      <w:r>
        <w:t xml:space="preserve"> </w:t>
      </w:r>
      <w:r>
        <w:t xml:space="preserve">(ASTM E1903-19) characterizing each REC, with</w:t>
      </w:r>
      <w:r>
        <w:t xml:space="preserve"> </w:t>
      </w:r>
      <w:r>
        <w:rPr>
          <w:b/>
          <w:bCs/>
        </w:rPr>
        <w:t xml:space="preserve">quantified remediation cost estimates</w:t>
      </w:r>
      <w:r>
        <w:t xml:space="preserve"> </w:t>
      </w:r>
      <w:r>
        <w:t xml:space="preserve">— best-case, most-likely, and worst-case — prepared by a licensed professional engineer, including assumed methodology, applicable standards, and time to completion.</w:t>
      </w:r>
    </w:p>
    <w:p>
      <w:pPr>
        <w:pStyle w:val="Compact"/>
        <w:numPr>
          <w:ilvl w:val="0"/>
          <w:numId w:val="1004"/>
        </w:numPr>
      </w:pPr>
      <w:r>
        <w:rPr>
          <w:b/>
          <w:bCs/>
        </w:rPr>
        <w:t xml:space="preserve">Pollution Legal Liability (</w:t>
      </w:r>
      <w:r>
        <w:rPr>
          <w:b/>
          <w:bCs/>
        </w:rPr>
        <w:t xml:space="preserve">“</w:t>
      </w:r>
      <w:r>
        <w:rPr>
          <w:b/>
          <w:bCs/>
        </w:rPr>
        <w:t xml:space="preserve">PLL</w:t>
      </w:r>
      <w:r>
        <w:rPr>
          <w:b/>
          <w:bCs/>
        </w:rPr>
        <w:t xml:space="preserve">”</w:t>
      </w:r>
      <w:r>
        <w:rPr>
          <w:b/>
          <w:bCs/>
        </w:rPr>
        <w:t xml:space="preserve">) insurance</w:t>
      </w:r>
      <w:r>
        <w:t xml:space="preserve"> </w:t>
      </w:r>
      <w:r>
        <w:t xml:space="preserve">from a carrier rated A− or better, with limits of</w:t>
      </w:r>
      <w:r>
        <w:t xml:space="preserve"> </w:t>
      </w:r>
      <w:r>
        <w:rPr>
          <w:b/>
          <w:bCs/>
        </w:rPr>
        <w:t xml:space="preserve">not less than the greater of (x) the worst-case remediation cost estimate or (y) $5,000,000</w:t>
      </w:r>
      <w:r>
        <w:t xml:space="preserve">, term of</w:t>
      </w:r>
      <w:r>
        <w:t xml:space="preserve"> </w:t>
      </w:r>
      <w:r>
        <w:rPr>
          <w:b/>
          <w:bCs/>
        </w:rPr>
        <w:t xml:space="preserve">not less than 10 years</w:t>
      </w:r>
      <w:r>
        <w:t xml:space="preserve">, with the Lender as additional insured and loss payee. The Lender states this is</w:t>
      </w:r>
      <w:r>
        <w:t xml:space="preserve"> </w:t>
      </w:r>
      <w:r>
        <w:rPr>
          <w:b/>
          <w:bCs/>
        </w:rPr>
        <w:t xml:space="preserve">non-negotiable</w:t>
      </w:r>
      <w:r>
        <w:t xml:space="preserve"> </w:t>
      </w:r>
      <w:r>
        <w:t xml:space="preserve">and that it will not rely on Seller indemnity alone.</w:t>
      </w:r>
    </w:p>
    <w:p>
      <w:pPr>
        <w:pStyle w:val="Compact"/>
        <w:numPr>
          <w:ilvl w:val="0"/>
          <w:numId w:val="1004"/>
        </w:numPr>
      </w:pPr>
      <w:r>
        <w:rPr>
          <w:b/>
          <w:bCs/>
        </w:rPr>
        <w:t xml:space="preserve">Remediation-cost escrow</w:t>
      </w:r>
      <w:r>
        <w:t xml:space="preserve"> </w:t>
      </w:r>
      <w:r>
        <w:t xml:space="preserve">at the Lender, in an amount equal to</w:t>
      </w:r>
      <w:r>
        <w:t xml:space="preserve"> </w:t>
      </w:r>
      <w:r>
        <w:rPr>
          <w:b/>
          <w:bCs/>
        </w:rPr>
        <w:t xml:space="preserve">125% of the most-likely remediation cost estimate</w:t>
      </w:r>
      <w:r>
        <w:t xml:space="preserve">, if that estimate exceeds $250,000 (very likely here).</w:t>
      </w:r>
    </w:p>
    <w:p>
      <w:pPr>
        <w:pStyle w:val="Compact"/>
        <w:numPr>
          <w:ilvl w:val="0"/>
          <w:numId w:val="1004"/>
        </w:numPr>
      </w:pPr>
      <w:r>
        <w:rPr>
          <w:b/>
          <w:bCs/>
        </w:rPr>
        <w:t xml:space="preserve">Remediation plan</w:t>
      </w:r>
      <w:r>
        <w:t xml:space="preserve"> </w:t>
      </w:r>
      <w:r>
        <w:t xml:space="preserve">(by a licensed EP; submitted to and approved by Ohio EPA if applicable; completion within 36 months) if estimated costs exceed $500,000 under either the most-likely or worst-case scenario (very likely here).</w:t>
      </w:r>
    </w:p>
    <w:p>
      <w:pPr>
        <w:pStyle w:val="Compact"/>
        <w:numPr>
          <w:ilvl w:val="0"/>
          <w:numId w:val="1004"/>
        </w:numPr>
      </w:pPr>
      <w:r>
        <w:rPr>
          <w:b/>
          <w:bCs/>
        </w:rPr>
        <w:t xml:space="preserve">Vapor intrusion assessment</w:t>
      </w:r>
      <w:r>
        <w:t xml:space="preserve"> </w:t>
      </w:r>
      <w:r>
        <w:t xml:space="preserve">(per Ohio EPA/U.S. EPA guidance) if VOCs are identified in soil or groundwater at or beneath the Property — which is essentially certain given TCE (C1) and PCE (C3) — plus a vapor mitigation plan for any occupied/occupiable structures, implemented prior to or concurrently with closing.</w:t>
      </w:r>
    </w:p>
    <w:p>
      <w:pPr>
        <w:pStyle w:val="FirstParagraph"/>
      </w:pPr>
      <w:r>
        <w:t xml:space="preserve">The Lender also reserves the right to</w:t>
      </w:r>
      <w:r>
        <w:t xml:space="preserve"> </w:t>
      </w:r>
      <w:r>
        <w:rPr>
          <w:b/>
          <w:bCs/>
        </w:rPr>
        <w:t xml:space="preserve">decline the Loan</w:t>
      </w:r>
      <w:r>
        <w:t xml:space="preserve"> </w:t>
      </w:r>
      <w:r>
        <w:t xml:space="preserve">if (a) the worst-case remediation cost exceeds</w:t>
      </w:r>
      <w:r>
        <w:t xml:space="preserve"> </w:t>
      </w:r>
      <w:r>
        <w:rPr>
          <w:b/>
          <w:bCs/>
        </w:rPr>
        <w:t xml:space="preserve">50% of the appraised value</w:t>
      </w:r>
      <w:r>
        <w:t xml:space="preserve">; (b) the Property is listed/proposed for the NPL; (c) the Property is subject to an active RCRA corrective-action order or similar enforcement that could result in a lien senior to the mortgage (see H2 regarding the 2003 consent order); or (d) unresolved data gaps prevent adequate characterization (see H9) (Lender Letter §3.C).</w:t>
      </w:r>
    </w:p>
    <w:p>
      <w:pPr>
        <w:pStyle w:val="BodyText"/>
      </w:pPr>
      <w:r>
        <w:rPr>
          <w:b/>
          <w:bCs/>
        </w:rPr>
        <w:t xml:space="preserve">Why Critical.</w:t>
      </w:r>
      <w:r>
        <w:t xml:space="preserve"> </w:t>
      </w:r>
      <w:r>
        <w:t xml:space="preserve">The Loan — 70% of the purchase price — is the financial backbone of the transaction. Satisfying these conditions in the ~5-week window between now and November 30, 2024 will be demanding and costly (Phase II, $5M+ insurance premiums, a funded escrow, and a vapor mitigation system), and the Lender retains absolute discretion to decline. If the combined worst-case remediation cost for TCE, hexavalent chromium, and the PCE plume approaches ~50% of appraised value, the Lender may decline outright. Buyer should immediately scope and commission the Phase II and engage an insurance broker on the PLL policy.</w:t>
      </w:r>
    </w:p>
    <w:p>
      <w:r>
        <w:pict>
          <v:rect style="width:0;height:1.5pt" o:hralign="center" o:hrstd="t" o:hr="t"/>
        </w:pict>
      </w:r>
    </w:p>
    <w:bookmarkEnd w:id="29"/>
    <w:bookmarkEnd w:id="30"/>
    <w:bookmarkStart w:id="40" w:name="b.-high-severity-issues"/>
    <w:p>
      <w:pPr>
        <w:pStyle w:val="Heading3"/>
      </w:pPr>
      <w:r>
        <w:t xml:space="preserve">B. High-Severity Issues</w:t>
      </w:r>
    </w:p>
    <w:bookmarkStart w:id="31" w:name="X1d3b9e90ce2228206c96e8962294ba47fa74cb4"/>
    <w:p>
      <w:pPr>
        <w:pStyle w:val="Heading4"/>
      </w:pPr>
      <w:r>
        <w:t xml:space="preserve">H1 — Unregistered / Unclosed 2,000-Gallon Waste-Solvent UST — HIGH</w:t>
      </w:r>
    </w:p>
    <w:p>
      <w:pPr>
        <w:pStyle w:val="FirstParagraph"/>
      </w:pPr>
      <w:r>
        <w:t xml:space="preserve">The 1987 Sanborn fire-insurance map depicts a</w:t>
      </w:r>
      <w:r>
        <w:t xml:space="preserve"> </w:t>
      </w:r>
      <w:r>
        <w:rPr>
          <w:b/>
          <w:bCs/>
        </w:rPr>
        <w:t xml:space="preserve">2,000-gallon waste-solvent underground storage tank</w:t>
      </w:r>
      <w:r>
        <w:t xml:space="preserve"> </w:t>
      </w:r>
      <w:r>
        <w:t xml:space="preserve">on the east side of the Property, in the general vicinity of the former outdoor drum-storage area and near the former electroplating shop (Phase I §5.2.1; EDR Summary, Sanborn UST references). Ohio EPA/BUSTR has</w:t>
      </w:r>
      <w:r>
        <w:t xml:space="preserve"> </w:t>
      </w:r>
      <w:r>
        <w:rPr>
          <w:b/>
          <w:bCs/>
        </w:rPr>
        <w:t xml:space="preserve">no registration, installation, closure, or removal records</w:t>
      </w:r>
      <w:r>
        <w:t xml:space="preserve"> </w:t>
      </w:r>
      <w:r>
        <w:t xml:space="preserve">for this tank (Ohio EPA Response §3). No surface evidence (fill/vent pipes) was observed during reconnaissance, but the tank’s status — in place, removed, or closed — is</w:t>
      </w:r>
      <w:r>
        <w:t xml:space="preserve"> </w:t>
      </w:r>
      <w:r>
        <w:rPr>
          <w:b/>
          <w:bCs/>
        </w:rPr>
        <w:t xml:space="preserve">unknown</w:t>
      </w:r>
      <w:r>
        <w:t xml:space="preserve">. A</w:t>
      </w:r>
      <w:r>
        <w:t xml:space="preserve"> </w:t>
      </w:r>
      <w:r>
        <w:t xml:space="preserve">“</w:t>
      </w:r>
      <w:r>
        <w:t xml:space="preserve">waste solvent</w:t>
      </w:r>
      <w:r>
        <w:t xml:space="preserve">”</w:t>
      </w:r>
      <w:r>
        <w:t xml:space="preserve"> </w:t>
      </w:r>
      <w:r>
        <w:t xml:space="preserve">UST at a facility that used TCE for 30 years is a high-concern feature: it may have contained chlorinated solvents and, if still present or improperly closed, may be an ongoing subsurface source. This is also a direct breach of §4.13(a) (see C4). Ohio EPA recommends geophysical survey, interviews, and fire-department permit review to determine the tank’s disposition.</w:t>
      </w:r>
      <w:r>
        <w:t xml:space="preserve"> </w:t>
      </w:r>
      <w:r>
        <w:rPr>
          <w:b/>
          <w:bCs/>
        </w:rPr>
        <w:t xml:space="preserve">Recommended:</w:t>
      </w:r>
      <w:r>
        <w:t xml:space="preserve"> </w:t>
      </w:r>
      <w:r>
        <w:t xml:space="preserve">a geophysical (ground-penetrating radar) survey of the indicated area as part of the Phase II.</w:t>
      </w:r>
    </w:p>
    <w:bookmarkEnd w:id="31"/>
    <w:bookmarkStart w:id="32" w:name="X87dd5b017739de38eaef449c0ac2f0481043304"/>
    <w:p>
      <w:pPr>
        <w:pStyle w:val="Heading4"/>
      </w:pPr>
      <w:r>
        <w:t xml:space="preserve">H2 — 2003 Ohio EPA NOV and Consent Order; Compliance Unverified — HIGH</w:t>
      </w:r>
    </w:p>
    <w:p>
      <w:pPr>
        <w:pStyle w:val="FirstParagraph"/>
      </w:pPr>
      <w:r>
        <w:t xml:space="preserve">On July 17, 2003, Ohio EPA conducted a Compliance Evaluation Inspection that documented three violations: (1)</w:t>
      </w:r>
      <w:r>
        <w:t xml:space="preserve"> </w:t>
      </w:r>
      <w:r>
        <w:rPr>
          <w:b/>
          <w:bCs/>
        </w:rPr>
        <w:t xml:space="preserve">improper storage of hazardous waste in rusted, visibly leaking 55-gallon drums</w:t>
      </w:r>
      <w:r>
        <w:t xml:space="preserve"> </w:t>
      </w:r>
      <w:r>
        <w:t xml:space="preserve">(electroplating sludge and spent chromium-bearing wastewater) in an</w:t>
      </w:r>
      <w:r>
        <w:t xml:space="preserve"> </w:t>
      </w:r>
      <w:r>
        <w:rPr>
          <w:b/>
          <w:bCs/>
        </w:rPr>
        <w:t xml:space="preserve">outdoor storage area on the east side of the Property</w:t>
      </w:r>
      <w:r>
        <w:t xml:space="preserve">, with corrosion perforations and</w:t>
      </w:r>
      <w:r>
        <w:t xml:space="preserve"> </w:t>
      </w:r>
      <w:r>
        <w:rPr>
          <w:b/>
          <w:bCs/>
        </w:rPr>
        <w:t xml:space="preserve">staining on the ground surface</w:t>
      </w:r>
      <w:r>
        <w:t xml:space="preserve"> </w:t>
      </w:r>
      <w:r>
        <w:t xml:space="preserve">beneath and around the drums; (2) failure to label containers with accumulation-start dates; and (3) failure to maintain hazardous-waste determination records (Ohio EPA Response §2). Ohio EPA issued a</w:t>
      </w:r>
      <w:r>
        <w:t xml:space="preserve"> </w:t>
      </w:r>
      <w:r>
        <w:rPr>
          <w:b/>
          <w:bCs/>
        </w:rPr>
        <w:t xml:space="preserve">Notice of Violation (File No. NW-2003-0471)</w:t>
      </w:r>
      <w:r>
        <w:t xml:space="preserve"> </w:t>
      </w:r>
      <w:r>
        <w:t xml:space="preserve">on August 12, 2003, resolved through a</w:t>
      </w:r>
      <w:r>
        <w:t xml:space="preserve"> </w:t>
      </w:r>
      <w:r>
        <w:rPr>
          <w:b/>
          <w:bCs/>
        </w:rPr>
        <w:t xml:space="preserve">Director’s Final Findings and Orders (consent order)</w:t>
      </w:r>
      <w:r>
        <w:t xml:space="preserve"> </w:t>
      </w:r>
      <w:r>
        <w:t xml:space="preserve">requiring a facility-wide waste audit, proper characterization and disposal of all accumulated hazardous waste, a written waste-management plan, and a</w:t>
      </w:r>
      <w:r>
        <w:t xml:space="preserve"> </w:t>
      </w:r>
      <w:r>
        <w:rPr>
          <w:b/>
          <w:bCs/>
        </w:rPr>
        <w:t xml:space="preserve">compliance certification within 120 days</w:t>
      </w:r>
      <w:r>
        <w:t xml:space="preserve">.</w:t>
      </w:r>
    </w:p>
    <w:p>
      <w:pPr>
        <w:pStyle w:val="BodyText"/>
      </w:pPr>
      <w:r>
        <w:t xml:space="preserve">The consent order file (and any compliance certification) is</w:t>
      </w:r>
      <w:r>
        <w:t xml:space="preserve"> </w:t>
      </w:r>
      <w:r>
        <w:rPr>
          <w:b/>
          <w:bCs/>
        </w:rPr>
        <w:t xml:space="preserve">archived at Ohio EPA’s central repository and has not been produced</w:t>
      </w:r>
      <w:r>
        <w:t xml:space="preserve">; Seller could not produce the consent order and characterized the matter as</w:t>
      </w:r>
      <w:r>
        <w:t xml:space="preserve"> </w:t>
      </w:r>
      <w:r>
        <w:t xml:space="preserve">“</w:t>
      </w:r>
      <w:r>
        <w:t xml:space="preserve">resolved years ago.</w:t>
      </w:r>
      <w:r>
        <w:t xml:space="preserve">”</w:t>
      </w:r>
      <w:r>
        <w:t xml:space="preserve"> </w:t>
      </w:r>
      <w:r>
        <w:rPr>
          <w:b/>
          <w:bCs/>
        </w:rPr>
        <w:t xml:space="preserve">The compliance certification has not been verified.</w:t>
      </w:r>
      <w:r>
        <w:t xml:space="preserve"> </w:t>
      </w:r>
      <w:r>
        <w:t xml:space="preserve">This is significant for three reasons: (i) it is a direct breach of §4.12(c) (see C4); (ii) the documented leaking drums with ground staining in the east-side outdoor area corroborate the former drum-storage area as a release location (see H3); and (iii) an unverified/unresolved consent order implicates the Lender’s §3.C(c) decline trigger (an enforcement action that could result in a lien senior to the mortgage).</w:t>
      </w:r>
      <w:r>
        <w:t xml:space="preserve"> </w:t>
      </w:r>
      <w:r>
        <w:rPr>
          <w:b/>
          <w:bCs/>
        </w:rPr>
        <w:t xml:space="preserve">Recommended:</w:t>
      </w:r>
      <w:r>
        <w:t xml:space="preserve"> </w:t>
      </w:r>
      <w:r>
        <w:t xml:space="preserve">obtain the consent order and compliance certification from Ohio EPA Central Office (allow 30–45 business days) before closing; confirm the matter is closed.</w:t>
      </w:r>
    </w:p>
    <w:bookmarkEnd w:id="32"/>
    <w:bookmarkStart w:id="33" w:name="Xb93a98be1b6efe86827dadacb9858320f4c3748"/>
    <w:p>
      <w:pPr>
        <w:pStyle w:val="Heading4"/>
      </w:pPr>
      <w:r>
        <w:t xml:space="preserve">H3 — Former Outdoor Drum-Storage Area (East Side) — HIGH</w:t>
      </w:r>
    </w:p>
    <w:p>
      <w:pPr>
        <w:pStyle w:val="FirstParagraph"/>
      </w:pPr>
      <w:r>
        <w:t xml:space="preserve">An approximately 40 ft × 60 ft area on the east side of the Property, delineated by deteriorating concrete curbing, exhibits</w:t>
      </w:r>
      <w:r>
        <w:t xml:space="preserve"> </w:t>
      </w:r>
      <w:r>
        <w:rPr>
          <w:b/>
          <w:bCs/>
        </w:rPr>
        <w:t xml:space="preserve">stressed/sparse vegetation</w:t>
      </w:r>
      <w:r>
        <w:t xml:space="preserve"> </w:t>
      </w:r>
      <w:r>
        <w:t xml:space="preserve">relative to surrounding areas and corresponds to the drum/container storage visible in the 1990 and 2000 aerial photographs (an estimated 100+ drums on an unpaved surface with no apparent secondary containment) (Phase I §6.2.4, §5.2.2). This is the same general area as the 2,000-gallon waste-solvent UST (H1) and the 2003 inspection’s leaking-drum observations (H2). Seller acknowledged</w:t>
      </w:r>
      <w:r>
        <w:t xml:space="preserve"> </w:t>
      </w:r>
      <w:r>
        <w:t xml:space="preserve">“</w:t>
      </w:r>
      <w:r>
        <w:t xml:space="preserve">We used to keep drums out there before the EPA came around</w:t>
      </w:r>
      <w:r>
        <w:t xml:space="preserve">”</w:t>
      </w:r>
      <w:r>
        <w:t xml:space="preserve"> </w:t>
      </w:r>
      <w:r>
        <w:t xml:space="preserve">but could not identify the materials stored.</w:t>
      </w:r>
      <w:r>
        <w:t xml:space="preserve"> </w:t>
      </w:r>
      <w:r>
        <w:rPr>
          <w:b/>
          <w:bCs/>
        </w:rPr>
        <w:t xml:space="preserve">Recommended:</w:t>
      </w:r>
      <w:r>
        <w:t xml:space="preserve"> </w:t>
      </w:r>
      <w:r>
        <w:t xml:space="preserve">include this area in the Phase II soil-boring/groundwater program (VOCs and metals).</w:t>
      </w:r>
    </w:p>
    <w:bookmarkEnd w:id="33"/>
    <w:bookmarkStart w:id="34" w:name="h4-vapor-intrusion-risk-tce-and-pce-high"/>
    <w:p>
      <w:pPr>
        <w:pStyle w:val="Heading4"/>
      </w:pPr>
      <w:r>
        <w:t xml:space="preserve">H4 — Vapor Intrusion Risk (TCE and PCE) — HIGH</w:t>
      </w:r>
    </w:p>
    <w:p>
      <w:pPr>
        <w:pStyle w:val="FirstParagraph"/>
      </w:pPr>
      <w:r>
        <w:t xml:space="preserve">Both of the principal chlorinated-solvent issues — on-site TCE (C1) and the off-site PCE plume (C3) — are volatile and present a</w:t>
      </w:r>
      <w:r>
        <w:t xml:space="preserve"> </w:t>
      </w:r>
      <w:r>
        <w:rPr>
          <w:b/>
          <w:bCs/>
        </w:rPr>
        <w:t xml:space="preserve">vapor intrusion (</w:t>
      </w:r>
      <w:r>
        <w:rPr>
          <w:b/>
          <w:bCs/>
        </w:rPr>
        <w:t xml:space="preserve">“</w:t>
      </w:r>
      <w:r>
        <w:rPr>
          <w:b/>
          <w:bCs/>
        </w:rPr>
        <w:t xml:space="preserve">VI</w:t>
      </w:r>
      <w:r>
        <w:rPr>
          <w:b/>
          <w:bCs/>
        </w:rPr>
        <w:t xml:space="preserve">”</w:t>
      </w:r>
      <w:r>
        <w:rPr>
          <w:b/>
          <w:bCs/>
        </w:rPr>
        <w:t xml:space="preserve">) risk</w:t>
      </w:r>
      <w:r>
        <w:t xml:space="preserve"> </w:t>
      </w:r>
      <w:r>
        <w:t xml:space="preserve">to occupied or occupiable structures on the Property. The Phase I already recorded a</w:t>
      </w:r>
      <w:r>
        <w:t xml:space="preserve"> </w:t>
      </w:r>
      <w:r>
        <w:rPr>
          <w:b/>
          <w:bCs/>
        </w:rPr>
        <w:t xml:space="preserve">42.3 ppm PID reading at a floor-slab crack</w:t>
      </w:r>
      <w:r>
        <w:t xml:space="preserve"> </w:t>
      </w:r>
      <w:r>
        <w:t xml:space="preserve">in the former degreasing area, directly evidencing vapor entry into the building. The Lender</w:t>
      </w:r>
      <w:r>
        <w:t xml:space="preserve"> </w:t>
      </w:r>
      <w:r>
        <w:rPr>
          <w:b/>
          <w:bCs/>
        </w:rPr>
        <w:t xml:space="preserve">requires</w:t>
      </w:r>
      <w:r>
        <w:t xml:space="preserve"> </w:t>
      </w:r>
      <w:r>
        <w:t xml:space="preserve">a VI assessment (per Ohio EPA/U.S. EPA guidance) wherever VOCs are present in soil or groundwater at or beneath the Property, and a vapor mitigation plan for any occupied/occupiable structure, implemented prior to or concurrently with closing (Lender Letter §3.B.5). The adjacent dry-cleaner parcel itself is subject to an environmental covenant requiring a sub-slab vapor mitigation system — a further indication of VI risk in the immediate vicinity.</w:t>
      </w:r>
      <w:r>
        <w:t xml:space="preserve"> </w:t>
      </w:r>
      <w:r>
        <w:rPr>
          <w:b/>
          <w:bCs/>
        </w:rPr>
        <w:t xml:space="preserve">Recommended:</w:t>
      </w:r>
      <w:r>
        <w:t xml:space="preserve"> </w:t>
      </w:r>
      <w:r>
        <w:t xml:space="preserve">include sub-slab soil-vapor and indoor-air sampling in the Phase II; budget for a vapor mitigation system in the main building (and any other occupied structure) as a likely closing condition.</w:t>
      </w:r>
    </w:p>
    <w:bookmarkEnd w:id="34"/>
    <w:bookmarkStart w:id="35" w:name="Xe64a4a8b1aae99cbdaa9b170782a788ece61bbd"/>
    <w:p>
      <w:pPr>
        <w:pStyle w:val="Heading4"/>
      </w:pPr>
      <w:r>
        <w:t xml:space="preserve">H5 — Indemnification Cap Likely Insufficient — HIGH</w:t>
      </w:r>
    </w:p>
    <w:p>
      <w:pPr>
        <w:pStyle w:val="FirstParagraph"/>
      </w:pPr>
      <w:r>
        <w:t xml:space="preserve">Seller’s aggregate indemnification liability is capped at</w:t>
      </w:r>
      <w:r>
        <w:t xml:space="preserve"> </w:t>
      </w:r>
      <w:r>
        <w:rPr>
          <w:b/>
          <w:bCs/>
        </w:rPr>
        <w:t xml:space="preserve">$1,750,000 (20% of the purchase price)</w:t>
      </w:r>
      <w:r>
        <w:t xml:space="preserve"> </w:t>
      </w:r>
      <w:r>
        <w:t xml:space="preserve">(§8.4(b)), applying to Pre-Closing Environmental Liabilities. The anticipated remediation scope — a 30-year TCE source (C1), a 39-year hexavalent-chromium source (C2), a migrating PCE plume of unknown extent (C3), two uncharacterized USTs (H1, M1), and vapor mitigation (H4) — can reasonably be expected to approach or exceed $1,750,000, particularly under a worst-case scenario. The Lender’s letter expressly warns that it</w:t>
      </w:r>
      <w:r>
        <w:t xml:space="preserve"> </w:t>
      </w:r>
      <w:r>
        <w:t xml:space="preserve">“</w:t>
      </w:r>
      <w:r>
        <w:t xml:space="preserve">will not rely solely on seller indemnification provisions… as such provisions are typically subject to caps, baskets, deductibles, and survival periods that may be insufficient to cover full remediation costs.</w:t>
      </w:r>
      <w:r>
        <w:t xml:space="preserve">”</w:t>
      </w:r>
      <w:r>
        <w:t xml:space="preserve"> </w:t>
      </w:r>
      <w:r>
        <w:rPr>
          <w:b/>
          <w:bCs/>
        </w:rPr>
        <w:t xml:space="preserve">Recommended:</w:t>
      </w:r>
      <w:r>
        <w:t xml:space="preserve"> </w:t>
      </w:r>
      <w:r>
        <w:t xml:space="preserve">negotiate (i) a higher or separate environmental cap (or a full carve-out of Pre-Closing Environmental Liabilities from the cap), (ii) a dedicated escrow/holdback or seller-funded remediation trust, and (iii) the PLL insurance and escrow required by the Lender as backstops. The fraud/intentional-misrepresentation exception (§8.4(d)) is a potential avenue to avoid the cap given the apparent rep breaches (C4) and Seller’s interview inconsistencies (M3).</w:t>
      </w:r>
    </w:p>
    <w:bookmarkEnd w:id="35"/>
    <w:bookmarkStart w:id="36" w:name="X2656c93b6b517d919aba1513ebe7dfd4e68f266"/>
    <w:p>
      <w:pPr>
        <w:pStyle w:val="Heading4"/>
      </w:pPr>
      <w:r>
        <w:t xml:space="preserve">H6 — Three-Year Survival Period Likely Too Short — HIGH</w:t>
      </w:r>
    </w:p>
    <w:p>
      <w:pPr>
        <w:pStyle w:val="FirstParagraph"/>
      </w:pPr>
      <w:r>
        <w:t xml:space="preserve">Reps/warranties and Pre-Closing Environmental Liabilities survive for only</w:t>
      </w:r>
      <w:r>
        <w:t xml:space="preserve"> </w:t>
      </w:r>
      <w:r>
        <w:rPr>
          <w:b/>
          <w:bCs/>
        </w:rPr>
        <w:t xml:space="preserve">three years</w:t>
      </w:r>
      <w:r>
        <w:t xml:space="preserve"> </w:t>
      </w:r>
      <w:r>
        <w:t xml:space="preserve">after closing (§8.4(c)). Groundwater contamination — particularly chlorinated-solvent plumes (TCE, PCE) and metals — is frequently latent and may not be discovered, or may not migrate to a point of concern, within three years. Environmental claims first discovered after the survival period are time-barred except for fraud/intentional misrepresentation.</w:t>
      </w:r>
      <w:r>
        <w:t xml:space="preserve"> </w:t>
      </w:r>
      <w:r>
        <w:rPr>
          <w:b/>
          <w:bCs/>
        </w:rPr>
        <w:t xml:space="preserve">Recommended:</w:t>
      </w:r>
      <w:r>
        <w:t xml:space="preserve"> </w:t>
      </w:r>
      <w:r>
        <w:t xml:space="preserve">negotiate a longer survival period for environmental matters (e.g., the applicable statute of limitations for CERCLA, or a minimum of 6–10 years), or a specific-indemnity carve-out for known conditions (C1, C2, C3, H1) that survives outside the general survival period.</w:t>
      </w:r>
    </w:p>
    <w:bookmarkEnd w:id="36"/>
    <w:bookmarkStart w:id="37" w:name="X8b665401c24a737a2d526dc67d36e3dd28d5519"/>
    <w:p>
      <w:pPr>
        <w:pStyle w:val="Heading4"/>
      </w:pPr>
      <w:r>
        <w:t xml:space="preserve">H7 — Buyer’s Termination Right — October 31, 2024 Deadline — HIGH</w:t>
      </w:r>
    </w:p>
    <w:p>
      <w:pPr>
        <w:pStyle w:val="FirstParagraph"/>
      </w:pPr>
      <w:r>
        <w:t xml:space="preserve">Under §6.3(b), Buyer may terminate the Agreement and recover its $437,500 earnest money if the Phase I (or any environmental investigation) identifies RECs that, in Buyer’s reasonable judgment, could result in remediation costs exceeding</w:t>
      </w:r>
      <w:r>
        <w:t xml:space="preserve"> </w:t>
      </w:r>
      <w:r>
        <w:rPr>
          <w:b/>
          <w:bCs/>
        </w:rPr>
        <w:t xml:space="preserve">$500,000</w:t>
      </w:r>
      <w:r>
        <w:t xml:space="preserve">. The notice must be delivered</w:t>
      </w:r>
      <w:r>
        <w:t xml:space="preserve"> </w:t>
      </w:r>
      <w:r>
        <w:rPr>
          <w:b/>
          <w:bCs/>
        </w:rPr>
        <w:t xml:space="preserve">on or before 5:00 p.m. ET on October 31, 2024</w:t>
      </w:r>
      <w:r>
        <w:t xml:space="preserve">; if not delivered, the right is</w:t>
      </w:r>
      <w:r>
        <w:t xml:space="preserve"> </w:t>
      </w:r>
      <w:r>
        <w:rPr>
          <w:b/>
          <w:bCs/>
        </w:rPr>
        <w:t xml:space="preserve">deemed waived</w:t>
      </w:r>
      <w:r>
        <w:t xml:space="preserve"> </w:t>
      </w:r>
      <w:r>
        <w:t xml:space="preserve">automatically (§6.3(c)), though indemnification rights survive. The Phase I identified two RECs (C1, C2), and the supporting record reveals a third (C3). In our judgment, the combined remediation cost for TCE, hexavalent chromium, and the PCE plume — before accounting for USTs and vapor mitigation — is reasonably likely to exceed $500,000.</w:t>
      </w:r>
      <w:r>
        <w:t xml:space="preserve"> </w:t>
      </w:r>
      <w:r>
        <w:rPr>
          <w:b/>
          <w:bCs/>
        </w:rPr>
        <w:t xml:space="preserve">This is an active decision point.</w:t>
      </w:r>
      <w:r>
        <w:t xml:space="preserve"> </w:t>
      </w:r>
      <w:r>
        <w:t xml:space="preserve">Buyer should, before October 31, 2024: (i) obtain a preliminary remediation-cost range from a qualified environmental engineer; (ii) decide whether to terminate, renegotiate (price reduction, escrow, enhanced indemnity), or proceed; and (iii) if proceeding, document the basis for waiving the termination right and preserve all indemnification evidence. Note that the Phase II results cannot extend the October 31 deadline (§6.3(d)–(e)); the termination decision must be made on the Phase I record (as supplemented by the off-site plume analysis).</w:t>
      </w:r>
    </w:p>
    <w:bookmarkEnd w:id="37"/>
    <w:bookmarkStart w:id="38" w:name="Xbb722587131ad86fc542aff39e04798ce459936"/>
    <w:p>
      <w:pPr>
        <w:pStyle w:val="Heading4"/>
      </w:pPr>
      <w:r>
        <w:t xml:space="preserve">H8 — Phase I Non-Compliance with Lender’s Off-Site Plume REC Requirement — HIGH</w:t>
      </w:r>
    </w:p>
    <w:p>
      <w:pPr>
        <w:pStyle w:val="FirstParagraph"/>
      </w:pPr>
      <w:r>
        <w:t xml:space="preserve">The Lender’s letter (§2) expressly requires the Phase I to evaluate off-site contamination migrating onto the Property and to</w:t>
      </w:r>
      <w:r>
        <w:t xml:space="preserve"> </w:t>
      </w:r>
      <w:r>
        <w:rPr>
          <w:b/>
          <w:bCs/>
        </w:rPr>
        <w:t xml:space="preserve">identify any such conditions as recognized environmental conditions</w:t>
      </w:r>
      <w:r>
        <w:t xml:space="preserve">. The Phase I disclosed the Lake Erie Dry Cleaning PCE plume, the GMZ designation, and the upgradient source position, but</w:t>
      </w:r>
      <w:r>
        <w:t xml:space="preserve"> </w:t>
      </w:r>
      <w:r>
        <w:rPr>
          <w:b/>
          <w:bCs/>
        </w:rPr>
        <w:t xml:space="preserve">did not classify the plume as a REC</w:t>
      </w:r>
      <w:r>
        <w:t xml:space="preserve"> </w:t>
      </w:r>
      <w:r>
        <w:t xml:space="preserve">in its Findings (§9). This creates a gap between the Phase I as delivered and the Lender’s express requirement, and it weakens the AAI/defense record (the condition is not formally</w:t>
      </w:r>
      <w:r>
        <w:t xml:space="preserve"> </w:t>
      </w:r>
      <w:r>
        <w:t xml:space="preserve">“</w:t>
      </w:r>
      <w:r>
        <w:t xml:space="preserve">identified</w:t>
      </w:r>
      <w:r>
        <w:t xml:space="preserve">”</w:t>
      </w:r>
      <w:r>
        <w:t xml:space="preserve">).</w:t>
      </w:r>
      <w:r>
        <w:t xml:space="preserve"> </w:t>
      </w:r>
      <w:r>
        <w:rPr>
          <w:b/>
          <w:bCs/>
        </w:rPr>
        <w:t xml:space="preserve">Recommended:</w:t>
      </w:r>
      <w:r>
        <w:t xml:space="preserve"> </w:t>
      </w:r>
      <w:r>
        <w:t xml:space="preserve">direct Greenfield to issue a supplementation/addendum to the Phase I that (i) classifies the off-site PCE plume as a REC (or, at minimum, a CREC/vapor condition requiring investigation) for the Property, (ii) documents the GMZ and the absence of on-Property groundwater data, and (iii) recommends on-Property groundwater monitoring wells. This should be completed before the Lender’s November 15, 2024 Phase I delivery deadline.</w:t>
      </w:r>
    </w:p>
    <w:bookmarkEnd w:id="38"/>
    <w:bookmarkStart w:id="39" w:name="h9-cumulative-unresolved-data-gaps-high"/>
    <w:p>
      <w:pPr>
        <w:pStyle w:val="Heading4"/>
      </w:pPr>
      <w:r>
        <w:t xml:space="preserve">H9 — Cumulative Unresolved Data Gaps — HIGH</w:t>
      </w:r>
    </w:p>
    <w:p>
      <w:pPr>
        <w:pStyle w:val="FirstParagraph"/>
      </w:pPr>
      <w:r>
        <w:t xml:space="preserve">Multiple data gaps limit characterization of the Property and implicate the Lender’s §3.C(d) right to decline where unresolved data gaps</w:t>
      </w:r>
      <w:r>
        <w:t xml:space="preserve"> </w:t>
      </w:r>
      <w:r>
        <w:t xml:space="preserve">“</w:t>
      </w:r>
      <w:r>
        <w:t xml:space="preserve">prevent adequate characterization of the environmental risk</w:t>
      </w:r>
      <w:r>
        <w:t xml:space="preserve">”</w:t>
      </w:r>
      <w:r>
        <w:t xml:space="preserve">:</w:t>
      </w:r>
    </w:p>
    <w:p>
      <w:pPr>
        <w:pStyle w:val="Compact"/>
        <w:numPr>
          <w:ilvl w:val="0"/>
          <w:numId w:val="1005"/>
        </w:numPr>
      </w:pPr>
      <w:r>
        <w:rPr>
          <w:b/>
          <w:bCs/>
        </w:rPr>
        <w:t xml:space="preserve">39-year hazardous-waste manifest gap (1965–2003):</w:t>
      </w:r>
      <w:r>
        <w:t xml:space="preserve"> </w:t>
      </w:r>
      <w:r>
        <w:t xml:space="preserve">only 2004 manifests exist (Ohio EPA Response §1).</w:t>
      </w:r>
    </w:p>
    <w:p>
      <w:pPr>
        <w:pStyle w:val="Compact"/>
        <w:numPr>
          <w:ilvl w:val="0"/>
          <w:numId w:val="1005"/>
        </w:numPr>
      </w:pPr>
      <w:r>
        <w:rPr>
          <w:b/>
          <w:bCs/>
        </w:rPr>
        <w:t xml:space="preserve">Corporate records (1961–1990) withheld:</w:t>
      </w:r>
      <w:r>
        <w:t xml:space="preserve"> </w:t>
      </w:r>
      <w:r>
        <w:t xml:space="preserve">Seller declined to produce operating, environmental, and waste-disposal records (Phase I §7.1, §8).</w:t>
      </w:r>
    </w:p>
    <w:p>
      <w:pPr>
        <w:pStyle w:val="Compact"/>
        <w:numPr>
          <w:ilvl w:val="0"/>
          <w:numId w:val="1005"/>
        </w:numPr>
      </w:pPr>
      <w:r>
        <w:rPr>
          <w:b/>
          <w:bCs/>
        </w:rPr>
        <w:t xml:space="preserve">2003 consent order and compliance certification not produced</w:t>
      </w:r>
      <w:r>
        <w:t xml:space="preserve"> </w:t>
      </w:r>
      <w:r>
        <w:t xml:space="preserve">(H2).</w:t>
      </w:r>
    </w:p>
    <w:p>
      <w:pPr>
        <w:pStyle w:val="Compact"/>
        <w:numPr>
          <w:ilvl w:val="0"/>
          <w:numId w:val="1005"/>
        </w:numPr>
      </w:pPr>
      <w:r>
        <w:rPr>
          <w:b/>
          <w:bCs/>
        </w:rPr>
        <w:t xml:space="preserve">Monitoring well MW-1 undocumented</w:t>
      </w:r>
      <w:r>
        <w:t xml:space="preserve"> </w:t>
      </w:r>
      <w:r>
        <w:t xml:space="preserve">(M2).</w:t>
      </w:r>
    </w:p>
    <w:p>
      <w:pPr>
        <w:pStyle w:val="Compact"/>
        <w:numPr>
          <w:ilvl w:val="0"/>
          <w:numId w:val="1005"/>
        </w:numPr>
      </w:pPr>
      <w:r>
        <w:rPr>
          <w:b/>
          <w:bCs/>
        </w:rPr>
        <w:t xml:space="preserve">Two USTs unregistered and uncharacterized</w:t>
      </w:r>
      <w:r>
        <w:t xml:space="preserve"> </w:t>
      </w:r>
      <w:r>
        <w:t xml:space="preserve">(H1, M1).</w:t>
      </w:r>
    </w:p>
    <w:p>
      <w:pPr>
        <w:pStyle w:val="Compact"/>
        <w:numPr>
          <w:ilvl w:val="0"/>
          <w:numId w:val="1005"/>
        </w:numPr>
      </w:pPr>
      <w:r>
        <w:rPr>
          <w:b/>
          <w:bCs/>
        </w:rPr>
        <w:t xml:space="preserve">PCE plume uncharacterized beneath the Property</w:t>
      </w:r>
      <w:r>
        <w:t xml:space="preserve"> </w:t>
      </w:r>
      <w:r>
        <w:t xml:space="preserve">(C3).</w:t>
      </w:r>
    </w:p>
    <w:p>
      <w:pPr>
        <w:pStyle w:val="Compact"/>
        <w:numPr>
          <w:ilvl w:val="0"/>
          <w:numId w:val="1005"/>
        </w:numPr>
      </w:pPr>
      <w:r>
        <w:rPr>
          <w:b/>
          <w:bCs/>
        </w:rPr>
        <w:t xml:space="preserve">Active SQG status with no hazardous-waste reports on file since 2004:</w:t>
      </w:r>
      <w:r>
        <w:t xml:space="preserve"> </w:t>
      </w:r>
      <w:r>
        <w:t xml:space="preserve">the facility remains listed as an active RCRA Small Quantity Generator, yet Ohio EPA’s most recent report on file is for reporting year 2004 — a discrepancy warranting clarification of post-2004 hazardous-waste generation and reporting.</w:t>
      </w:r>
    </w:p>
    <w:p>
      <w:pPr>
        <w:pStyle w:val="FirstParagraph"/>
      </w:pPr>
      <w:r>
        <w:t xml:space="preserve">These gaps are not merely technical; they bear directly on the magnitude of C1, C2, and C3 and on the AAI adequacy of the Phase I.</w:t>
      </w:r>
      <w:r>
        <w:t xml:space="preserve"> </w:t>
      </w:r>
      <w:r>
        <w:rPr>
          <w:b/>
          <w:bCs/>
        </w:rPr>
        <w:t xml:space="preserve">Recommended:</w:t>
      </w:r>
      <w:r>
        <w:t xml:space="preserve"> </w:t>
      </w:r>
      <w:r>
        <w:t xml:space="preserve">pursue the Ohio EPA Central Office records (consent order, compliance certification); request Seller’s post-2004 hazardous-waste records and biennial reports; investigate MW-1; and ensure the Phase II is designed to close the subsurface gaps.</w:t>
      </w:r>
    </w:p>
    <w:p>
      <w:r>
        <w:pict>
          <v:rect style="width:0;height:1.5pt" o:hralign="center" o:hrstd="t" o:hr="t"/>
        </w:pict>
      </w:r>
    </w:p>
    <w:bookmarkEnd w:id="39"/>
    <w:bookmarkEnd w:id="40"/>
    <w:bookmarkStart w:id="45" w:name="c.-medium-severity-issues"/>
    <w:p>
      <w:pPr>
        <w:pStyle w:val="Heading3"/>
      </w:pPr>
      <w:r>
        <w:t xml:space="preserve">C. Medium-Severity Issues</w:t>
      </w:r>
    </w:p>
    <w:bookmarkStart w:id="41" w:name="X351eb55813d0511ac4e7d0bf4398abaef4f8584"/>
    <w:p>
      <w:pPr>
        <w:pStyle w:val="Heading4"/>
      </w:pPr>
      <w:r>
        <w:t xml:space="preserve">M1 — Unregistered / Unclosed 500-Gallon Heating-Oil UST (Halstead Farmhouse) — MEDIUM</w:t>
      </w:r>
    </w:p>
    <w:p>
      <w:pPr>
        <w:pStyle w:val="FirstParagraph"/>
      </w:pPr>
      <w:r>
        <w:t xml:space="preserve">The 1951 Sanborn map depicts a</w:t>
      </w:r>
      <w:r>
        <w:t xml:space="preserve"> </w:t>
      </w:r>
      <w:r>
        <w:rPr>
          <w:b/>
          <w:bCs/>
        </w:rPr>
        <w:t xml:space="preserve">500-gallon heating-oil UST</w:t>
      </w:r>
      <w:r>
        <w:t xml:space="preserve"> </w:t>
      </w:r>
      <w:r>
        <w:t xml:space="preserve">serving the Halstead family farmhouse in the northwest portion of the Property; the farmhouse was demolished in 1961 when Seller acquired the Property (Phase I §5.2.1, §9.3 [classified as an HREC]; EDR Summary, Sanborn UST references). No surface evidence of a UST was observed, and the Phase I classified this as a historical REC on the assumption the tank was removed with the farmhouse. However, Ohio EPA/BUSTR has</w:t>
      </w:r>
      <w:r>
        <w:t xml:space="preserve"> </w:t>
      </w:r>
      <w:r>
        <w:rPr>
          <w:b/>
          <w:bCs/>
        </w:rPr>
        <w:t xml:space="preserve">no registration or closure records</w:t>
      </w:r>
      <w:r>
        <w:t xml:space="preserve"> </w:t>
      </w:r>
      <w:r>
        <w:t xml:space="preserve">for this tank, and the EDR summary notes its status is</w:t>
      </w:r>
      <w:r>
        <w:t xml:space="preserve"> </w:t>
      </w:r>
      <w:r>
        <w:t xml:space="preserve">“</w:t>
      </w:r>
      <w:r>
        <w:t xml:space="preserve">unknown</w:t>
      </w:r>
      <w:r>
        <w:t xml:space="preserve">”</w:t>
      </w:r>
      <w:r>
        <w:t xml:space="preserve"> </w:t>
      </w:r>
      <w:r>
        <w:t xml:space="preserve">and it</w:t>
      </w:r>
      <w:r>
        <w:t xml:space="preserve"> </w:t>
      </w:r>
      <w:r>
        <w:t xml:space="preserve">“</w:t>
      </w:r>
      <w:r>
        <w:t xml:space="preserve">may remain in place beneath current pavement/fill.</w:t>
      </w:r>
      <w:r>
        <w:t xml:space="preserve">”</w:t>
      </w:r>
      <w:r>
        <w:t xml:space="preserve"> </w:t>
      </w:r>
      <w:r>
        <w:t xml:space="preserve">The Phase I’s HREC classification may therefore be optimistic. A 500-gallon heating-oil tank is a lower-concern feature than the 2,000-gallon waste-solvent UST (H1), but its unverified status is a breach of §4.13(a) (C4) and warrants a confirmatory geophysical survey in the former farmhouse footprint.</w:t>
      </w:r>
    </w:p>
    <w:bookmarkEnd w:id="41"/>
    <w:bookmarkStart w:id="42" w:name="X75da07a400335bd3ac559bb4d76be38cc6ba230"/>
    <w:p>
      <w:pPr>
        <w:pStyle w:val="Heading4"/>
      </w:pPr>
      <w:r>
        <w:t xml:space="preserve">M2 — Undocumented Monitoring Well MW-1 — MEDIUM</w:t>
      </w:r>
    </w:p>
    <w:p>
      <w:pPr>
        <w:pStyle w:val="FirstParagraph"/>
      </w:pPr>
      <w:r>
        <w:t xml:space="preserve">A flush-mounted monitoring well labeled</w:t>
      </w:r>
      <w:r>
        <w:t xml:space="preserve"> </w:t>
      </w:r>
      <w:r>
        <w:rPr>
          <w:b/>
          <w:bCs/>
        </w:rPr>
        <w:t xml:space="preserve">“</w:t>
      </w:r>
      <w:r>
        <w:rPr>
          <w:b/>
          <w:bCs/>
        </w:rPr>
        <w:t xml:space="preserve">MW-1</w:t>
      </w:r>
      <w:r>
        <w:rPr>
          <w:b/>
          <w:bCs/>
        </w:rPr>
        <w:t xml:space="preserve">”</w:t>
      </w:r>
      <w:r>
        <w:t xml:space="preserve"> </w:t>
      </w:r>
      <w:r>
        <w:t xml:space="preserve">was observed near the northeast Property boundary, with a damaged surface cover and accumulated debris (Phase I §6.2.5). No installation logs, construction details, or analytical data were located, and Seller disclaimed knowledge of the well’s origin or purpose. The well’s location near the northeast boundary — in the direction of the upgradient Lake Erie Dry Cleaning facility, whose 2014 investigation included a monitoring-well network (e.g., MW-7, 120 feet north of the Property) — raises the possibility that MW-1 is part of, or related to, the dry-cleaner plume investigation and that groundwater data for the Property may exist but were not disclosed (a potential §4.12(d) issue). Alternatively, MW-1 may reflect a separate, undisclosed prior investigation.</w:t>
      </w:r>
      <w:r>
        <w:t xml:space="preserve"> </w:t>
      </w:r>
      <w:r>
        <w:rPr>
          <w:b/>
          <w:bCs/>
        </w:rPr>
        <w:t xml:space="preserve">Recommended:</w:t>
      </w:r>
      <w:r>
        <w:t xml:space="preserve"> </w:t>
      </w:r>
      <w:r>
        <w:t xml:space="preserve">research MW-1 through Ohio EPA, the dry-cleaner’s VAP file (NW-0923), and well-registration databases; if data exist, obtain them; if not, incorporate MW-1 into the Phase II groundwater program.</w:t>
      </w:r>
    </w:p>
    <w:bookmarkEnd w:id="42"/>
    <w:bookmarkStart w:id="43" w:name="X08c18d1f9a2eefd2f651466493f3a514174ec2a"/>
    <w:p>
      <w:pPr>
        <w:pStyle w:val="Heading4"/>
      </w:pPr>
      <w:r>
        <w:t xml:space="preserve">M3 — Seller Credibility / Evasive Interview Responses — MEDIUM</w:t>
      </w:r>
    </w:p>
    <w:p>
      <w:pPr>
        <w:pStyle w:val="FirstParagraph"/>
      </w:pPr>
      <w:r>
        <w:t xml:space="preserve">Seller’s principal (Gerald Breckenridge III) made several statements inconsistent with the documented record (Phase I §7.1): he denied awareness of the 1988 spill until confronted with the fire-department record (then called it</w:t>
      </w:r>
      <w:r>
        <w:t xml:space="preserve"> </w:t>
      </w:r>
      <w:r>
        <w:t xml:space="preserve">“</w:t>
      </w:r>
      <w:r>
        <w:t xml:space="preserve">a minor incident… nothing to worry about</w:t>
      </w:r>
      <w:r>
        <w:t xml:space="preserve">”</w:t>
      </w:r>
      <w:r>
        <w:t xml:space="preserve">); characterized the 2003 NOV as</w:t>
      </w:r>
      <w:r>
        <w:t xml:space="preserve"> </w:t>
      </w:r>
      <w:r>
        <w:t xml:space="preserve">“</w:t>
      </w:r>
      <w:r>
        <w:t xml:space="preserve">resolved years ago</w:t>
      </w:r>
      <w:r>
        <w:t xml:space="preserve">”</w:t>
      </w:r>
      <w:r>
        <w:t xml:space="preserve"> </w:t>
      </w:r>
      <w:r>
        <w:t xml:space="preserve">without producing the consent order; declined to produce corporate records for 1961–1990; disclaimed knowledge of MW-1; and acknowledged outdoor drum storage</w:t>
      </w:r>
      <w:r>
        <w:t xml:space="preserve"> </w:t>
      </w:r>
      <w:r>
        <w:t xml:space="preserve">“</w:t>
      </w:r>
      <w:r>
        <w:t xml:space="preserve">before the EPA came around</w:t>
      </w:r>
      <w:r>
        <w:t xml:space="preserve">”</w:t>
      </w:r>
      <w:r>
        <w:t xml:space="preserve"> </w:t>
      </w:r>
      <w:r>
        <w:t xml:space="preserve">without elaboration. He also claimed</w:t>
      </w:r>
      <w:r>
        <w:t xml:space="preserve"> </w:t>
      </w:r>
      <w:r>
        <w:t xml:space="preserve">“</w:t>
      </w:r>
      <w:r>
        <w:t xml:space="preserve">all the chemicals were handled properly</w:t>
      </w:r>
      <w:r>
        <w:t xml:space="preserve">”</w:t>
      </w:r>
      <w:r>
        <w:t xml:space="preserve"> </w:t>
      </w:r>
      <w:r>
        <w:t xml:space="preserve">without supporting documentation. These inconsistencies bear on the</w:t>
      </w:r>
      <w:r>
        <w:t xml:space="preserve"> </w:t>
      </w:r>
      <w:r>
        <w:t xml:space="preserve">“</w:t>
      </w:r>
      <w:r>
        <w:t xml:space="preserve">to Seller’s knowledge</w:t>
      </w:r>
      <w:r>
        <w:t xml:space="preserve">”</w:t>
      </w:r>
      <w:r>
        <w:t xml:space="preserve"> </w:t>
      </w:r>
      <w:r>
        <w:t xml:space="preserve">qualifiers in §4.12 and on the availability of the fraud/intentional-misrepresentation exception to the cap, basket, and survival period (§8.4(d)). They also counsel against relying on Seller’s verbal assurances to close any data gap.</w:t>
      </w:r>
      <w:r>
        <w:t xml:space="preserve"> </w:t>
      </w:r>
      <w:r>
        <w:rPr>
          <w:b/>
          <w:bCs/>
        </w:rPr>
        <w:t xml:space="preserve">Recommended:</w:t>
      </w:r>
      <w:r>
        <w:t xml:space="preserve"> </w:t>
      </w:r>
      <w:r>
        <w:t xml:space="preserve">document and preserve these inconsistencies; consider a follow-up written questionnaire to Seller to lock in (or expose) its knowledge positions.</w:t>
      </w:r>
    </w:p>
    <w:bookmarkEnd w:id="43"/>
    <w:bookmarkStart w:id="44" w:name="Xbb090f774f106ffbc96be3629fef367a1b7aece"/>
    <w:p>
      <w:pPr>
        <w:pStyle w:val="Heading4"/>
      </w:pPr>
      <w:r>
        <w:t xml:space="preserve">M4 — Asbestos-Containing Materials and Lead-Based Paint (Non-Scope) — MEDIUM</w:t>
      </w:r>
    </w:p>
    <w:p>
      <w:pPr>
        <w:pStyle w:val="FirstParagraph"/>
      </w:pPr>
      <w:r>
        <w:t xml:space="preserve">The main building (1962 + 1978 addition) and maintenance building (1972) predate the early-1980s asbestos-use transition, and all buildings pre-dating 1978 may contain lead-based paint. The Phase I did not survey for asbestos-containing materials (</w:t>
      </w:r>
      <w:r>
        <w:t xml:space="preserve">“</w:t>
      </w:r>
      <w:r>
        <w:t xml:space="preserve">ACM</w:t>
      </w:r>
      <w:r>
        <w:t xml:space="preserve">”</w:t>
      </w:r>
      <w:r>
        <w:t xml:space="preserve">) or lead-based paint (</w:t>
      </w:r>
      <w:r>
        <w:t xml:space="preserve">“</w:t>
      </w:r>
      <w:r>
        <w:t xml:space="preserve">LBP</w:t>
      </w:r>
      <w:r>
        <w:t xml:space="preserve">”</w:t>
      </w:r>
      <w:r>
        <w:t xml:space="preserve">) (these are non-scope under ASTM E1527-21). If Buyer’s business plan involves renovation or demolition (typical for industrial redevelopment), ACM and LBP surveys and abatement costs should be anticipated, and demolition/renovation will trigger NESHAP and OSHA requirements.</w:t>
      </w:r>
      <w:r>
        <w:t xml:space="preserve"> </w:t>
      </w:r>
      <w:r>
        <w:rPr>
          <w:b/>
          <w:bCs/>
        </w:rPr>
        <w:t xml:space="preserve">Recommended:</w:t>
      </w:r>
      <w:r>
        <w:t xml:space="preserve"> </w:t>
      </w:r>
      <w:r>
        <w:t xml:space="preserve">commission ACM and LBP surveys before any renovation/demolition, and budget accordingly.</w:t>
      </w:r>
    </w:p>
    <w:p>
      <w:r>
        <w:pict>
          <v:rect style="width:0;height:1.5pt" o:hralign="center" o:hrstd="t" o:hr="t"/>
        </w:pict>
      </w:r>
    </w:p>
    <w:bookmarkEnd w:id="44"/>
    <w:bookmarkEnd w:id="45"/>
    <w:bookmarkStart w:id="46" w:name="d.-low-severity-de-minimis-items"/>
    <w:p>
      <w:pPr>
        <w:pStyle w:val="Heading3"/>
      </w:pPr>
      <w:r>
        <w:t xml:space="preserve">D. Low-Severity / De Minimis Items</w:t>
      </w:r>
    </w:p>
    <w:p>
      <w:pPr>
        <w:pStyle w:val="FirstParagraph"/>
      </w:pPr>
      <w:r>
        <w:t xml:space="preserve">The following are noted for the record. None, individually, is expected to be material to the transaction, though several warrant minor confirmatory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Item</w:t>
            </w:r>
          </w:p>
        </w:tc>
        <w:tc>
          <w:tcPr/>
          <w:p>
            <w:pPr>
              <w:pStyle w:val="Compact"/>
              <w:jc w:val="left"/>
            </w:pPr>
            <w:r>
              <w:t xml:space="preserve">Note</w:t>
            </w:r>
          </w:p>
        </w:tc>
      </w:tr>
      <w:tr>
        <w:tc>
          <w:tcPr/>
          <w:p>
            <w:pPr>
              <w:pStyle w:val="Compact"/>
              <w:jc w:val="left"/>
            </w:pPr>
            <w:r>
              <w:t xml:space="preserve">L1</w:t>
            </w:r>
          </w:p>
        </w:tc>
        <w:tc>
          <w:tcPr/>
          <w:p>
            <w:pPr>
              <w:pStyle w:val="Compact"/>
              <w:jc w:val="left"/>
            </w:pPr>
            <w:r>
              <w:rPr>
                <w:b/>
                <w:bCs/>
              </w:rPr>
              <w:t xml:space="preserve">Active 10,000-gal. diesel UST</w:t>
            </w:r>
            <w:r>
              <w:t xml:space="preserve"> </w:t>
            </w:r>
            <w:r>
              <w:t xml:space="preserve">(Facility ID 48-22-10-0087)</w:t>
            </w:r>
          </w:p>
        </w:tc>
        <w:tc>
          <w:tcPr/>
          <w:p>
            <w:pPr>
              <w:pStyle w:val="Compact"/>
              <w:jc w:val="left"/>
            </w:pPr>
            <w:r>
              <w:t xml:space="preserve">Registered, cathodic-protection upgrade 1998, last inspected May 2022 with no violations. Compliant. Note: the Lender’s post-closing covenants prohibit installing/operating/closing any UST without the Lender’s consent.</w:t>
            </w:r>
          </w:p>
        </w:tc>
      </w:tr>
      <w:tr>
        <w:tc>
          <w:tcPr/>
          <w:p>
            <w:pPr>
              <w:pStyle w:val="Compact"/>
              <w:jc w:val="left"/>
            </w:pPr>
            <w:r>
              <w:t xml:space="preserve">L2</w:t>
            </w:r>
          </w:p>
        </w:tc>
        <w:tc>
          <w:tcPr/>
          <w:p>
            <w:pPr>
              <w:pStyle w:val="Compact"/>
              <w:jc w:val="left"/>
            </w:pPr>
            <w:r>
              <w:rPr>
                <w:b/>
                <w:bCs/>
              </w:rPr>
              <w:t xml:space="preserve">RCRA Small Quantity Generator status</w:t>
            </w:r>
            <w:r>
              <w:t xml:space="preserve"> </w:t>
            </w:r>
            <w:r>
              <w:t xml:space="preserve">(EPA ID OHD044891237)</w:t>
            </w:r>
          </w:p>
        </w:tc>
        <w:tc>
          <w:tcPr/>
          <w:p>
            <w:pPr>
              <w:pStyle w:val="Compact"/>
              <w:jc w:val="left"/>
            </w:pPr>
            <w:r>
              <w:t xml:space="preserve">Routine regulatory classification; no formal enforcement in ECHO. (See H9 regarding the post-2004 reporting discrepancy.)</w:t>
            </w:r>
          </w:p>
        </w:tc>
      </w:tr>
      <w:tr>
        <w:tc>
          <w:tcPr/>
          <w:p>
            <w:pPr>
              <w:pStyle w:val="Compact"/>
              <w:jc w:val="left"/>
            </w:pPr>
            <w:r>
              <w:t xml:space="preserve">L3</w:t>
            </w:r>
          </w:p>
        </w:tc>
        <w:tc>
          <w:tcPr/>
          <w:p>
            <w:pPr>
              <w:pStyle w:val="Compact"/>
              <w:jc w:val="left"/>
            </w:pPr>
            <w:r>
              <w:rPr>
                <w:b/>
                <w:bCs/>
              </w:rPr>
              <w:t xml:space="preserve">Great Lakes Metal Finishing Inc.</w:t>
            </w:r>
            <w:r>
              <w:t xml:space="preserve"> </w:t>
            </w:r>
            <w:r>
              <w:t xml:space="preserve">(adjacent ENE, ~350 ft)</w:t>
            </w:r>
          </w:p>
        </w:tc>
        <w:tc>
          <w:tcPr/>
          <w:p>
            <w:pPr>
              <w:pStyle w:val="Compact"/>
              <w:jc w:val="left"/>
            </w:pPr>
            <w:r>
              <w:t xml:space="preserve">Active compliant SQG (chromium/lead waste streams); no documented releases.</w:t>
            </w:r>
          </w:p>
        </w:tc>
      </w:tr>
      <w:tr>
        <w:tc>
          <w:tcPr/>
          <w:p>
            <w:pPr>
              <w:pStyle w:val="Compact"/>
              <w:jc w:val="left"/>
            </w:pPr>
            <w:r>
              <w:t xml:space="preserve">L4</w:t>
            </w:r>
          </w:p>
        </w:tc>
        <w:tc>
          <w:tcPr/>
          <w:p>
            <w:pPr>
              <w:pStyle w:val="Compact"/>
              <w:jc w:val="left"/>
            </w:pPr>
            <w:r>
              <w:rPr>
                <w:b/>
                <w:bCs/>
              </w:rPr>
              <w:t xml:space="preserve">Bayshore Auto Salvage</w:t>
            </w:r>
            <w:r>
              <w:t xml:space="preserve"> </w:t>
            </w:r>
            <w:r>
              <w:t xml:space="preserve">(NE, ~0.20 mi)</w:t>
            </w:r>
          </w:p>
        </w:tc>
        <w:tc>
          <w:tcPr/>
          <w:p>
            <w:pPr>
              <w:pStyle w:val="Compact"/>
              <w:jc w:val="left"/>
            </w:pPr>
            <w:r>
              <w:t xml:space="preserve">Closed LUST (NFA 2003); documented plume migrated east, away from the Property.</w:t>
            </w:r>
          </w:p>
        </w:tc>
      </w:tr>
      <w:tr>
        <w:tc>
          <w:tcPr/>
          <w:p>
            <w:pPr>
              <w:pStyle w:val="Compact"/>
              <w:jc w:val="left"/>
            </w:pPr>
            <w:r>
              <w:t xml:space="preserve">L5</w:t>
            </w:r>
          </w:p>
        </w:tc>
        <w:tc>
          <w:tcPr/>
          <w:p>
            <w:pPr>
              <w:pStyle w:val="Compact"/>
              <w:jc w:val="left"/>
            </w:pPr>
            <w:r>
              <w:rPr>
                <w:b/>
                <w:bCs/>
              </w:rPr>
              <w:t xml:space="preserve">Former Sunoco Station #4477</w:t>
            </w:r>
            <w:r>
              <w:t xml:space="preserve"> </w:t>
            </w:r>
            <w:r>
              <w:t xml:space="preserve">(SSW, ~0.25 mi)</w:t>
            </w:r>
          </w:p>
        </w:tc>
        <w:tc>
          <w:tcPr/>
          <w:p>
            <w:pPr>
              <w:pStyle w:val="Compact"/>
              <w:jc w:val="left"/>
            </w:pPr>
            <w:r>
              <w:t xml:space="preserve">Closed LUST (NFA 1999); tanks removed; remediation complete; downgradient.</w:t>
            </w:r>
          </w:p>
        </w:tc>
      </w:tr>
      <w:tr>
        <w:tc>
          <w:tcPr/>
          <w:p>
            <w:pPr>
              <w:pStyle w:val="Compact"/>
              <w:jc w:val="left"/>
            </w:pPr>
            <w:r>
              <w:t xml:space="preserve">L6</w:t>
            </w:r>
          </w:p>
        </w:tc>
        <w:tc>
          <w:tcPr/>
          <w:p>
            <w:pPr>
              <w:pStyle w:val="Compact"/>
              <w:jc w:val="left"/>
            </w:pPr>
            <w:r>
              <w:rPr>
                <w:b/>
                <w:bCs/>
              </w:rPr>
              <w:t xml:space="preserve">Toledo Coatings &amp; Adhesives Inc.</w:t>
            </w:r>
            <w:r>
              <w:t xml:space="preserve"> </w:t>
            </w:r>
            <w:r>
              <w:t xml:space="preserve">(east, adjoining)</w:t>
            </w:r>
          </w:p>
        </w:tc>
        <w:tc>
          <w:tcPr/>
          <w:p>
            <w:pPr>
              <w:pStyle w:val="Compact"/>
              <w:jc w:val="left"/>
            </w:pPr>
            <w:r>
              <w:t xml:space="preserve">CERCLIS/SEMS archive; EPA NFRAP determination 1999; no documented plume toward the Property.</w:t>
            </w:r>
          </w:p>
        </w:tc>
      </w:tr>
      <w:tr>
        <w:tc>
          <w:tcPr/>
          <w:p>
            <w:pPr>
              <w:pStyle w:val="Compact"/>
              <w:jc w:val="left"/>
            </w:pPr>
            <w:r>
              <w:t xml:space="preserve">L7</w:t>
            </w:r>
          </w:p>
        </w:tc>
        <w:tc>
          <w:tcPr/>
          <w:p>
            <w:pPr>
              <w:pStyle w:val="Compact"/>
              <w:jc w:val="left"/>
            </w:pPr>
            <w:r>
              <w:rPr>
                <w:b/>
                <w:bCs/>
              </w:rPr>
              <w:t xml:space="preserve">Norfolk Southern Railroad</w:t>
            </w:r>
            <w:r>
              <w:t xml:space="preserve"> </w:t>
            </w:r>
            <w:r>
              <w:t xml:space="preserve">herbicide application (west)</w:t>
            </w:r>
          </w:p>
        </w:tc>
        <w:tc>
          <w:tcPr/>
          <w:p>
            <w:pPr>
              <w:pStyle w:val="Compact"/>
              <w:jc w:val="left"/>
            </w:pPr>
            <w:r>
              <w:t xml:space="preserve">Standard right-of-way maintenance; de minimis.</w:t>
            </w:r>
          </w:p>
        </w:tc>
      </w:tr>
      <w:tr>
        <w:tc>
          <w:tcPr/>
          <w:p>
            <w:pPr>
              <w:pStyle w:val="Compact"/>
              <w:jc w:val="left"/>
            </w:pPr>
            <w:r>
              <w:t xml:space="preserve">L8</w:t>
            </w:r>
          </w:p>
        </w:tc>
        <w:tc>
          <w:tcPr/>
          <w:p>
            <w:pPr>
              <w:pStyle w:val="Compact"/>
              <w:jc w:val="left"/>
            </w:pPr>
            <w:r>
              <w:rPr>
                <w:b/>
                <w:bCs/>
              </w:rPr>
              <w:t xml:space="preserve">Orphan site</w:t>
            </w:r>
            <w:r>
              <w:rPr>
                <w:b/>
                <w:bCs/>
              </w:rPr>
              <w:t xml:space="preserve"> </w:t>
            </w:r>
            <w:r>
              <w:rPr>
                <w:b/>
                <w:bCs/>
              </w:rPr>
              <w:t xml:space="preserve">“</w:t>
            </w:r>
            <w:r>
              <w:rPr>
                <w:b/>
                <w:bCs/>
              </w:rPr>
              <w:t xml:space="preserve">Lakeshore Plating Works</w:t>
            </w:r>
            <w:r>
              <w:rPr>
                <w:b/>
                <w:bCs/>
              </w:rPr>
              <w:t xml:space="preserve">”</w:t>
            </w:r>
            <w:r>
              <w:t xml:space="preserve"> </w:t>
            </w:r>
            <w:r>
              <w:t xml:space="preserve">(RCRA-CESQG, 1998 biennial report; location unconfirmed)</w:t>
            </w:r>
          </w:p>
        </w:tc>
        <w:tc>
          <w:tcPr/>
          <w:p>
            <w:pPr>
              <w:pStyle w:val="Compact"/>
              <w:jc w:val="left"/>
            </w:pPr>
            <w:r>
              <w:t xml:space="preserve">Given the Property’s electroplating history, confirm this is not the Property or a predecessor alias.</w:t>
            </w:r>
          </w:p>
        </w:tc>
      </w:tr>
      <w:tr>
        <w:tc>
          <w:tcPr/>
          <w:p>
            <w:pPr>
              <w:pStyle w:val="Compact"/>
              <w:jc w:val="left"/>
            </w:pPr>
            <w:r>
              <w:t xml:space="preserve">L9</w:t>
            </w:r>
          </w:p>
        </w:tc>
        <w:tc>
          <w:tcPr/>
          <w:p>
            <w:pPr>
              <w:pStyle w:val="Compact"/>
              <w:jc w:val="left"/>
            </w:pPr>
            <w:r>
              <w:rPr>
                <w:b/>
                <w:bCs/>
              </w:rPr>
              <w:t xml:space="preserve">Orphan site</w:t>
            </w:r>
            <w:r>
              <w:rPr>
                <w:b/>
                <w:bCs/>
              </w:rPr>
              <w:t xml:space="preserve"> </w:t>
            </w:r>
            <w:r>
              <w:rPr>
                <w:b/>
                <w:bCs/>
              </w:rPr>
              <w:t xml:space="preserve">“</w:t>
            </w:r>
            <w:r>
              <w:rPr>
                <w:b/>
                <w:bCs/>
              </w:rPr>
              <w:t xml:space="preserve">Toledo Industrial Solvents</w:t>
            </w:r>
            <w:r>
              <w:rPr>
                <w:b/>
                <w:bCs/>
              </w:rPr>
              <w:t xml:space="preserve">”</w:t>
            </w:r>
            <w:r>
              <w:t xml:space="preserve"> </w:t>
            </w:r>
            <w:r>
              <w:t xml:space="preserve">(closed LUST, NFA 1996)</w:t>
            </w:r>
          </w:p>
        </w:tc>
        <w:tc>
          <w:tcPr/>
          <w:p>
            <w:pPr>
              <w:pStyle w:val="Compact"/>
              <w:jc w:val="left"/>
            </w:pPr>
            <w:r>
              <w:t xml:space="preserve">General-area match only; closed case.</w:t>
            </w:r>
          </w:p>
        </w:tc>
      </w:tr>
      <w:tr>
        <w:tc>
          <w:tcPr/>
          <w:p>
            <w:pPr>
              <w:pStyle w:val="Compact"/>
              <w:jc w:val="left"/>
            </w:pPr>
            <w:r>
              <w:t xml:space="preserve">L10</w:t>
            </w:r>
          </w:p>
        </w:tc>
        <w:tc>
          <w:tcPr/>
          <w:p>
            <w:pPr>
              <w:pStyle w:val="Compact"/>
              <w:jc w:val="left"/>
            </w:pPr>
            <w:r>
              <w:rPr>
                <w:b/>
                <w:bCs/>
              </w:rPr>
              <w:t xml:space="preserve">Lucas County sanitary sewer trunk line</w:t>
            </w:r>
            <w:r>
              <w:t xml:space="preserve"> </w:t>
            </w:r>
            <w:r>
              <w:t xml:space="preserve">(south, ~75 ft)</w:t>
            </w:r>
          </w:p>
        </w:tc>
        <w:tc>
          <w:tcPr/>
          <w:p>
            <w:pPr>
              <w:pStyle w:val="Compact"/>
              <w:jc w:val="left"/>
            </w:pPr>
            <w:r>
              <w:t xml:space="preserve">Noted as a potential preferential migration pathway; no contamination associated.</w:t>
            </w:r>
          </w:p>
        </w:tc>
      </w:tr>
    </w:tbl>
    <w:p>
      <w:r>
        <w:pict>
          <v:rect style="width:0;height:1.5pt" o:hralign="center" o:hrstd="t" o:hr="t"/>
        </w:pict>
      </w:r>
    </w:p>
    <w:bookmarkEnd w:id="46"/>
    <w:bookmarkEnd w:id="47"/>
    <w:bookmarkStart w:id="48" w:name="cross-cutting-observations"/>
    <w:p>
      <w:pPr>
        <w:pStyle w:val="Heading2"/>
      </w:pPr>
      <w:r>
        <w:t xml:space="preserve">7. Cross-Cutting Observations</w:t>
      </w:r>
    </w:p>
    <w:p>
      <w:pPr>
        <w:numPr>
          <w:ilvl w:val="0"/>
          <w:numId w:val="1006"/>
        </w:numPr>
      </w:pPr>
      <w:r>
        <w:rPr>
          <w:b/>
          <w:bCs/>
        </w:rPr>
        <w:t xml:space="preserve">Three serious, independent contaminant sources.</w:t>
      </w:r>
      <w:r>
        <w:t xml:space="preserve"> </w:t>
      </w:r>
      <w:r>
        <w:t xml:space="preserve">The Property is affected by (i) a 30-year on-site TCE source (C1), (ii) a 39-year on-site hexavalent-chromium source (C2), and (iii) an off-site PCE plume migrating onto the Property from an upgradient source (C3). The first two are well-documented in the Phase I; the third is documented in the supporting record but was not classified as a REC. The combined remediation cost and liability exposure across all three is the central economic question of the transaction and the principal driver of the Critical/High ratings.</w:t>
      </w:r>
    </w:p>
    <w:p>
      <w:pPr>
        <w:numPr>
          <w:ilvl w:val="0"/>
          <w:numId w:val="1006"/>
        </w:numPr>
      </w:pPr>
      <w:r>
        <w:rPr>
          <w:b/>
          <w:bCs/>
        </w:rPr>
        <w:t xml:space="preserve">Vapor intrusion is a common thread.</w:t>
      </w:r>
      <w:r>
        <w:t xml:space="preserve"> </w:t>
      </w:r>
      <w:r>
        <w:t xml:space="preserve">TCE (C1) and PCE (C3) are both volatile chlorinated solvents; the 42.3 ppm PID reading confirms vapor entry into the main building. Vapor intrusion drives both human-health risk (for any occupied use) and the Lender’s required VI assessment/mitigation (H4), and it links C1, C3, and C5.</w:t>
      </w:r>
    </w:p>
    <w:p>
      <w:pPr>
        <w:numPr>
          <w:ilvl w:val="0"/>
          <w:numId w:val="1006"/>
        </w:numPr>
      </w:pPr>
      <w:r>
        <w:rPr>
          <w:b/>
          <w:bCs/>
        </w:rPr>
        <w:t xml:space="preserve">The east-side area is a convergence point.</w:t>
      </w:r>
      <w:r>
        <w:t xml:space="preserve"> </w:t>
      </w:r>
      <w:r>
        <w:t xml:space="preserve">The former outdoor drum-storage area (H3), the 2,000-gallon waste-solvent UST (H1), and the 2003 inspection’s leaking-drum observations (H2) all point to the same east-side portion of the Property as a likely multi-source release area tied to the electroplating operations (C2). The Phase II should treat this area as an integrated investigation target.</w:t>
      </w:r>
    </w:p>
    <w:p>
      <w:pPr>
        <w:numPr>
          <w:ilvl w:val="0"/>
          <w:numId w:val="1006"/>
        </w:numPr>
      </w:pPr>
      <w:r>
        <w:rPr>
          <w:b/>
          <w:bCs/>
        </w:rPr>
        <w:t xml:space="preserve">Contractual protection is thin relative to the risk.</w:t>
      </w:r>
      <w:r>
        <w:t xml:space="preserve"> </w:t>
      </w:r>
      <w:r>
        <w:t xml:space="preserve">The 20% indemnification cap (H5) and 3-year survival period (H6) are likely inadequate for a site with three serious contaminant issues, and the Lender has expressly declined to rely on Seller indemnity alone. The apparent rep breaches (C4) and Seller’s interview inconsistencies (M3) are the principal levers for enhancing protection (specific indemnities, escrow, price reduction, or a fraud-based claim outside the cap).</w:t>
      </w:r>
    </w:p>
    <w:p>
      <w:pPr>
        <w:numPr>
          <w:ilvl w:val="0"/>
          <w:numId w:val="1006"/>
        </w:numPr>
      </w:pPr>
      <w:r>
        <w:rPr>
          <w:b/>
          <w:bCs/>
        </w:rPr>
        <w:t xml:space="preserve">The termination clock is running.</w:t>
      </w:r>
      <w:r>
        <w:t xml:space="preserve"> </w:t>
      </w:r>
      <w:r>
        <w:t xml:space="preserve">The October 31, 2024 termination deadline (H7) is the most time-critical decision point and cannot be extended by Phase II results. Buyer should make a documented go/no-go/renegotiate decision this week.</w:t>
      </w:r>
    </w:p>
    <w:p>
      <w:r>
        <w:pict>
          <v:rect style="width:0;height:1.5pt" o:hralign="center" o:hrstd="t" o:hr="t"/>
        </w:pict>
      </w:r>
    </w:p>
    <w:bookmarkEnd w:id="48"/>
    <w:bookmarkStart w:id="49" w:name="recommended-actions-prioritized"/>
    <w:p>
      <w:pPr>
        <w:pStyle w:val="Heading2"/>
      </w:pPr>
      <w:r>
        <w:t xml:space="preserve">8. Recommended Actions (Prioritized)</w:t>
      </w:r>
    </w:p>
    <w:p>
      <w:pPr>
        <w:pStyle w:val="FirstParagraph"/>
      </w:pPr>
      <w:r>
        <w:rPr>
          <w:b/>
          <w:bCs/>
        </w:rPr>
        <w:t xml:space="preserve">Immediate (on or before October 31, 2024):</w:t>
      </w:r>
    </w:p>
    <w:p>
      <w:pPr>
        <w:pStyle w:val="Compact"/>
        <w:numPr>
          <w:ilvl w:val="0"/>
          <w:numId w:val="1007"/>
        </w:numPr>
      </w:pPr>
      <w:r>
        <w:rPr>
          <w:b/>
          <w:bCs/>
        </w:rPr>
        <w:t xml:space="preserve">Decide on the termination right (H7).</w:t>
      </w:r>
      <w:r>
        <w:t xml:space="preserve"> </w:t>
      </w:r>
      <w:r>
        <w:t xml:space="preserve">Obtain a preliminary remediation-cost range from a qualified environmental engineer for C1, C2, and C3; determine whether the $500,000 threshold is met; and elect among (a) terminating and recovering earnest money, (b) renegotiating price/indemnity/escrow, or (c) proceeding. Document the decision and preserve all evidence.</w:t>
      </w:r>
    </w:p>
    <w:p>
      <w:pPr>
        <w:pStyle w:val="FirstParagraph"/>
      </w:pPr>
      <w:r>
        <w:rPr>
          <w:b/>
          <w:bCs/>
        </w:rPr>
        <w:t xml:space="preserve">Before the Lender’s November 15, 2024 Phase I deadline:</w:t>
      </w:r>
    </w:p>
    <w:p>
      <w:pPr>
        <w:pStyle w:val="Compact"/>
        <w:numPr>
          <w:ilvl w:val="0"/>
          <w:numId w:val="1008"/>
        </w:numPr>
      </w:pPr>
      <w:r>
        <w:rPr>
          <w:b/>
          <w:bCs/>
        </w:rPr>
        <w:t xml:space="preserve">Supplement the Phase I (H8/C3).</w:t>
      </w:r>
      <w:r>
        <w:t xml:space="preserve"> </w:t>
      </w:r>
      <w:r>
        <w:t xml:space="preserve">Direct Greenfield to issue an addendum classifying the off-site PCE plume as a REC for the Property, documenting the GMZ and the absence of on-Property groundwater data, and recommending on-Property monitoring wells.</w:t>
      </w:r>
    </w:p>
    <w:p>
      <w:pPr>
        <w:pStyle w:val="FirstParagraph"/>
      </w:pPr>
      <w:r>
        <w:rPr>
          <w:b/>
          <w:bCs/>
        </w:rPr>
        <w:t xml:space="preserve">Before the Lender’s November 30, 2024 Phase II/insurance/escrow deadline (and before closing):</w:t>
      </w:r>
    </w:p>
    <w:p>
      <w:pPr>
        <w:pStyle w:val="Compact"/>
        <w:numPr>
          <w:ilvl w:val="0"/>
          <w:numId w:val="1009"/>
        </w:numPr>
      </w:pPr>
      <w:r>
        <w:rPr>
          <w:b/>
          <w:bCs/>
        </w:rPr>
        <w:t xml:space="preserve">Commission the Phase II ESA (C1, C2, C3, H1, H3, H4, M1, M2).</w:t>
      </w:r>
      <w:r>
        <w:t xml:space="preserve"> </w:t>
      </w:r>
      <w:r>
        <w:t xml:space="preserve">Scope to include: soil borings and monitoring wells at the former TCE degreasing area and the abandoned drum; sump-liquid characterization and slab borings in the former electroplating room; on-Property groundwater wells for PCE (and TCE) to delineate the off-site plume; a geophysical survey for the 2,000-gal. waste-solvent UST and the 500-gal. heating-oil UST; soil borings in the former outdoor drum-storage area; sub-slab soil-vapor/indoor-air sampling for VI; and integration of MW-1. Require best-/most-likely-/worst-case remediation cost estimates from a licensed PE.</w:t>
      </w:r>
    </w:p>
    <w:p>
      <w:pPr>
        <w:pStyle w:val="Compact"/>
        <w:numPr>
          <w:ilvl w:val="0"/>
          <w:numId w:val="1009"/>
        </w:numPr>
      </w:pPr>
      <w:r>
        <w:rPr>
          <w:b/>
          <w:bCs/>
        </w:rPr>
        <w:t xml:space="preserve">Procure PLL insurance (C5).</w:t>
      </w:r>
      <w:r>
        <w:t xml:space="preserve"> </w:t>
      </w:r>
      <w:r>
        <w:t xml:space="preserve">Engage a broker immediately for a policy of at least $5,000,000 (or the worst-case estimate, if higher), 10-year term, A− or better carrier, with the Lender as additional insured/loss payee.</w:t>
      </w:r>
    </w:p>
    <w:p>
      <w:pPr>
        <w:pStyle w:val="Compact"/>
        <w:numPr>
          <w:ilvl w:val="0"/>
          <w:numId w:val="1009"/>
        </w:numPr>
      </w:pPr>
      <w:r>
        <w:rPr>
          <w:b/>
          <w:bCs/>
        </w:rPr>
        <w:t xml:space="preserve">Plan the escrow and remediation plan (C5).</w:t>
      </w:r>
      <w:r>
        <w:t xml:space="preserve"> </w:t>
      </w:r>
      <w:r>
        <w:t xml:space="preserve">If the most-likely estimate exceeds $250,000 (likely), fund a 125% escrow at the Lender; if costs exceed $500,000 (likely), prepare an Ohio EPA-submitted remediation plan with a ≤36-month completion timeline.</w:t>
      </w:r>
    </w:p>
    <w:p>
      <w:pPr>
        <w:pStyle w:val="Compact"/>
        <w:numPr>
          <w:ilvl w:val="0"/>
          <w:numId w:val="1009"/>
        </w:numPr>
      </w:pPr>
      <w:r>
        <w:rPr>
          <w:b/>
          <w:bCs/>
        </w:rPr>
        <w:t xml:space="preserve">Plan vapor mitigation (H4).</w:t>
      </w:r>
      <w:r>
        <w:t xml:space="preserve"> </w:t>
      </w:r>
      <w:r>
        <w:t xml:space="preserve">Budget for and design a sub-slab vapor mitigation system for the main building (and any other occupied structure) as a likely closing condition.</w:t>
      </w:r>
    </w:p>
    <w:p>
      <w:pPr>
        <w:pStyle w:val="FirstParagraph"/>
      </w:pPr>
      <w:r>
        <w:rPr>
          <w:b/>
          <w:bCs/>
        </w:rPr>
        <w:t xml:space="preserve">Contractual / legal (before closing):</w:t>
      </w:r>
    </w:p>
    <w:p>
      <w:pPr>
        <w:pStyle w:val="Compact"/>
        <w:numPr>
          <w:ilvl w:val="0"/>
          <w:numId w:val="1010"/>
        </w:numPr>
      </w:pPr>
      <w:r>
        <w:rPr>
          <w:b/>
          <w:bCs/>
        </w:rPr>
        <w:t xml:space="preserve">Renegotiate the indemnity package (H5, H6).</w:t>
      </w:r>
      <w:r>
        <w:t xml:space="preserve"> </w:t>
      </w:r>
      <w:r>
        <w:t xml:space="preserve">Seek a higher or separate environmental cap (or a full carve-out of Pre-Closing Environmental Liabilities), a longer environmental survival period (or specific-indemnity carve-outs for C1, C2, C3, and H1 surviving outside the general period), and a seller-funded escrow/holdback or remediation trust.</w:t>
      </w:r>
    </w:p>
    <w:p>
      <w:pPr>
        <w:pStyle w:val="Compact"/>
        <w:numPr>
          <w:ilvl w:val="0"/>
          <w:numId w:val="1010"/>
        </w:numPr>
      </w:pPr>
      <w:r>
        <w:rPr>
          <w:b/>
          <w:bCs/>
        </w:rPr>
        <w:t xml:space="preserve">Correct the representations and schedules (C4).</w:t>
      </w:r>
      <w:r>
        <w:t xml:space="preserve"> </w:t>
      </w:r>
      <w:r>
        <w:t xml:space="preserve">Demand that Seller update Schedule 4.12(c) (to disclose the 2003 NOV/consent order) and Schedule 4.13 (to add the 2,000-gal. waste-solvent UST and 500-gal. heating-oil UST), and obtain Seller’s response to a written environmental questionnaire to lock in its knowledge positions (M3).</w:t>
      </w:r>
    </w:p>
    <w:p>
      <w:pPr>
        <w:pStyle w:val="Compact"/>
        <w:numPr>
          <w:ilvl w:val="0"/>
          <w:numId w:val="1010"/>
        </w:numPr>
      </w:pPr>
      <w:r>
        <w:rPr>
          <w:b/>
          <w:bCs/>
        </w:rPr>
        <w:t xml:space="preserve">Obtain the consent order and compliance certification (H2).</w:t>
      </w:r>
      <w:r>
        <w:t xml:space="preserve"> </w:t>
      </w:r>
      <w:r>
        <w:t xml:space="preserve">Request the 2003 Director’s Final Findings &amp; Orders and the compliance certification from Ohio EPA Central Office (allow 30–45 business days); confirm the matter is closed and that no lien or reopenable condition exists.</w:t>
      </w:r>
    </w:p>
    <w:p>
      <w:pPr>
        <w:pStyle w:val="Compact"/>
        <w:numPr>
          <w:ilvl w:val="0"/>
          <w:numId w:val="1010"/>
        </w:numPr>
      </w:pPr>
      <w:r>
        <w:rPr>
          <w:b/>
          <w:bCs/>
        </w:rPr>
        <w:t xml:space="preserve">Investigate MW-1 (M2).</w:t>
      </w:r>
      <w:r>
        <w:t xml:space="preserve"> </w:t>
      </w:r>
      <w:r>
        <w:t xml:space="preserve">Research the well through Ohio EPA, the dry-cleaner VAP file (NW-0923), and well-registration databases; obtain any existing data.</w:t>
      </w:r>
    </w:p>
    <w:p>
      <w:pPr>
        <w:pStyle w:val="FirstParagraph"/>
      </w:pPr>
      <w:r>
        <w:rPr>
          <w:b/>
          <w:bCs/>
        </w:rPr>
        <w:t xml:space="preserve">Other:</w:t>
      </w:r>
    </w:p>
    <w:p>
      <w:pPr>
        <w:pStyle w:val="Compact"/>
        <w:numPr>
          <w:ilvl w:val="0"/>
          <w:numId w:val="1011"/>
        </w:numPr>
      </w:pPr>
      <w:r>
        <w:rPr>
          <w:b/>
          <w:bCs/>
        </w:rPr>
        <w:t xml:space="preserve">Commission ACM and LBP surveys (M4)</w:t>
      </w:r>
      <w:r>
        <w:t xml:space="preserve"> </w:t>
      </w:r>
      <w:r>
        <w:t xml:space="preserve">before any renovation/demolition.</w:t>
      </w:r>
    </w:p>
    <w:p>
      <w:pPr>
        <w:pStyle w:val="Compact"/>
        <w:numPr>
          <w:ilvl w:val="0"/>
          <w:numId w:val="1011"/>
        </w:numPr>
      </w:pPr>
      <w:r>
        <w:rPr>
          <w:b/>
          <w:bCs/>
        </w:rPr>
        <w:t xml:space="preserve">Confirm orphan-site</w:t>
      </w:r>
      <w:r>
        <w:rPr>
          <w:b/>
          <w:bCs/>
        </w:rPr>
        <w:t xml:space="preserve"> </w:t>
      </w:r>
      <w:r>
        <w:rPr>
          <w:b/>
          <w:bCs/>
        </w:rPr>
        <w:t xml:space="preserve">“</w:t>
      </w:r>
      <w:r>
        <w:rPr>
          <w:b/>
          <w:bCs/>
        </w:rPr>
        <w:t xml:space="preserve">Lakeshore Plating Works</w:t>
      </w:r>
      <w:r>
        <w:rPr>
          <w:b/>
          <w:bCs/>
        </w:rPr>
        <w:t xml:space="preserve">”</w:t>
      </w:r>
      <w:r>
        <w:rPr>
          <w:b/>
          <w:bCs/>
        </w:rPr>
        <w:t xml:space="preserve"> </w:t>
      </w:r>
      <w:r>
        <w:rPr>
          <w:b/>
          <w:bCs/>
        </w:rPr>
        <w:t xml:space="preserve">(L8)</w:t>
      </w:r>
      <w:r>
        <w:t xml:space="preserve"> </w:t>
      </w:r>
      <w:r>
        <w:t xml:space="preserve">is not the Property or a predecessor alias.</w:t>
      </w:r>
    </w:p>
    <w:p>
      <w:r>
        <w:pict>
          <v:rect style="width:0;height:1.5pt" o:hralign="center" o:hrstd="t" o:hr="t"/>
        </w:pict>
      </w:r>
    </w:p>
    <w:bookmarkEnd w:id="49"/>
    <w:bookmarkStart w:id="50" w:name="conclusion"/>
    <w:p>
      <w:pPr>
        <w:pStyle w:val="Heading2"/>
      </w:pPr>
      <w:r>
        <w:t xml:space="preserve">9. Conclusion</w:t>
      </w:r>
    </w:p>
    <w:p>
      <w:pPr>
        <w:pStyle w:val="FirstParagraph"/>
      </w:pPr>
      <w:r>
        <w:t xml:space="preserve">The Phase I ESA and supporting record reveal a former manufacturing facility with</w:t>
      </w:r>
      <w:r>
        <w:t xml:space="preserve"> </w:t>
      </w:r>
      <w:r>
        <w:rPr>
          <w:b/>
          <w:bCs/>
        </w:rPr>
        <w:t xml:space="preserve">three serious environmental conditions</w:t>
      </w:r>
      <w:r>
        <w:t xml:space="preserve"> </w:t>
      </w:r>
      <w:r>
        <w:t xml:space="preserve">— a 30-year on-site TCE source, a 39-year on-site hexavalent-chromium source, and an upgradient PCE groundwater plume migrating onto the Property (the last not classified as a REC in the Phase I) — together with unregistered USTs, an unverified 2003 consent order, an undocumented monitoring well, and multiple Seller-credibility and data-gap concerns. Several of Seller’s environmental representations appear breached. The contractual risk allocation (a 20% indemnification cap and a 3-year survival period) is likely insufficient, and the Lender will not fund without a Phase II, $5M+ pollution insurance, a remediation escrow, a remediation plan, and a vapor intrusion assessment.</w:t>
      </w:r>
    </w:p>
    <w:p>
      <w:pPr>
        <w:pStyle w:val="BodyText"/>
      </w:pPr>
      <w:r>
        <w:t xml:space="preserve">The transaction is not necessarily unviable, but it is a</w:t>
      </w:r>
      <w:r>
        <w:t xml:space="preserve"> </w:t>
      </w:r>
      <w:r>
        <w:rPr>
          <w:b/>
          <w:bCs/>
        </w:rPr>
        <w:t xml:space="preserve">high-environmental-risk acquisition</w:t>
      </w:r>
      <w:r>
        <w:t xml:space="preserve"> </w:t>
      </w:r>
      <w:r>
        <w:t xml:space="preserve">that should proceed only with (i) a Phase II that quantifies remediation costs across all three sources, (ii) enhanced contractual protection (cap/survival/escrow/specific indemnity) backed by the apparent rep breaches, (iii) full satisfaction of the Lender’s conditions, and (iv) a prompt, documented decision on the October 31, 2024 termination right. If the combined worst-case remediation cost approaches ~50% of appraised value, Buyer should be prepared for the Lender to decline and should evaluate termination or material price renegotiation.</w:t>
      </w:r>
    </w:p>
    <w:p>
      <w:r>
        <w:pict>
          <v:rect style="width:0;height:1.5pt" o:hralign="center" o:hrstd="t" o:hr="t"/>
        </w:pict>
      </w:r>
    </w:p>
    <w:bookmarkEnd w:id="50"/>
    <w:bookmarkStart w:id="51" w:name="limitations"/>
    <w:p>
      <w:pPr>
        <w:pStyle w:val="Heading2"/>
      </w:pPr>
      <w:r>
        <w:t xml:space="preserve">10. Limitations</w:t>
      </w:r>
    </w:p>
    <w:p>
      <w:pPr>
        <w:pStyle w:val="FirstParagraph"/>
      </w:pPr>
      <w:r>
        <w:t xml:space="preserve">This memorandum is based solely on the documents listed in Section 2, which are due-diligence materials prepared by others. No independent site reconnaissance, sampling, or regulatory file review was performed. Severity ratings reflect professional judgment as of the date hereof based on the available record and are subject to revision upon receipt of the Phase II results, the Ohio EPA Central Office consent-order file, MW-1 records, and any Seller supplementation. This memorandum is privileged and confidential, prepared in anticipation of the transaction, and intended for the use of Buyer and its counsel only; it is not an environmental site assessment, a remediation cost estimate, or legal advice, and it does not opine on the adequacy of All Appropriate Inquiries except as expressly noted.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2026-06-28T18:00:31Z</dcterms:created>
  <dcterms:modified xsi:type="dcterms:W3CDTF">2026-06-28T18:00:31Z</dcterms:modified>
</cp:coreProperties>
</file>

<file path=docProps/custom.xml><?xml version="1.0" encoding="utf-8"?>
<Properties xmlns="http://schemas.openxmlformats.org/officeDocument/2006/custom-properties" xmlns:vt="http://schemas.openxmlformats.org/officeDocument/2006/docPropsVTypes"/>
</file>