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1c490f654c4105499f584bfdddd5889499e1c5"/>
    <w:p>
      <w:pPr>
        <w:pStyle w:val="Heading1"/>
      </w:pPr>
      <w:r>
        <w:t xml:space="preserve">ENVIRONMENTAL DUE DILIGENCE ISSUES MEMORANDUM</w:t>
      </w:r>
    </w:p>
    <w:p>
      <w:pPr>
        <w:pStyle w:val="FirstParagraph"/>
      </w:pPr>
      <w:r>
        <w:rPr>
          <w:b/>
          <w:bCs/>
        </w:rPr>
        <w:t xml:space="preserve">PRIVILEGED &amp; CONFIDENTIAL — PREPARED AT THE REQUEST OF COUNSEL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Weir / Marcus Choi, Managing Partners, Cornerstone Industrial Partners LLC; Nadia Khoury / Sarah Castellano, Environmental &amp; Transaction Counsel</w:t>
            </w:r>
          </w:p>
        </w:tc>
      </w:tr>
      <w:tr>
        <w:tc>
          <w:tcPr/>
          <w:p>
            <w:pPr>
              <w:pStyle w:val="Compact"/>
              <w:jc w:val="left"/>
            </w:pPr>
            <w:r>
              <w:rPr>
                <w:b/>
                <w:bCs/>
              </w:rPr>
              <w:t xml:space="preserve">From:</w:t>
            </w:r>
          </w:p>
        </w:tc>
        <w:tc>
          <w:tcPr/>
          <w:p>
            <w:pPr>
              <w:pStyle w:val="Compact"/>
              <w:jc w:val="left"/>
            </w:pPr>
            <w:r>
              <w:t xml:space="preserve">Environmental Due Diligence Team</w:t>
            </w:r>
          </w:p>
        </w:tc>
      </w:tr>
      <w:tr>
        <w:tc>
          <w:tcPr/>
          <w:p>
            <w:pPr>
              <w:pStyle w:val="Compact"/>
              <w:jc w:val="left"/>
            </w:pPr>
            <w:r>
              <w:rPr>
                <w:b/>
                <w:bCs/>
              </w:rPr>
              <w:t xml:space="preserve">Re:</w:t>
            </w:r>
          </w:p>
        </w:tc>
        <w:tc>
          <w:tcPr/>
          <w:p>
            <w:pPr>
              <w:pStyle w:val="Compact"/>
              <w:jc w:val="left"/>
            </w:pPr>
            <w:r>
              <w:t xml:space="preserve">Phase I ESA and Supporting Environmental Document Review — Proposed Acquisitions of (1) 4820 Lakeshore Industrial Drive, Toledo, Ohio (Breckenridge Manufacturing Co.) and (2) 2850 Millrace Road, Dayton, Ohio (Valtec Manufacturing Holdings Inc.)</w:t>
            </w:r>
          </w:p>
        </w:tc>
      </w:tr>
      <w:tr>
        <w:tc>
          <w:tcPr/>
          <w:p>
            <w:pPr>
              <w:pStyle w:val="Compact"/>
              <w:jc w:val="left"/>
            </w:pPr>
            <w:r>
              <w:rPr>
                <w:b/>
                <w:bCs/>
              </w:rPr>
              <w:t xml:space="preserve">Date:</w:t>
            </w:r>
          </w:p>
        </w:tc>
        <w:tc>
          <w:tcPr/>
          <w:p>
            <w:pPr>
              <w:pStyle w:val="Compact"/>
              <w:jc w:val="left"/>
            </w:pPr>
            <w:r>
              <w:t xml:space="preserve">May 2, 2025</w:t>
            </w:r>
          </w:p>
        </w:tc>
      </w:tr>
      <w:tr>
        <w:tc>
          <w:tcPr/>
          <w:p>
            <w:pPr>
              <w:pStyle w:val="Compact"/>
              <w:jc w:val="left"/>
            </w:pPr>
            <w:r>
              <w:rPr>
                <w:b/>
                <w:bCs/>
              </w:rPr>
              <w:t xml:space="preserve">Classification:</w:t>
            </w:r>
          </w:p>
        </w:tc>
        <w:tc>
          <w:tcPr/>
          <w:p>
            <w:pPr>
              <w:pStyle w:val="Compact"/>
              <w:jc w:val="left"/>
            </w:pPr>
            <w:r>
              <w:t xml:space="preserve">Privileged &amp; Confidential — Attorney Work Product</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Cornerstone Industrial Partners LLC (</w:t>
      </w:r>
      <w:r>
        <w:t xml:space="preserve">“</w:t>
      </w:r>
      <w:r>
        <w:t xml:space="preserve">Cornerstone</w:t>
      </w:r>
      <w:r>
        <w:t xml:space="preserve">”</w:t>
      </w:r>
      <w:r>
        <w:t xml:space="preserve"> </w:t>
      </w:r>
      <w:r>
        <w:t xml:space="preserve">or</w:t>
      </w:r>
      <w:r>
        <w:t xml:space="preserve"> </w:t>
      </w:r>
      <w:r>
        <w:t xml:space="preserve">“</w:t>
      </w:r>
      <w:r>
        <w:t xml:space="preserve">Buyer</w:t>
      </w:r>
      <w:r>
        <w:t xml:space="preserve">”</w:t>
      </w:r>
      <w:r>
        <w:t xml:space="preserve">) is pursuing the acquisition of two former metal-manufacturing and metal-finishing facilities in Ohio. This memorandum synthesizes the Phase I Environmental Site Assessments (</w:t>
      </w:r>
      <w:r>
        <w:t xml:space="preserve">“</w:t>
      </w:r>
      <w:r>
        <w:t xml:space="preserve">Phase I ESAs</w:t>
      </w:r>
      <w:r>
        <w:t xml:space="preserve">”</w:t>
      </w:r>
      <w:r>
        <w:t xml:space="preserve">) and all supporting environmental documents produced for each property, identifies the environmental issues raised by those documents, and assigns a severity rating to each issue to assist the deal team and counsel in evaluating transaction risk, negotiating protections, and satisfying lender requirements.</w:t>
      </w:r>
    </w:p>
    <w:p>
      <w:pPr>
        <w:pStyle w:val="BodyText"/>
      </w:pPr>
      <w:r>
        <w:t xml:space="preserve">The two target properties are:</w:t>
      </w:r>
    </w:p>
    <w:p>
      <w:pPr>
        <w:numPr>
          <w:ilvl w:val="0"/>
          <w:numId w:val="1001"/>
        </w:numPr>
      </w:pPr>
      <w:r>
        <w:rPr>
          <w:b/>
          <w:bCs/>
        </w:rPr>
        <w:t xml:space="preserve">Property 1 — Toledo (</w:t>
      </w:r>
      <w:r>
        <w:rPr>
          <w:b/>
          <w:bCs/>
        </w:rPr>
        <w:t xml:space="preserve">“</w:t>
      </w:r>
      <w:r>
        <w:rPr>
          <w:b/>
          <w:bCs/>
        </w:rPr>
        <w:t xml:space="preserve">the Toledo Property</w:t>
      </w:r>
      <w:r>
        <w:rPr>
          <w:b/>
          <w:bCs/>
        </w:rPr>
        <w:t xml:space="preserve">”</w:t>
      </w:r>
      <w:r>
        <w:rPr>
          <w:b/>
          <w:bCs/>
        </w:rPr>
        <w:t xml:space="preserve">):</w:t>
      </w:r>
      <w:r>
        <w:t xml:space="preserve"> </w:t>
      </w:r>
      <w:r>
        <w:t xml:space="preserve">4820 Lakeshore Industrial Drive, Toledo, Lucas County, Ohio 43611 (approx. 14.7 acres), owned by Breckenridge Manufacturing Co. (</w:t>
      </w:r>
      <w:r>
        <w:t xml:space="preserve">“</w:t>
      </w:r>
      <w:r>
        <w:t xml:space="preserve">Breckenridge</w:t>
      </w:r>
      <w:r>
        <w:t xml:space="preserve">”</w:t>
      </w:r>
      <w:r>
        <w:t xml:space="preserve">). Purchase price $8,750,000; proposed acquisition loan of $6,125,000 from Great Lakes Capital Bank (the</w:t>
      </w:r>
      <w:r>
        <w:t xml:space="preserve"> </w:t>
      </w:r>
      <w:r>
        <w:t xml:space="preserve">“</w:t>
      </w:r>
      <w:r>
        <w:t xml:space="preserve">Lender</w:t>
      </w:r>
      <w:r>
        <w:t xml:space="preserve">”</w:t>
      </w:r>
      <w:r>
        <w:t xml:space="preserve">); anticipated closing December 15, 2024. A full transactional document set is available (Asset Purchase Agreement, Lender requirements letter, Ohio EPA response, EDR database report, Phase I ESA).</w:t>
      </w:r>
    </w:p>
    <w:p>
      <w:pPr>
        <w:numPr>
          <w:ilvl w:val="0"/>
          <w:numId w:val="1001"/>
        </w:numPr>
      </w:pPr>
      <w:r>
        <w:rPr>
          <w:b/>
          <w:bCs/>
        </w:rPr>
        <w:t xml:space="preserve">Property 2 — Dayton (</w:t>
      </w:r>
      <w:r>
        <w:rPr>
          <w:b/>
          <w:bCs/>
        </w:rPr>
        <w:t xml:space="preserve">“</w:t>
      </w:r>
      <w:r>
        <w:rPr>
          <w:b/>
          <w:bCs/>
        </w:rPr>
        <w:t xml:space="preserve">the Dayton Property</w:t>
      </w:r>
      <w:r>
        <w:rPr>
          <w:b/>
          <w:bCs/>
        </w:rPr>
        <w:t xml:space="preserve">”</w:t>
      </w:r>
      <w:r>
        <w:rPr>
          <w:b/>
          <w:bCs/>
        </w:rPr>
        <w:t xml:space="preserve">):</w:t>
      </w:r>
      <w:r>
        <w:t xml:space="preserve"> </w:t>
      </w:r>
      <w:r>
        <w:t xml:space="preserve">2850 Millrace Road, Dayton, Montgomery County, Ohio 45414 (approx. 14.7 acres), owned by Valtec Manufacturing Holdings Inc. (</w:t>
      </w:r>
      <w:r>
        <w:t xml:space="preserve">“</w:t>
      </w:r>
      <w:r>
        <w:t xml:space="preserve">Valtec</w:t>
      </w:r>
      <w:r>
        <w:t xml:space="preserve">”</w:t>
      </w:r>
      <w:r>
        <w:t xml:space="preserve">). Indicated purchase price $4,200,000. A Phase I ESA, a 2004 UST Closure Report, and a database search summary are available; no purchase agreement or lender requirements letter was provided for this property.</w:t>
      </w:r>
    </w:p>
    <w:p>
      <w:pPr>
        <w:pStyle w:val="FirstParagraph"/>
      </w:pPr>
      <w:r>
        <w:rPr>
          <w:b/>
          <w:bCs/>
        </w:rPr>
        <w:t xml:space="preserve">Headline conclusions.</w:t>
      </w:r>
    </w:p>
    <w:p>
      <w:pPr>
        <w:numPr>
          <w:ilvl w:val="0"/>
          <w:numId w:val="1002"/>
        </w:numPr>
      </w:pPr>
      <w:r>
        <w:rPr>
          <w:b/>
          <w:bCs/>
        </w:rPr>
        <w:t xml:space="preserve">Both properties carry serious environmental liability associated with decades of metal-stamping, vapor degreasing, and hexavalent-chromium/nickel electroplating operations.</w:t>
      </w:r>
      <w:r>
        <w:t xml:space="preserve"> </w:t>
      </w:r>
      <w:r>
        <w:t xml:space="preserve">Each Phase I ESA identifies multiple Recognized Environmental Conditions (</w:t>
      </w:r>
      <w:r>
        <w:t xml:space="preserve">“</w:t>
      </w:r>
      <w:r>
        <w:t xml:space="preserve">RECs</w:t>
      </w:r>
      <w:r>
        <w:t xml:space="preserve">”</w:t>
      </w:r>
      <w:r>
        <w:t xml:space="preserve">) requiring Phase II subsurface investigation.</w:t>
      </w:r>
    </w:p>
    <w:p>
      <w:pPr>
        <w:numPr>
          <w:ilvl w:val="0"/>
          <w:numId w:val="1002"/>
        </w:numPr>
      </w:pPr>
      <w:r>
        <w:rPr>
          <w:b/>
          <w:bCs/>
        </w:rPr>
        <w:t xml:space="preserve">The Toledo Property presents the greater near-term transactional risk.</w:t>
      </w:r>
      <w:r>
        <w:t xml:space="preserve"> </w:t>
      </w:r>
      <w:r>
        <w:t xml:space="preserve">Its Phase I ESA (Greenfield Environmental Consultants Inc., dated October 25, 2024) identifies two on-site RECs — a 31-year trichloroethylene (</w:t>
      </w:r>
      <w:r>
        <w:t xml:space="preserve">“</w:t>
      </w:r>
      <w:r>
        <w:t xml:space="preserve">TCE</w:t>
      </w:r>
      <w:r>
        <w:t xml:space="preserve">”</w:t>
      </w:r>
      <w:r>
        <w:t xml:space="preserve">) vapor-degreasing operation with an elevated photoionization detector (</w:t>
      </w:r>
      <w:r>
        <w:t xml:space="preserve">“</w:t>
      </w:r>
      <w:r>
        <w:t xml:space="preserve">PID</w:t>
      </w:r>
      <w:r>
        <w:t xml:space="preserve">”</w:t>
      </w:r>
      <w:r>
        <w:t xml:space="preserve">) reading (42.3 ppm) and an abandoned, leaking waste-TCE drum, and a 39-year hexavalent-chromium electroplating operation with no hazardous-waste manifests for all but the final year of operation. Critically, an upgradient off-site tetrachloroethylene (</w:t>
      </w:r>
      <w:r>
        <w:t xml:space="preserve">“</w:t>
      </w:r>
      <w:r>
        <w:t xml:space="preserve">PCE</w:t>
      </w:r>
      <w:r>
        <w:t xml:space="preserve">”</w:t>
      </w:r>
      <w:r>
        <w:t xml:space="preserve">) groundwater plume from the former Lake Erie Dry Cleaning facility (PCE at 87 µg/L, approximately 17 times the Ohio standard, 120 feet from the property boundary and migrating toward the Property) was</w:t>
      </w:r>
      <w:r>
        <w:t xml:space="preserve"> </w:t>
      </w:r>
      <w:r>
        <w:rPr>
          <w:b/>
          <w:bCs/>
        </w:rPr>
        <w:t xml:space="preserve">not</w:t>
      </w:r>
      <w:r>
        <w:t xml:space="preserve"> </w:t>
      </w:r>
      <w:r>
        <w:t xml:space="preserve">classified as a REC by the consultant, even though the Lender’s requirements letter expressly required any off-site plume migrating toward the Property to be identified as a REC. The Property also sits within a state-designated Groundwater Management Zone for that plume.</w:t>
      </w:r>
    </w:p>
    <w:p>
      <w:pPr>
        <w:numPr>
          <w:ilvl w:val="0"/>
          <w:numId w:val="1002"/>
        </w:numPr>
      </w:pPr>
      <w:r>
        <w:rPr>
          <w:b/>
          <w:bCs/>
        </w:rPr>
        <w:t xml:space="preserve">The Toledo seller’s representations appear to be breached by the documentary record.</w:t>
      </w:r>
      <w:r>
        <w:t xml:space="preserve"> </w:t>
      </w:r>
      <w:r>
        <w:t xml:space="preserve">Schedule 4.13 of the Asset Purchase Agreement lists only the active 10,000-gallon diesel UST and omits two historical USTs documented on Sanborn maps (a 2,000-gallon waste-solvent UST and a 500-gallon heating-oil UST), neither of which has any registration or closure record. The seller’s representations of</w:t>
      </w:r>
      <w:r>
        <w:t xml:space="preserve"> </w:t>
      </w:r>
      <w:r>
        <w:t xml:space="preserve">“</w:t>
      </w:r>
      <w:r>
        <w:t xml:space="preserve">no releases</w:t>
      </w:r>
      <w:r>
        <w:t xml:space="preserve">”</w:t>
      </w:r>
      <w:r>
        <w:t xml:space="preserve"> </w:t>
      </w:r>
      <w:r>
        <w:t xml:space="preserve">and</w:t>
      </w:r>
      <w:r>
        <w:t xml:space="preserve"> </w:t>
      </w:r>
      <w:r>
        <w:t xml:space="preserve">“</w:t>
      </w:r>
      <w:r>
        <w:t xml:space="preserve">no Environmental Notices</w:t>
      </w:r>
      <w:r>
        <w:t xml:space="preserve">”</w:t>
      </w:r>
      <w:r>
        <w:t xml:space="preserve"> </w:t>
      </w:r>
      <w:r>
        <w:t xml:space="preserve">(§ 4.12) are contradicted by a documented 1988 degreasing-solvent spill and a 2003 Ohio EPA Notice of Violation for leaking drums of electroplating sludge.</w:t>
      </w:r>
    </w:p>
    <w:p>
      <w:pPr>
        <w:numPr>
          <w:ilvl w:val="0"/>
          <w:numId w:val="1002"/>
        </w:numPr>
      </w:pPr>
      <w:r>
        <w:rPr>
          <w:b/>
          <w:bCs/>
        </w:rPr>
        <w:t xml:space="preserve">The Dayton Property’s</w:t>
      </w:r>
      <w:r>
        <w:rPr>
          <w:b/>
          <w:bCs/>
        </w:rPr>
        <w:t xml:space="preserve"> </w:t>
      </w:r>
      <w:r>
        <w:rPr>
          <w:b/>
          <w:bCs/>
        </w:rPr>
        <w:t xml:space="preserve">“</w:t>
      </w:r>
      <w:r>
        <w:rPr>
          <w:b/>
          <w:bCs/>
        </w:rPr>
        <w:t xml:space="preserve">closed</w:t>
      </w:r>
      <w:r>
        <w:rPr>
          <w:b/>
          <w:bCs/>
        </w:rPr>
        <w:t xml:space="preserve">”</w:t>
      </w:r>
      <w:r>
        <w:rPr>
          <w:b/>
          <w:bCs/>
        </w:rPr>
        <w:t xml:space="preserve"> </w:t>
      </w:r>
      <w:r>
        <w:rPr>
          <w:b/>
          <w:bCs/>
        </w:rPr>
        <w:t xml:space="preserve">historical conditions are less certain than the Phase I ESA suggests.</w:t>
      </w:r>
      <w:r>
        <w:t xml:space="preserve"> </w:t>
      </w:r>
      <w:r>
        <w:t xml:space="preserve">The Phase I ESA (Terravista Environmental Consulting Inc., dated April 18, 2025) classifies the former USTs and the former Central Valley Chemical Co. operations as Historical Recognized Environmental Conditions (</w:t>
      </w:r>
      <w:r>
        <w:t xml:space="preserve">“</w:t>
      </w:r>
      <w:r>
        <w:t xml:space="preserve">HRECs</w:t>
      </w:r>
      <w:r>
        <w:t xml:space="preserve">”</w:t>
      </w:r>
      <w:r>
        <w:t xml:space="preserve">) on the strength of a 2011 Ohio EPA Voluntary Action Program (</w:t>
      </w:r>
      <w:r>
        <w:t xml:space="preserve">“</w:t>
      </w:r>
      <w:r>
        <w:t xml:space="preserve">VAP</w:t>
      </w:r>
      <w:r>
        <w:t xml:space="preserve">”</w:t>
      </w:r>
      <w:r>
        <w:t xml:space="preserve">) No Further Action (</w:t>
      </w:r>
      <w:r>
        <w:t xml:space="preserve">“</w:t>
      </w:r>
      <w:r>
        <w:t xml:space="preserve">NFA</w:t>
      </w:r>
      <w:r>
        <w:t xml:space="preserve">”</w:t>
      </w:r>
      <w:r>
        <w:t xml:space="preserve">) letter. However, the underlying 2004 UST Closure Report shows that the 4,000-gallon waste-oil UST (</w:t>
      </w:r>
      <w:r>
        <w:t xml:space="preserve">“</w:t>
      </w:r>
      <w:r>
        <w:t xml:space="preserve">Tank 3</w:t>
      </w:r>
      <w:r>
        <w:t xml:space="preserve">”</w:t>
      </w:r>
      <w:r>
        <w:t xml:space="preserve">) — which exhibited a through-wall perforation and stained, odorous soil — was</w:t>
      </w:r>
      <w:r>
        <w:t xml:space="preserve"> </w:t>
      </w:r>
      <w:r>
        <w:rPr>
          <w:b/>
          <w:bCs/>
        </w:rPr>
        <w:t xml:space="preserve">never closed out</w:t>
      </w:r>
      <w:r>
        <w:t xml:space="preserve">: its analytical results were</w:t>
      </w:r>
      <w:r>
        <w:t xml:space="preserve"> </w:t>
      </w:r>
      <w:r>
        <w:t xml:space="preserve">“</w:t>
      </w:r>
      <w:r>
        <w:t xml:space="preserve">pending</w:t>
      </w:r>
      <w:r>
        <w:t xml:space="preserve">”</w:t>
      </w:r>
      <w:r>
        <w:t xml:space="preserve"> </w:t>
      </w:r>
      <w:r>
        <w:t xml:space="preserve">at report time, no supplemental report was ever produced, and no closure letter has been located. The 2011 VAP NFA letter describes the addressed area as the</w:t>
      </w:r>
      <w:r>
        <w:t xml:space="preserve"> </w:t>
      </w:r>
      <w:r>
        <w:t xml:space="preserve">“</w:t>
      </w:r>
      <w:r>
        <w:t xml:space="preserve">former diesel underground storage tank area,</w:t>
      </w:r>
      <w:r>
        <w:t xml:space="preserve">”</w:t>
      </w:r>
      <w:r>
        <w:t xml:space="preserve"> </w:t>
      </w:r>
      <w:r>
        <w:t xml:space="preserve">casting doubt on whether the waste-oil tank is covered. Separately, the VAP NFA letter applies only to a 2.3-acre</w:t>
      </w:r>
      <w:r>
        <w:t xml:space="preserve"> </w:t>
      </w:r>
      <w:r>
        <w:t xml:space="preserve">“</w:t>
      </w:r>
      <w:r>
        <w:t xml:space="preserve">Parcel A</w:t>
      </w:r>
      <w:r>
        <w:t xml:space="preserve">”</w:t>
      </w:r>
      <w:r>
        <w:t xml:space="preserve"> </w:t>
      </w:r>
      <w:r>
        <w:t xml:space="preserve">in the southern portion of the site and expressly does not address conditions outside that boundary — yet the Phase I ESA relies on the same NFA letter to classify the Central Valley Chemical Co. operations (located in Building 3, outside Parcel A) as an HREC. These classifications may be unsupported and warrant confirmation.</w:t>
      </w:r>
    </w:p>
    <w:p>
      <w:pPr>
        <w:numPr>
          <w:ilvl w:val="0"/>
          <w:numId w:val="1002"/>
        </w:numPr>
      </w:pPr>
      <w:r>
        <w:rPr>
          <w:b/>
          <w:bCs/>
        </w:rPr>
        <w:t xml:space="preserve">Significant data gaps remain open on both properties.</w:t>
      </w:r>
      <w:r>
        <w:t xml:space="preserve"> </w:t>
      </w:r>
      <w:r>
        <w:t xml:space="preserve">For Toledo, 39 years of electroplating hazardous-waste manifests and the seller’s 1961–1990 corporate records are unavailable. For Dayton, the Ohio EPA file review (which may contain the 1981 Central Valley Chemical enforcement file and information on the adjoining Triton Metals facility) had not been received as of the report date and could materially change the findings.</w:t>
      </w:r>
    </w:p>
    <w:p>
      <w:pPr>
        <w:numPr>
          <w:ilvl w:val="0"/>
          <w:numId w:val="1002"/>
        </w:numPr>
      </w:pPr>
      <w:r>
        <w:rPr>
          <w:b/>
          <w:bCs/>
        </w:rPr>
        <w:t xml:space="preserve">Lender and contractual mechanics for the Toledo transaction are tight and conditional.</w:t>
      </w:r>
      <w:r>
        <w:t xml:space="preserve"> </w:t>
      </w:r>
      <w:r>
        <w:t xml:space="preserve">Because RECs are identified, the Lender will not fund on the Phase I ESA alone; a Phase II ESA with best/most-likely/worst-case remediation cost estimates, Pollution Legal Liability insurance (≥ $5,000,000, 10-year term), and possibly an environmental escrow and remediation plan are required, with deliverables due November 30, 2024. The Buyer’s contractual right to terminate on environmental grounds (if remediation costs could exceed $500,000) expires October 31, 2024 — only six days after the Phase I ESA was issued.</w:t>
      </w:r>
    </w:p>
    <w:p>
      <w:pPr>
        <w:pStyle w:val="FirstParagraph"/>
      </w:pPr>
      <w:r>
        <w:t xml:space="preserve">A consolidated, severity-rated issues table appears in Section 9. The most severe issues (rated</w:t>
      </w:r>
      <w:r>
        <w:t xml:space="preserve"> </w:t>
      </w:r>
      <w:r>
        <w:rPr>
          <w:b/>
          <w:bCs/>
        </w:rPr>
        <w:t xml:space="preserve">Critical</w:t>
      </w:r>
      <w:r>
        <w:t xml:space="preserve">) are: the Toledo TCE degreasing REC (T-1); the off-site PCE plume and the consultant’s failure to flag it as a REC (T-3); and, on the Dayton Property, the incompletely closed waste-oil UST (D-3) and the questionable HREC classification of the Central Valley Chemical operations (D-4), each of which is rated</w:t>
      </w:r>
      <w:r>
        <w:t xml:space="preserve"> </w:t>
      </w:r>
      <w:r>
        <w:rPr>
          <w:b/>
          <w:bCs/>
        </w:rPr>
        <w:t xml:space="preserve">High</w:t>
      </w:r>
      <w:r>
        <w:t xml:space="preserve"> </w:t>
      </w:r>
      <w:r>
        <w:t xml:space="preserve">and trending toward Critical pending the Ohio EPA file review.</w:t>
      </w:r>
    </w:p>
    <w:p>
      <w:r>
        <w:pict>
          <v:rect style="width:0;height:1.5pt" o:hralign="center" o:hrstd="t" o:hr="t"/>
        </w:pict>
      </w:r>
    </w:p>
    <w:bookmarkEnd w:id="20"/>
    <w:bookmarkStart w:id="23" w:name="documents-reviewed"/>
    <w:p>
      <w:pPr>
        <w:pStyle w:val="Heading2"/>
      </w:pPr>
      <w:r>
        <w:t xml:space="preserve">2. Documents Reviewed</w:t>
      </w:r>
    </w:p>
    <w:bookmarkStart w:id="21" w:name="Xcc613a4ce905dfc4fd65c66776c871e9b78872e"/>
    <w:p>
      <w:pPr>
        <w:pStyle w:val="Heading3"/>
      </w:pPr>
      <w:r>
        <w:t xml:space="preserve">2.1 Toledo Property (4820 Lakeshore Industrial Drive)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r>
      <w:tr>
        <w:tc>
          <w:tcPr/>
          <w:p>
            <w:pPr>
              <w:pStyle w:val="Compact"/>
              <w:jc w:val="left"/>
            </w:pPr>
            <w:r>
              <w:t xml:space="preserve">Phase I Environmental Site Assessment (ASTM E1527-21)</w:t>
            </w:r>
          </w:p>
        </w:tc>
        <w:tc>
          <w:tcPr/>
          <w:p>
            <w:pPr>
              <w:pStyle w:val="Compact"/>
              <w:jc w:val="left"/>
            </w:pPr>
            <w:r>
              <w:t xml:space="preserve">Greenfield Environmental Consultants Inc. (Lauren Haddad, P.E.)</w:t>
            </w:r>
          </w:p>
        </w:tc>
        <w:tc>
          <w:tcPr/>
          <w:p>
            <w:pPr>
              <w:pStyle w:val="Compact"/>
              <w:jc w:val="left"/>
            </w:pPr>
            <w:r>
              <w:t xml:space="preserve">October 25, 2024</w:t>
            </w:r>
          </w:p>
        </w:tc>
      </w:tr>
      <w:tr>
        <w:tc>
          <w:tcPr/>
          <w:p>
            <w:pPr>
              <w:pStyle w:val="Compact"/>
              <w:jc w:val="left"/>
            </w:pPr>
            <w:r>
              <w:t xml:space="preserve">Asset Purchase Agreement (excerpt: Art. I defs.; §§ 4.12–4.13; § 6.3; §§ 8.1–8.4; Sch. 4.13)</w:t>
            </w:r>
          </w:p>
        </w:tc>
        <w:tc>
          <w:tcPr/>
          <w:p>
            <w:pPr>
              <w:pStyle w:val="Compact"/>
              <w:jc w:val="left"/>
            </w:pPr>
            <w:r>
              <w:t xml:space="preserve">Breckenridge Mfg. Co. / Cornerstone</w:t>
            </w:r>
          </w:p>
        </w:tc>
        <w:tc>
          <w:tcPr/>
          <w:p>
            <w:pPr>
              <w:pStyle w:val="Compact"/>
              <w:jc w:val="left"/>
            </w:pPr>
            <w:r>
              <w:t xml:space="preserve">September 1, 2024</w:t>
            </w:r>
          </w:p>
        </w:tc>
      </w:tr>
      <w:tr>
        <w:tc>
          <w:tcPr/>
          <w:p>
            <w:pPr>
              <w:pStyle w:val="Compact"/>
              <w:jc w:val="left"/>
            </w:pPr>
            <w:r>
              <w:t xml:space="preserve">Environmental Due Diligence Requirements letter</w:t>
            </w:r>
          </w:p>
        </w:tc>
        <w:tc>
          <w:tcPr/>
          <w:p>
            <w:pPr>
              <w:pStyle w:val="Compact"/>
              <w:jc w:val="left"/>
            </w:pPr>
            <w:r>
              <w:t xml:space="preserve">Great Lakes Capital Bank (Janet Pham)</w:t>
            </w:r>
          </w:p>
        </w:tc>
        <w:tc>
          <w:tcPr/>
          <w:p>
            <w:pPr>
              <w:pStyle w:val="Compact"/>
              <w:jc w:val="left"/>
            </w:pPr>
            <w:r>
              <w:t xml:space="preserve">September 10, 2024</w:t>
            </w:r>
          </w:p>
        </w:tc>
      </w:tr>
      <w:tr>
        <w:tc>
          <w:tcPr/>
          <w:p>
            <w:pPr>
              <w:pStyle w:val="Compact"/>
              <w:jc w:val="left"/>
            </w:pPr>
            <w:r>
              <w:t xml:space="preserve">Ohio EPA records-response letter (DERR-NW)</w:t>
            </w:r>
          </w:p>
        </w:tc>
        <w:tc>
          <w:tcPr/>
          <w:p>
            <w:pPr>
              <w:pStyle w:val="Compact"/>
              <w:jc w:val="left"/>
            </w:pPr>
            <w:r>
              <w:t xml:space="preserve">Ohio EPA, Northwest District Office (T. Kessler)</w:t>
            </w:r>
          </w:p>
        </w:tc>
        <w:tc>
          <w:tcPr/>
          <w:p>
            <w:pPr>
              <w:pStyle w:val="Compact"/>
              <w:jc w:val="left"/>
            </w:pPr>
            <w:r>
              <w:t xml:space="preserve">September 28, 2024</w:t>
            </w:r>
          </w:p>
        </w:tc>
      </w:tr>
      <w:tr>
        <w:tc>
          <w:tcPr/>
          <w:p>
            <w:pPr>
              <w:pStyle w:val="Compact"/>
              <w:jc w:val="left"/>
            </w:pPr>
            <w:r>
              <w:t xml:space="preserve">EDR Radius Map Report — database summary (xlsx)</w:t>
            </w:r>
          </w:p>
        </w:tc>
        <w:tc>
          <w:tcPr/>
          <w:p>
            <w:pPr>
              <w:pStyle w:val="Compact"/>
              <w:jc w:val="left"/>
            </w:pPr>
            <w:r>
              <w:t xml:space="preserve">Environmental Data Resources, Inc.</w:t>
            </w:r>
          </w:p>
        </w:tc>
        <w:tc>
          <w:tcPr/>
          <w:p>
            <w:pPr>
              <w:pStyle w:val="Compact"/>
              <w:jc w:val="left"/>
            </w:pPr>
            <w:r>
              <w:t xml:space="preserve">September 15, 2024</w:t>
            </w:r>
          </w:p>
        </w:tc>
      </w:tr>
    </w:tbl>
    <w:bookmarkEnd w:id="21"/>
    <w:bookmarkStart w:id="22" w:name="dayton-property-2850-millrace-road"/>
    <w:p>
      <w:pPr>
        <w:pStyle w:val="Heading3"/>
      </w:pPr>
      <w:r>
        <w:t xml:space="preserve">2.2 Dayton Property (2850 Millrace Road)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r>
      <w:tr>
        <w:tc>
          <w:tcPr/>
          <w:p>
            <w:pPr>
              <w:pStyle w:val="Compact"/>
              <w:jc w:val="left"/>
            </w:pPr>
            <w:r>
              <w:t xml:space="preserve">Phase I Environmental Site Assessment (ASTM E1527-13)</w:t>
            </w:r>
          </w:p>
        </w:tc>
        <w:tc>
          <w:tcPr/>
          <w:p>
            <w:pPr>
              <w:pStyle w:val="Compact"/>
              <w:jc w:val="left"/>
            </w:pPr>
            <w:r>
              <w:t xml:space="preserve">Terravista Environmental Consulting Inc. (Rachel Ostrander, P.G.)</w:t>
            </w:r>
          </w:p>
        </w:tc>
        <w:tc>
          <w:tcPr/>
          <w:p>
            <w:pPr>
              <w:pStyle w:val="Compact"/>
              <w:jc w:val="left"/>
            </w:pPr>
            <w:r>
              <w:t xml:space="preserve">April 18, 2025</w:t>
            </w:r>
          </w:p>
        </w:tc>
      </w:tr>
      <w:tr>
        <w:tc>
          <w:tcPr/>
          <w:p>
            <w:pPr>
              <w:pStyle w:val="Compact"/>
              <w:jc w:val="left"/>
            </w:pPr>
            <w:r>
              <w:t xml:space="preserve">Underground Storage Tank Closure Report (excerpt)</w:t>
            </w:r>
          </w:p>
        </w:tc>
        <w:tc>
          <w:tcPr/>
          <w:p>
            <w:pPr>
              <w:pStyle w:val="Compact"/>
              <w:jc w:val="left"/>
            </w:pPr>
            <w:r>
              <w:t xml:space="preserve">Redland Environmental Services (David Renner, P.E.)</w:t>
            </w:r>
          </w:p>
        </w:tc>
        <w:tc>
          <w:tcPr/>
          <w:p>
            <w:pPr>
              <w:pStyle w:val="Compact"/>
              <w:jc w:val="left"/>
            </w:pPr>
            <w:r>
              <w:t xml:space="preserve">November 12, 2004</w:t>
            </w:r>
          </w:p>
        </w:tc>
      </w:tr>
      <w:tr>
        <w:tc>
          <w:tcPr/>
          <w:p>
            <w:pPr>
              <w:pStyle w:val="Compact"/>
              <w:jc w:val="left"/>
            </w:pPr>
            <w:r>
              <w:t xml:space="preserve">Environmental Database Search Report (summary pages)</w:t>
            </w:r>
          </w:p>
        </w:tc>
        <w:tc>
          <w:tcPr/>
          <w:p>
            <w:pPr>
              <w:pStyle w:val="Compact"/>
              <w:jc w:val="left"/>
            </w:pPr>
            <w:r>
              <w:t xml:space="preserve">GeoSearch Data Systems</w:t>
            </w:r>
          </w:p>
        </w:tc>
        <w:tc>
          <w:tcPr/>
          <w:p>
            <w:pPr>
              <w:pStyle w:val="Compact"/>
              <w:jc w:val="left"/>
            </w:pPr>
            <w:r>
              <w:t xml:space="preserve">March 28, 2025</w:t>
            </w:r>
          </w:p>
        </w:tc>
      </w:tr>
    </w:tbl>
    <w:p>
      <w:pPr>
        <w:pStyle w:val="BlockText"/>
      </w:pPr>
      <w:r>
        <w:rPr>
          <w:b/>
          <w:bCs/>
        </w:rPr>
        <w:t xml:space="preserve">Note on standards.</w:t>
      </w:r>
      <w:r>
        <w:t xml:space="preserve"> </w:t>
      </w:r>
      <w:r>
        <w:t xml:space="preserve">The Toledo Phase I ESA was prepared to ASTM E1527-21 (the current standard) and is within its 180-day shelf life for the December 15, 2024 closing. The Dayton Phase I ESA was prepared to ASTM E1527-13 (the prior standard). E1527-13 remains acceptable for All Appropriate Inquiries (</w:t>
      </w:r>
      <w:r>
        <w:t xml:space="preserve">“</w:t>
      </w:r>
      <w:r>
        <w:t xml:space="preserve">AAI</w:t>
      </w:r>
      <w:r>
        <w:t xml:space="preserve">”</w:t>
      </w:r>
      <w:r>
        <w:t xml:space="preserve">) purposes, but a lender requiring the current standard (as Great Lakes Capital Bank does for the Toledo loan) may require an update. No lender requirements letter was provided for the Dayton Property.</w:t>
      </w:r>
    </w:p>
    <w:p>
      <w:r>
        <w:pict>
          <v:rect style="width:0;height:1.5pt" o:hralign="center" o:hrstd="t" o:hr="t"/>
        </w:pict>
      </w:r>
    </w:p>
    <w:bookmarkEnd w:id="22"/>
    <w:bookmarkEnd w:id="23"/>
    <w:bookmarkStart w:id="24" w:name="severity-rating-framework"/>
    <w:p>
      <w:pPr>
        <w:pStyle w:val="Heading2"/>
      </w:pPr>
      <w:r>
        <w:t xml:space="preserve">3. Severity Rating Framework</w:t>
      </w:r>
    </w:p>
    <w:p>
      <w:pPr>
        <w:pStyle w:val="FirstParagraph"/>
      </w:pPr>
      <w:r>
        <w:t xml:space="preserve">Each issue is assigned one of four severity ratings based on its potential effect on human health and the environment, likely remediation cost and complexity, transactional and lender-funding risk, statutory-liability exposure, and the strength of the supporting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Severe risk with potential to jeopardize the transaction or trigger lender refusal; likely extensive remediation with costs potentially exceeding contractual indemnity caps or lender thresholds; significant CERCLA/statutory liability exposure; or confirmed or strongly indicated releases of highly toxic, persistent contaminants (e.g., chlorinated solvents, hexavalent chromium) with documented subsurface impact, or off-site contamination migrating onto the property at concentrations far exceeding standards.</w:t>
            </w:r>
          </w:p>
        </w:tc>
      </w:tr>
      <w:tr>
        <w:tc>
          <w:tcPr/>
          <w:p>
            <w:pPr>
              <w:pStyle w:val="Compact"/>
              <w:jc w:val="left"/>
            </w:pPr>
            <w:r>
              <w:rPr>
                <w:b/>
                <w:bCs/>
              </w:rPr>
              <w:t xml:space="preserve">High</w:t>
            </w:r>
          </w:p>
        </w:tc>
        <w:tc>
          <w:tcPr/>
          <w:p>
            <w:pPr>
              <w:pStyle w:val="Compact"/>
              <w:jc w:val="left"/>
            </w:pPr>
            <w:r>
              <w:t xml:space="preserve">Recognized environmental conditions requiring Phase II subsurface investigation, with realistic potential for material remediation costs and lender conditional requirements (PLL insurance, escrow, remediation plan); contractual misrepresentations or incomplete seller disclosures; significant unresolved data gaps; or conditions that appear to have been under-classified by the environmental consultant.</w:t>
            </w:r>
          </w:p>
        </w:tc>
      </w:tr>
      <w:tr>
        <w:tc>
          <w:tcPr/>
          <w:p>
            <w:pPr>
              <w:pStyle w:val="Compact"/>
              <w:jc w:val="left"/>
            </w:pPr>
            <w:r>
              <w:rPr>
                <w:b/>
                <w:bCs/>
              </w:rPr>
              <w:t xml:space="preserve">Medium</w:t>
            </w:r>
          </w:p>
        </w:tc>
        <w:tc>
          <w:tcPr/>
          <w:p>
            <w:pPr>
              <w:pStyle w:val="Compact"/>
              <w:jc w:val="left"/>
            </w:pPr>
            <w:r>
              <w:t xml:space="preserve">Conditions warranting further investigation, documentation, or monitoring, but with more manageable risk and likely modest cost; uncertain or incompletely documented historical conditions; moderate data gaps; or non-REC observations that merit follow-up.</w:t>
            </w:r>
          </w:p>
        </w:tc>
      </w:tr>
      <w:tr>
        <w:tc>
          <w:tcPr/>
          <w:p>
            <w:pPr>
              <w:pStyle w:val="Compact"/>
              <w:jc w:val="left"/>
            </w:pPr>
            <w:r>
              <w:rPr>
                <w:b/>
                <w:bCs/>
              </w:rPr>
              <w:t xml:space="preserve">Low</w:t>
            </w:r>
          </w:p>
        </w:tc>
        <w:tc>
          <w:tcPr/>
          <w:p>
            <w:pPr>
              <w:pStyle w:val="Compact"/>
              <w:jc w:val="left"/>
            </w:pPr>
            <w:r>
              <w:t xml:space="preserve">De minimis conditions; historical conditions with solid regulatory closure; non-scope items (e.g., asbestos/lead-based paint); minor data gaps; informational items; or closed off-site cases.</w:t>
            </w:r>
          </w:p>
        </w:tc>
      </w:tr>
    </w:tbl>
    <w:p>
      <w:r>
        <w:pict>
          <v:rect style="width:0;height:1.5pt" o:hralign="center" o:hrstd="t" o:hr="t"/>
        </w:pict>
      </w:r>
    </w:p>
    <w:bookmarkEnd w:id="24"/>
    <w:bookmarkStart w:id="30" w:name="toledo-property-issues"/>
    <w:p>
      <w:pPr>
        <w:pStyle w:val="Heading2"/>
      </w:pPr>
      <w:r>
        <w:t xml:space="preserve">4. Toledo Property — Issues</w:t>
      </w:r>
    </w:p>
    <w:bookmarkStart w:id="25" w:name="X86ea24416d17f6d36d26232da414f05180dbeaf"/>
    <w:p>
      <w:pPr>
        <w:pStyle w:val="Heading3"/>
      </w:pPr>
      <w:r>
        <w:t xml:space="preserve">4.1 Recognized Environmental Conditions (on-site)</w:t>
      </w:r>
    </w:p>
    <w:p>
      <w:pPr>
        <w:pStyle w:val="FirstParagraph"/>
      </w:pPr>
      <w:r>
        <w:rPr>
          <w:b/>
          <w:bCs/>
        </w:rPr>
        <w:t xml:space="preserve">T-1. Former TCE vapor-degreasing operations, abandoned waste-TCE drum, and 1988 solvent spill — Severity: CRITICAL.</w:t>
      </w:r>
    </w:p>
    <w:p>
      <w:pPr>
        <w:pStyle w:val="BodyText"/>
      </w:pPr>
      <w:r>
        <w:t xml:space="preserve">TCE — a probable human carcinogen and one of the more difficult and costly chlorinated solvents to remediate — was used as a vapor-degreasing solvent in the northwest corner of the main manufacturing building from 1961 through approximately 1992 (approximately 31 years). The Phase I ESA documents: (i) visible floor-slab and wall staining in the former degreasing area; (ii) an elevated PID reading of</w:t>
      </w:r>
      <w:r>
        <w:t xml:space="preserve"> </w:t>
      </w:r>
      <w:r>
        <w:rPr>
          <w:b/>
          <w:bCs/>
        </w:rPr>
        <w:t xml:space="preserve">42.3 ppm</w:t>
      </w:r>
      <w:r>
        <w:t xml:space="preserve"> </w:t>
      </w:r>
      <w:r>
        <w:t xml:space="preserve">at a floor-slab crack (background readings elsewhere were &lt; 0.5 ppm), indicating residual VOC vapors emanating from beneath the slab; (iii)</w:t>
      </w:r>
      <w:r>
        <w:t xml:space="preserve"> </w:t>
      </w:r>
      <w:r>
        <w:rPr>
          <w:b/>
          <w:bCs/>
        </w:rPr>
        <w:t xml:space="preserve">no closure documentation, decommissioning records, or confirmation sampling</w:t>
      </w:r>
      <w:r>
        <w:t xml:space="preserve"> </w:t>
      </w:r>
      <w:r>
        <w:t xml:space="preserve">for the degreasing area following the cessation of TCE use; (iv) an</w:t>
      </w:r>
      <w:r>
        <w:t xml:space="preserve"> </w:t>
      </w:r>
      <w:r>
        <w:rPr>
          <w:b/>
          <w:bCs/>
        </w:rPr>
        <w:t xml:space="preserve">abandoned 55-gallon drum labeled</w:t>
      </w:r>
      <w:r>
        <w:rPr>
          <w:b/>
          <w:bCs/>
        </w:rPr>
        <w:t xml:space="preserve"> </w:t>
      </w:r>
      <w:r>
        <w:rPr>
          <w:b/>
          <w:bCs/>
        </w:rPr>
        <w:t xml:space="preserve">“</w:t>
      </w:r>
      <w:r>
        <w:rPr>
          <w:b/>
          <w:bCs/>
        </w:rPr>
        <w:t xml:space="preserve">WASTE TRICHLOROETHYLENE</w:t>
      </w:r>
      <w:r>
        <w:rPr>
          <w:b/>
          <w:bCs/>
        </w:rPr>
        <w:t xml:space="preserve">”</w:t>
      </w:r>
      <w:r>
        <w:t xml:space="preserve"> </w:t>
      </w:r>
      <w:r>
        <w:t xml:space="preserve">behind the maintenance building, approximately half full, with a rusted bottom and evidence of past leakage, and approximately 3 ft × 3 ft of stained, vegetation-free soil beneath it; and (v) a</w:t>
      </w:r>
      <w:r>
        <w:t xml:space="preserve"> </w:t>
      </w:r>
      <w:r>
        <w:rPr>
          <w:b/>
          <w:bCs/>
        </w:rPr>
        <w:t xml:space="preserve">1988 chemical spill</w:t>
      </w:r>
      <w:r>
        <w:t xml:space="preserve"> </w:t>
      </w:r>
      <w:r>
        <w:t xml:space="preserve">of</w:t>
      </w:r>
      <w:r>
        <w:t xml:space="preserve"> </w:t>
      </w:r>
      <w:r>
        <w:t xml:space="preserve">“</w:t>
      </w:r>
      <w:r>
        <w:t xml:space="preserve">unknown quantity of degreasing solvent</w:t>
      </w:r>
      <w:r>
        <w:t xml:space="preserve">”</w:t>
      </w:r>
      <w:r>
        <w:t xml:space="preserve"> </w:t>
      </w:r>
      <w:r>
        <w:t xml:space="preserve">from an overturned drum, documented by the Toledo Fire Department, cleaned up by Breckenridge employees with no follow-up environmental inspection.</w:t>
      </w:r>
    </w:p>
    <w:p>
      <w:pPr>
        <w:pStyle w:val="BodyText"/>
      </w:pPr>
      <w:r>
        <w:t xml:space="preserve">The combination of three decades of TCE use, an elevated subsurface vapor indicator, an actively leaking waste drum, a documented historical spill, and the total absence of closure characterization indicates a likely release of chlorinated solvents to soil and potentially to groundwater, with a corresponding vapor-intrusion risk for any occupied structure. Chlorinated-solvent groundwater plumes routinely generate remediation costs well above the contractual $500,000 termination threshold and the $1,750,000 indemnity cap. This is the most serious on-site condition at either property.</w:t>
      </w:r>
    </w:p>
    <w:p>
      <w:pPr>
        <w:pStyle w:val="BodyText"/>
      </w:pPr>
      <w:r>
        <w:rPr>
          <w:b/>
          <w:bCs/>
        </w:rPr>
        <w:t xml:space="preserve">T-2. Former hexavalent-chromium / nickel electroplating operations — Severity: HIGH.</w:t>
      </w:r>
    </w:p>
    <w:p>
      <w:pPr>
        <w:pStyle w:val="BodyText"/>
      </w:pPr>
      <w:r>
        <w:t xml:space="preserve">Electroplating using hexavalent chromium and nickel was conducted in the south wing of the main building from 1965 through 2004 (approximately 39 years). The Phase I ESA documents prominent blue-green staining on floors and walls consistent with chromium residues, concrete pitting/etching from prolonged acid/alkali exposure, and an in-ground sump containing approximately four inches of liquid with a visible iridescent sheen. Hazardous-waste disposal documentation exists</w:t>
      </w:r>
      <w:r>
        <w:t xml:space="preserve"> </w:t>
      </w:r>
      <w:r>
        <w:rPr>
          <w:b/>
          <w:bCs/>
        </w:rPr>
        <w:t xml:space="preserve">only for 2004</w:t>
      </w:r>
      <w:r>
        <w:t xml:space="preserve"> </w:t>
      </w:r>
      <w:r>
        <w:t xml:space="preserve">(six manifests, 14,200 lbs, RCRA codes D007 and F006);</w:t>
      </w:r>
      <w:r>
        <w:t xml:space="preserve"> </w:t>
      </w:r>
      <w:r>
        <w:rPr>
          <w:b/>
          <w:bCs/>
        </w:rPr>
        <w:t xml:space="preserve">no manifests exist for the preceding 39 years (1965–2003)</w:t>
      </w:r>
      <w:r>
        <w:t xml:space="preserve">, a gap confirmed independently by the Ohio EPA records response. A 2003 Ohio EPA compliance inspection documented improper hazardous-waste storage — specifically, multiple rusted and leaking 55-gallon drums of electroplating sludge and spent chromium-bearing wastewater in an outdoor storage area with ground staining — resulting in a Notice of Violation (File No. NW-2003-0471) resolved by consent order. Hexavalent chromium is a known human carcinogen; the near-total absence of disposal records, the documented regulatory violation, the visible contamination, and the sump liquid collectively indicate a likely release of chromium-bearing wastes to the subsurface.</w:t>
      </w:r>
    </w:p>
    <w:bookmarkEnd w:id="25"/>
    <w:bookmarkStart w:id="26" w:name="off-site-condition"/>
    <w:p>
      <w:pPr>
        <w:pStyle w:val="Heading3"/>
      </w:pPr>
      <w:r>
        <w:t xml:space="preserve">4.2 Off-site condition</w:t>
      </w:r>
    </w:p>
    <w:p>
      <w:pPr>
        <w:pStyle w:val="FirstParagraph"/>
      </w:pPr>
      <w:r>
        <w:rPr>
          <w:b/>
          <w:bCs/>
        </w:rPr>
        <w:t xml:space="preserve">T-3. Upgradient PCE groundwater plume from the former Lake Erie Dry Cleaning facility — Severity: CRITICAL.</w:t>
      </w:r>
    </w:p>
    <w:p>
      <w:pPr>
        <w:pStyle w:val="BodyText"/>
      </w:pPr>
      <w:r>
        <w:t xml:space="preserve">The former Lake Erie Dry Cleaning facility at 4900 Lakeshore Industrial Drive, located approximately 120 feet north of and hydraulically upgradient from the Toledo Property, is a confirmed Ohio EPA release site (VAP ID NW-0923) with a documented PCE groundwater plume. A 2014 investigation reported PCE at</w:t>
      </w:r>
      <w:r>
        <w:t xml:space="preserve"> </w:t>
      </w:r>
      <w:r>
        <w:rPr>
          <w:b/>
          <w:bCs/>
        </w:rPr>
        <w:t xml:space="preserve">87 µg/L</w:t>
      </w:r>
      <w:r>
        <w:t xml:space="preserve"> </w:t>
      </w:r>
      <w:r>
        <w:t xml:space="preserve">at monitoring well MW-7 (approximately 120 feet north of the property boundary) — approximately</w:t>
      </w:r>
      <w:r>
        <w:t xml:space="preserve"> </w:t>
      </w:r>
      <w:r>
        <w:rPr>
          <w:b/>
          <w:bCs/>
        </w:rPr>
        <w:t xml:space="preserve">17.4 times</w:t>
      </w:r>
      <w:r>
        <w:t xml:space="preserve"> </w:t>
      </w:r>
      <w:r>
        <w:t xml:space="preserve">the Ohio generic groundwater standard of 5 µg/L — with plume migration to the south-southeast, i.e., toward the Toledo Property. The Toledo Property lies within a state-designated</w:t>
      </w:r>
      <w:r>
        <w:t xml:space="preserve"> </w:t>
      </w:r>
      <w:r>
        <w:rPr>
          <w:b/>
          <w:bCs/>
        </w:rPr>
        <w:t xml:space="preserve">Groundwater Management Zone</w:t>
      </w:r>
      <w:r>
        <w:t xml:space="preserve"> </w:t>
      </w:r>
      <w:r>
        <w:t xml:space="preserve">established for this plume. A 2018 VAP Covenant Not to Sue and an environmental covenant apply</w:t>
      </w:r>
      <w:r>
        <w:t xml:space="preserve"> </w:t>
      </w:r>
      <w:r>
        <w:rPr>
          <w:b/>
          <w:bCs/>
        </w:rPr>
        <w:t xml:space="preserve">only to the dry-cleaner parcel</w:t>
      </w:r>
      <w:r>
        <w:t xml:space="preserve"> </w:t>
      </w:r>
      <w:r>
        <w:t xml:space="preserve">and do not address off-site migration. To Ohio EPA’s knowledge,</w:t>
      </w:r>
      <w:r>
        <w:t xml:space="preserve"> </w:t>
      </w:r>
      <w:r>
        <w:rPr>
          <w:b/>
          <w:bCs/>
        </w:rPr>
        <w:t xml:space="preserve">no investigation of PCE in groundwater beneath the Toledo Property has been conducted</w:t>
      </w:r>
      <w:r>
        <w:t xml:space="preserve">, and the plume’s lateral and vertical extent beneath the Property is undelineated.</w:t>
      </w:r>
    </w:p>
    <w:p>
      <w:pPr>
        <w:pStyle w:val="BodyText"/>
      </w:pPr>
      <w:r>
        <w:t xml:space="preserve">Two features elevate this issue beyond an ordinary off-site concern. First, the Lender’s requirements letter (Section 2) expressly requires the Phase I ESA to</w:t>
      </w:r>
      <w:r>
        <w:t xml:space="preserve"> </w:t>
      </w:r>
      <w:r>
        <w:t xml:space="preserve">“</w:t>
      </w:r>
      <w:r>
        <w:t xml:space="preserve">evaluate off-site sources of contamination that may be migrating onto or otherwise affecting the subject Property</w:t>
      </w:r>
      <w:r>
        <w:t xml:space="preserve">”</w:t>
      </w:r>
      <w:r>
        <w:t xml:space="preserve"> </w:t>
      </w:r>
      <w:r>
        <w:t xml:space="preserve">and states that</w:t>
      </w:r>
      <w:r>
        <w:t xml:space="preserve"> </w:t>
      </w:r>
      <w:r>
        <w:t xml:space="preserve">“</w:t>
      </w:r>
      <w:r>
        <w:t xml:space="preserve">any such conditions must be identified as recognized environmental conditions.</w:t>
      </w:r>
      <w:r>
        <w:t xml:space="preserve">”</w:t>
      </w:r>
      <w:r>
        <w:t xml:space="preserve"> </w:t>
      </w:r>
      <w:r>
        <w:t xml:space="preserve">The Greenfield Phase I ESA discusses the plume in its database section but</w:t>
      </w:r>
      <w:r>
        <w:t xml:space="preserve"> </w:t>
      </w:r>
      <w:r>
        <w:rPr>
          <w:b/>
          <w:bCs/>
        </w:rPr>
        <w:t xml:space="preserve">does not classify it as a REC</w:t>
      </w:r>
      <w:r>
        <w:t xml:space="preserve"> </w:t>
      </w:r>
      <w:r>
        <w:t xml:space="preserve">for the Toledo Property. This is both a material environmental risk (a carcinogenic solvent plume at 17× the standard migrating onto the collateral) and a</w:t>
      </w:r>
      <w:r>
        <w:t xml:space="preserve"> </w:t>
      </w:r>
      <w:r>
        <w:rPr>
          <w:b/>
          <w:bCs/>
        </w:rPr>
        <w:t xml:space="preserve">lender-compliance deficiency</w:t>
      </w:r>
      <w:r>
        <w:t xml:space="preserve"> </w:t>
      </w:r>
      <w:r>
        <w:t xml:space="preserve">that the Lender’s environmental counsel is likely to flag. Second, the plume creates a vapor-intrusion risk for any occupied building on the Property, triggering the Lender’s mandatory vapor-intrusion assessment requirement (Section 3.B.5 of the Lender letter).</w:t>
      </w:r>
    </w:p>
    <w:bookmarkEnd w:id="26"/>
    <w:bookmarkStart w:id="27" w:name="under-classified-undocumented-usts"/>
    <w:p>
      <w:pPr>
        <w:pStyle w:val="Heading3"/>
      </w:pPr>
      <w:r>
        <w:t xml:space="preserve">4.3 Under-classified / undocumented USTs</w:t>
      </w:r>
    </w:p>
    <w:p>
      <w:pPr>
        <w:pStyle w:val="FirstParagraph"/>
      </w:pPr>
      <w:r>
        <w:rPr>
          <w:b/>
          <w:bCs/>
        </w:rPr>
        <w:t xml:space="preserve">T-4. 2,000-gallon waste-solvent UST (per 1987 Sanborn map) — Severity: HIGH.</w:t>
      </w:r>
    </w:p>
    <w:p>
      <w:pPr>
        <w:pStyle w:val="BodyText"/>
      </w:pPr>
      <w:r>
        <w:t xml:space="preserve">The 1987 Sanborn fire-insurance map depicts a 2,000-gallon waste-solvent UST on the east side of the Property, in the general vicinity of the former outdoor drum-storage area. The Ohio EPA/BUSTR records response and the EDR database summary both confirm that</w:t>
      </w:r>
      <w:r>
        <w:t xml:space="preserve"> </w:t>
      </w:r>
      <w:r>
        <w:rPr>
          <w:b/>
          <w:bCs/>
        </w:rPr>
        <w:t xml:space="preserve">no registration, installation, closure, or removal records exist</w:t>
      </w:r>
      <w:r>
        <w:t xml:space="preserve"> </w:t>
      </w:r>
      <w:r>
        <w:t xml:space="preserve">for this tank; the EDR summary expressly notes the tank</w:t>
      </w:r>
      <w:r>
        <w:t xml:space="preserve"> </w:t>
      </w:r>
      <w:r>
        <w:t xml:space="preserve">“</w:t>
      </w:r>
      <w:r>
        <w:t xml:space="preserve">may remain in place.</w:t>
      </w:r>
      <w:r>
        <w:t xml:space="preserve">”</w:t>
      </w:r>
      <w:r>
        <w:t xml:space="preserve"> </w:t>
      </w:r>
      <w:r>
        <w:t xml:space="preserve">No surface evidence (fill/vent pipes) was observed during reconnaissance. Given the Property’s 31-year TCE-degreasing history, a</w:t>
      </w:r>
      <w:r>
        <w:t xml:space="preserve"> </w:t>
      </w:r>
      <w:r>
        <w:t xml:space="preserve">“</w:t>
      </w:r>
      <w:r>
        <w:t xml:space="preserve">waste solvent</w:t>
      </w:r>
      <w:r>
        <w:t xml:space="preserve">”</w:t>
      </w:r>
      <w:r>
        <w:t xml:space="preserve"> </w:t>
      </w:r>
      <w:r>
        <w:t xml:space="preserve">UST of this size plausibly contained chlorinated solvents. An unregistered, undocumented UST that may still be in place is a material concern that the Phase I ESA mentions but does not classify as a REC; in our judgment this is under-classified.</w:t>
      </w:r>
    </w:p>
    <w:p>
      <w:pPr>
        <w:pStyle w:val="BodyText"/>
      </w:pPr>
      <w:r>
        <w:rPr>
          <w:b/>
          <w:bCs/>
        </w:rPr>
        <w:t xml:space="preserve">T-5. Former outdoor drum-storage area (east side) — Severity: HIGH.</w:t>
      </w:r>
    </w:p>
    <w:p>
      <w:pPr>
        <w:pStyle w:val="BodyText"/>
      </w:pPr>
      <w:r>
        <w:t xml:space="preserve">An approximately 40 ft × 60 ft area on the east side, delineated by deteriorating concrete curbing, exhibits stressed/sparse vegetation relative to surrounding grass and corresponds to drum/container storage visible in the 1990 and 2000 aerial photographs. The owner acknowledged that</w:t>
      </w:r>
      <w:r>
        <w:t xml:space="preserve"> </w:t>
      </w:r>
      <w:r>
        <w:t xml:space="preserve">“</w:t>
      </w:r>
      <w:r>
        <w:t xml:space="preserve">we used to keep drums out there before the EPA came around.</w:t>
      </w:r>
      <w:r>
        <w:t xml:space="preserve">”</w:t>
      </w:r>
      <w:r>
        <w:t xml:space="preserve"> </w:t>
      </w:r>
      <w:r>
        <w:t xml:space="preserve">This area is the same outdoor storage area cited in the 2003 Ohio EPA NOV for leaking drums of electroplating sludge and spent chromium-bearing wastewater with ground staining. The stressed vegetation is a physical indicator of possible residual soil contamination. Although the Phase I ESA folds this area into the REC-2 narrative, it warrants distinct Phase II soil sampling.</w:t>
      </w:r>
    </w:p>
    <w:bookmarkEnd w:id="27"/>
    <w:bookmarkStart w:id="28" w:name="contractual-seller-representation-issues"/>
    <w:p>
      <w:pPr>
        <w:pStyle w:val="Heading3"/>
      </w:pPr>
      <w:r>
        <w:t xml:space="preserve">4.4 Contractual / seller-representation issues</w:t>
      </w:r>
    </w:p>
    <w:p>
      <w:pPr>
        <w:pStyle w:val="FirstParagraph"/>
      </w:pPr>
      <w:r>
        <w:rPr>
          <w:b/>
          <w:bCs/>
        </w:rPr>
        <w:t xml:space="preserve">T-6. Breach / inaccuracy of § 4.13 UST representation (Schedule 4.13 incomplete) — Severity: HIGH.</w:t>
      </w:r>
    </w:p>
    <w:p>
      <w:pPr>
        <w:pStyle w:val="BodyText"/>
      </w:pPr>
      <w:r>
        <w:t xml:space="preserve">Section 4.13(a) represents that Schedule 4.13 is a</w:t>
      </w:r>
      <w:r>
        <w:t xml:space="preserve"> </w:t>
      </w:r>
      <w:r>
        <w:t xml:space="preserve">“</w:t>
      </w:r>
      <w:r>
        <w:t xml:space="preserve">true, correct, and complete list of all Underground Storage Tanks that are or have been located on the Property.</w:t>
      </w:r>
      <w:r>
        <w:t xml:space="preserve">”</w:t>
      </w:r>
      <w:r>
        <w:t xml:space="preserve"> </w:t>
      </w:r>
      <w:r>
        <w:t xml:space="preserve">Schedule 4.13 lists</w:t>
      </w:r>
      <w:r>
        <w:t xml:space="preserve"> </w:t>
      </w:r>
      <w:r>
        <w:rPr>
          <w:b/>
          <w:bCs/>
        </w:rPr>
        <w:t xml:space="preserve">only</w:t>
      </w:r>
      <w:r>
        <w:t xml:space="preserve"> </w:t>
      </w:r>
      <w:r>
        <w:t xml:space="preserve">the active 10,000-gallon diesel UST (Facility ID 48-22-10-0087). It omits the 2,000-gallon waste-solvent UST and the 500-gallon heating-oil UST, both of which are documented on Sanborn maps and confirmed by Ohio EPA/BUSTR to have no registration or closure records. The representation and the accompanying</w:t>
      </w:r>
      <w:r>
        <w:t xml:space="preserve"> </w:t>
      </w:r>
      <w:r>
        <w:t xml:space="preserve">“</w:t>
      </w:r>
      <w:r>
        <w:t xml:space="preserve">no releases from any UST</w:t>
      </w:r>
      <w:r>
        <w:t xml:space="preserve">”</w:t>
      </w:r>
      <w:r>
        <w:t xml:space="preserve"> </w:t>
      </w:r>
      <w:r>
        <w:t xml:space="preserve">representation (§ 4.13(b)) therefore appear inaccurate as to historical USTs. This is a potential breach survivable for three years post-closing and, if the tanks are found to have released, supports an indemnity claim (subject to the $87,500 basket for rep breaches and the $1,750,000 cap).</w:t>
      </w:r>
    </w:p>
    <w:p>
      <w:pPr>
        <w:pStyle w:val="BodyText"/>
      </w:pPr>
      <w:r>
        <w:rPr>
          <w:b/>
          <w:bCs/>
        </w:rPr>
        <w:t xml:space="preserve">T-7. Breach / inaccuracy of § 4.12 environmental representations — Severity: HIGH.</w:t>
      </w:r>
    </w:p>
    <w:p>
      <w:pPr>
        <w:pStyle w:val="BodyText"/>
      </w:pPr>
      <w:r>
        <w:t xml:space="preserve">Section 4.12(a) represents that, to the seller’s knowledge, there has been</w:t>
      </w:r>
      <w:r>
        <w:t xml:space="preserve"> </w:t>
      </w:r>
      <w:r>
        <w:t xml:space="preserve">“</w:t>
      </w:r>
      <w:r>
        <w:t xml:space="preserve">no Release</w:t>
      </w:r>
      <w:r>
        <w:t xml:space="preserve">”</w:t>
      </w:r>
      <w:r>
        <w:t xml:space="preserve"> </w:t>
      </w:r>
      <w:r>
        <w:t xml:space="preserve">of hazardous substances and Schedule 4.12(a) is</w:t>
      </w:r>
      <w:r>
        <w:t xml:space="preserve"> </w:t>
      </w:r>
      <w:r>
        <w:t xml:space="preserve">“</w:t>
      </w:r>
      <w:r>
        <w:t xml:space="preserve">None</w:t>
      </w:r>
      <w:r>
        <w:t xml:space="preserve">”</w:t>
      </w:r>
      <w:r>
        <w:t xml:space="preserve">; § 4.12(c) represents that the seller has received</w:t>
      </w:r>
      <w:r>
        <w:t xml:space="preserve"> </w:t>
      </w:r>
      <w:r>
        <w:t xml:space="preserve">“</w:t>
      </w:r>
      <w:r>
        <w:t xml:space="preserve">no Environmental Notice</w:t>
      </w:r>
      <w:r>
        <w:t xml:space="preserve">”</w:t>
      </w:r>
      <w:r>
        <w:t xml:space="preserve"> </w:t>
      </w:r>
      <w:r>
        <w:t xml:space="preserve">and Schedule 4.12(c) is</w:t>
      </w:r>
      <w:r>
        <w:t xml:space="preserve"> </w:t>
      </w:r>
      <w:r>
        <w:t xml:space="preserve">“</w:t>
      </w:r>
      <w:r>
        <w:t xml:space="preserve">None.</w:t>
      </w:r>
      <w:r>
        <w:t xml:space="preserve">”</w:t>
      </w:r>
      <w:r>
        <w:t xml:space="preserve"> </w:t>
      </w:r>
      <w:r>
        <w:t xml:space="preserve">The documentary record contradicts both: the 1988 degreasing-solvent spill (Toledo Fire Department incident report) is a release, and the 2003 Ohio EPA Notice of Violation (File No. NW-2003-0471) is an Environmental Notice. The seller’s interview statements that he was</w:t>
      </w:r>
      <w:r>
        <w:t xml:space="preserve"> </w:t>
      </w:r>
      <w:r>
        <w:t xml:space="preserve">“</w:t>
      </w:r>
      <w:r>
        <w:t xml:space="preserve">not aware of any spills</w:t>
      </w:r>
      <w:r>
        <w:t xml:space="preserve">”</w:t>
      </w:r>
      <w:r>
        <w:t xml:space="preserve"> </w:t>
      </w:r>
      <w:r>
        <w:t xml:space="preserve">and that the NOV was</w:t>
      </w:r>
      <w:r>
        <w:t xml:space="preserve"> </w:t>
      </w:r>
      <w:r>
        <w:t xml:space="preserve">“</w:t>
      </w:r>
      <w:r>
        <w:t xml:space="preserve">resolved years ago</w:t>
      </w:r>
      <w:r>
        <w:t xml:space="preserve">”</w:t>
      </w:r>
      <w:r>
        <w:t xml:space="preserve"> </w:t>
      </w:r>
      <w:r>
        <w:t xml:space="preserve">are inconsistent with the records. These are potential breaches of § 4.12. Note that the § 4.12 representations are qualified by</w:t>
      </w:r>
      <w:r>
        <w:t xml:space="preserve"> </w:t>
      </w:r>
      <w:r>
        <w:t xml:space="preserve">“</w:t>
      </w:r>
      <w:r>
        <w:t xml:space="preserve">to Seller’s knowledge,</w:t>
      </w:r>
      <w:r>
        <w:t xml:space="preserve">”</w:t>
      </w:r>
      <w:r>
        <w:t xml:space="preserve"> </w:t>
      </w:r>
      <w:r>
        <w:t xml:space="preserve">which may limit the breach theory, but the 2003 NOV was addressed to the seller directly, making a</w:t>
      </w:r>
      <w:r>
        <w:t xml:space="preserve"> </w:t>
      </w:r>
      <w:r>
        <w:t xml:space="preserve">“</w:t>
      </w:r>
      <w:r>
        <w:t xml:space="preserve">no knowledge</w:t>
      </w:r>
      <w:r>
        <w:t xml:space="preserve">”</w:t>
      </w:r>
      <w:r>
        <w:t xml:space="preserve"> </w:t>
      </w:r>
      <w:r>
        <w:t xml:space="preserve">defense difficult for that item.</w:t>
      </w:r>
    </w:p>
    <w:bookmarkEnd w:id="28"/>
    <w:bookmarkStart w:id="29" w:name="additional-findings-and-data-gaps-toledo"/>
    <w:p>
      <w:pPr>
        <w:pStyle w:val="Heading3"/>
      </w:pPr>
      <w:r>
        <w:t xml:space="preserve">4.5 Additional findings and data gaps (Toledo)</w:t>
      </w:r>
    </w:p>
    <w:p>
      <w:pPr>
        <w:pStyle w:val="FirstParagraph"/>
      </w:pPr>
      <w:r>
        <w:rPr>
          <w:b/>
          <w:bCs/>
        </w:rPr>
        <w:t xml:space="preserve">T-8. Unexplained monitoring well MW-1 — Severity: MEDIUM.</w:t>
      </w:r>
      <w:r>
        <w:t xml:space="preserve"> </w:t>
      </w:r>
      <w:r>
        <w:t xml:space="preserve">A flush-mounted monitoring well labeled</w:t>
      </w:r>
      <w:r>
        <w:t xml:space="preserve"> </w:t>
      </w:r>
      <w:r>
        <w:t xml:space="preserve">“</w:t>
      </w:r>
      <w:r>
        <w:t xml:space="preserve">MW-1</w:t>
      </w:r>
      <w:r>
        <w:t xml:space="preserve">”</w:t>
      </w:r>
      <w:r>
        <w:t xml:space="preserve"> </w:t>
      </w:r>
      <w:r>
        <w:t xml:space="preserve">near the northeast property boundary is damaged and in disrepair; the owner does not know who installed it, when, or why, and no installation logs or analytical data were located. An unexplained monitoring well suggests a prior environmental investigation that was not disclosed, and its proximity to the upgradient PCE plume is noteworthy. The well should be located in Ohio EPA/BUSTR or local files and, if possible, its construction and any historical analytical data obtained.</w:t>
      </w:r>
    </w:p>
    <w:p>
      <w:pPr>
        <w:pStyle w:val="BodyText"/>
      </w:pPr>
      <w:r>
        <w:rPr>
          <w:b/>
          <w:bCs/>
        </w:rPr>
        <w:t xml:space="preserve">T-9. 500-gallon Halstead farmhouse heating-oil UST (HREC-1) — Severity: LOW.</w:t>
      </w:r>
      <w:r>
        <w:t xml:space="preserve"> </w:t>
      </w:r>
      <w:r>
        <w:t xml:space="preserve">The 1948 and 1955 Sanborn maps show a 500-gallon heating-oil UST serving the Halstead farmhouse (demolished 1961). The Phase I ESA classifies this as an HREC, presuming removal with the farmhouse. No closure documentation exists and the tank is not in the BUSTR database; the EDR summary notes it</w:t>
      </w:r>
      <w:r>
        <w:t xml:space="preserve"> </w:t>
      </w:r>
      <w:r>
        <w:t xml:space="preserve">“</w:t>
      </w:r>
      <w:r>
        <w:t xml:space="preserve">may remain in place beneath current pavement/fill.</w:t>
      </w:r>
      <w:r>
        <w:t xml:space="preserve">”</w:t>
      </w:r>
      <w:r>
        <w:t xml:space="preserve"> </w:t>
      </w:r>
      <w:r>
        <w:t xml:space="preserve">The risk is low given the small tank size and 60+ year age, but the uncertainty should be resolved (geophysical survey) if the northwest area is to be redeveloped.</w:t>
      </w:r>
    </w:p>
    <w:p>
      <w:pPr>
        <w:pStyle w:val="BodyText"/>
      </w:pPr>
      <w:r>
        <w:rPr>
          <w:b/>
          <w:bCs/>
        </w:rPr>
        <w:t xml:space="preserve">T-10. Data gap — hazardous-waste disposal records, 1965–2003 — Severity: MEDIUM.</w:t>
      </w:r>
      <w:r>
        <w:t xml:space="preserve"> </w:t>
      </w:r>
      <w:r>
        <w:t xml:space="preserve">Only 2004 manifests exist for 39 years of electroplating. This data gap amplifies the REC-2 concern (it is impossible to verify how chromium-bearing wastes were managed for most of the operating history) and limits the ability to bound potential subsurface impacts.</w:t>
      </w:r>
    </w:p>
    <w:p>
      <w:pPr>
        <w:pStyle w:val="BodyText"/>
      </w:pPr>
      <w:r>
        <w:rPr>
          <w:b/>
          <w:bCs/>
        </w:rPr>
        <w:t xml:space="preserve">T-11. Data gap — corporate records, 1961–1990 — Severity: MEDIUM.</w:t>
      </w:r>
      <w:r>
        <w:t xml:space="preserve"> </w:t>
      </w:r>
      <w:r>
        <w:t xml:space="preserve">The seller declined to produce operating, environmental, and waste-disposal records for 1961–1990, stating they are</w:t>
      </w:r>
      <w:r>
        <w:t xml:space="preserve"> </w:t>
      </w:r>
      <w:r>
        <w:t xml:space="preserve">“</w:t>
      </w:r>
      <w:r>
        <w:t xml:space="preserve">in storage.</w:t>
      </w:r>
      <w:r>
        <w:t xml:space="preserve">”</w:t>
      </w:r>
      <w:r>
        <w:t xml:space="preserve"> </w:t>
      </w:r>
      <w:r>
        <w:t xml:space="preserve">This limits historical characterization and should be pursued in diligence, particularly given the seller’s otherwise incomplete document production.</w:t>
      </w:r>
    </w:p>
    <w:p>
      <w:pPr>
        <w:pStyle w:val="BodyText"/>
      </w:pPr>
      <w:r>
        <w:rPr>
          <w:b/>
          <w:bCs/>
        </w:rPr>
        <w:t xml:space="preserve">T-12. Vapor-intrusion risk (TCE and PCE) — Severity: HIGH.</w:t>
      </w:r>
      <w:r>
        <w:t xml:space="preserve"> </w:t>
      </w:r>
      <w:r>
        <w:t xml:space="preserve">Both the on-site TCE condition (T-1) and the off-site PCE plume (T-3) generate vapor-intrusion risk for occupied or occupiable structures. The Lender requires a vapor-intrusion assessment (and, if warranted, a mitigation plan implemented at or before closing) wherever VOCs are present in soil or groundwater. This is a near-certain Phase II deliverable.</w:t>
      </w:r>
    </w:p>
    <w:p>
      <w:pPr>
        <w:pStyle w:val="BodyText"/>
      </w:pPr>
      <w:r>
        <w:rPr>
          <w:b/>
          <w:bCs/>
        </w:rPr>
        <w:t xml:space="preserve">T-13. Lender-compliance deficiency — off-site PCE plume not flagged as a REC — Severity: HIGH.</w:t>
      </w:r>
      <w:r>
        <w:t xml:space="preserve"> </w:t>
      </w:r>
      <w:r>
        <w:t xml:space="preserve">As noted in T-3, the Lender expressly required migrating off-site plumes to be identified as RECs, and the consultant did not do so. The Lender’s environmental counsel will independently review the Phase I ESA for AAI compliance and is likely to require a corrected or supplemented assessment. This should be addressed proactively with Greenfield before the Lender’s review.</w:t>
      </w:r>
    </w:p>
    <w:p>
      <w:pPr>
        <w:pStyle w:val="BodyText"/>
      </w:pPr>
      <w:r>
        <w:rPr>
          <w:b/>
          <w:bCs/>
        </w:rPr>
        <w:t xml:space="preserve">T-14. Transaction-timeline risk — Severity: HIGH.</w:t>
      </w:r>
      <w:r>
        <w:t xml:space="preserve"> </w:t>
      </w:r>
      <w:r>
        <w:t xml:space="preserve">The Phase I ESA was issued October 25, 2024. The Buyer’s environmental termination right (if RECs could produce remediation costs exceeding $500,000) expires October 31, 2024 — six days later. The Lender’s Phase II ESA, PLL insurance binder, and environmental-escrow evidence are due November 30, 2024 (15 days before closing). Completing a defensible Phase II (soil borings, monitoring wells, sump characterization, vapor assessment), obtaining $5M+ PLL insurance, and funding any required escrow within that window is aggressive and may require a closing extension.</w:t>
      </w:r>
    </w:p>
    <w:p>
      <w:pPr>
        <w:pStyle w:val="BodyText"/>
      </w:pPr>
      <w:r>
        <w:rPr>
          <w:b/>
          <w:bCs/>
        </w:rPr>
        <w:t xml:space="preserve">T-15. Asbestos-containing materials / lead-based paint (non-scope) — Severity: LOW.</w:t>
      </w:r>
      <w:r>
        <w:t xml:space="preserve"> </w:t>
      </w:r>
      <w:r>
        <w:t xml:space="preserve">The main building (1962/1978), maintenance building (1972), and warehouse (1985) predate the ACM and LBP regulatory transition periods. No survey was performed. If renovation or demolition is anticipated, an ACM/LBP survey should be commissioned; disturbance of ACM/LBP without survey and proper handling creates occupational and disposal liability.</w:t>
      </w:r>
    </w:p>
    <w:p>
      <w:pPr>
        <w:pStyle w:val="BodyText"/>
      </w:pPr>
      <w:r>
        <w:rPr>
          <w:b/>
          <w:bCs/>
        </w:rPr>
        <w:t xml:space="preserve">T-16. PCB transformers — Severity: LOW.</w:t>
      </w:r>
      <w:r>
        <w:t xml:space="preserve"> </w:t>
      </w:r>
      <w:r>
        <w:t xml:space="preserve">Electrical service is overhead from a utility-owned pole-mounted transformer (Toledo Edison) with no PCB warning labels observed. No pad-mounted transformers were noted on site. Low risk; confirm utility ownership/PCB status in closing conditions.</w:t>
      </w:r>
    </w:p>
    <w:p>
      <w:r>
        <w:pict>
          <v:rect style="width:0;height:1.5pt" o:hralign="center" o:hrstd="t" o:hr="t"/>
        </w:pict>
      </w:r>
    </w:p>
    <w:bookmarkEnd w:id="29"/>
    <w:bookmarkEnd w:id="30"/>
    <w:bookmarkStart w:id="34" w:name="dayton-property-issues"/>
    <w:p>
      <w:pPr>
        <w:pStyle w:val="Heading2"/>
      </w:pPr>
      <w:r>
        <w:t xml:space="preserve">5. Dayton Property — Issues</w:t>
      </w:r>
    </w:p>
    <w:bookmarkStart w:id="31" w:name="X4ae5cff69f66859c34d3ec60ad0e1679dedc68c"/>
    <w:p>
      <w:pPr>
        <w:pStyle w:val="Heading3"/>
      </w:pPr>
      <w:r>
        <w:t xml:space="preserve">5.1 Recognized Environmental Conditions (on-site)</w:t>
      </w:r>
    </w:p>
    <w:p>
      <w:pPr>
        <w:pStyle w:val="FirstParagraph"/>
      </w:pPr>
      <w:r>
        <w:rPr>
          <w:b/>
          <w:bCs/>
        </w:rPr>
        <w:t xml:space="preserve">D-1. Western yard area — former above-ground storage tanks (Dayton Forge &amp; Die) — Severity: HIGH.</w:t>
      </w:r>
    </w:p>
    <w:p>
      <w:pPr>
        <w:pStyle w:val="BodyText"/>
      </w:pPr>
      <w:r>
        <w:t xml:space="preserve">An approximately 40 ft × 60 ft area in the western portion of the Property exhibits stressed and absent vegetation and darkened (reddish-brown to black) soil. The location corresponds to three above-ground storage tanks annotated</w:t>
      </w:r>
      <w:r>
        <w:t xml:space="preserve"> </w:t>
      </w:r>
      <w:r>
        <w:t xml:space="preserve">“</w:t>
      </w:r>
      <w:r>
        <w:t xml:space="preserve">oil storage</w:t>
      </w:r>
      <w:r>
        <w:t xml:space="preserve">”</w:t>
      </w:r>
      <w:r>
        <w:t xml:space="preserve"> </w:t>
      </w:r>
      <w:r>
        <w:t xml:space="preserve">on the 1942 and 1950 Sanborn maps (Dayton Forge &amp; Die Co.), removed between 1950 and 1960. The physical evidence is consistent with a historical petroleum release to soil. A Phase II ESA (soil borings, DRO/GRO analysis versus Ohio generic commercial/industrial standards) is recommended. Petroleum impacts are generally more amenable to remediation than chlorinated-solvent impacts, but the visible evidence and 80-year age warrant characterization.</w:t>
      </w:r>
    </w:p>
    <w:p>
      <w:pPr>
        <w:pStyle w:val="BodyText"/>
      </w:pPr>
      <w:r>
        <w:rPr>
          <w:b/>
          <w:bCs/>
        </w:rPr>
        <w:t xml:space="preserve">D-2. Building 2 — electroplating operations and floor staining — Severity: HIGH.</w:t>
      </w:r>
    </w:p>
    <w:p>
      <w:pPr>
        <w:pStyle w:val="BodyText"/>
      </w:pPr>
      <w:r>
        <w:t xml:space="preserve">Active chromium (hexavalent) and nickel electroplating has been conducted in Building 2 since approximately 1987. Floor staining of approximately 15 ft × 20 ft (dark, with greenish-blue and dark-brown hues) was observed between the chemical-drum storage area and the chromium plating line, and the acid-resistant epoxy floor coating shows wear and deterioration in the stained area. Floor drains in the plating area connect to an on-site industrial wastewater pretreatment system discharging to the municipal POTW under NPDES pretreatment permit 2PB00417 — a mitigating control — but the visible staining indicates that releases of plating chemicals (hexavalent chromium, nickel, acids) have reached the floor surface, with potential migration through the slab over time. Subsurface investigation (soil samples beneath/adjacent to Building 2 for hexavalent and total chromium, nickel, and pH) is recommended.</w:t>
      </w:r>
    </w:p>
    <w:bookmarkEnd w:id="31"/>
    <w:bookmarkStart w:id="32" w:name="X86df6cae2abb5aa8960361cf9cfc814c9e81f46"/>
    <w:p>
      <w:pPr>
        <w:pStyle w:val="Heading3"/>
      </w:pPr>
      <w:r>
        <w:t xml:space="preserve">5.2</w:t>
      </w:r>
      <w:r>
        <w:t xml:space="preserve"> </w:t>
      </w:r>
      <w:r>
        <w:t xml:space="preserve">“</w:t>
      </w:r>
      <w:r>
        <w:t xml:space="preserve">Closed</w:t>
      </w:r>
      <w:r>
        <w:t xml:space="preserve">”</w:t>
      </w:r>
      <w:r>
        <w:t xml:space="preserve"> </w:t>
      </w:r>
      <w:r>
        <w:t xml:space="preserve">historical conditions that may not be fully closed</w:t>
      </w:r>
    </w:p>
    <w:p>
      <w:pPr>
        <w:pStyle w:val="FirstParagraph"/>
      </w:pPr>
      <w:r>
        <w:rPr>
          <w:b/>
          <w:bCs/>
        </w:rPr>
        <w:t xml:space="preserve">D-3. Tank 3 — 4,000-gallon waste-oil UST (incomplete closure) — Severity: HIGH.</w:t>
      </w:r>
    </w:p>
    <w:p>
      <w:pPr>
        <w:pStyle w:val="BodyText"/>
      </w:pPr>
      <w:r>
        <w:t xml:space="preserve">The 2004 Redland UST Closure Report documents the removal of three USTs. Tanks 1 and 2 (10,000-gal diesel) were closed satisfactorily: Tank 1 samples were below action levels; Tank 2 exceeded the 500 mg/kg DRO action level (up to 1,250 mg/kg) but was over-excavated (85 cubic yards removed) and confirmation samples were below action levels.</w:t>
      </w:r>
      <w:r>
        <w:t xml:space="preserve"> </w:t>
      </w:r>
      <w:r>
        <w:rPr>
          <w:b/>
          <w:bCs/>
        </w:rPr>
        <w:t xml:space="preserve">Tank 3 (4,000-gal waste oil), however, was not closed out.</w:t>
      </w:r>
      <w:r>
        <w:t xml:space="preserve"> </w:t>
      </w:r>
      <w:r>
        <w:t xml:space="preserve">The closure report states that Tank 3 exhibited a through-wall perforation (approximately 1.5 inches), with dark, viscous oily residue and stained, odorous soil at the excavation base and lower sidewalls — clear field evidence of a release — but reports that the seven confirmation soil samples were submitted with</w:t>
      </w:r>
      <w:r>
        <w:t xml:space="preserve"> </w:t>
      </w:r>
      <w:r>
        <w:rPr>
          <w:b/>
          <w:bCs/>
        </w:rPr>
        <w:t xml:space="preserve">analytical results</w:t>
      </w:r>
      <w:r>
        <w:rPr>
          <w:b/>
          <w:bCs/>
        </w:rPr>
        <w:t xml:space="preserve"> </w:t>
      </w:r>
      <w:r>
        <w:rPr>
          <w:b/>
          <w:bCs/>
        </w:rPr>
        <w:t xml:space="preserve">“</w:t>
      </w:r>
      <w:r>
        <w:rPr>
          <w:b/>
          <w:bCs/>
        </w:rPr>
        <w:t xml:space="preserve">pending</w:t>
      </w:r>
      <w:r>
        <w:rPr>
          <w:b/>
          <w:bCs/>
        </w:rPr>
        <w:t xml:space="preserve">”</w:t>
      </w:r>
      <w:r>
        <w:t xml:space="preserve"> </w:t>
      </w:r>
      <w:r>
        <w:t xml:space="preserve">and that a supplemental report would follow.</w:t>
      </w:r>
      <w:r>
        <w:t xml:space="preserve"> </w:t>
      </w:r>
      <w:r>
        <w:rPr>
          <w:b/>
          <w:bCs/>
        </w:rPr>
        <w:t xml:space="preserve">No supplemental report was located</w:t>
      </w:r>
      <w:r>
        <w:t xml:space="preserve"> </w:t>
      </w:r>
      <w:r>
        <w:t xml:space="preserve">in the seller’s files, in Redland’s files, or in Ohio EPA public records. The Phase I ESA separately confirms that the Tank 3 closure letter</w:t>
      </w:r>
      <w:r>
        <w:t xml:space="preserve"> </w:t>
      </w:r>
      <w:r>
        <w:t xml:space="preserve">“</w:t>
      </w:r>
      <w:r>
        <w:t xml:space="preserve">was not provided</w:t>
      </w:r>
      <w:r>
        <w:t xml:space="preserve">”</w:t>
      </w:r>
      <w:r>
        <w:t xml:space="preserve"> </w:t>
      </w:r>
      <w:r>
        <w:t xml:space="preserve">and that the facility manager could locate closure letters only for Tanks 1 and 2.</w:t>
      </w:r>
    </w:p>
    <w:p>
      <w:pPr>
        <w:pStyle w:val="BodyText"/>
      </w:pPr>
      <w:r>
        <w:t xml:space="preserve">The 2011 VAP NFA letter covers a 2.3-acre</w:t>
      </w:r>
      <w:r>
        <w:t xml:space="preserve"> </w:t>
      </w:r>
      <w:r>
        <w:t xml:space="preserve">“</w:t>
      </w:r>
      <w:r>
        <w:t xml:space="preserve">Parcel A</w:t>
      </w:r>
      <w:r>
        <w:t xml:space="preserve">”</w:t>
      </w:r>
      <w:r>
        <w:t xml:space="preserve"> </w:t>
      </w:r>
      <w:r>
        <w:t xml:space="preserve">described as the</w:t>
      </w:r>
      <w:r>
        <w:t xml:space="preserve"> </w:t>
      </w:r>
      <w:r>
        <w:t xml:space="preserve">“</w:t>
      </w:r>
      <w:r>
        <w:t xml:space="preserve">former diesel underground storage tank area and associated petroleum-impacted soils.</w:t>
      </w:r>
      <w:r>
        <w:t xml:space="preserve">”</w:t>
      </w:r>
      <w:r>
        <w:t xml:space="preserve"> </w:t>
      </w:r>
      <w:r>
        <w:t xml:space="preserve">That description focuses on the diesel USTs and may not encompass the waste-oil tank. The Phase I ESA classifies all three USTs as a single HREC on the strength of the NFA letter, but the documentary record does not support closure of Tank 3. This issue should be treated as an open, unaddressed release until the Tank 3 analytical data and closure letter (or their absence) are confirmed, and it should be investigated in Phase II. The GeoSearch database summary’s statement that</w:t>
      </w:r>
      <w:r>
        <w:t xml:space="preserve"> </w:t>
      </w:r>
      <w:r>
        <w:t xml:space="preserve">“</w:t>
      </w:r>
      <w:r>
        <w:t xml:space="preserve">tank closure documentation on file with BUSTR</w:t>
      </w:r>
      <w:r>
        <w:t xml:space="preserve">”</w:t>
      </w:r>
      <w:r>
        <w:t xml:space="preserve"> </w:t>
      </w:r>
      <w:r>
        <w:t xml:space="preserve">for all three tanks is inconsistent with the closure report and the Phase I ESA and should not be relied upon.</w:t>
      </w:r>
    </w:p>
    <w:p>
      <w:pPr>
        <w:pStyle w:val="BodyText"/>
      </w:pPr>
      <w:r>
        <w:rPr>
          <w:b/>
          <w:bCs/>
        </w:rPr>
        <w:t xml:space="preserve">D-4. Former Central Valley Chemical Co. operations (Building 3) — HREC classification questionable — Severity: HIGH.</w:t>
      </w:r>
    </w:p>
    <w:p>
      <w:pPr>
        <w:pStyle w:val="BodyText"/>
      </w:pPr>
      <w:r>
        <w:t xml:space="preserve">Central Valley Chemical Co. operated a chemical-blending facility in Building 3 from approximately 1975 to 1981, handling industrial cleaning solvents and degreasers (including chlorinated solvents). An Ohio EPA enforcement action was taken against the company in 1981 (details unavailable; Ohio EPA file review pending). The 1971 aerial photograph shows an estimated 100+ drums in outdoor storage on the north side of Building 3 with no secondary containment; the 1980 photograph shows the area cleared. Building 3 currently exhibits multiple floor cracks and patches and approximately 3 inches of differential settlement at the northeast corner, and the exterior loading dock shows approximately 8 ft × 12 ft of dark staining with a faint petroleum-like sheen at the historical drum-storage location.</w:t>
      </w:r>
    </w:p>
    <w:p>
      <w:pPr>
        <w:pStyle w:val="BodyText"/>
      </w:pPr>
      <w:r>
        <w:t xml:space="preserve">The Phase I ESA classifies this condition as an HREC on the ground that</w:t>
      </w:r>
      <w:r>
        <w:t xml:space="preserve"> </w:t>
      </w:r>
      <w:r>
        <w:t xml:space="preserve">“</w:t>
      </w:r>
      <w:r>
        <w:t xml:space="preserve">the Subject Property received a No Further Action letter under the Ohio EPA Voluntary Action Program on September 22, 2011.</w:t>
      </w:r>
      <w:r>
        <w:t xml:space="preserve">”</w:t>
      </w:r>
      <w:r>
        <w:t xml:space="preserve"> </w:t>
      </w:r>
      <w:r>
        <w:t xml:space="preserve">However, the NFA letter — as described in the Phase I ESA itself (Section 5.2.5) — applies to the 2.3-acre Parcel A in the</w:t>
      </w:r>
      <w:r>
        <w:t xml:space="preserve"> </w:t>
      </w:r>
      <w:r>
        <w:rPr>
          <w:b/>
          <w:bCs/>
        </w:rPr>
        <w:t xml:space="preserve">southern</w:t>
      </w:r>
      <w:r>
        <w:t xml:space="preserve"> </w:t>
      </w:r>
      <w:r>
        <w:t xml:space="preserve">portion of the site (the former UST area) and</w:t>
      </w:r>
      <w:r>
        <w:t xml:space="preserve"> </w:t>
      </w:r>
      <w:r>
        <w:t xml:space="preserve">“</w:t>
      </w:r>
      <w:r>
        <w:t xml:space="preserve">does not address environmental conditions in areas of the Subject Property outside the Parcel A boundary.</w:t>
      </w:r>
      <w:r>
        <w:t xml:space="preserve">”</w:t>
      </w:r>
      <w:r>
        <w:t xml:space="preserve"> </w:t>
      </w:r>
      <w:r>
        <w:t xml:space="preserve">Building 3 is in the northeastern portion of the site, outside Parcel A. Accordingly, the regulatory-closure basis for the HREC classification appears not to extend to the Central Valley Chemical operations, and the classification may be unsupported. Given that chlorinated solvents are persistent and costly to remediate, and that the 1981 enforcement details are unknown, this condition should be re-evaluated and likely investigated in Phase II, with particular attention to the former outdoor drum-storage area and the Building 3 floor/subslab.</w:t>
      </w:r>
    </w:p>
    <w:bookmarkEnd w:id="32"/>
    <w:bookmarkStart w:id="33" w:name="additional-findings-and-data-gaps-dayton"/>
    <w:p>
      <w:pPr>
        <w:pStyle w:val="Heading3"/>
      </w:pPr>
      <w:r>
        <w:t xml:space="preserve">5.3 Additional findings and data gaps (Dayton)</w:t>
      </w:r>
    </w:p>
    <w:p>
      <w:pPr>
        <w:pStyle w:val="FirstParagraph"/>
      </w:pPr>
      <w:r>
        <w:rPr>
          <w:b/>
          <w:bCs/>
        </w:rPr>
        <w:t xml:space="preserve">D-5. Partially buried 55-gallon drum (northwest boundary) — Severity: MEDIUM.</w:t>
      </w:r>
      <w:r>
        <w:t xml:space="preserve"> </w:t>
      </w:r>
      <w:r>
        <w:t xml:space="preserve">A corroded 55-gallon drum, protruding approximately 6 inches above grade with no visible label or markings, was observed near the northwest property boundary. The facility manager was unaware of its origin. The contents are unknown. The drum should be removed and its contents characterized and disposed of properly; surrounding soil should be screened. The Phase I ESA notes the drum but does not classify it as a REC.</w:t>
      </w:r>
    </w:p>
    <w:p>
      <w:pPr>
        <w:pStyle w:val="BodyText"/>
      </w:pPr>
      <w:r>
        <w:rPr>
          <w:b/>
          <w:bCs/>
        </w:rPr>
        <w:t xml:space="preserve">D-6. Building 3 exterior loading-dock staining — Severity: MEDIUM.</w:t>
      </w:r>
      <w:r>
        <w:t xml:space="preserve"> </w:t>
      </w:r>
      <w:r>
        <w:t xml:space="preserve">Approximately 8 ft × 12 ft of dark gray-to-black staining with a faint petroleum-like sheen was observed on the north loading dock of Building 3, at the location of the 1971 outdoor drum storage. This is a physical indicator of possible residual contamination at a historical chemical-handling area and should be included in the Phase II scope.</w:t>
      </w:r>
    </w:p>
    <w:p>
      <w:pPr>
        <w:pStyle w:val="BodyText"/>
      </w:pPr>
      <w:r>
        <w:rPr>
          <w:b/>
          <w:bCs/>
        </w:rPr>
        <w:t xml:space="preserve">D-7. Data gap — Ohio EPA file review not received — Severity: HIGH.</w:t>
      </w:r>
      <w:r>
        <w:t xml:space="preserve"> </w:t>
      </w:r>
      <w:r>
        <w:t xml:space="preserve">A records request was submitted to Ohio EPA on March 10, 2025; records had not been received as of the April 18, 2025 report date. These files may contain the 1981 Central Valley Chemical enforcement file (directly relevant to D-4), information on the adjoining Triton Metals facility, and any Tank 3 closure correspondence (relevant to D-3). The Phase I ESA expressly states the report</w:t>
      </w:r>
      <w:r>
        <w:t xml:space="preserve"> </w:t>
      </w:r>
      <w:r>
        <w:t xml:space="preserve">“</w:t>
      </w:r>
      <w:r>
        <w:t xml:space="preserve">will be supplemented upon receipt</w:t>
      </w:r>
      <w:r>
        <w:t xml:space="preserve">”</w:t>
      </w:r>
      <w:r>
        <w:t xml:space="preserve"> </w:t>
      </w:r>
      <w:r>
        <w:t xml:space="preserve">and that the records</w:t>
      </w:r>
      <w:r>
        <w:t xml:space="preserve"> </w:t>
      </w:r>
      <w:r>
        <w:t xml:space="preserve">“</w:t>
      </w:r>
      <w:r>
        <w:t xml:space="preserve">may provide additional information … that could affect the findings.</w:t>
      </w:r>
      <w:r>
        <w:t xml:space="preserve">”</w:t>
      </w:r>
      <w:r>
        <w:t xml:space="preserve"> </w:t>
      </w:r>
      <w:r>
        <w:t xml:space="preserve">This is a material open data gap; the HREC classifications for the Dayton Property should be considered provisional until the Ohio EPA files are reviewed.</w:t>
      </w:r>
    </w:p>
    <w:p>
      <w:pPr>
        <w:pStyle w:val="BodyText"/>
      </w:pPr>
      <w:r>
        <w:rPr>
          <w:b/>
          <w:bCs/>
        </w:rPr>
        <w:t xml:space="preserve">D-8. Unlabeled older transformer (east of Building 3) — Severity: LOW.</w:t>
      </w:r>
      <w:r>
        <w:t xml:space="preserve"> </w:t>
      </w:r>
      <w:r>
        <w:t xml:space="preserve">One pad-mounted transformer adjacent to Building 3 bore no PCB label and appeared older and more weathered than three other transformers on site that carry</w:t>
      </w:r>
      <w:r>
        <w:t xml:space="preserve"> </w:t>
      </w:r>
      <w:r>
        <w:t xml:space="preserve">“</w:t>
      </w:r>
      <w:r>
        <w:t xml:space="preserve">Non-PCB</w:t>
      </w:r>
      <w:r>
        <w:t xml:space="preserve">”</w:t>
      </w:r>
      <w:r>
        <w:t xml:space="preserve"> </w:t>
      </w:r>
      <w:r>
        <w:t xml:space="preserve">labels. No leaking was observed. PCB status should be confirmed with the utility owner; if PCB-containing, removal/management obligations apply.</w:t>
      </w:r>
    </w:p>
    <w:p>
      <w:pPr>
        <w:pStyle w:val="BodyText"/>
      </w:pPr>
      <w:r>
        <w:rPr>
          <w:b/>
          <w:bCs/>
        </w:rPr>
        <w:t xml:space="preserve">D-9. Off-site former dry cleaner, 145 Commerce Park Drive (~0.3 mi SSE) — Severity: LOW.</w:t>
      </w:r>
      <w:r>
        <w:t xml:space="preserve"> </w:t>
      </w:r>
      <w:r>
        <w:t xml:space="preserve">A confirmed PCE groundwater plume is listed on the Ohio EPA Master Sites List as</w:t>
      </w:r>
      <w:r>
        <w:t xml:space="preserve"> </w:t>
      </w:r>
      <w:r>
        <w:t xml:space="preserve">“</w:t>
      </w:r>
      <w:r>
        <w:t xml:space="preserve">Under Review</w:t>
      </w:r>
      <w:r>
        <w:t xml:space="preserve">”</w:t>
      </w:r>
      <w:r>
        <w:t xml:space="preserve"> </w:t>
      </w:r>
      <w:r>
        <w:t xml:space="preserve">(January 2023), with plume delineation reported incomplete. The Phase I ESA concludes the site is downgradient of the Property and therefore not a REC. That conclusion is reasonable as to direction, but the incomplete plume delineation is a caveat; the condition should be monitored and revisited if the Ohio EPA files or subsequent data indicate upgradient influence.</w:t>
      </w:r>
    </w:p>
    <w:p>
      <w:pPr>
        <w:pStyle w:val="BodyText"/>
      </w:pPr>
      <w:r>
        <w:rPr>
          <w:b/>
          <w:bCs/>
        </w:rPr>
        <w:t xml:space="preserve">D-10. Off-site Triton Metals Processing Inc., 2900 Millrace Road (adjoining east) — Severity: LOW.</w:t>
      </w:r>
      <w:r>
        <w:t xml:space="preserve"> </w:t>
      </w:r>
      <w:r>
        <w:t xml:space="preserve">Triton Metals is listed on CERCLIS/SEMS (preliminary assessment, no further federal action documented) and as a RCRA Large Quantity Generator. The Phase I ESA did not investigate it in detail, and the Ohio EPA file review (which included a request for Triton’s files) is pending. Low risk based on current information, but pending file review may change this.</w:t>
      </w:r>
    </w:p>
    <w:p>
      <w:pPr>
        <w:pStyle w:val="BodyText"/>
      </w:pPr>
      <w:r>
        <w:rPr>
          <w:b/>
          <w:bCs/>
        </w:rPr>
        <w:t xml:space="preserve">D-11. Off-site former gasoline station, 2780 Millrace Road (~0.2 mi NW, upgradient) — Severity: LOW.</w:t>
      </w:r>
      <w:r>
        <w:t xml:space="preserve"> </w:t>
      </w:r>
      <w:r>
        <w:t xml:space="preserve">Closed LUST case; Ohio EPA BUSTR NFA issued February 2016. De minimis; no further action.</w:t>
      </w:r>
    </w:p>
    <w:p>
      <w:pPr>
        <w:pStyle w:val="BodyText"/>
      </w:pPr>
      <w:r>
        <w:rPr>
          <w:b/>
          <w:bCs/>
        </w:rPr>
        <w:t xml:space="preserve">D-12. ASTM E1527-13 (older standard) — Severity: LOW.</w:t>
      </w:r>
      <w:r>
        <w:t xml:space="preserve"> </w:t>
      </w:r>
      <w:r>
        <w:t xml:space="preserve">The Dayton Phase I ESA was prepared to E1527-13 rather than the current E1527-21. It remains sufficient for AAI/BFPP purposes, but if a lender requires E1527-21 (as Great Lakes Capital Bank does for the Toledo loan), an update or supplement may be required. Confirm any lender standard before relying on this report for financing.</w:t>
      </w:r>
    </w:p>
    <w:p>
      <w:pPr>
        <w:pStyle w:val="BodyText"/>
      </w:pPr>
      <w:r>
        <w:rPr>
          <w:b/>
          <w:bCs/>
        </w:rPr>
        <w:t xml:space="preserve">D-13. VAP NFA activity and use limitations (Parcel A) — Severity: LOW.</w:t>
      </w:r>
      <w:r>
        <w:t xml:space="preserve"> </w:t>
      </w:r>
      <w:r>
        <w:t xml:space="preserve">The 2011 VAP NFA for Parcel A includes activity and use limitations restricting use to commercial/industrial purposes. Cornerstone’s planned light-industrial/warehouse redevelopment is consistent with these AULs, but the AULs constitute continuing obligations (use restriction, no groundwater use, etc.) that must be observed and disclosed to future transferees. Confirm the exact AUL terms from the recorded NFA/covenant.</w:t>
      </w:r>
    </w:p>
    <w:p>
      <w:pPr>
        <w:pStyle w:val="BodyText"/>
      </w:pPr>
      <w:r>
        <w:rPr>
          <w:b/>
          <w:bCs/>
        </w:rPr>
        <w:t xml:space="preserve">D-14. Asbestos-containing materials / lead-based paint (non-scope) — Severity: LOW.</w:t>
      </w:r>
      <w:r>
        <w:t xml:space="preserve"> </w:t>
      </w:r>
      <w:r>
        <w:t xml:space="preserve">Buildings 1 (1942), 2 (1955), 3 (1960), and 5 (1968) predate the ACM/LBP regulatory transition. No survey was performed. Because the planned use is</w:t>
      </w:r>
      <w:r>
        <w:t xml:space="preserve"> </w:t>
      </w:r>
      <w:r>
        <w:t xml:space="preserve">“</w:t>
      </w:r>
      <w:r>
        <w:t xml:space="preserve">light industrial and warehouse redevelopment,</w:t>
      </w:r>
      <w:r>
        <w:t xml:space="preserve">”</w:t>
      </w:r>
      <w:r>
        <w:t xml:space="preserve"> </w:t>
      </w:r>
      <w:r>
        <w:t xml:space="preserve">renovation or demolition is likely, making an ACM/LBP survey advisable before disturbance.</w:t>
      </w:r>
    </w:p>
    <w:p>
      <w:r>
        <w:pict>
          <v:rect style="width:0;height:1.5pt" o:hralign="center" o:hrstd="t" o:hr="t"/>
        </w:pict>
      </w:r>
    </w:p>
    <w:bookmarkEnd w:id="33"/>
    <w:bookmarkEnd w:id="34"/>
    <w:bookmarkStart w:id="35" w:name="cross-cutting-portfolio-observations"/>
    <w:p>
      <w:pPr>
        <w:pStyle w:val="Heading2"/>
      </w:pPr>
      <w:r>
        <w:t xml:space="preserve">6. Cross-Cutting / Portfolio Observations</w:t>
      </w:r>
    </w:p>
    <w:p>
      <w:pPr>
        <w:numPr>
          <w:ilvl w:val="0"/>
          <w:numId w:val="1003"/>
        </w:numPr>
      </w:pPr>
      <w:r>
        <w:rPr>
          <w:b/>
          <w:bCs/>
        </w:rPr>
        <w:t xml:space="preserve">Common industrial-use profile.</w:t>
      </w:r>
      <w:r>
        <w:t xml:space="preserve"> </w:t>
      </w:r>
      <w:r>
        <w:t xml:space="preserve">Both properties are long-tenured metal-stamping and metal-finishing facilities with hexavalent-chromium/nickel electroplating and chlorinated-solvent degreasing histories. This use profile is among the higher-risk categories for environmental due diligence and is consistent with the Lender’s</w:t>
      </w:r>
      <w:r>
        <w:t xml:space="preserve"> </w:t>
      </w:r>
      <w:r>
        <w:t xml:space="preserve">“</w:t>
      </w:r>
      <w:r>
        <w:t xml:space="preserve">Elevated Environmental Risk</w:t>
      </w:r>
      <w:r>
        <w:t xml:space="preserve">”</w:t>
      </w:r>
      <w:r>
        <w:t xml:space="preserve"> </w:t>
      </w:r>
      <w:r>
        <w:t xml:space="preserve">classification of the Toledo Property.</w:t>
      </w:r>
    </w:p>
    <w:p>
      <w:pPr>
        <w:numPr>
          <w:ilvl w:val="0"/>
          <w:numId w:val="1003"/>
        </w:numPr>
      </w:pPr>
      <w:r>
        <w:rPr>
          <w:b/>
          <w:bCs/>
        </w:rPr>
        <w:t xml:space="preserve">Recurring UST problems.</w:t>
      </w:r>
      <w:r>
        <w:t xml:space="preserve"> </w:t>
      </w:r>
      <w:r>
        <w:t xml:space="preserve">Each property has UST issues that are not fully resolved: Toledo has an undocumented 2,000-gallon waste-solvent UST that may remain in place (T-4) and an undocumented 500-gallon heating-oil UST (T-9); Dayton has an incompletely closed 4,000-gallon waste-oil UST (D-3). A geophysical UST-locate survey should be considered for both properties.</w:t>
      </w:r>
    </w:p>
    <w:p>
      <w:pPr>
        <w:numPr>
          <w:ilvl w:val="0"/>
          <w:numId w:val="1003"/>
        </w:numPr>
      </w:pPr>
      <w:r>
        <w:rPr>
          <w:b/>
          <w:bCs/>
        </w:rPr>
        <w:t xml:space="preserve">Recurring data gaps.</w:t>
      </w:r>
      <w:r>
        <w:t xml:space="preserve"> </w:t>
      </w:r>
      <w:r>
        <w:t xml:space="preserve">Both properties have material open data gaps — Toledo’s 39-year waste-manifest gap and withheld corporate records (T-10, T-11), and Dayton’s pending Ohio EPA file review (D-7). Each gap bears directly on the severity of the associated RECs/HRECs.</w:t>
      </w:r>
    </w:p>
    <w:p>
      <w:pPr>
        <w:numPr>
          <w:ilvl w:val="0"/>
          <w:numId w:val="1003"/>
        </w:numPr>
      </w:pPr>
      <w:r>
        <w:rPr>
          <w:b/>
          <w:bCs/>
        </w:rPr>
        <w:t xml:space="preserve">Vapor-intrusion exposure on both properties.</w:t>
      </w:r>
      <w:r>
        <w:t xml:space="preserve"> </w:t>
      </w:r>
      <w:r>
        <w:t xml:space="preserve">Chlorinated solvents (TCE at Toledo; PCE off-site at Toledo; chlorinated solvents from Central Valley Chemical at Dayton) create vapor-intrusion risk for any occupied structure. Any redevelopment plan should incorporate vapor-intrusion assessment and, as needed, mitigation.</w:t>
      </w:r>
    </w:p>
    <w:p>
      <w:pPr>
        <w:numPr>
          <w:ilvl w:val="0"/>
          <w:numId w:val="1003"/>
        </w:numPr>
      </w:pPr>
      <w:r>
        <w:rPr>
          <w:b/>
          <w:bCs/>
        </w:rPr>
        <w:t xml:space="preserve">Reliance on VAP NFA letters should be verified, not assumed.</w:t>
      </w:r>
      <w:r>
        <w:t xml:space="preserve"> </w:t>
      </w:r>
      <w:r>
        <w:t xml:space="preserve">On the Dayton Property, the Phase I ESA’s HREC classifications lean on a 2011 VAP NFA letter whose geographic and substantive scope (Parcel A;</w:t>
      </w:r>
      <w:r>
        <w:t xml:space="preserve"> </w:t>
      </w:r>
      <w:r>
        <w:t xml:space="preserve">“</w:t>
      </w:r>
      <w:r>
        <w:t xml:space="preserve">diesel UST area</w:t>
      </w:r>
      <w:r>
        <w:t xml:space="preserve">”</w:t>
      </w:r>
      <w:r>
        <w:t xml:space="preserve">) may not cover the conditions it is being used to close out (Tank 3 waste-oil UST; Central Valley Chemical Building 3 operations). The exact scope of the NFA letter should be confirmed against the recorded instrument and the supporting Phase II before relying on it.</w:t>
      </w:r>
    </w:p>
    <w:p>
      <w:r>
        <w:pict>
          <v:rect style="width:0;height:1.5pt" o:hralign="center" o:hrstd="t" o:hr="t"/>
        </w:pict>
      </w:r>
    </w:p>
    <w:bookmarkEnd w:id="35"/>
    <w:bookmarkStart w:id="36" w:name="X0a52f235a0763156d792678b7a4c0353a5df035"/>
    <w:p>
      <w:pPr>
        <w:pStyle w:val="Heading2"/>
      </w:pPr>
      <w:r>
        <w:t xml:space="preserve">7. Contractual and Lender Implications (Toledo Property)</w:t>
      </w:r>
    </w:p>
    <w:p>
      <w:pPr>
        <w:pStyle w:val="FirstParagraph"/>
      </w:pPr>
      <w:r>
        <w:t xml:space="preserve">Because the Toledo transaction has a complete contractual and lender document set, the issues above map to specific deal mechanics:</w:t>
      </w:r>
    </w:p>
    <w:p>
      <w:pPr>
        <w:numPr>
          <w:ilvl w:val="0"/>
          <w:numId w:val="1004"/>
        </w:numPr>
      </w:pPr>
      <w:r>
        <w:rPr>
          <w:b/>
          <w:bCs/>
        </w:rPr>
        <w:t xml:space="preserve">Lender conditional requirements triggered (Lender letter § 3.B).</w:t>
      </w:r>
      <w:r>
        <w:t xml:space="preserve"> </w:t>
      </w:r>
      <w:r>
        <w:t xml:space="preserve">With RECs identified, the Lender will not fund on the Phase I ESA alone. Required before closing: (i) a Phase II ESA (ASTM E1903-19) with best-case, most-likely, and worst-case remediation cost estimates from a licensed P.E.; (ii) Pollution Legal Liability insurance of at least the greater of the worst-case estimate or $5,000,000, 10-year term, with the Lender as additional insured/loss payee; (iii) an environmental escrow of 125% of the most-likely estimate if that estimate exceeds $250,000; (iv) a remediation plan (Ohio EPA-approved if costs exceed $500,000) completable within 36 months; and (v) a vapor-intrusion assessment (T-12) given the VOC conditions.</w:t>
      </w:r>
    </w:p>
    <w:p>
      <w:pPr>
        <w:numPr>
          <w:ilvl w:val="0"/>
          <w:numId w:val="1004"/>
        </w:numPr>
      </w:pPr>
      <w:r>
        <w:rPr>
          <w:b/>
          <w:bCs/>
        </w:rPr>
        <w:t xml:space="preserve">Lender</w:t>
      </w:r>
      <w:r>
        <w:rPr>
          <w:b/>
          <w:bCs/>
        </w:rPr>
        <w:t xml:space="preserve"> </w:t>
      </w:r>
      <w:r>
        <w:rPr>
          <w:b/>
          <w:bCs/>
        </w:rPr>
        <w:t xml:space="preserve">“</w:t>
      </w:r>
      <w:r>
        <w:rPr>
          <w:b/>
          <w:bCs/>
        </w:rPr>
        <w:t xml:space="preserve">unacceptable risk</w:t>
      </w:r>
      <w:r>
        <w:rPr>
          <w:b/>
          <w:bCs/>
        </w:rPr>
        <w:t xml:space="preserve">”</w:t>
      </w:r>
      <w:r>
        <w:rPr>
          <w:b/>
          <w:bCs/>
        </w:rPr>
        <w:t xml:space="preserve"> </w:t>
      </w:r>
      <w:r>
        <w:rPr>
          <w:b/>
          <w:bCs/>
        </w:rPr>
        <w:t xml:space="preserve">thresholds (Lender letter § 3.C).</w:t>
      </w:r>
      <w:r>
        <w:t xml:space="preserve"> </w:t>
      </w:r>
      <w:r>
        <w:t xml:space="preserve">The Lender may decline if the worst-case remediation estimate exceeds 50% of appraised value, if the Property is NPL-listed or under a RCRA corrective-action order that could prime the mortgage, or if unresolved data gaps prevent adequate risk characterization. The off-site PCE plume and the under-classified USTs are the items most likely to implicate these thresholds.</w:t>
      </w:r>
    </w:p>
    <w:p>
      <w:pPr>
        <w:numPr>
          <w:ilvl w:val="0"/>
          <w:numId w:val="1004"/>
        </w:numPr>
      </w:pPr>
      <w:r>
        <w:rPr>
          <w:b/>
          <w:bCs/>
        </w:rPr>
        <w:t xml:space="preserve">Buyer termination right (APA § 6.3(b)).</w:t>
      </w:r>
      <w:r>
        <w:t xml:space="preserve"> </w:t>
      </w:r>
      <w:r>
        <w:t xml:space="preserve">The Buyer may terminate and recover the $437,500 earnest money if RECs</w:t>
      </w:r>
      <w:r>
        <w:t xml:space="preserve"> </w:t>
      </w:r>
      <w:r>
        <w:t xml:space="preserve">“</w:t>
      </w:r>
      <w:r>
        <w:t xml:space="preserve">could result in Remediation Costs exceeding $500,000,</w:t>
      </w:r>
      <w:r>
        <w:t xml:space="preserve">”</w:t>
      </w:r>
      <w:r>
        <w:t xml:space="preserve"> </w:t>
      </w:r>
      <w:r>
        <w:t xml:space="preserve">by written notice on or before</w:t>
      </w:r>
      <w:r>
        <w:t xml:space="preserve"> </w:t>
      </w:r>
      <w:r>
        <w:rPr>
          <w:b/>
          <w:bCs/>
        </w:rPr>
        <w:t xml:space="preserve">October 31, 2024</w:t>
      </w:r>
      <w:r>
        <w:t xml:space="preserve">. Given the TCE and hex-chromium conditions and the off-site PCE plume, a &gt;$500,000 remediation exposure is plausible; the termination right should be evaluated immediately and, if exercised, done so before the deadline. Failure to terminate by the deadline waives the environmental termination right (§ 6.3(c)), though indemnity rights survive.</w:t>
      </w:r>
    </w:p>
    <w:p>
      <w:pPr>
        <w:numPr>
          <w:ilvl w:val="0"/>
          <w:numId w:val="1004"/>
        </w:numPr>
      </w:pPr>
      <w:r>
        <w:rPr>
          <w:b/>
          <w:bCs/>
        </w:rPr>
        <w:t xml:space="preserve">Indemnity structure (APA § 8).</w:t>
      </w:r>
      <w:r>
        <w:t xml:space="preserve"> </w:t>
      </w:r>
      <w:r>
        <w:t xml:space="preserve">Pre-Closing Environmental Liabilities are indemnified by the seller, but subject to a $87,500 basket (for rep breaches only; environmental-liability claims under § 8.2(a)(iii) are not subject to the basket), a</w:t>
      </w:r>
      <w:r>
        <w:t xml:space="preserve"> </w:t>
      </w:r>
      <w:r>
        <w:rPr>
          <w:b/>
          <w:bCs/>
        </w:rPr>
        <w:t xml:space="preserve">$1,750,000 aggregate cap (20% of price)</w:t>
      </w:r>
      <w:r>
        <w:t xml:space="preserve">, and a</w:t>
      </w:r>
      <w:r>
        <w:t xml:space="preserve"> </w:t>
      </w:r>
      <w:r>
        <w:rPr>
          <w:b/>
          <w:bCs/>
        </w:rPr>
        <w:t xml:space="preserve">three-year survival period</w:t>
      </w:r>
      <w:r>
        <w:t xml:space="preserve">. The Lender expressly states it will not rely solely on seller indemnification because caps/baskets/survival may be insufficient — hence the mandatory PLL insurance. The cap and survival period are the principal exposure-limiting features and should be stress-tested against the worst-case Phase II estimate; if the worst-case estimate approaches or exceeds $1,750,000, the indemnity is materially incomplete and PLL insurance/escrow becomes essential.</w:t>
      </w:r>
    </w:p>
    <w:p>
      <w:pPr>
        <w:numPr>
          <w:ilvl w:val="0"/>
          <w:numId w:val="1004"/>
        </w:numPr>
      </w:pPr>
      <w:r>
        <w:rPr>
          <w:b/>
          <w:bCs/>
        </w:rPr>
        <w:t xml:space="preserve">Seller-representation breaches (T-6, T-7).</w:t>
      </w:r>
      <w:r>
        <w:t xml:space="preserve"> </w:t>
      </w:r>
      <w:r>
        <w:t xml:space="preserve">The § 4.12 and § 4.13 inaccuracies are actionable under § 8.2(a)(i) (subject to basket and cap) and, if the underlying facts were known to the seller and concealed, may support a fraud/intentional-misrepresentation claim that escapes the basket, cap, and survival period (§ 8.4(d)). The 2003 NOV — addressed directly to the seller — is the strongest candidate for a non-knowledge-qualified breach.</w:t>
      </w:r>
    </w:p>
    <w:p>
      <w:pPr>
        <w:numPr>
          <w:ilvl w:val="0"/>
          <w:numId w:val="1004"/>
        </w:numPr>
      </w:pPr>
      <w:r>
        <w:rPr>
          <w:b/>
          <w:bCs/>
        </w:rPr>
        <w:t xml:space="preserve">Delivery timeline (Lender letter § 5).</w:t>
      </w:r>
      <w:r>
        <w:t xml:space="preserve"> </w:t>
      </w:r>
      <w:r>
        <w:t xml:space="preserve">Phase I ESA due November 15, 2024 (delivered October 25, 2024 — timely); Phase II ESA, PLL binder, and escrow evidence due November 30, 2024. A closing extension may be needed.</w:t>
      </w:r>
    </w:p>
    <w:p>
      <w:pPr>
        <w:pStyle w:val="BlockText"/>
      </w:pPr>
      <w:r>
        <w:rPr>
          <w:b/>
          <w:bCs/>
        </w:rPr>
        <w:t xml:space="preserve">Dayton Property.</w:t>
      </w:r>
      <w:r>
        <w:t xml:space="preserve"> </w:t>
      </w:r>
      <w:r>
        <w:t xml:space="preserve">No purchase agreement or lender requirements letter was provided for the Dayton Property, so the contractual and lender mechanics above cannot be mapped to it. We recommend confirming whether a lender is involved and obtaining the Dayton purchase agreement and any lender environmental requirements before closing, so that indemnity caps, survival periods, termination rights, and lender conditions can be evaluated on the same basis as the Toledo transaction.</w:t>
      </w:r>
    </w:p>
    <w:p>
      <w:r>
        <w:pict>
          <v:rect style="width:0;height:1.5pt" o:hralign="center" o:hrstd="t" o:hr="t"/>
        </w:pict>
      </w:r>
    </w:p>
    <w:bookmarkEnd w:id="36"/>
    <w:bookmarkStart w:id="37" w:name="recommendations"/>
    <w:p>
      <w:pPr>
        <w:pStyle w:val="Heading2"/>
      </w:pPr>
      <w:r>
        <w:t xml:space="preserve">8. Recommendations</w:t>
      </w:r>
    </w:p>
    <w:p>
      <w:pPr>
        <w:pStyle w:val="FirstParagraph"/>
      </w:pPr>
      <w:r>
        <w:rPr>
          <w:b/>
          <w:bCs/>
        </w:rPr>
        <w:t xml:space="preserve">Immediate (pre-closing, both properties):</w:t>
      </w:r>
    </w:p>
    <w:p>
      <w:pPr>
        <w:numPr>
          <w:ilvl w:val="0"/>
          <w:numId w:val="1005"/>
        </w:numPr>
      </w:pPr>
      <w:r>
        <w:rPr>
          <w:b/>
          <w:bCs/>
        </w:rPr>
        <w:t xml:space="preserve">Commission Phase II ESAs</w:t>
      </w:r>
      <w:r>
        <w:t xml:space="preserve"> </w:t>
      </w:r>
      <w:r>
        <w:t xml:space="preserve">for both properties. For Toledo: soil/groundwater borings and monitoring wells at the former TCE degreasing area, the abandoned TCE drum, the former electroplating room (including sump-liquid characterization), the former outdoor drum-storage area, and the 2,000-gallon waste-solvent UST area; include a vapor-intrusion assessment for TCE and for the off-site PCE plume. For Dayton: soil borings at the western-yard former AST area (DRO/GRO), beneath/adjacent to Building 2 (hexavalent and total chromium, nickel), the former Tank 3 area, and the Building 3 former drum-storage/loading-dock area; include subslab vapor assessment given the Central Valley Chemical chlorinated-solvent history.</w:t>
      </w:r>
    </w:p>
    <w:p>
      <w:pPr>
        <w:numPr>
          <w:ilvl w:val="0"/>
          <w:numId w:val="1005"/>
        </w:numPr>
      </w:pPr>
      <w:r>
        <w:rPr>
          <w:b/>
          <w:bCs/>
        </w:rPr>
        <w:t xml:space="preserve">Obtain quantified remediation cost estimates</w:t>
      </w:r>
      <w:r>
        <w:t xml:space="preserve"> </w:t>
      </w:r>
      <w:r>
        <w:t xml:space="preserve">(best / most-likely / worst case) from a licensed P.E. for each REC, to drive the termination-right decision (Toledo) and lender/escrow/PLL sizing.</w:t>
      </w:r>
    </w:p>
    <w:p>
      <w:pPr>
        <w:numPr>
          <w:ilvl w:val="0"/>
          <w:numId w:val="1005"/>
        </w:numPr>
      </w:pPr>
      <w:r>
        <w:rPr>
          <w:b/>
          <w:bCs/>
        </w:rPr>
        <w:t xml:space="preserve">Resolve the off-site PCE plume classification (Toledo).</w:t>
      </w:r>
      <w:r>
        <w:t xml:space="preserve"> </w:t>
      </w:r>
      <w:r>
        <w:t xml:space="preserve">Direct Greenfield to supplement the Phase I ESA to evaluate and classify the Lake Erie Dry Cleaning PCE plume as a REC (or explain in writing why it is not), and to address the Lender’s explicit off-site-plume requirement before the Lender’s counsel review.</w:t>
      </w:r>
    </w:p>
    <w:p>
      <w:pPr>
        <w:numPr>
          <w:ilvl w:val="0"/>
          <w:numId w:val="1005"/>
        </w:numPr>
      </w:pPr>
      <w:r>
        <w:rPr>
          <w:b/>
          <w:bCs/>
        </w:rPr>
        <w:t xml:space="preserve">Pursue the open data gaps.</w:t>
      </w:r>
      <w:r>
        <w:t xml:space="preserve"> </w:t>
      </w:r>
      <w:r>
        <w:t xml:space="preserve">For Toledo: demand the seller’s 1961–1990 corporate and waste records and any 1965–2003 manifests; investigate monitoring well MW-1. For Dayton: obtain and review the Ohio EPA file response (1981 Central Valley Chemical enforcement; Triton Metals; Tank 3 closure correspondence) and supplement the Phase I ESA accordingly.</w:t>
      </w:r>
    </w:p>
    <w:p>
      <w:pPr>
        <w:numPr>
          <w:ilvl w:val="0"/>
          <w:numId w:val="1005"/>
        </w:numPr>
      </w:pPr>
      <w:r>
        <w:rPr>
          <w:b/>
          <w:bCs/>
        </w:rPr>
        <w:t xml:space="preserve">Confirm the scope of the Dayton 2011 VAP NFA letter.</w:t>
      </w:r>
      <w:r>
        <w:t xml:space="preserve"> </w:t>
      </w:r>
      <w:r>
        <w:t xml:space="preserve">Obtain the recorded NFA/covenant and supporting Phase II to determine whether Tank 3 (waste oil) and the Building 3 / Central Valley Chemical area are actually covered. If not, re-classify those conditions as open RECs.</w:t>
      </w:r>
    </w:p>
    <w:p>
      <w:pPr>
        <w:numPr>
          <w:ilvl w:val="0"/>
          <w:numId w:val="1005"/>
        </w:numPr>
      </w:pPr>
      <w:r>
        <w:rPr>
          <w:b/>
          <w:bCs/>
        </w:rPr>
        <w:t xml:space="preserve">Evaluate the Toledo termination right now.</w:t>
      </w:r>
      <w:r>
        <w:t xml:space="preserve"> </w:t>
      </w:r>
      <w:r>
        <w:t xml:space="preserve">Assess whether the likely remediation cost (informed by a rapid Phase II or a preliminary cost screen) could exceed $500,000, and exercise the § 6.3(b) termination right before October 31, 2024 if warranted; otherwise document the waiver and proceed with indemnity/insurance/escrow protections.</w:t>
      </w:r>
    </w:p>
    <w:p>
      <w:pPr>
        <w:numPr>
          <w:ilvl w:val="0"/>
          <w:numId w:val="1005"/>
        </w:numPr>
      </w:pPr>
      <w:r>
        <w:rPr>
          <w:b/>
          <w:bCs/>
        </w:rPr>
        <w:t xml:space="preserve">Address seller-representation inaccuracies (Toledo).</w:t>
      </w:r>
      <w:r>
        <w:t xml:space="preserve"> </w:t>
      </w:r>
      <w:r>
        <w:t xml:space="preserve">Raise the § 4.12 and § 4.13 discrepancies with counsel; consider seeking corrective disclosures, an amendment to Schedule 4.13 to add the two historical USTs, and/or an escrow/indemnity enhancement for the under-disclosed USTs.</w:t>
      </w:r>
    </w:p>
    <w:p>
      <w:pPr>
        <w:numPr>
          <w:ilvl w:val="0"/>
          <w:numId w:val="1005"/>
        </w:numPr>
      </w:pPr>
      <w:r>
        <w:rPr>
          <w:b/>
          <w:bCs/>
        </w:rPr>
        <w:t xml:space="preserve">Initiate PLL insurance and escrow arrangements (Toledo).</w:t>
      </w:r>
      <w:r>
        <w:t xml:space="preserve"> </w:t>
      </w:r>
      <w:r>
        <w:t xml:space="preserve">Begin underwriting for a ≥ $5,000,000, 10-year PLL policy with the Lender as additional insured/loss payee, and plan for a 125% environmental escrow if the most-likely estimate exceeds $250,000.</w:t>
      </w:r>
    </w:p>
    <w:p>
      <w:pPr>
        <w:pStyle w:val="FirstParagraph"/>
      </w:pPr>
      <w:r>
        <w:rPr>
          <w:b/>
          <w:bCs/>
        </w:rPr>
        <w:t xml:space="preserve">Near-term (pre-redevelopment):</w:t>
      </w:r>
    </w:p>
    <w:p>
      <w:pPr>
        <w:numPr>
          <w:ilvl w:val="0"/>
          <w:numId w:val="1006"/>
        </w:numPr>
      </w:pPr>
      <w:r>
        <w:rPr>
          <w:b/>
          <w:bCs/>
        </w:rPr>
        <w:t xml:space="preserve">Geophysical UST-locate surveys</w:t>
      </w:r>
      <w:r>
        <w:t xml:space="preserve"> </w:t>
      </w:r>
      <w:r>
        <w:t xml:space="preserve">for both properties to confirm whether the undocumented USTs (Toledo 2,000-gal waste-solvent and 500-gal heating-oil; Dayton Tank 3 area) remain in place.</w:t>
      </w:r>
    </w:p>
    <w:p>
      <w:pPr>
        <w:numPr>
          <w:ilvl w:val="0"/>
          <w:numId w:val="1006"/>
        </w:numPr>
      </w:pPr>
      <w:r>
        <w:rPr>
          <w:b/>
          <w:bCs/>
        </w:rPr>
        <w:t xml:space="preserve">ACM and lead-based paint surveys</w:t>
      </w:r>
      <w:r>
        <w:t xml:space="preserve"> </w:t>
      </w:r>
      <w:r>
        <w:t xml:space="preserve">before any renovation or demolition, given the building ages and the planned redevelopment at both properties.</w:t>
      </w:r>
    </w:p>
    <w:p>
      <w:pPr>
        <w:numPr>
          <w:ilvl w:val="0"/>
          <w:numId w:val="1006"/>
        </w:numPr>
      </w:pPr>
      <w:r>
        <w:rPr>
          <w:b/>
          <w:bCs/>
        </w:rPr>
        <w:t xml:space="preserve">Remove and characterize the partially buried drum</w:t>
      </w:r>
      <w:r>
        <w:t xml:space="preserve"> </w:t>
      </w:r>
      <w:r>
        <w:t xml:space="preserve">at the Dayton northwest boundary (D-5) and confirm PCB status of the unlabeled Building 3 transformer (D-8).</w:t>
      </w:r>
    </w:p>
    <w:p>
      <w:pPr>
        <w:numPr>
          <w:ilvl w:val="0"/>
          <w:numId w:val="1006"/>
        </w:numPr>
      </w:pPr>
      <w:r>
        <w:rPr>
          <w:b/>
          <w:bCs/>
        </w:rPr>
        <w:t xml:space="preserve">Confirm continuing-obligation / AUL compliance</w:t>
      </w:r>
      <w:r>
        <w:t xml:space="preserve"> </w:t>
      </w:r>
      <w:r>
        <w:t xml:space="preserve">for the Dayton Parcel A VAP NFA (commercial/industrial use restriction) and document BFPP continuing obligations for both properties post-closing.</w:t>
      </w:r>
    </w:p>
    <w:p>
      <w:r>
        <w:pict>
          <v:rect style="width:0;height:1.5pt" o:hralign="center" o:hrstd="t" o:hr="t"/>
        </w:pict>
      </w:r>
    </w:p>
    <w:bookmarkEnd w:id="37"/>
    <w:bookmarkStart w:id="38" w:name="Xc80f0af82ba2b60e3efbbf13d0f4005325fe079"/>
    <w:p>
      <w:pPr>
        <w:pStyle w:val="Heading2"/>
      </w:pPr>
      <w:r>
        <w:t xml:space="preserve">9. Consolidated Issues Table with Severity Ratings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Property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Source</w:t>
            </w:r>
          </w:p>
        </w:tc>
      </w:tr>
      <w:tr>
        <w:tc>
          <w:tcPr/>
          <w:p>
            <w:pPr>
              <w:pStyle w:val="Compact"/>
              <w:jc w:val="left"/>
            </w:pPr>
            <w:r>
              <w:t xml:space="preserve">T-1</w:t>
            </w:r>
          </w:p>
        </w:tc>
        <w:tc>
          <w:tcPr/>
          <w:p>
            <w:pPr>
              <w:pStyle w:val="Compact"/>
              <w:jc w:val="left"/>
            </w:pPr>
            <w:r>
              <w:t xml:space="preserve">Toledo</w:t>
            </w:r>
          </w:p>
        </w:tc>
        <w:tc>
          <w:tcPr/>
          <w:p>
            <w:pPr>
              <w:pStyle w:val="Compact"/>
              <w:jc w:val="left"/>
            </w:pPr>
            <w:r>
              <w:t xml:space="preserve">Former TCE vapor degreasing (1961–1992); PID 42.3 ppm at floor crack; no closure documentation; abandoned leaking waste-TCE drum; 1988 solvent spill</w:t>
            </w:r>
          </w:p>
        </w:tc>
        <w:tc>
          <w:tcPr/>
          <w:p>
            <w:pPr>
              <w:pStyle w:val="Compact"/>
              <w:jc w:val="left"/>
            </w:pPr>
            <w:r>
              <w:rPr>
                <w:b/>
                <w:bCs/>
              </w:rPr>
              <w:t xml:space="preserve">Critical</w:t>
            </w:r>
          </w:p>
        </w:tc>
        <w:tc>
          <w:tcPr/>
          <w:p>
            <w:pPr>
              <w:pStyle w:val="Compact"/>
              <w:jc w:val="left"/>
            </w:pPr>
            <w:r>
              <w:t xml:space="preserve">Phase I ESA §9.1; Toledo Fire Dept.</w:t>
            </w:r>
          </w:p>
        </w:tc>
      </w:tr>
      <w:tr>
        <w:tc>
          <w:tcPr/>
          <w:p>
            <w:pPr>
              <w:pStyle w:val="Compact"/>
              <w:jc w:val="left"/>
            </w:pPr>
            <w:r>
              <w:t xml:space="preserve">T-2</w:t>
            </w:r>
          </w:p>
        </w:tc>
        <w:tc>
          <w:tcPr/>
          <w:p>
            <w:pPr>
              <w:pStyle w:val="Compact"/>
              <w:jc w:val="left"/>
            </w:pPr>
            <w:r>
              <w:t xml:space="preserve">Toledo</w:t>
            </w:r>
          </w:p>
        </w:tc>
        <w:tc>
          <w:tcPr/>
          <w:p>
            <w:pPr>
              <w:pStyle w:val="Compact"/>
              <w:jc w:val="left"/>
            </w:pPr>
            <w:r>
              <w:t xml:space="preserve">Former hexavalent-chromium/nickel electroplating (1965–2004); blue-green staining; sump with sheen; no manifests for 39 yrs; 2003 NOV</w:t>
            </w:r>
          </w:p>
        </w:tc>
        <w:tc>
          <w:tcPr/>
          <w:p>
            <w:pPr>
              <w:pStyle w:val="Compact"/>
              <w:jc w:val="left"/>
            </w:pPr>
            <w:r>
              <w:rPr>
                <w:b/>
                <w:bCs/>
              </w:rPr>
              <w:t xml:space="preserve">High</w:t>
            </w:r>
          </w:p>
        </w:tc>
        <w:tc>
          <w:tcPr/>
          <w:p>
            <w:pPr>
              <w:pStyle w:val="Compact"/>
              <w:jc w:val="left"/>
            </w:pPr>
            <w:r>
              <w:t xml:space="preserve">Phase I ESA §9.1; Ohio EPA response</w:t>
            </w:r>
          </w:p>
        </w:tc>
      </w:tr>
      <w:tr>
        <w:tc>
          <w:tcPr/>
          <w:p>
            <w:pPr>
              <w:pStyle w:val="Compact"/>
              <w:jc w:val="left"/>
            </w:pPr>
            <w:r>
              <w:t xml:space="preserve">T-3</w:t>
            </w:r>
          </w:p>
        </w:tc>
        <w:tc>
          <w:tcPr/>
          <w:p>
            <w:pPr>
              <w:pStyle w:val="Compact"/>
              <w:jc w:val="left"/>
            </w:pPr>
            <w:r>
              <w:t xml:space="preserve">Toledo</w:t>
            </w:r>
          </w:p>
        </w:tc>
        <w:tc>
          <w:tcPr/>
          <w:p>
            <w:pPr>
              <w:pStyle w:val="Compact"/>
              <w:jc w:val="left"/>
            </w:pPr>
            <w:r>
              <w:t xml:space="preserve">Upgradient Lake Erie Dry Cleaning PCE plume (87 µg/L, 17.4× standard, 120 ft away, migrating toward Property); Property within GMZ; not classified as REC despite Lender requirement</w:t>
            </w:r>
          </w:p>
        </w:tc>
        <w:tc>
          <w:tcPr/>
          <w:p>
            <w:pPr>
              <w:pStyle w:val="Compact"/>
              <w:jc w:val="left"/>
            </w:pPr>
            <w:r>
              <w:rPr>
                <w:b/>
                <w:bCs/>
              </w:rPr>
              <w:t xml:space="preserve">Critical</w:t>
            </w:r>
          </w:p>
        </w:tc>
        <w:tc>
          <w:tcPr/>
          <w:p>
            <w:pPr>
              <w:pStyle w:val="Compact"/>
              <w:jc w:val="left"/>
            </w:pPr>
            <w:r>
              <w:t xml:space="preserve">Phase I ESA §5.1.1; Ohio EPA response; EDR; Lender letter §2</w:t>
            </w:r>
          </w:p>
        </w:tc>
      </w:tr>
      <w:tr>
        <w:tc>
          <w:tcPr/>
          <w:p>
            <w:pPr>
              <w:pStyle w:val="Compact"/>
              <w:jc w:val="left"/>
            </w:pPr>
            <w:r>
              <w:t xml:space="preserve">T-4</w:t>
            </w:r>
          </w:p>
        </w:tc>
        <w:tc>
          <w:tcPr/>
          <w:p>
            <w:pPr>
              <w:pStyle w:val="Compact"/>
              <w:jc w:val="left"/>
            </w:pPr>
            <w:r>
              <w:t xml:space="preserve">Toledo</w:t>
            </w:r>
          </w:p>
        </w:tc>
        <w:tc>
          <w:tcPr/>
          <w:p>
            <w:pPr>
              <w:pStyle w:val="Compact"/>
              <w:jc w:val="left"/>
            </w:pPr>
            <w:r>
              <w:t xml:space="preserve">2,000-gal waste-solvent UST (1987 Sanborn); no BUSTR registration or closure records; may remain in place; under-classified</w:t>
            </w:r>
          </w:p>
        </w:tc>
        <w:tc>
          <w:tcPr/>
          <w:p>
            <w:pPr>
              <w:pStyle w:val="Compact"/>
              <w:jc w:val="left"/>
            </w:pPr>
            <w:r>
              <w:rPr>
                <w:b/>
                <w:bCs/>
              </w:rPr>
              <w:t xml:space="preserve">High</w:t>
            </w:r>
          </w:p>
        </w:tc>
        <w:tc>
          <w:tcPr/>
          <w:p>
            <w:pPr>
              <w:pStyle w:val="Compact"/>
              <w:jc w:val="left"/>
            </w:pPr>
            <w:r>
              <w:t xml:space="preserve">Phase I ESA §6.2.2; Ohio EPA response; EDR</w:t>
            </w:r>
          </w:p>
        </w:tc>
      </w:tr>
      <w:tr>
        <w:tc>
          <w:tcPr/>
          <w:p>
            <w:pPr>
              <w:pStyle w:val="Compact"/>
              <w:jc w:val="left"/>
            </w:pPr>
            <w:r>
              <w:t xml:space="preserve">T-5</w:t>
            </w:r>
          </w:p>
        </w:tc>
        <w:tc>
          <w:tcPr/>
          <w:p>
            <w:pPr>
              <w:pStyle w:val="Compact"/>
              <w:jc w:val="left"/>
            </w:pPr>
            <w:r>
              <w:t xml:space="preserve">Toledo</w:t>
            </w:r>
          </w:p>
        </w:tc>
        <w:tc>
          <w:tcPr/>
          <w:p>
            <w:pPr>
              <w:pStyle w:val="Compact"/>
              <w:jc w:val="left"/>
            </w:pPr>
            <w:r>
              <w:t xml:space="preserve">Former outdoor drum-storage area (east side); stressed vegetation; 1990/2000 aerial drum storage; 2003 NOV leaking drums</w:t>
            </w:r>
          </w:p>
        </w:tc>
        <w:tc>
          <w:tcPr/>
          <w:p>
            <w:pPr>
              <w:pStyle w:val="Compact"/>
              <w:jc w:val="left"/>
            </w:pPr>
            <w:r>
              <w:rPr>
                <w:b/>
                <w:bCs/>
              </w:rPr>
              <w:t xml:space="preserve">High</w:t>
            </w:r>
          </w:p>
        </w:tc>
        <w:tc>
          <w:tcPr/>
          <w:p>
            <w:pPr>
              <w:pStyle w:val="Compact"/>
              <w:jc w:val="left"/>
            </w:pPr>
            <w:r>
              <w:t xml:space="preserve">Phase I ESA §6.2.4; Ohio EPA response</w:t>
            </w:r>
          </w:p>
        </w:tc>
      </w:tr>
      <w:tr>
        <w:tc>
          <w:tcPr/>
          <w:p>
            <w:pPr>
              <w:pStyle w:val="Compact"/>
              <w:jc w:val="left"/>
            </w:pPr>
            <w:r>
              <w:t xml:space="preserve">T-6</w:t>
            </w:r>
          </w:p>
        </w:tc>
        <w:tc>
          <w:tcPr/>
          <w:p>
            <w:pPr>
              <w:pStyle w:val="Compact"/>
              <w:jc w:val="left"/>
            </w:pPr>
            <w:r>
              <w:t xml:space="preserve">Toledo</w:t>
            </w:r>
          </w:p>
        </w:tc>
        <w:tc>
          <w:tcPr/>
          <w:p>
            <w:pPr>
              <w:pStyle w:val="Compact"/>
              <w:jc w:val="left"/>
            </w:pPr>
            <w:r>
              <w:t xml:space="preserve">Seller §4.13 UST rep breach — Schedule 4.13 omits 2,000-gal waste-solvent and 500-gal heating-oil USTs</w:t>
            </w:r>
          </w:p>
        </w:tc>
        <w:tc>
          <w:tcPr/>
          <w:p>
            <w:pPr>
              <w:pStyle w:val="Compact"/>
              <w:jc w:val="left"/>
            </w:pPr>
            <w:r>
              <w:rPr>
                <w:b/>
                <w:bCs/>
              </w:rPr>
              <w:t xml:space="preserve">High</w:t>
            </w:r>
          </w:p>
        </w:tc>
        <w:tc>
          <w:tcPr/>
          <w:p>
            <w:pPr>
              <w:pStyle w:val="Compact"/>
              <w:jc w:val="left"/>
            </w:pPr>
            <w:r>
              <w:t xml:space="preserve">APA §4.13, Sch. 4.13; Sanborn maps</w:t>
            </w:r>
          </w:p>
        </w:tc>
      </w:tr>
      <w:tr>
        <w:tc>
          <w:tcPr/>
          <w:p>
            <w:pPr>
              <w:pStyle w:val="Compact"/>
              <w:jc w:val="left"/>
            </w:pPr>
            <w:r>
              <w:t xml:space="preserve">T-7</w:t>
            </w:r>
          </w:p>
        </w:tc>
        <w:tc>
          <w:tcPr/>
          <w:p>
            <w:pPr>
              <w:pStyle w:val="Compact"/>
              <w:jc w:val="left"/>
            </w:pPr>
            <w:r>
              <w:t xml:space="preserve">Toledo</w:t>
            </w:r>
          </w:p>
        </w:tc>
        <w:tc>
          <w:tcPr/>
          <w:p>
            <w:pPr>
              <w:pStyle w:val="Compact"/>
              <w:jc w:val="left"/>
            </w:pPr>
            <w:r>
              <w:t xml:space="preserve">Seller §4.12 environmental rep breach —</w:t>
            </w:r>
            <w:r>
              <w:t xml:space="preserve"> </w:t>
            </w:r>
            <w:r>
              <w:t xml:space="preserve">“</w:t>
            </w:r>
            <w:r>
              <w:t xml:space="preserve">no releases</w:t>
            </w:r>
            <w:r>
              <w:t xml:space="preserve">”</w:t>
            </w:r>
            <w:r>
              <w:t xml:space="preserve">/</w:t>
            </w:r>
            <w:r>
              <w:t xml:space="preserve">“</w:t>
            </w:r>
            <w:r>
              <w:t xml:space="preserve">no Environmental Notice</w:t>
            </w:r>
            <w:r>
              <w:t xml:space="preserve">”</w:t>
            </w:r>
            <w:r>
              <w:t xml:space="preserve"> </w:t>
            </w:r>
            <w:r>
              <w:t xml:space="preserve">contradicted by 1988 spill and 2003 NOV</w:t>
            </w:r>
          </w:p>
        </w:tc>
        <w:tc>
          <w:tcPr/>
          <w:p>
            <w:pPr>
              <w:pStyle w:val="Compact"/>
              <w:jc w:val="left"/>
            </w:pPr>
            <w:r>
              <w:rPr>
                <w:b/>
                <w:bCs/>
              </w:rPr>
              <w:t xml:space="preserve">High</w:t>
            </w:r>
          </w:p>
        </w:tc>
        <w:tc>
          <w:tcPr/>
          <w:p>
            <w:pPr>
              <w:pStyle w:val="Compact"/>
              <w:jc w:val="left"/>
            </w:pPr>
            <w:r>
              <w:t xml:space="preserve">APA §4.12; Ohio EPA response; Toledo Fire Dept.</w:t>
            </w:r>
          </w:p>
        </w:tc>
      </w:tr>
      <w:tr>
        <w:tc>
          <w:tcPr/>
          <w:p>
            <w:pPr>
              <w:pStyle w:val="Compact"/>
              <w:jc w:val="left"/>
            </w:pPr>
            <w:r>
              <w:t xml:space="preserve">T-8</w:t>
            </w:r>
          </w:p>
        </w:tc>
        <w:tc>
          <w:tcPr/>
          <w:p>
            <w:pPr>
              <w:pStyle w:val="Compact"/>
              <w:jc w:val="left"/>
            </w:pPr>
            <w:r>
              <w:t xml:space="preserve">Toledo</w:t>
            </w:r>
          </w:p>
        </w:tc>
        <w:tc>
          <w:tcPr/>
          <w:p>
            <w:pPr>
              <w:pStyle w:val="Compact"/>
              <w:jc w:val="left"/>
            </w:pPr>
            <w:r>
              <w:t xml:space="preserve">Unexplained, damaged monitoring well MW-1 (NE boundary); no records; suggests undisclosed prior investigation</w:t>
            </w:r>
          </w:p>
        </w:tc>
        <w:tc>
          <w:tcPr/>
          <w:p>
            <w:pPr>
              <w:pStyle w:val="Compact"/>
              <w:jc w:val="left"/>
            </w:pPr>
            <w:r>
              <w:rPr>
                <w:b/>
                <w:bCs/>
              </w:rPr>
              <w:t xml:space="preserve">Medium</w:t>
            </w:r>
          </w:p>
        </w:tc>
        <w:tc>
          <w:tcPr/>
          <w:p>
            <w:pPr>
              <w:pStyle w:val="Compact"/>
              <w:jc w:val="left"/>
            </w:pPr>
            <w:r>
              <w:t xml:space="preserve">Phase I ESA §6.2.5</w:t>
            </w:r>
          </w:p>
        </w:tc>
      </w:tr>
      <w:tr>
        <w:tc>
          <w:tcPr/>
          <w:p>
            <w:pPr>
              <w:pStyle w:val="Compact"/>
              <w:jc w:val="left"/>
            </w:pPr>
            <w:r>
              <w:t xml:space="preserve">T-9</w:t>
            </w:r>
          </w:p>
        </w:tc>
        <w:tc>
          <w:tcPr/>
          <w:p>
            <w:pPr>
              <w:pStyle w:val="Compact"/>
              <w:jc w:val="left"/>
            </w:pPr>
            <w:r>
              <w:t xml:space="preserve">Toledo</w:t>
            </w:r>
          </w:p>
        </w:tc>
        <w:tc>
          <w:tcPr/>
          <w:p>
            <w:pPr>
              <w:pStyle w:val="Compact"/>
              <w:jc w:val="left"/>
            </w:pPr>
            <w:r>
              <w:t xml:space="preserve">500-gal Halstead farmhouse heating-oil UST (HREC-1); no closure docs; status unknown</w:t>
            </w:r>
          </w:p>
        </w:tc>
        <w:tc>
          <w:tcPr/>
          <w:p>
            <w:pPr>
              <w:pStyle w:val="Compact"/>
              <w:jc w:val="left"/>
            </w:pPr>
            <w:r>
              <w:rPr>
                <w:b/>
                <w:bCs/>
              </w:rPr>
              <w:t xml:space="preserve">Low</w:t>
            </w:r>
          </w:p>
        </w:tc>
        <w:tc>
          <w:tcPr/>
          <w:p>
            <w:pPr>
              <w:pStyle w:val="Compact"/>
              <w:jc w:val="left"/>
            </w:pPr>
            <w:r>
              <w:t xml:space="preserve">Phase I ESA §9.3; EDR</w:t>
            </w:r>
          </w:p>
        </w:tc>
      </w:tr>
      <w:tr>
        <w:tc>
          <w:tcPr/>
          <w:p>
            <w:pPr>
              <w:pStyle w:val="Compact"/>
              <w:jc w:val="left"/>
            </w:pPr>
            <w:r>
              <w:t xml:space="preserve">T-10</w:t>
            </w:r>
          </w:p>
        </w:tc>
        <w:tc>
          <w:tcPr/>
          <w:p>
            <w:pPr>
              <w:pStyle w:val="Compact"/>
              <w:jc w:val="left"/>
            </w:pPr>
            <w:r>
              <w:t xml:space="preserve">Toledo</w:t>
            </w:r>
          </w:p>
        </w:tc>
        <w:tc>
          <w:tcPr/>
          <w:p>
            <w:pPr>
              <w:pStyle w:val="Compact"/>
              <w:jc w:val="left"/>
            </w:pPr>
            <w:r>
              <w:t xml:space="preserve">Data gap — hazardous-waste disposal records 1965–2003 (only 2004 manifests)</w:t>
            </w:r>
          </w:p>
        </w:tc>
        <w:tc>
          <w:tcPr/>
          <w:p>
            <w:pPr>
              <w:pStyle w:val="Compact"/>
              <w:jc w:val="left"/>
            </w:pPr>
            <w:r>
              <w:rPr>
                <w:b/>
                <w:bCs/>
              </w:rPr>
              <w:t xml:space="preserve">Medium</w:t>
            </w:r>
          </w:p>
        </w:tc>
        <w:tc>
          <w:tcPr/>
          <w:p>
            <w:pPr>
              <w:pStyle w:val="Compact"/>
              <w:jc w:val="left"/>
            </w:pPr>
            <w:r>
              <w:t xml:space="preserve">Phase I ESA §8.0; Ohio EPA response</w:t>
            </w:r>
          </w:p>
        </w:tc>
      </w:tr>
      <w:tr>
        <w:tc>
          <w:tcPr/>
          <w:p>
            <w:pPr>
              <w:pStyle w:val="Compact"/>
              <w:jc w:val="left"/>
            </w:pPr>
            <w:r>
              <w:t xml:space="preserve">T-11</w:t>
            </w:r>
          </w:p>
        </w:tc>
        <w:tc>
          <w:tcPr/>
          <w:p>
            <w:pPr>
              <w:pStyle w:val="Compact"/>
              <w:jc w:val="left"/>
            </w:pPr>
            <w:r>
              <w:t xml:space="preserve">Toledo</w:t>
            </w:r>
          </w:p>
        </w:tc>
        <w:tc>
          <w:tcPr/>
          <w:p>
            <w:pPr>
              <w:pStyle w:val="Compact"/>
              <w:jc w:val="left"/>
            </w:pPr>
            <w:r>
              <w:t xml:space="preserve">Data gap — corporate records 1961–1990 withheld by seller</w:t>
            </w:r>
          </w:p>
        </w:tc>
        <w:tc>
          <w:tcPr/>
          <w:p>
            <w:pPr>
              <w:pStyle w:val="Compact"/>
              <w:jc w:val="left"/>
            </w:pPr>
            <w:r>
              <w:rPr>
                <w:b/>
                <w:bCs/>
              </w:rPr>
              <w:t xml:space="preserve">Medium</w:t>
            </w:r>
          </w:p>
        </w:tc>
        <w:tc>
          <w:tcPr/>
          <w:p>
            <w:pPr>
              <w:pStyle w:val="Compact"/>
              <w:jc w:val="left"/>
            </w:pPr>
            <w:r>
              <w:t xml:space="preserve">Phase I ESA §8.0</w:t>
            </w:r>
          </w:p>
        </w:tc>
      </w:tr>
      <w:tr>
        <w:tc>
          <w:tcPr/>
          <w:p>
            <w:pPr>
              <w:pStyle w:val="Compact"/>
              <w:jc w:val="left"/>
            </w:pPr>
            <w:r>
              <w:t xml:space="preserve">T-12</w:t>
            </w:r>
          </w:p>
        </w:tc>
        <w:tc>
          <w:tcPr/>
          <w:p>
            <w:pPr>
              <w:pStyle w:val="Compact"/>
              <w:jc w:val="left"/>
            </w:pPr>
            <w:r>
              <w:t xml:space="preserve">Toledo</w:t>
            </w:r>
          </w:p>
        </w:tc>
        <w:tc>
          <w:tcPr/>
          <w:p>
            <w:pPr>
              <w:pStyle w:val="Compact"/>
              <w:jc w:val="left"/>
            </w:pPr>
            <w:r>
              <w:t xml:space="preserve">Vapor-intrusion risk (TCE on-site + PCE off-site); Lender requires VIA</w:t>
            </w:r>
          </w:p>
        </w:tc>
        <w:tc>
          <w:tcPr/>
          <w:p>
            <w:pPr>
              <w:pStyle w:val="Compact"/>
              <w:jc w:val="left"/>
            </w:pPr>
            <w:r>
              <w:rPr>
                <w:b/>
                <w:bCs/>
              </w:rPr>
              <w:t xml:space="preserve">High</w:t>
            </w:r>
          </w:p>
        </w:tc>
        <w:tc>
          <w:tcPr/>
          <w:p>
            <w:pPr>
              <w:pStyle w:val="Compact"/>
              <w:jc w:val="left"/>
            </w:pPr>
            <w:r>
              <w:t xml:space="preserve">Lender letter §3.B.5; Phase I ESA</w:t>
            </w:r>
          </w:p>
        </w:tc>
      </w:tr>
      <w:tr>
        <w:tc>
          <w:tcPr/>
          <w:p>
            <w:pPr>
              <w:pStyle w:val="Compact"/>
              <w:jc w:val="left"/>
            </w:pPr>
            <w:r>
              <w:t xml:space="preserve">T-13</w:t>
            </w:r>
          </w:p>
        </w:tc>
        <w:tc>
          <w:tcPr/>
          <w:p>
            <w:pPr>
              <w:pStyle w:val="Compact"/>
              <w:jc w:val="left"/>
            </w:pPr>
            <w:r>
              <w:t xml:space="preserve">Toledo</w:t>
            </w:r>
          </w:p>
        </w:tc>
        <w:tc>
          <w:tcPr/>
          <w:p>
            <w:pPr>
              <w:pStyle w:val="Compact"/>
              <w:jc w:val="left"/>
            </w:pPr>
            <w:r>
              <w:t xml:space="preserve">Lender-compliance deficiency — off-site PCE plume not flagged as REC per Lender’s express requirement</w:t>
            </w:r>
          </w:p>
        </w:tc>
        <w:tc>
          <w:tcPr/>
          <w:p>
            <w:pPr>
              <w:pStyle w:val="Compact"/>
              <w:jc w:val="left"/>
            </w:pPr>
            <w:r>
              <w:rPr>
                <w:b/>
                <w:bCs/>
              </w:rPr>
              <w:t xml:space="preserve">High</w:t>
            </w:r>
          </w:p>
        </w:tc>
        <w:tc>
          <w:tcPr/>
          <w:p>
            <w:pPr>
              <w:pStyle w:val="Compact"/>
              <w:jc w:val="left"/>
            </w:pPr>
            <w:r>
              <w:t xml:space="preserve">Lender letter §2; Phase I ESA</w:t>
            </w:r>
          </w:p>
        </w:tc>
      </w:tr>
      <w:tr>
        <w:tc>
          <w:tcPr/>
          <w:p>
            <w:pPr>
              <w:pStyle w:val="Compact"/>
              <w:jc w:val="left"/>
            </w:pPr>
            <w:r>
              <w:t xml:space="preserve">T-14</w:t>
            </w:r>
          </w:p>
        </w:tc>
        <w:tc>
          <w:tcPr/>
          <w:p>
            <w:pPr>
              <w:pStyle w:val="Compact"/>
              <w:jc w:val="left"/>
            </w:pPr>
            <w:r>
              <w:t xml:space="preserve">Toledo</w:t>
            </w:r>
          </w:p>
        </w:tc>
        <w:tc>
          <w:tcPr/>
          <w:p>
            <w:pPr>
              <w:pStyle w:val="Compact"/>
              <w:jc w:val="left"/>
            </w:pPr>
            <w:r>
              <w:t xml:space="preserve">Transaction-timeline risk — termination deadline Oct 31, 2024; Phase II/PLL/escrow due Nov 30, 2024</w:t>
            </w:r>
          </w:p>
        </w:tc>
        <w:tc>
          <w:tcPr/>
          <w:p>
            <w:pPr>
              <w:pStyle w:val="Compact"/>
              <w:jc w:val="left"/>
            </w:pPr>
            <w:r>
              <w:rPr>
                <w:b/>
                <w:bCs/>
              </w:rPr>
              <w:t xml:space="preserve">High</w:t>
            </w:r>
          </w:p>
        </w:tc>
        <w:tc>
          <w:tcPr/>
          <w:p>
            <w:pPr>
              <w:pStyle w:val="Compact"/>
              <w:jc w:val="left"/>
            </w:pPr>
            <w:r>
              <w:t xml:space="preserve">APA §6.3; Lender letter §5</w:t>
            </w:r>
          </w:p>
        </w:tc>
      </w:tr>
      <w:tr>
        <w:tc>
          <w:tcPr/>
          <w:p>
            <w:pPr>
              <w:pStyle w:val="Compact"/>
              <w:jc w:val="left"/>
            </w:pPr>
            <w:r>
              <w:t xml:space="preserve">T-15</w:t>
            </w:r>
          </w:p>
        </w:tc>
        <w:tc>
          <w:tcPr/>
          <w:p>
            <w:pPr>
              <w:pStyle w:val="Compact"/>
              <w:jc w:val="left"/>
            </w:pPr>
            <w:r>
              <w:t xml:space="preserve">Toledo</w:t>
            </w:r>
          </w:p>
        </w:tc>
        <w:tc>
          <w:tcPr/>
          <w:p>
            <w:pPr>
              <w:pStyle w:val="Compact"/>
              <w:jc w:val="left"/>
            </w:pPr>
            <w:r>
              <w:t xml:space="preserve">ACM / lead-based paint (buildings 1962/1972/1978/1985) — non-scope; relevant for redevelopment</w:t>
            </w:r>
          </w:p>
        </w:tc>
        <w:tc>
          <w:tcPr/>
          <w:p>
            <w:pPr>
              <w:pStyle w:val="Compact"/>
              <w:jc w:val="left"/>
            </w:pPr>
            <w:r>
              <w:rPr>
                <w:b/>
                <w:bCs/>
              </w:rPr>
              <w:t xml:space="preserve">Low</w:t>
            </w:r>
          </w:p>
        </w:tc>
        <w:tc>
          <w:tcPr/>
          <w:p>
            <w:pPr>
              <w:pStyle w:val="Compact"/>
              <w:jc w:val="left"/>
            </w:pPr>
            <w:r>
              <w:t xml:space="preserve">Phase I ESA (non-scope)</w:t>
            </w:r>
          </w:p>
        </w:tc>
      </w:tr>
      <w:tr>
        <w:tc>
          <w:tcPr/>
          <w:p>
            <w:pPr>
              <w:pStyle w:val="Compact"/>
              <w:jc w:val="left"/>
            </w:pPr>
            <w:r>
              <w:t xml:space="preserve">T-16</w:t>
            </w:r>
          </w:p>
        </w:tc>
        <w:tc>
          <w:tcPr/>
          <w:p>
            <w:pPr>
              <w:pStyle w:val="Compact"/>
              <w:jc w:val="left"/>
            </w:pPr>
            <w:r>
              <w:t xml:space="preserve">Toledo</w:t>
            </w:r>
          </w:p>
        </w:tc>
        <w:tc>
          <w:tcPr/>
          <w:p>
            <w:pPr>
              <w:pStyle w:val="Compact"/>
              <w:jc w:val="left"/>
            </w:pPr>
            <w:r>
              <w:t xml:space="preserve">PCB transformers — utility-owned pole-mounted; no PCB labels</w:t>
            </w:r>
          </w:p>
        </w:tc>
        <w:tc>
          <w:tcPr/>
          <w:p>
            <w:pPr>
              <w:pStyle w:val="Compact"/>
              <w:jc w:val="left"/>
            </w:pPr>
            <w:r>
              <w:rPr>
                <w:b/>
                <w:bCs/>
              </w:rPr>
              <w:t xml:space="preserve">Low</w:t>
            </w:r>
          </w:p>
        </w:tc>
        <w:tc>
          <w:tcPr/>
          <w:p>
            <w:pPr>
              <w:pStyle w:val="Compact"/>
              <w:jc w:val="left"/>
            </w:pPr>
            <w:r>
              <w:t xml:space="preserve">Phase I ESA §6.2.1</w:t>
            </w:r>
          </w:p>
        </w:tc>
      </w:tr>
      <w:tr>
        <w:tc>
          <w:tcPr/>
          <w:p>
            <w:pPr>
              <w:pStyle w:val="Compact"/>
              <w:jc w:val="left"/>
            </w:pPr>
            <w:r>
              <w:t xml:space="preserve">D-1</w:t>
            </w:r>
          </w:p>
        </w:tc>
        <w:tc>
          <w:tcPr/>
          <w:p>
            <w:pPr>
              <w:pStyle w:val="Compact"/>
              <w:jc w:val="left"/>
            </w:pPr>
            <w:r>
              <w:t xml:space="preserve">Dayton</w:t>
            </w:r>
          </w:p>
        </w:tc>
        <w:tc>
          <w:tcPr/>
          <w:p>
            <w:pPr>
              <w:pStyle w:val="Compact"/>
              <w:jc w:val="left"/>
            </w:pPr>
            <w:r>
              <w:t xml:space="preserve">Western yard former ASTs (Dayton Forge &amp; Die</w:t>
            </w:r>
            <w:r>
              <w:t xml:space="preserve"> </w:t>
            </w:r>
            <w:r>
              <w:t xml:space="preserve">“</w:t>
            </w:r>
            <w:r>
              <w:t xml:space="preserve">oil storage,</w:t>
            </w:r>
            <w:r>
              <w:t xml:space="preserve">”</w:t>
            </w:r>
            <w:r>
              <w:t xml:space="preserve"> </w:t>
            </w:r>
            <w:r>
              <w:t xml:space="preserve">1942–~1955); stressed vegetation + darkened soil ~40×60 ft</w:t>
            </w:r>
          </w:p>
        </w:tc>
        <w:tc>
          <w:tcPr/>
          <w:p>
            <w:pPr>
              <w:pStyle w:val="Compact"/>
              <w:jc w:val="left"/>
            </w:pPr>
            <w:r>
              <w:rPr>
                <w:b/>
                <w:bCs/>
              </w:rPr>
              <w:t xml:space="preserve">High</w:t>
            </w:r>
          </w:p>
        </w:tc>
        <w:tc>
          <w:tcPr/>
          <w:p>
            <w:pPr>
              <w:pStyle w:val="Compact"/>
              <w:jc w:val="left"/>
            </w:pPr>
            <w:r>
              <w:t xml:space="preserve">Phase I ESA §8.1.1</w:t>
            </w:r>
          </w:p>
        </w:tc>
      </w:tr>
      <w:tr>
        <w:tc>
          <w:tcPr/>
          <w:p>
            <w:pPr>
              <w:pStyle w:val="Compact"/>
              <w:jc w:val="left"/>
            </w:pPr>
            <w:r>
              <w:t xml:space="preserve">D-2</w:t>
            </w:r>
          </w:p>
        </w:tc>
        <w:tc>
          <w:tcPr/>
          <w:p>
            <w:pPr>
              <w:pStyle w:val="Compact"/>
              <w:jc w:val="left"/>
            </w:pPr>
            <w:r>
              <w:t xml:space="preserve">Dayton</w:t>
            </w:r>
          </w:p>
        </w:tc>
        <w:tc>
          <w:tcPr/>
          <w:p>
            <w:pPr>
              <w:pStyle w:val="Compact"/>
              <w:jc w:val="left"/>
            </w:pPr>
            <w:r>
              <w:t xml:space="preserve">Building 2 electroplating floor staining (hex Cr/nickel, active since 1987); ~15×20 ft; worn epoxy; floor drains to pretreatment</w:t>
            </w:r>
          </w:p>
        </w:tc>
        <w:tc>
          <w:tcPr/>
          <w:p>
            <w:pPr>
              <w:pStyle w:val="Compact"/>
              <w:jc w:val="left"/>
            </w:pPr>
            <w:r>
              <w:rPr>
                <w:b/>
                <w:bCs/>
              </w:rPr>
              <w:t xml:space="preserve">High</w:t>
            </w:r>
          </w:p>
        </w:tc>
        <w:tc>
          <w:tcPr/>
          <w:p>
            <w:pPr>
              <w:pStyle w:val="Compact"/>
              <w:jc w:val="left"/>
            </w:pPr>
            <w:r>
              <w:t xml:space="preserve">Phase I ESA §8.1.2</w:t>
            </w:r>
          </w:p>
        </w:tc>
      </w:tr>
      <w:tr>
        <w:tc>
          <w:tcPr/>
          <w:p>
            <w:pPr>
              <w:pStyle w:val="Compact"/>
              <w:jc w:val="left"/>
            </w:pPr>
            <w:r>
              <w:t xml:space="preserve">D-3</w:t>
            </w:r>
          </w:p>
        </w:tc>
        <w:tc>
          <w:tcPr/>
          <w:p>
            <w:pPr>
              <w:pStyle w:val="Compact"/>
              <w:jc w:val="left"/>
            </w:pPr>
            <w:r>
              <w:t xml:space="preserve">Dayton</w:t>
            </w:r>
          </w:p>
        </w:tc>
        <w:tc>
          <w:tcPr/>
          <w:p>
            <w:pPr>
              <w:pStyle w:val="Compact"/>
              <w:jc w:val="left"/>
            </w:pPr>
            <w:r>
              <w:t xml:space="preserve">Tank 3 (4,000-gal waste-oil UST) — through-wall perforation, stained/odorous soil, but analytical results</w:t>
            </w:r>
            <w:r>
              <w:t xml:space="preserve"> </w:t>
            </w:r>
            <w:r>
              <w:t xml:space="preserve">“</w:t>
            </w:r>
            <w:r>
              <w:t xml:space="preserve">pending,</w:t>
            </w:r>
            <w:r>
              <w:t xml:space="preserve">”</w:t>
            </w:r>
            <w:r>
              <w:t xml:space="preserve"> </w:t>
            </w:r>
            <w:r>
              <w:t xml:space="preserve">no supplemental report, no closure letter; 2011 VAP NFA described as</w:t>
            </w:r>
            <w:r>
              <w:t xml:space="preserve"> </w:t>
            </w:r>
            <w:r>
              <w:t xml:space="preserve">“</w:t>
            </w:r>
            <w:r>
              <w:t xml:space="preserve">diesel UST area</w:t>
            </w:r>
            <w:r>
              <w:t xml:space="preserve">”</w:t>
            </w:r>
            <w:r>
              <w:t xml:space="preserve"> </w:t>
            </w:r>
            <w:r>
              <w:t xml:space="preserve">— may not cover Tank 3</w:t>
            </w:r>
          </w:p>
        </w:tc>
        <w:tc>
          <w:tcPr/>
          <w:p>
            <w:pPr>
              <w:pStyle w:val="Compact"/>
              <w:jc w:val="left"/>
            </w:pPr>
            <w:r>
              <w:rPr>
                <w:b/>
                <w:bCs/>
              </w:rPr>
              <w:t xml:space="preserve">High</w:t>
            </w:r>
          </w:p>
        </w:tc>
        <w:tc>
          <w:tcPr/>
          <w:p>
            <w:pPr>
              <w:pStyle w:val="Compact"/>
              <w:jc w:val="left"/>
            </w:pPr>
            <w:r>
              <w:t xml:space="preserve">UST Closure Report §3.3, 5.5, 6.0; Phase I ESA §5.2.5, 8.3.1</w:t>
            </w:r>
          </w:p>
        </w:tc>
      </w:tr>
      <w:tr>
        <w:tc>
          <w:tcPr/>
          <w:p>
            <w:pPr>
              <w:pStyle w:val="Compact"/>
              <w:jc w:val="left"/>
            </w:pPr>
            <w:r>
              <w:t xml:space="preserve">D-4</w:t>
            </w:r>
          </w:p>
        </w:tc>
        <w:tc>
          <w:tcPr/>
          <w:p>
            <w:pPr>
              <w:pStyle w:val="Compact"/>
              <w:jc w:val="left"/>
            </w:pPr>
            <w:r>
              <w:t xml:space="preserve">Dayton</w:t>
            </w:r>
          </w:p>
        </w:tc>
        <w:tc>
          <w:tcPr/>
          <w:p>
            <w:pPr>
              <w:pStyle w:val="Compact"/>
              <w:jc w:val="left"/>
            </w:pPr>
            <w:r>
              <w:t xml:space="preserve">Former Central Valley Chemical (Building 3, 1975–1981); chlorinated solvents; 1981 Ohio EPA enforcement; 100+ outdoor drums (1971 aerial); floor deterioration; dock staining; 2011 VAP NFA covers Parcel A only — HREC classification may be unsupported</w:t>
            </w:r>
          </w:p>
        </w:tc>
        <w:tc>
          <w:tcPr/>
          <w:p>
            <w:pPr>
              <w:pStyle w:val="Compact"/>
              <w:jc w:val="left"/>
            </w:pPr>
            <w:r>
              <w:rPr>
                <w:b/>
                <w:bCs/>
              </w:rPr>
              <w:t xml:space="preserve">High</w:t>
            </w:r>
          </w:p>
        </w:tc>
        <w:tc>
          <w:tcPr/>
          <w:p>
            <w:pPr>
              <w:pStyle w:val="Compact"/>
              <w:jc w:val="left"/>
            </w:pPr>
            <w:r>
              <w:t xml:space="preserve">Phase I ESA §8.3.2, §5.2.5; UST Closure Report</w:t>
            </w:r>
          </w:p>
        </w:tc>
      </w:tr>
      <w:tr>
        <w:tc>
          <w:tcPr/>
          <w:p>
            <w:pPr>
              <w:pStyle w:val="Compact"/>
              <w:jc w:val="left"/>
            </w:pPr>
            <w:r>
              <w:t xml:space="preserve">D-5</w:t>
            </w:r>
          </w:p>
        </w:tc>
        <w:tc>
          <w:tcPr/>
          <w:p>
            <w:pPr>
              <w:pStyle w:val="Compact"/>
              <w:jc w:val="left"/>
            </w:pPr>
            <w:r>
              <w:t xml:space="preserve">Dayton</w:t>
            </w:r>
          </w:p>
        </w:tc>
        <w:tc>
          <w:tcPr/>
          <w:p>
            <w:pPr>
              <w:pStyle w:val="Compact"/>
              <w:jc w:val="left"/>
            </w:pPr>
            <w:r>
              <w:t xml:space="preserve">Partially buried 55-gal drum (NW boundary); corroded; no label; unknown contents; owner unaware of origin</w:t>
            </w:r>
          </w:p>
        </w:tc>
        <w:tc>
          <w:tcPr/>
          <w:p>
            <w:pPr>
              <w:pStyle w:val="Compact"/>
              <w:jc w:val="left"/>
            </w:pPr>
            <w:r>
              <w:rPr>
                <w:b/>
                <w:bCs/>
              </w:rPr>
              <w:t xml:space="preserve">Medium</w:t>
            </w:r>
          </w:p>
        </w:tc>
        <w:tc>
          <w:tcPr/>
          <w:p>
            <w:pPr>
              <w:pStyle w:val="Compact"/>
              <w:jc w:val="left"/>
            </w:pPr>
            <w:r>
              <w:t xml:space="preserve">Phase I ESA §6.3.3</w:t>
            </w:r>
          </w:p>
        </w:tc>
      </w:tr>
      <w:tr>
        <w:tc>
          <w:tcPr/>
          <w:p>
            <w:pPr>
              <w:pStyle w:val="Compact"/>
              <w:jc w:val="left"/>
            </w:pPr>
            <w:r>
              <w:t xml:space="preserve">D-6</w:t>
            </w:r>
          </w:p>
        </w:tc>
        <w:tc>
          <w:tcPr/>
          <w:p>
            <w:pPr>
              <w:pStyle w:val="Compact"/>
              <w:jc w:val="left"/>
            </w:pPr>
            <w:r>
              <w:t xml:space="preserve">Dayton</w:t>
            </w:r>
          </w:p>
        </w:tc>
        <w:tc>
          <w:tcPr/>
          <w:p>
            <w:pPr>
              <w:pStyle w:val="Compact"/>
              <w:jc w:val="left"/>
            </w:pPr>
            <w:r>
              <w:t xml:space="preserve">Building 3 exterior loading-dock staining (8×12 ft, petroleum sheen) at 1971 drum-storage location</w:t>
            </w:r>
          </w:p>
        </w:tc>
        <w:tc>
          <w:tcPr/>
          <w:p>
            <w:pPr>
              <w:pStyle w:val="Compact"/>
              <w:jc w:val="left"/>
            </w:pPr>
            <w:r>
              <w:rPr>
                <w:b/>
                <w:bCs/>
              </w:rPr>
              <w:t xml:space="preserve">Medium</w:t>
            </w:r>
          </w:p>
        </w:tc>
        <w:tc>
          <w:tcPr/>
          <w:p>
            <w:pPr>
              <w:pStyle w:val="Compact"/>
              <w:jc w:val="left"/>
            </w:pPr>
            <w:r>
              <w:t xml:space="preserve">Phase I ESA §6.3.4</w:t>
            </w:r>
          </w:p>
        </w:tc>
      </w:tr>
      <w:tr>
        <w:tc>
          <w:tcPr/>
          <w:p>
            <w:pPr>
              <w:pStyle w:val="Compact"/>
              <w:jc w:val="left"/>
            </w:pPr>
            <w:r>
              <w:t xml:space="preserve">D-7</w:t>
            </w:r>
          </w:p>
        </w:tc>
        <w:tc>
          <w:tcPr/>
          <w:p>
            <w:pPr>
              <w:pStyle w:val="Compact"/>
              <w:jc w:val="left"/>
            </w:pPr>
            <w:r>
              <w:t xml:space="preserve">Dayton</w:t>
            </w:r>
          </w:p>
        </w:tc>
        <w:tc>
          <w:tcPr/>
          <w:p>
            <w:pPr>
              <w:pStyle w:val="Compact"/>
              <w:jc w:val="left"/>
            </w:pPr>
            <w:r>
              <w:t xml:space="preserve">Data gap — Ohio EPA file review not received; may contain 1981 Central Valley Chemical enforcement, Triton Metals, Tank 3 closure info; could change HREC classifications</w:t>
            </w:r>
          </w:p>
        </w:tc>
        <w:tc>
          <w:tcPr/>
          <w:p>
            <w:pPr>
              <w:pStyle w:val="Compact"/>
              <w:jc w:val="left"/>
            </w:pPr>
            <w:r>
              <w:rPr>
                <w:b/>
                <w:bCs/>
              </w:rPr>
              <w:t xml:space="preserve">High</w:t>
            </w:r>
          </w:p>
        </w:tc>
        <w:tc>
          <w:tcPr/>
          <w:p>
            <w:pPr>
              <w:pStyle w:val="Compact"/>
              <w:jc w:val="left"/>
            </w:pPr>
            <w:r>
              <w:t xml:space="preserve">Phase I ESA §2.4, §8.5</w:t>
            </w:r>
          </w:p>
        </w:tc>
      </w:tr>
      <w:tr>
        <w:tc>
          <w:tcPr/>
          <w:p>
            <w:pPr>
              <w:pStyle w:val="Compact"/>
              <w:jc w:val="left"/>
            </w:pPr>
            <w:r>
              <w:t xml:space="preserve">D-8</w:t>
            </w:r>
          </w:p>
        </w:tc>
        <w:tc>
          <w:tcPr/>
          <w:p>
            <w:pPr>
              <w:pStyle w:val="Compact"/>
              <w:jc w:val="left"/>
            </w:pPr>
            <w:r>
              <w:t xml:space="preserve">Dayton</w:t>
            </w:r>
          </w:p>
        </w:tc>
        <w:tc>
          <w:tcPr/>
          <w:p>
            <w:pPr>
              <w:pStyle w:val="Compact"/>
              <w:jc w:val="left"/>
            </w:pPr>
            <w:r>
              <w:t xml:space="preserve">Unlabeled older transformer (east of Building 3); no PCB label; weathered/corroded</w:t>
            </w:r>
          </w:p>
        </w:tc>
        <w:tc>
          <w:tcPr/>
          <w:p>
            <w:pPr>
              <w:pStyle w:val="Compact"/>
              <w:jc w:val="left"/>
            </w:pPr>
            <w:r>
              <w:rPr>
                <w:b/>
                <w:bCs/>
              </w:rPr>
              <w:t xml:space="preserve">Low</w:t>
            </w:r>
          </w:p>
        </w:tc>
        <w:tc>
          <w:tcPr/>
          <w:p>
            <w:pPr>
              <w:pStyle w:val="Compact"/>
              <w:jc w:val="left"/>
            </w:pPr>
            <w:r>
              <w:t xml:space="preserve">Phase I ESA §6.3.5</w:t>
            </w:r>
          </w:p>
        </w:tc>
      </w:tr>
      <w:tr>
        <w:tc>
          <w:tcPr/>
          <w:p>
            <w:pPr>
              <w:pStyle w:val="Compact"/>
              <w:jc w:val="left"/>
            </w:pPr>
            <w:r>
              <w:t xml:space="preserve">D-9</w:t>
            </w:r>
          </w:p>
        </w:tc>
        <w:tc>
          <w:tcPr/>
          <w:p>
            <w:pPr>
              <w:pStyle w:val="Compact"/>
              <w:jc w:val="left"/>
            </w:pPr>
            <w:r>
              <w:t xml:space="preserve">Dayton</w:t>
            </w:r>
          </w:p>
        </w:tc>
        <w:tc>
          <w:tcPr/>
          <w:p>
            <w:pPr>
              <w:pStyle w:val="Compact"/>
              <w:jc w:val="left"/>
            </w:pPr>
            <w:r>
              <w:t xml:space="preserve">Off-site former dry cleaner (145 Commerce Park Dr, ~0.3 mi SSE, downgradient); PCE plume</w:t>
            </w:r>
            <w:r>
              <w:t xml:space="preserve"> </w:t>
            </w:r>
            <w:r>
              <w:t xml:space="preserve">“</w:t>
            </w:r>
            <w:r>
              <w:t xml:space="preserve">Under Review,</w:t>
            </w:r>
            <w:r>
              <w:t xml:space="preserve">”</w:t>
            </w:r>
            <w:r>
              <w:t xml:space="preserve"> </w:t>
            </w:r>
            <w:r>
              <w:t xml:space="preserve">delineation incomplete</w:t>
            </w:r>
          </w:p>
        </w:tc>
        <w:tc>
          <w:tcPr/>
          <w:p>
            <w:pPr>
              <w:pStyle w:val="Compact"/>
              <w:jc w:val="left"/>
            </w:pPr>
            <w:r>
              <w:rPr>
                <w:b/>
                <w:bCs/>
              </w:rPr>
              <w:t xml:space="preserve">Low</w:t>
            </w:r>
          </w:p>
        </w:tc>
        <w:tc>
          <w:tcPr/>
          <w:p>
            <w:pPr>
              <w:pStyle w:val="Compact"/>
              <w:jc w:val="left"/>
            </w:pPr>
            <w:r>
              <w:t xml:space="preserve">Phase I ESA §5.1.1; GeoSearch</w:t>
            </w:r>
          </w:p>
        </w:tc>
      </w:tr>
      <w:tr>
        <w:tc>
          <w:tcPr/>
          <w:p>
            <w:pPr>
              <w:pStyle w:val="Compact"/>
              <w:jc w:val="left"/>
            </w:pPr>
            <w:r>
              <w:t xml:space="preserve">D-10</w:t>
            </w:r>
          </w:p>
        </w:tc>
        <w:tc>
          <w:tcPr/>
          <w:p>
            <w:pPr>
              <w:pStyle w:val="Compact"/>
              <w:jc w:val="left"/>
            </w:pPr>
            <w:r>
              <w:t xml:space="preserve">Dayton</w:t>
            </w:r>
          </w:p>
        </w:tc>
        <w:tc>
          <w:tcPr/>
          <w:p>
            <w:pPr>
              <w:pStyle w:val="Compact"/>
              <w:jc w:val="left"/>
            </w:pPr>
            <w:r>
              <w:t xml:space="preserve">Off-site Triton Metals (2900 Millrace Rd, adjoining east); CERCLIS PA, RCRA LQG; not investigated; Ohio EPA files pending</w:t>
            </w:r>
          </w:p>
        </w:tc>
        <w:tc>
          <w:tcPr/>
          <w:p>
            <w:pPr>
              <w:pStyle w:val="Compact"/>
              <w:jc w:val="left"/>
            </w:pPr>
            <w:r>
              <w:rPr>
                <w:b/>
                <w:bCs/>
              </w:rPr>
              <w:t xml:space="preserve">Low</w:t>
            </w:r>
          </w:p>
        </w:tc>
        <w:tc>
          <w:tcPr/>
          <w:p>
            <w:pPr>
              <w:pStyle w:val="Compact"/>
              <w:jc w:val="left"/>
            </w:pPr>
            <w:r>
              <w:t xml:space="preserve">Phase I ESA §5.1.1, §3.5</w:t>
            </w:r>
          </w:p>
        </w:tc>
      </w:tr>
      <w:tr>
        <w:tc>
          <w:tcPr/>
          <w:p>
            <w:pPr>
              <w:pStyle w:val="Compact"/>
              <w:jc w:val="left"/>
            </w:pPr>
            <w:r>
              <w:t xml:space="preserve">D-11</w:t>
            </w:r>
          </w:p>
        </w:tc>
        <w:tc>
          <w:tcPr/>
          <w:p>
            <w:pPr>
              <w:pStyle w:val="Compact"/>
              <w:jc w:val="left"/>
            </w:pPr>
            <w:r>
              <w:t xml:space="preserve">Dayton</w:t>
            </w:r>
          </w:p>
        </w:tc>
        <w:tc>
          <w:tcPr/>
          <w:p>
            <w:pPr>
              <w:pStyle w:val="Compact"/>
              <w:jc w:val="left"/>
            </w:pPr>
            <w:r>
              <w:t xml:space="preserve">Off-site former gasoline station (2780 Millrace Rd, ~0.2 mi NW, upgradient); closed LUST, NFA 2016</w:t>
            </w:r>
          </w:p>
        </w:tc>
        <w:tc>
          <w:tcPr/>
          <w:p>
            <w:pPr>
              <w:pStyle w:val="Compact"/>
              <w:jc w:val="left"/>
            </w:pPr>
            <w:r>
              <w:rPr>
                <w:b/>
                <w:bCs/>
              </w:rPr>
              <w:t xml:space="preserve">Low</w:t>
            </w:r>
          </w:p>
        </w:tc>
        <w:tc>
          <w:tcPr/>
          <w:p>
            <w:pPr>
              <w:pStyle w:val="Compact"/>
              <w:jc w:val="left"/>
            </w:pPr>
            <w:r>
              <w:t xml:space="preserve">Phase I ESA §8.4</w:t>
            </w:r>
          </w:p>
        </w:tc>
      </w:tr>
      <w:tr>
        <w:tc>
          <w:tcPr/>
          <w:p>
            <w:pPr>
              <w:pStyle w:val="Compact"/>
              <w:jc w:val="left"/>
            </w:pPr>
            <w:r>
              <w:t xml:space="preserve">D-12</w:t>
            </w:r>
          </w:p>
        </w:tc>
        <w:tc>
          <w:tcPr/>
          <w:p>
            <w:pPr>
              <w:pStyle w:val="Compact"/>
              <w:jc w:val="left"/>
            </w:pPr>
            <w:r>
              <w:t xml:space="preserve">Dayton</w:t>
            </w:r>
          </w:p>
        </w:tc>
        <w:tc>
          <w:tcPr/>
          <w:p>
            <w:pPr>
              <w:pStyle w:val="Compact"/>
              <w:jc w:val="left"/>
            </w:pPr>
            <w:r>
              <w:t xml:space="preserve">ASTM E1527-13 (older standard) used; may not satisfy a lender requiring E1527-21</w:t>
            </w:r>
          </w:p>
        </w:tc>
        <w:tc>
          <w:tcPr/>
          <w:p>
            <w:pPr>
              <w:pStyle w:val="Compact"/>
              <w:jc w:val="left"/>
            </w:pPr>
            <w:r>
              <w:rPr>
                <w:b/>
                <w:bCs/>
              </w:rPr>
              <w:t xml:space="preserve">Low</w:t>
            </w:r>
          </w:p>
        </w:tc>
        <w:tc>
          <w:tcPr/>
          <w:p>
            <w:pPr>
              <w:pStyle w:val="Compact"/>
              <w:jc w:val="left"/>
            </w:pPr>
            <w:r>
              <w:t xml:space="preserve">Phase I ESA §1.0</w:t>
            </w:r>
          </w:p>
        </w:tc>
      </w:tr>
      <w:tr>
        <w:tc>
          <w:tcPr/>
          <w:p>
            <w:pPr>
              <w:pStyle w:val="Compact"/>
              <w:jc w:val="left"/>
            </w:pPr>
            <w:r>
              <w:t xml:space="preserve">D-13</w:t>
            </w:r>
          </w:p>
        </w:tc>
        <w:tc>
          <w:tcPr/>
          <w:p>
            <w:pPr>
              <w:pStyle w:val="Compact"/>
              <w:jc w:val="left"/>
            </w:pPr>
            <w:r>
              <w:t xml:space="preserve">Dayton</w:t>
            </w:r>
          </w:p>
        </w:tc>
        <w:tc>
          <w:tcPr/>
          <w:p>
            <w:pPr>
              <w:pStyle w:val="Compact"/>
              <w:jc w:val="left"/>
            </w:pPr>
            <w:r>
              <w:t xml:space="preserve">VAP NFA AULs (Parcel A, commercial/industrial use restriction); planned use consistent; continuing obligations</w:t>
            </w:r>
          </w:p>
        </w:tc>
        <w:tc>
          <w:tcPr/>
          <w:p>
            <w:pPr>
              <w:pStyle w:val="Compact"/>
              <w:jc w:val="left"/>
            </w:pPr>
            <w:r>
              <w:rPr>
                <w:b/>
                <w:bCs/>
              </w:rPr>
              <w:t xml:space="preserve">Low</w:t>
            </w:r>
          </w:p>
        </w:tc>
        <w:tc>
          <w:tcPr/>
          <w:p>
            <w:pPr>
              <w:pStyle w:val="Compact"/>
              <w:jc w:val="left"/>
            </w:pPr>
            <w:r>
              <w:t xml:space="preserve">Phase I ESA §8.2</w:t>
            </w:r>
          </w:p>
        </w:tc>
      </w:tr>
      <w:tr>
        <w:tc>
          <w:tcPr/>
          <w:p>
            <w:pPr>
              <w:pStyle w:val="Compact"/>
              <w:jc w:val="left"/>
            </w:pPr>
            <w:r>
              <w:t xml:space="preserve">D-14</w:t>
            </w:r>
          </w:p>
        </w:tc>
        <w:tc>
          <w:tcPr/>
          <w:p>
            <w:pPr>
              <w:pStyle w:val="Compact"/>
              <w:jc w:val="left"/>
            </w:pPr>
            <w:r>
              <w:t xml:space="preserve">Dayton</w:t>
            </w:r>
          </w:p>
        </w:tc>
        <w:tc>
          <w:tcPr/>
          <w:p>
            <w:pPr>
              <w:pStyle w:val="Compact"/>
              <w:jc w:val="left"/>
            </w:pPr>
            <w:r>
              <w:t xml:space="preserve">ACM / lead-based paint (buildings 1942/1955/1960/1968) — non-scope; relevant for planned redevelopment</w:t>
            </w:r>
          </w:p>
        </w:tc>
        <w:tc>
          <w:tcPr/>
          <w:p>
            <w:pPr>
              <w:pStyle w:val="Compact"/>
              <w:jc w:val="left"/>
            </w:pPr>
            <w:r>
              <w:rPr>
                <w:b/>
                <w:bCs/>
              </w:rPr>
              <w:t xml:space="preserve">Low</w:t>
            </w:r>
          </w:p>
        </w:tc>
        <w:tc>
          <w:tcPr/>
          <w:p>
            <w:pPr>
              <w:pStyle w:val="Compact"/>
              <w:jc w:val="left"/>
            </w:pPr>
            <w:r>
              <w:t xml:space="preserve">Phase I ESA §8.6</w:t>
            </w:r>
          </w:p>
        </w:tc>
      </w:tr>
    </w:tbl>
    <w:p>
      <w:pPr>
        <w:pStyle w:val="BodyText"/>
      </w:pPr>
      <w:r>
        <w:rPr>
          <w:b/>
          <w:bCs/>
        </w:rPr>
        <w:t xml:space="preserve">Severity summary:</w:t>
      </w:r>
      <w:r>
        <w:t xml:space="preserve"> </w:t>
      </w:r>
      <w:r>
        <w:t xml:space="preserve">Critical — 2 (T-1, T-3). High — 13 (T-2, T-4, T-5, T-6, T-7, T-12, T-13, T-14, D-1, D-2, D-3, D-4, D-7). Medium — 5 (T-8, T-10, T-11, D-5, D-6). Low — 10 (T-9, T-15, T-16, D-8, D-9, D-10, D-11, D-12, D-13, D-14).</w:t>
      </w:r>
    </w:p>
    <w:p>
      <w:r>
        <w:pict>
          <v:rect style="width:0;height:1.5pt" o:hralign="center" o:hrstd="t" o:hr="t"/>
        </w:pict>
      </w:r>
    </w:p>
    <w:bookmarkEnd w:id="38"/>
    <w:bookmarkStart w:id="39" w:name="limitations"/>
    <w:p>
      <w:pPr>
        <w:pStyle w:val="Heading2"/>
      </w:pPr>
      <w:r>
        <w:t xml:space="preserve">10. Limitations</w:t>
      </w:r>
    </w:p>
    <w:p>
      <w:pPr>
        <w:pStyle w:val="FirstParagraph"/>
      </w:pPr>
      <w:r>
        <w:t xml:space="preserve">This memorandum is based solely on the documents listed in Section 2 and was prepared to assist Cornerstone Industrial Partners LLC and its counsel in evaluating environmental due-diligence findings in connection with the proposed acquisitions. It is not a Phase I or Phase II Environmental Site Assessment, does not constitute an opinion of environmental liability, and does not independently verify the accuracy of the underlying reports, regulatory correspondence, or database summaries. Severity ratings reflect professional judgment based on the documents reviewed and are subject to revision upon receipt of the pending Ohio EPA file review (Dayton), the results of recommended Phase II investigations, and any additional seller disclosures. This memorandum is privileged and confidential, prepared at the request of counsel, and should not be distributed to third parties without counsel’s authorization.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2026-06-28T21:26:41Z</dcterms:created>
  <dcterms:modified xsi:type="dcterms:W3CDTF">2026-06-28T21:26:41Z</dcterms:modified>
</cp:coreProperties>
</file>

<file path=docProps/custom.xml><?xml version="1.0" encoding="utf-8"?>
<Properties xmlns="http://schemas.openxmlformats.org/officeDocument/2006/custom-properties" xmlns:vt="http://schemas.openxmlformats.org/officeDocument/2006/docPropsVTypes"/>
</file>