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fc49470e411b7c54a624aa64f4778672fda33b2"/>
    <w:p>
      <w:pPr>
        <w:pStyle w:val="Heading1"/>
      </w:pPr>
      <w:r>
        <w:t xml:space="preserve">PRIVILEGED AND CONFIDENTIAL — ATTORNEY WORK PRODUCT / DUE DILIGENCE</w:t>
      </w:r>
    </w:p>
    <w:bookmarkEnd w:id="20"/>
    <w:bookmarkStart w:id="57" w:name="environmental-issues-memorandum"/>
    <w:p>
      <w:pPr>
        <w:pStyle w:val="Heading1"/>
      </w:pPr>
      <w:r>
        <w:t xml:space="preserve">ENVIRONMENTAL ISSUES MEMORANDUM</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File; Investment Committee, Cornerstone Industrial Partners LLC</w:t>
            </w:r>
          </w:p>
        </w:tc>
      </w:tr>
      <w:tr>
        <w:tc>
          <w:tcPr/>
          <w:p>
            <w:pPr>
              <w:pStyle w:val="Compact"/>
              <w:jc w:val="left"/>
            </w:pPr>
            <w:r>
              <w:rPr>
                <w:b/>
                <w:bCs/>
              </w:rPr>
              <w:t xml:space="preserve">From:</w:t>
            </w:r>
          </w:p>
        </w:tc>
        <w:tc>
          <w:tcPr/>
          <w:p>
            <w:pPr>
              <w:pStyle w:val="Compact"/>
              <w:jc w:val="left"/>
            </w:pPr>
            <w:r>
              <w:t xml:space="preserve">Environmental Due Diligence Team</w:t>
            </w:r>
          </w:p>
        </w:tc>
      </w:tr>
      <w:tr>
        <w:tc>
          <w:tcPr/>
          <w:p>
            <w:pPr>
              <w:pStyle w:val="Compact"/>
              <w:jc w:val="left"/>
            </w:pPr>
            <w:r>
              <w:rPr>
                <w:b/>
                <w:bCs/>
              </w:rPr>
              <w:t xml:space="preserve">Date:</w:t>
            </w:r>
          </w:p>
        </w:tc>
        <w:tc>
          <w:tcPr/>
          <w:p>
            <w:pPr>
              <w:pStyle w:val="Compact"/>
              <w:jc w:val="left"/>
            </w:pPr>
            <w:r>
              <w:t xml:space="preserve">October 28, 2024</w:t>
            </w:r>
          </w:p>
        </w:tc>
      </w:tr>
      <w:tr>
        <w:tc>
          <w:tcPr/>
          <w:p>
            <w:pPr>
              <w:pStyle w:val="Compact"/>
              <w:jc w:val="left"/>
            </w:pPr>
            <w:r>
              <w:rPr>
                <w:b/>
                <w:bCs/>
              </w:rPr>
              <w:t xml:space="preserve">Re:</w:t>
            </w:r>
          </w:p>
        </w:tc>
        <w:tc>
          <w:tcPr/>
          <w:p>
            <w:pPr>
              <w:pStyle w:val="Compact"/>
              <w:jc w:val="left"/>
            </w:pPr>
            <w:r>
              <w:t xml:space="preserve">Environmental Issues and Severity Ratings — Proposed Acquisition of 4820 Lakeshore Industrial Drive, Toledo, Lucas County, Ohio 43611 (Breckenridge Manufacturing Co.)</w:t>
            </w:r>
          </w:p>
        </w:tc>
      </w:tr>
      <w:tr>
        <w:tc>
          <w:tcPr/>
          <w:p>
            <w:pPr>
              <w:pStyle w:val="Compact"/>
              <w:jc w:val="left"/>
            </w:pPr>
            <w:r>
              <w:rPr>
                <w:b/>
                <w:bCs/>
              </w:rPr>
              <w:t xml:space="preserve">Loan No.:</w:t>
            </w:r>
          </w:p>
        </w:tc>
        <w:tc>
          <w:tcPr/>
          <w:p>
            <w:pPr>
              <w:pStyle w:val="Compact"/>
              <w:jc w:val="left"/>
            </w:pPr>
            <w:r>
              <w:t xml:space="preserve">GLCB-2024-08173 (Great Lakes Capital Bank)</w:t>
            </w:r>
          </w:p>
        </w:tc>
      </w:tr>
      <w:tr>
        <w:tc>
          <w:tcPr/>
          <w:p>
            <w:pPr>
              <w:pStyle w:val="Compact"/>
              <w:jc w:val="left"/>
            </w:pPr>
            <w:r>
              <w:rPr>
                <w:b/>
                <w:bCs/>
              </w:rPr>
              <w:t xml:space="preserve">Transaction:</w:t>
            </w:r>
          </w:p>
        </w:tc>
        <w:tc>
          <w:tcPr/>
          <w:p>
            <w:pPr>
              <w:pStyle w:val="Compact"/>
              <w:jc w:val="left"/>
            </w:pPr>
            <w:r>
              <w:t xml:space="preserve">Asset Purchase Agreement dated September 1, 2024; anticipated Closing December 15, 2024</w:t>
            </w:r>
          </w:p>
        </w:tc>
      </w:tr>
    </w:tbl>
    <w:p>
      <w:pPr>
        <w:pStyle w:val="BodyText"/>
      </w:pPr>
      <w:r>
        <w:rPr>
          <w:i/>
          <w:iCs/>
        </w:rPr>
        <w:t xml:space="preserve">This memorandum was prepared in anticipation of litigation and in connection with the evaluation of a proposed business transaction. It contains attorney work product and is subject to the attorney-client privilege. It should not be distributed outside the deal team, Buyer’s counsel (Whitfield &amp; Crane LLP), or the Lender’s review team without authorization.</w:t>
      </w:r>
    </w:p>
    <w:p>
      <w:r>
        <w:pict>
          <v:rect style="width:0;height:1.5pt" o:hralign="center" o:hrstd="t" o:hr="t"/>
        </w:pict>
      </w:r>
    </w:p>
    <w:bookmarkStart w:id="22" w:name="i.-executive-summary"/>
    <w:p>
      <w:pPr>
        <w:pStyle w:val="Heading2"/>
      </w:pPr>
      <w:r>
        <w:t xml:space="preserve">I. Executive Summary</w:t>
      </w:r>
    </w:p>
    <w:p>
      <w:pPr>
        <w:pStyle w:val="FirstParagraph"/>
      </w:pPr>
      <w:r>
        <w:t xml:space="preserve">This memorandum summarizes the environmental issues identified in the Phase I Environmental Site Assessment (</w:t>
      </w:r>
      <w:r>
        <w:t xml:space="preserve">“</w:t>
      </w:r>
      <w:r>
        <w:t xml:space="preserve">Phase I ESA</w:t>
      </w:r>
      <w:r>
        <w:t xml:space="preserve">”</w:t>
      </w:r>
      <w:r>
        <w:t xml:space="preserve">) and supporting environmental records for the property located at 4820 Lakeshore Industrial Drive, Toledo, Lucas County, Ohio 43611 (the</w:t>
      </w:r>
      <w:r>
        <w:t xml:space="preserve"> </w:t>
      </w:r>
      <w:r>
        <w:t xml:space="preserve">“</w:t>
      </w:r>
      <w:r>
        <w:t xml:space="preserve">Property</w:t>
      </w:r>
      <w:r>
        <w:t xml:space="preserve">”</w:t>
      </w:r>
      <w:r>
        <w:t xml:space="preserve">), the subject of Buyer’s proposed acquisition from Breckenridge Manufacturing Co. (</w:t>
      </w:r>
      <w:r>
        <w:t xml:space="preserve">“</w:t>
      </w:r>
      <w:r>
        <w:t xml:space="preserve">Seller</w:t>
      </w:r>
      <w:r>
        <w:t xml:space="preserve">”</w:t>
      </w:r>
      <w:r>
        <w:t xml:space="preserve">) for a purchase price of $8,750,000, financed in part by a $6,125,000 loan from Great Lakes Capital Bank (the</w:t>
      </w:r>
      <w:r>
        <w:t xml:space="preserve"> </w:t>
      </w:r>
      <w:r>
        <w:t xml:space="preserve">“</w:t>
      </w:r>
      <w:r>
        <w:t xml:space="preserve">Lender</w:t>
      </w:r>
      <w:r>
        <w:t xml:space="preserve">”</w:t>
      </w:r>
      <w:r>
        <w:t xml:space="preserve">).</w:t>
      </w:r>
    </w:p>
    <w:p>
      <w:pPr>
        <w:pStyle w:val="BodyText"/>
      </w:pPr>
      <w:r>
        <w:t xml:space="preserve">The Phase I ESA (Greenfield Environmental Consultants Inc., dated October 25, 2024) identifies</w:t>
      </w:r>
      <w:r>
        <w:t xml:space="preserve"> </w:t>
      </w:r>
      <w:r>
        <w:rPr>
          <w:b/>
          <w:bCs/>
        </w:rPr>
        <w:t xml:space="preserve">two on-site recognized environmental conditions (</w:t>
      </w:r>
      <w:r>
        <w:rPr>
          <w:b/>
          <w:bCs/>
        </w:rPr>
        <w:t xml:space="preserve">“</w:t>
      </w:r>
      <w:r>
        <w:rPr>
          <w:b/>
          <w:bCs/>
        </w:rPr>
        <w:t xml:space="preserve">RECs</w:t>
      </w:r>
      <w:r>
        <w:rPr>
          <w:b/>
          <w:bCs/>
        </w:rPr>
        <w:t xml:space="preserve">”</w:t>
      </w:r>
      <w:r>
        <w:rPr>
          <w:b/>
          <w:bCs/>
        </w:rPr>
        <w:t xml:space="preserve">)</w:t>
      </w:r>
      <w:r>
        <w:t xml:space="preserve"> </w:t>
      </w:r>
      <w:r>
        <w:t xml:space="preserve">— (1) former trichloroethylene (</w:t>
      </w:r>
      <w:r>
        <w:t xml:space="preserve">“</w:t>
      </w:r>
      <w:r>
        <w:t xml:space="preserve">TCE</w:t>
      </w:r>
      <w:r>
        <w:t xml:space="preserve">”</w:t>
      </w:r>
      <w:r>
        <w:t xml:space="preserve">) vapor-degreasing operations with an abandoned, leaking waste-TCE drum, and (2) former hexavalent chromium electroplating operations. Our review of the supporting records — including the Ohio EPA file response, the EDR database summary, the purchase agreement, and the Lender’s environmental requirements letter — identifies</w:t>
      </w:r>
      <w:r>
        <w:t xml:space="preserve"> </w:t>
      </w:r>
      <w:r>
        <w:rPr>
          <w:b/>
          <w:bCs/>
        </w:rPr>
        <w:t xml:space="preserve">additional, equally serious conditions that the Phase I ESA either under-classified or omitted from its REC findings</w:t>
      </w:r>
      <w:r>
        <w:t xml:space="preserve">, most notably an off-site tetrachloroethylene (</w:t>
      </w:r>
      <w:r>
        <w:t xml:space="preserve">“</w:t>
      </w:r>
      <w:r>
        <w:t xml:space="preserve">PCE</w:t>
      </w:r>
      <w:r>
        <w:t xml:space="preserve">”</w:t>
      </w:r>
      <w:r>
        <w:t xml:space="preserve">) groundwater plume migrating toward the Property from an upgradient former dry cleaner, within a state-designated Groundwater Management Zone.</w:t>
      </w:r>
    </w:p>
    <w:p>
      <w:pPr>
        <w:pStyle w:val="BodyText"/>
      </w:pPr>
      <w:r>
        <w:t xml:space="preserve">In total, we identify</w:t>
      </w:r>
      <w:r>
        <w:t xml:space="preserve"> </w:t>
      </w:r>
      <w:r>
        <w:rPr>
          <w:b/>
          <w:bCs/>
        </w:rPr>
        <w:t xml:space="preserve">four (4) Critical issues</w:t>
      </w:r>
      <w:r>
        <w:t xml:space="preserve">,</w:t>
      </w:r>
      <w:r>
        <w:t xml:space="preserve"> </w:t>
      </w:r>
      <w:r>
        <w:rPr>
          <w:b/>
          <w:bCs/>
        </w:rPr>
        <w:t xml:space="preserve">seven (7) High-severity issues</w:t>
      </w:r>
      <w:r>
        <w:t xml:space="preserve">,</w:t>
      </w:r>
      <w:r>
        <w:t xml:space="preserve"> </w:t>
      </w:r>
      <w:r>
        <w:rPr>
          <w:b/>
          <w:bCs/>
        </w:rPr>
        <w:t xml:space="preserve">five (5) Moderate issues</w:t>
      </w:r>
      <w:r>
        <w:t xml:space="preserve">, and several Low/Informational items. The Critical issues, individually and collectively, are likely to (a) trigger the Lender’s mandatory Phase II / environmental-insurance / escrow / vapor-intrusion requirements, (b) implicate the Buyer’s termination right under Section 6.3(b) of the Asset Purchase Agreement (the</w:t>
      </w:r>
      <w:r>
        <w:t xml:space="preserve"> </w:t>
      </w:r>
      <w:r>
        <w:t xml:space="preserve">“</w:t>
      </w:r>
      <w:r>
        <w:t xml:space="preserve">APA</w:t>
      </w:r>
      <w:r>
        <w:t xml:space="preserve">”</w:t>
      </w:r>
      <w:r>
        <w:t xml:space="preserve">) if remediation costs could exceed $500,000, and (c) expose potential inaccuracies in Seller’s environmental representations and warranties. The contractual indemnity package (a $1,750,000 cap and a three-year survival period) is, in our judgment, likely inadequate to cover the reasonably foreseeable remediation exposure associated with chlorinated-solvent and hexavalent-chromium contamination.</w:t>
      </w:r>
    </w:p>
    <w:p>
      <w:pPr>
        <w:pStyle w:val="BodyText"/>
      </w:pPr>
      <w:r>
        <w:t xml:space="preserve">We recommend that Buyer (i)</w:t>
      </w:r>
      <w:r>
        <w:t xml:space="preserve"> </w:t>
      </w:r>
      <w:r>
        <w:rPr>
          <w:b/>
          <w:bCs/>
        </w:rPr>
        <w:t xml:space="preserve">not waive the Section 6.3(b) termination right</w:t>
      </w:r>
      <w:r>
        <w:t xml:space="preserve"> </w:t>
      </w:r>
      <w:r>
        <w:t xml:space="preserve">without first commissioning a Phase II ESA and obtaining quantified remediation cost estimates; (ii)</w:t>
      </w:r>
      <w:r>
        <w:t xml:space="preserve"> </w:t>
      </w:r>
      <w:r>
        <w:rPr>
          <w:b/>
          <w:bCs/>
        </w:rPr>
        <w:t xml:space="preserve">immediately commission a Phase II ESA</w:t>
      </w:r>
      <w:r>
        <w:t xml:space="preserve"> </w:t>
      </w:r>
      <w:r>
        <w:t xml:space="preserve">that includes the off-site PCE plume and vapor-intrusion assessment, which the Phase I ESA omitted from its recommended scope; (iii)</w:t>
      </w:r>
      <w:r>
        <w:t xml:space="preserve"> </w:t>
      </w:r>
      <w:r>
        <w:rPr>
          <w:b/>
          <w:bCs/>
        </w:rPr>
        <w:t xml:space="preserve">renegotiate the indemnity cap, survival period, and escrow/holdback</w:t>
      </w:r>
      <w:r>
        <w:t xml:space="preserve">; and (iv)</w:t>
      </w:r>
      <w:r>
        <w:t xml:space="preserve"> </w:t>
      </w:r>
      <w:r>
        <w:rPr>
          <w:b/>
          <w:bCs/>
        </w:rPr>
        <w:t xml:space="preserve">require Seller to correct Schedules 4.12 and 4.13</w:t>
      </w:r>
      <w:r>
        <w:t xml:space="preserve">, which appear to be inaccurate. The Environmental Due Diligence Period expires</w:t>
      </w:r>
      <w:r>
        <w:t xml:space="preserve"> </w:t>
      </w:r>
      <w:r>
        <w:rPr>
          <w:b/>
          <w:bCs/>
        </w:rPr>
        <w:t xml:space="preserve">October 31, 2024</w:t>
      </w:r>
      <w:r>
        <w:t xml:space="preserve">, and the Lender’s Phase II deliverable deadline is</w:t>
      </w:r>
      <w:r>
        <w:t xml:space="preserve"> </w:t>
      </w:r>
      <w:r>
        <w:rPr>
          <w:b/>
          <w:bCs/>
        </w:rPr>
        <w:t xml:space="preserve">November 30, 2024</w:t>
      </w:r>
      <w:r>
        <w:t xml:space="preserve">, so action is required immediately.</w:t>
      </w:r>
    </w:p>
    <w:bookmarkStart w:id="21" w:name="severity-summary"/>
    <w:p>
      <w:pPr>
        <w:pStyle w:val="Heading3"/>
      </w:pPr>
      <w:r>
        <w:t xml:space="preserve">Severity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ID</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Source</w:t>
            </w:r>
          </w:p>
        </w:tc>
      </w:tr>
      <w:tr>
        <w:tc>
          <w:tcPr/>
          <w:p>
            <w:pPr>
              <w:pStyle w:val="Compact"/>
              <w:jc w:val="left"/>
            </w:pPr>
            <w:r>
              <w:t xml:space="preserve">C-1</w:t>
            </w:r>
          </w:p>
        </w:tc>
        <w:tc>
          <w:tcPr/>
          <w:p>
            <w:pPr>
              <w:pStyle w:val="Compact"/>
              <w:jc w:val="left"/>
            </w:pPr>
            <w:r>
              <w:t xml:space="preserve">Former TCE vapor-degreasing operations; abandoned leaking waste-TCE drum; 1988 solvent spill</w:t>
            </w:r>
          </w:p>
        </w:tc>
        <w:tc>
          <w:tcPr/>
          <w:p>
            <w:pPr>
              <w:pStyle w:val="Compact"/>
              <w:jc w:val="left"/>
            </w:pPr>
            <w:r>
              <w:rPr>
                <w:b/>
                <w:bCs/>
              </w:rPr>
              <w:t xml:space="preserve">Critical</w:t>
            </w:r>
          </w:p>
        </w:tc>
        <w:tc>
          <w:tcPr/>
          <w:p>
            <w:pPr>
              <w:pStyle w:val="Compact"/>
              <w:jc w:val="left"/>
            </w:pPr>
            <w:r>
              <w:t xml:space="preserve">Phase I ESA REC-1; Toledo Fire Dept.</w:t>
            </w:r>
          </w:p>
        </w:tc>
      </w:tr>
      <w:tr>
        <w:tc>
          <w:tcPr/>
          <w:p>
            <w:pPr>
              <w:pStyle w:val="Compact"/>
              <w:jc w:val="left"/>
            </w:pPr>
            <w:r>
              <w:t xml:space="preserve">C-2</w:t>
            </w:r>
          </w:p>
        </w:tc>
        <w:tc>
          <w:tcPr/>
          <w:p>
            <w:pPr>
              <w:pStyle w:val="Compact"/>
              <w:jc w:val="left"/>
            </w:pPr>
            <w:r>
              <w:t xml:space="preserve">Former hexavalent chromium / nickel electroplating (1965–2004); 39-year waste-disposal gap; 2003 NOV</w:t>
            </w:r>
          </w:p>
        </w:tc>
        <w:tc>
          <w:tcPr/>
          <w:p>
            <w:pPr>
              <w:pStyle w:val="Compact"/>
              <w:jc w:val="left"/>
            </w:pPr>
            <w:r>
              <w:rPr>
                <w:b/>
                <w:bCs/>
              </w:rPr>
              <w:t xml:space="preserve">Critical</w:t>
            </w:r>
          </w:p>
        </w:tc>
        <w:tc>
          <w:tcPr/>
          <w:p>
            <w:pPr>
              <w:pStyle w:val="Compact"/>
              <w:jc w:val="left"/>
            </w:pPr>
            <w:r>
              <w:t xml:space="preserve">Phase I ESA REC-2; Ohio EPA response</w:t>
            </w:r>
          </w:p>
        </w:tc>
      </w:tr>
      <w:tr>
        <w:tc>
          <w:tcPr/>
          <w:p>
            <w:pPr>
              <w:pStyle w:val="Compact"/>
              <w:jc w:val="left"/>
            </w:pPr>
            <w:r>
              <w:t xml:space="preserve">C-3</w:t>
            </w:r>
          </w:p>
        </w:tc>
        <w:tc>
          <w:tcPr/>
          <w:p>
            <w:pPr>
              <w:pStyle w:val="Compact"/>
              <w:jc w:val="left"/>
            </w:pPr>
            <w:r>
              <w:t xml:space="preserve">Off-site PCE groundwater plume (Lake Erie Dry Cleaning) migrating onto Property; Property within Groundwater Management Zone; ESA under-classification vs. Lender requirement</w:t>
            </w:r>
          </w:p>
        </w:tc>
        <w:tc>
          <w:tcPr/>
          <w:p>
            <w:pPr>
              <w:pStyle w:val="Compact"/>
              <w:jc w:val="left"/>
            </w:pPr>
            <w:r>
              <w:rPr>
                <w:b/>
                <w:bCs/>
              </w:rPr>
              <w:t xml:space="preserve">Critical</w:t>
            </w:r>
          </w:p>
        </w:tc>
        <w:tc>
          <w:tcPr/>
          <w:p>
            <w:pPr>
              <w:pStyle w:val="Compact"/>
              <w:jc w:val="left"/>
            </w:pPr>
            <w:r>
              <w:t xml:space="preserve">Ohio EPA response; EDR summary; Lender letter</w:t>
            </w:r>
          </w:p>
        </w:tc>
      </w:tr>
      <w:tr>
        <w:tc>
          <w:tcPr/>
          <w:p>
            <w:pPr>
              <w:pStyle w:val="Compact"/>
              <w:jc w:val="left"/>
            </w:pPr>
            <w:r>
              <w:t xml:space="preserve">C-4</w:t>
            </w:r>
          </w:p>
        </w:tc>
        <w:tc>
          <w:tcPr/>
          <w:p>
            <w:pPr>
              <w:pStyle w:val="Compact"/>
              <w:jc w:val="left"/>
            </w:pPr>
            <w:r>
              <w:t xml:space="preserve">Lender funding at risk — triggered Phase II / PLL insurance / escrow / vapor-intrusion requirements; tight timeline; potential decline</w:t>
            </w:r>
          </w:p>
        </w:tc>
        <w:tc>
          <w:tcPr/>
          <w:p>
            <w:pPr>
              <w:pStyle w:val="Compact"/>
              <w:jc w:val="left"/>
            </w:pPr>
            <w:r>
              <w:rPr>
                <w:b/>
                <w:bCs/>
              </w:rPr>
              <w:t xml:space="preserve">Critical</w:t>
            </w:r>
          </w:p>
        </w:tc>
        <w:tc>
          <w:tcPr/>
          <w:p>
            <w:pPr>
              <w:pStyle w:val="Compact"/>
              <w:jc w:val="left"/>
            </w:pPr>
            <w:r>
              <w:t xml:space="preserve">Lender letter; APA § 6.3</w:t>
            </w:r>
          </w:p>
        </w:tc>
      </w:tr>
      <w:tr>
        <w:tc>
          <w:tcPr/>
          <w:p>
            <w:pPr>
              <w:pStyle w:val="Compact"/>
              <w:jc w:val="left"/>
            </w:pPr>
            <w:r>
              <w:t xml:space="preserve">H-1</w:t>
            </w:r>
          </w:p>
        </w:tc>
        <w:tc>
          <w:tcPr/>
          <w:p>
            <w:pPr>
              <w:pStyle w:val="Compact"/>
              <w:jc w:val="left"/>
            </w:pPr>
            <w:r>
              <w:t xml:space="preserve">Undocumented, unregistered 2,000-gallon waste-solvent UST (1987 Sanborn); no closure records; status unknown</w:t>
            </w:r>
          </w:p>
        </w:tc>
        <w:tc>
          <w:tcPr/>
          <w:p>
            <w:pPr>
              <w:pStyle w:val="Compact"/>
              <w:jc w:val="left"/>
            </w:pPr>
            <w:r>
              <w:rPr>
                <w:b/>
                <w:bCs/>
              </w:rPr>
              <w:t xml:space="preserve">High</w:t>
            </w:r>
          </w:p>
        </w:tc>
        <w:tc>
          <w:tcPr/>
          <w:p>
            <w:pPr>
              <w:pStyle w:val="Compact"/>
              <w:jc w:val="left"/>
            </w:pPr>
            <w:r>
              <w:t xml:space="preserve">Phase I ESA; EDR summary; Ohio EPA response</w:t>
            </w:r>
          </w:p>
        </w:tc>
      </w:tr>
      <w:tr>
        <w:tc>
          <w:tcPr/>
          <w:p>
            <w:pPr>
              <w:pStyle w:val="Compact"/>
              <w:jc w:val="left"/>
            </w:pPr>
            <w:r>
              <w:t xml:space="preserve">H-2</w:t>
            </w:r>
          </w:p>
        </w:tc>
        <w:tc>
          <w:tcPr/>
          <w:p>
            <w:pPr>
              <w:pStyle w:val="Compact"/>
              <w:jc w:val="left"/>
            </w:pPr>
            <w:r>
              <w:t xml:space="preserve">Former outdoor drum-storage area (east side); documented leaking hazardous-waste drums (2003 NOV); stressed vegetation</w:t>
            </w:r>
          </w:p>
        </w:tc>
        <w:tc>
          <w:tcPr/>
          <w:p>
            <w:pPr>
              <w:pStyle w:val="Compact"/>
              <w:jc w:val="left"/>
            </w:pPr>
            <w:r>
              <w:rPr>
                <w:b/>
                <w:bCs/>
              </w:rPr>
              <w:t xml:space="preserve">High</w:t>
            </w:r>
          </w:p>
        </w:tc>
        <w:tc>
          <w:tcPr/>
          <w:p>
            <w:pPr>
              <w:pStyle w:val="Compact"/>
              <w:jc w:val="left"/>
            </w:pPr>
            <w:r>
              <w:t xml:space="preserve">Phase I ESA; Ohio EPA response; aerials</w:t>
            </w:r>
          </w:p>
        </w:tc>
      </w:tr>
      <w:tr>
        <w:tc>
          <w:tcPr/>
          <w:p>
            <w:pPr>
              <w:pStyle w:val="Compact"/>
              <w:jc w:val="left"/>
            </w:pPr>
            <w:r>
              <w:t xml:space="preserve">H-3</w:t>
            </w:r>
          </w:p>
        </w:tc>
        <w:tc>
          <w:tcPr/>
          <w:p>
            <w:pPr>
              <w:pStyle w:val="Compact"/>
              <w:jc w:val="left"/>
            </w:pPr>
            <w:r>
              <w:t xml:space="preserve">2003 Ohio EPA Notice of Violation and Director’s Final Findings and Orders (consent order); compliance unconfirmed</w:t>
            </w:r>
          </w:p>
        </w:tc>
        <w:tc>
          <w:tcPr/>
          <w:p>
            <w:pPr>
              <w:pStyle w:val="Compact"/>
              <w:jc w:val="left"/>
            </w:pPr>
            <w:r>
              <w:rPr>
                <w:b/>
                <w:bCs/>
              </w:rPr>
              <w:t xml:space="preserve">High</w:t>
            </w:r>
          </w:p>
        </w:tc>
        <w:tc>
          <w:tcPr/>
          <w:p>
            <w:pPr>
              <w:pStyle w:val="Compact"/>
              <w:jc w:val="left"/>
            </w:pPr>
            <w:r>
              <w:t xml:space="preserve">Ohio EPA response</w:t>
            </w:r>
          </w:p>
        </w:tc>
      </w:tr>
      <w:tr>
        <w:tc>
          <w:tcPr/>
          <w:p>
            <w:pPr>
              <w:pStyle w:val="Compact"/>
              <w:jc w:val="left"/>
            </w:pPr>
            <w:r>
              <w:t xml:space="preserve">H-4</w:t>
            </w:r>
          </w:p>
        </w:tc>
        <w:tc>
          <w:tcPr/>
          <w:p>
            <w:pPr>
              <w:pStyle w:val="Compact"/>
              <w:jc w:val="left"/>
            </w:pPr>
            <w:r>
              <w:t xml:space="preserve">39-year gap in hazardous-waste manifests (1965–2003); arranger-liability and on-site-disposal exposure</w:t>
            </w:r>
          </w:p>
        </w:tc>
        <w:tc>
          <w:tcPr/>
          <w:p>
            <w:pPr>
              <w:pStyle w:val="Compact"/>
              <w:jc w:val="left"/>
            </w:pPr>
            <w:r>
              <w:rPr>
                <w:b/>
                <w:bCs/>
              </w:rPr>
              <w:t xml:space="preserve">High</w:t>
            </w:r>
          </w:p>
        </w:tc>
        <w:tc>
          <w:tcPr/>
          <w:p>
            <w:pPr>
              <w:pStyle w:val="Compact"/>
              <w:jc w:val="left"/>
            </w:pPr>
            <w:r>
              <w:t xml:space="preserve">Ohio EPA response; Phase I ESA</w:t>
            </w:r>
          </w:p>
        </w:tc>
      </w:tr>
      <w:tr>
        <w:tc>
          <w:tcPr/>
          <w:p>
            <w:pPr>
              <w:pStyle w:val="Compact"/>
              <w:jc w:val="left"/>
            </w:pPr>
            <w:r>
              <w:t xml:space="preserve">H-5</w:t>
            </w:r>
          </w:p>
        </w:tc>
        <w:tc>
          <w:tcPr/>
          <w:p>
            <w:pPr>
              <w:pStyle w:val="Compact"/>
              <w:jc w:val="left"/>
            </w:pPr>
            <w:r>
              <w:t xml:space="preserve">Potential inaccuracies/breaches of Seller’s environmental reps (APA §§ 4.12, 4.13)</w:t>
            </w:r>
          </w:p>
        </w:tc>
        <w:tc>
          <w:tcPr/>
          <w:p>
            <w:pPr>
              <w:pStyle w:val="Compact"/>
              <w:jc w:val="left"/>
            </w:pPr>
            <w:r>
              <w:rPr>
                <w:b/>
                <w:bCs/>
              </w:rPr>
              <w:t xml:space="preserve">High</w:t>
            </w:r>
          </w:p>
        </w:tc>
        <w:tc>
          <w:tcPr/>
          <w:p>
            <w:pPr>
              <w:pStyle w:val="Compact"/>
              <w:jc w:val="left"/>
            </w:pPr>
            <w:r>
              <w:t xml:space="preserve">APA; Ohio EPA response; Phase I ESA</w:t>
            </w:r>
          </w:p>
        </w:tc>
      </w:tr>
      <w:tr>
        <w:tc>
          <w:tcPr/>
          <w:p>
            <w:pPr>
              <w:pStyle w:val="Compact"/>
              <w:jc w:val="left"/>
            </w:pPr>
            <w:r>
              <w:t xml:space="preserve">H-6</w:t>
            </w:r>
          </w:p>
        </w:tc>
        <w:tc>
          <w:tcPr/>
          <w:p>
            <w:pPr>
              <w:pStyle w:val="Compact"/>
              <w:jc w:val="left"/>
            </w:pPr>
            <w:r>
              <w:t xml:space="preserve">Contractual protections likely inadequate ($1.75M cap; 3-yr survival); termination-right deadline imminent</w:t>
            </w:r>
          </w:p>
        </w:tc>
        <w:tc>
          <w:tcPr/>
          <w:p>
            <w:pPr>
              <w:pStyle w:val="Compact"/>
              <w:jc w:val="left"/>
            </w:pPr>
            <w:r>
              <w:rPr>
                <w:b/>
                <w:bCs/>
              </w:rPr>
              <w:t xml:space="preserve">High</w:t>
            </w:r>
          </w:p>
        </w:tc>
        <w:tc>
          <w:tcPr/>
          <w:p>
            <w:pPr>
              <w:pStyle w:val="Compact"/>
              <w:jc w:val="left"/>
            </w:pPr>
            <w:r>
              <w:t xml:space="preserve">APA §§ 6.3, 8.2, 8.4</w:t>
            </w:r>
          </w:p>
        </w:tc>
      </w:tr>
      <w:tr>
        <w:tc>
          <w:tcPr/>
          <w:p>
            <w:pPr>
              <w:pStyle w:val="Compact"/>
              <w:jc w:val="left"/>
            </w:pPr>
            <w:r>
              <w:t xml:space="preserve">H-7</w:t>
            </w:r>
          </w:p>
        </w:tc>
        <w:tc>
          <w:tcPr/>
          <w:p>
            <w:pPr>
              <w:pStyle w:val="Compact"/>
              <w:jc w:val="left"/>
            </w:pPr>
            <w:r>
              <w:t xml:space="preserve">Vapor-intrusion risk from on-site TCE and off-site PCE; Lender VI assessment triggered</w:t>
            </w:r>
          </w:p>
        </w:tc>
        <w:tc>
          <w:tcPr/>
          <w:p>
            <w:pPr>
              <w:pStyle w:val="Compact"/>
              <w:jc w:val="left"/>
            </w:pPr>
            <w:r>
              <w:rPr>
                <w:b/>
                <w:bCs/>
              </w:rPr>
              <w:t xml:space="preserve">High</w:t>
            </w:r>
          </w:p>
        </w:tc>
        <w:tc>
          <w:tcPr/>
          <w:p>
            <w:pPr>
              <w:pStyle w:val="Compact"/>
              <w:jc w:val="left"/>
            </w:pPr>
            <w:r>
              <w:t xml:space="preserve">Phase I ESA; Ohio EPA response; Lender letter</w:t>
            </w:r>
          </w:p>
        </w:tc>
      </w:tr>
      <w:tr>
        <w:tc>
          <w:tcPr/>
          <w:p>
            <w:pPr>
              <w:pStyle w:val="Compact"/>
              <w:jc w:val="left"/>
            </w:pPr>
            <w:r>
              <w:t xml:space="preserve">M-1</w:t>
            </w:r>
          </w:p>
        </w:tc>
        <w:tc>
          <w:tcPr/>
          <w:p>
            <w:pPr>
              <w:pStyle w:val="Compact"/>
              <w:jc w:val="left"/>
            </w:pPr>
            <w:r>
              <w:t xml:space="preserve">Monitoring well</w:t>
            </w:r>
            <w:r>
              <w:t xml:space="preserve"> </w:t>
            </w:r>
            <w:r>
              <w:t xml:space="preserve">“</w:t>
            </w:r>
            <w:r>
              <w:t xml:space="preserve">MW-1</w:t>
            </w:r>
            <w:r>
              <w:t xml:space="preserve">”</w:t>
            </w:r>
            <w:r>
              <w:t xml:space="preserve"> </w:t>
            </w:r>
            <w:r>
              <w:t xml:space="preserve">of unknown origin; no logs/data; damaged</w:t>
            </w:r>
          </w:p>
        </w:tc>
        <w:tc>
          <w:tcPr/>
          <w:p>
            <w:pPr>
              <w:pStyle w:val="Compact"/>
              <w:jc w:val="left"/>
            </w:pPr>
            <w:r>
              <w:rPr>
                <w:b/>
                <w:bCs/>
              </w:rPr>
              <w:t xml:space="preserve">Moderate</w:t>
            </w:r>
          </w:p>
        </w:tc>
        <w:tc>
          <w:tcPr/>
          <w:p>
            <w:pPr>
              <w:pStyle w:val="Compact"/>
              <w:jc w:val="left"/>
            </w:pPr>
            <w:r>
              <w:t xml:space="preserve">Phase I ESA</w:t>
            </w:r>
          </w:p>
        </w:tc>
      </w:tr>
      <w:tr>
        <w:tc>
          <w:tcPr/>
          <w:p>
            <w:pPr>
              <w:pStyle w:val="Compact"/>
              <w:jc w:val="left"/>
            </w:pPr>
            <w:r>
              <w:t xml:space="preserve">M-2</w:t>
            </w:r>
          </w:p>
        </w:tc>
        <w:tc>
          <w:tcPr/>
          <w:p>
            <w:pPr>
              <w:pStyle w:val="Compact"/>
              <w:jc w:val="left"/>
            </w:pPr>
            <w:r>
              <w:t xml:space="preserve">Seller’s refusal to produce corporate records (1961–1990)</w:t>
            </w:r>
          </w:p>
        </w:tc>
        <w:tc>
          <w:tcPr/>
          <w:p>
            <w:pPr>
              <w:pStyle w:val="Compact"/>
              <w:jc w:val="left"/>
            </w:pPr>
            <w:r>
              <w:rPr>
                <w:b/>
                <w:bCs/>
              </w:rPr>
              <w:t xml:space="preserve">Moderate</w:t>
            </w:r>
          </w:p>
        </w:tc>
        <w:tc>
          <w:tcPr/>
          <w:p>
            <w:pPr>
              <w:pStyle w:val="Compact"/>
              <w:jc w:val="left"/>
            </w:pPr>
            <w:r>
              <w:t xml:space="preserve">Phase I ESA Data Gap 2</w:t>
            </w:r>
          </w:p>
        </w:tc>
      </w:tr>
      <w:tr>
        <w:tc>
          <w:tcPr/>
          <w:p>
            <w:pPr>
              <w:pStyle w:val="Compact"/>
              <w:jc w:val="left"/>
            </w:pPr>
            <w:r>
              <w:t xml:space="preserve">M-3</w:t>
            </w:r>
          </w:p>
        </w:tc>
        <w:tc>
          <w:tcPr/>
          <w:p>
            <w:pPr>
              <w:pStyle w:val="Compact"/>
              <w:jc w:val="left"/>
            </w:pPr>
            <w:r>
              <w:t xml:space="preserve">500-gallon heating-oil UST (Halstead farmhouse); no closure documentation; status unknown</w:t>
            </w:r>
          </w:p>
        </w:tc>
        <w:tc>
          <w:tcPr/>
          <w:p>
            <w:pPr>
              <w:pStyle w:val="Compact"/>
              <w:jc w:val="left"/>
            </w:pPr>
            <w:r>
              <w:rPr>
                <w:b/>
                <w:bCs/>
              </w:rPr>
              <w:t xml:space="preserve">Moderate</w:t>
            </w:r>
          </w:p>
        </w:tc>
        <w:tc>
          <w:tcPr/>
          <w:p>
            <w:pPr>
              <w:pStyle w:val="Compact"/>
              <w:jc w:val="left"/>
            </w:pPr>
            <w:r>
              <w:t xml:space="preserve">Phase I ESA HREC-1; EDR summary</w:t>
            </w:r>
          </w:p>
        </w:tc>
      </w:tr>
      <w:tr>
        <w:tc>
          <w:tcPr/>
          <w:p>
            <w:pPr>
              <w:pStyle w:val="Compact"/>
              <w:jc w:val="left"/>
            </w:pPr>
            <w:r>
              <w:t xml:space="preserve">M-4</w:t>
            </w:r>
          </w:p>
        </w:tc>
        <w:tc>
          <w:tcPr/>
          <w:p>
            <w:pPr>
              <w:pStyle w:val="Compact"/>
              <w:jc w:val="left"/>
            </w:pPr>
            <w:r>
              <w:t xml:space="preserve">Collective data gaps preventing full characterization (Lender decline risk)</w:t>
            </w:r>
          </w:p>
        </w:tc>
        <w:tc>
          <w:tcPr/>
          <w:p>
            <w:pPr>
              <w:pStyle w:val="Compact"/>
              <w:jc w:val="left"/>
            </w:pPr>
            <w:r>
              <w:rPr>
                <w:b/>
                <w:bCs/>
              </w:rPr>
              <w:t xml:space="preserve">Moderate</w:t>
            </w:r>
          </w:p>
        </w:tc>
        <w:tc>
          <w:tcPr/>
          <w:p>
            <w:pPr>
              <w:pStyle w:val="Compact"/>
              <w:jc w:val="left"/>
            </w:pPr>
            <w:r>
              <w:t xml:space="preserve">Phase I ESA; Ohio EPA response</w:t>
            </w:r>
          </w:p>
        </w:tc>
      </w:tr>
      <w:tr>
        <w:tc>
          <w:tcPr/>
          <w:p>
            <w:pPr>
              <w:pStyle w:val="Compact"/>
              <w:jc w:val="left"/>
            </w:pPr>
            <w:r>
              <w:t xml:space="preserve">M-5</w:t>
            </w:r>
          </w:p>
        </w:tc>
        <w:tc>
          <w:tcPr/>
          <w:p>
            <w:pPr>
              <w:pStyle w:val="Compact"/>
              <w:jc w:val="left"/>
            </w:pPr>
            <w:r>
              <w:t xml:space="preserve">Groundwater Management Zone as institutional control / activity-use limitation; rep 4.12(e) accuracy</w:t>
            </w:r>
          </w:p>
        </w:tc>
        <w:tc>
          <w:tcPr/>
          <w:p>
            <w:pPr>
              <w:pStyle w:val="Compact"/>
              <w:jc w:val="left"/>
            </w:pPr>
            <w:r>
              <w:rPr>
                <w:b/>
                <w:bCs/>
              </w:rPr>
              <w:t xml:space="preserve">Moderate</w:t>
            </w:r>
          </w:p>
        </w:tc>
        <w:tc>
          <w:tcPr/>
          <w:p>
            <w:pPr>
              <w:pStyle w:val="Compact"/>
              <w:jc w:val="left"/>
            </w:pPr>
            <w:r>
              <w:t xml:space="preserve">Ohio EPA response; APA § 4.12(e)</w:t>
            </w:r>
          </w:p>
        </w:tc>
      </w:tr>
      <w:tr>
        <w:tc>
          <w:tcPr/>
          <w:p>
            <w:pPr>
              <w:pStyle w:val="Compact"/>
              <w:jc w:val="left"/>
            </w:pPr>
            <w:r>
              <w:t xml:space="preserve">L-1</w:t>
            </w:r>
          </w:p>
        </w:tc>
        <w:tc>
          <w:tcPr/>
          <w:p>
            <w:pPr>
              <w:pStyle w:val="Compact"/>
              <w:jc w:val="left"/>
            </w:pPr>
            <w:r>
              <w:t xml:space="preserve">Active 10,000-gallon diesel UST — compliant but ongoing obligation; Lender UST covenant</w:t>
            </w:r>
          </w:p>
        </w:tc>
        <w:tc>
          <w:tcPr/>
          <w:p>
            <w:pPr>
              <w:pStyle w:val="Compact"/>
              <w:jc w:val="left"/>
            </w:pPr>
            <w:r>
              <w:rPr>
                <w:b/>
                <w:bCs/>
              </w:rPr>
              <w:t xml:space="preserve">Low</w:t>
            </w:r>
          </w:p>
        </w:tc>
        <w:tc>
          <w:tcPr/>
          <w:p>
            <w:pPr>
              <w:pStyle w:val="Compact"/>
              <w:jc w:val="left"/>
            </w:pPr>
            <w:r>
              <w:t xml:space="preserve">Phase I ESA; EDR summary</w:t>
            </w:r>
          </w:p>
        </w:tc>
      </w:tr>
      <w:tr>
        <w:tc>
          <w:tcPr/>
          <w:p>
            <w:pPr>
              <w:pStyle w:val="Compact"/>
              <w:jc w:val="left"/>
            </w:pPr>
            <w:r>
              <w:t xml:space="preserve">L-2</w:t>
            </w:r>
          </w:p>
        </w:tc>
        <w:tc>
          <w:tcPr/>
          <w:p>
            <w:pPr>
              <w:pStyle w:val="Compact"/>
              <w:jc w:val="left"/>
            </w:pPr>
            <w:r>
              <w:t xml:space="preserve">Other adjacent/nearby listings (Toledo Coatings &amp; Adhesives; Bayshore Auto Salvage; etc.)</w:t>
            </w:r>
          </w:p>
        </w:tc>
        <w:tc>
          <w:tcPr/>
          <w:p>
            <w:pPr>
              <w:pStyle w:val="Compact"/>
              <w:jc w:val="left"/>
            </w:pPr>
            <w:r>
              <w:rPr>
                <w:b/>
                <w:bCs/>
              </w:rPr>
              <w:t xml:space="preserve">Low</w:t>
            </w:r>
          </w:p>
        </w:tc>
        <w:tc>
          <w:tcPr/>
          <w:p>
            <w:pPr>
              <w:pStyle w:val="Compact"/>
              <w:jc w:val="left"/>
            </w:pPr>
            <w:r>
              <w:t xml:space="preserve">EDR summary</w:t>
            </w:r>
          </w:p>
        </w:tc>
      </w:tr>
      <w:tr>
        <w:tc>
          <w:tcPr/>
          <w:p>
            <w:pPr>
              <w:pStyle w:val="Compact"/>
              <w:jc w:val="left"/>
            </w:pPr>
            <w:r>
              <w:t xml:space="preserve">L-3</w:t>
            </w:r>
          </w:p>
        </w:tc>
        <w:tc>
          <w:tcPr/>
          <w:p>
            <w:pPr>
              <w:pStyle w:val="Compact"/>
              <w:jc w:val="left"/>
            </w:pPr>
            <w:r>
              <w:t xml:space="preserve">Stormwater basin; utility-owned pole-mounted transformer (PCBs)</w:t>
            </w:r>
          </w:p>
        </w:tc>
        <w:tc>
          <w:tcPr/>
          <w:p>
            <w:pPr>
              <w:pStyle w:val="Compact"/>
              <w:jc w:val="left"/>
            </w:pPr>
            <w:r>
              <w:rPr>
                <w:b/>
                <w:bCs/>
              </w:rPr>
              <w:t xml:space="preserve">Low</w:t>
            </w:r>
          </w:p>
        </w:tc>
        <w:tc>
          <w:tcPr/>
          <w:p>
            <w:pPr>
              <w:pStyle w:val="Compact"/>
              <w:jc w:val="left"/>
            </w:pPr>
            <w:r>
              <w:t xml:space="preserve">Phase I ESA</w:t>
            </w:r>
          </w:p>
        </w:tc>
      </w:tr>
      <w:tr>
        <w:tc>
          <w:tcPr/>
          <w:p>
            <w:pPr>
              <w:pStyle w:val="Compact"/>
              <w:jc w:val="left"/>
            </w:pPr>
            <w:r>
              <w:t xml:space="preserve">I-1</w:t>
            </w:r>
          </w:p>
        </w:tc>
        <w:tc>
          <w:tcPr/>
          <w:p>
            <w:pPr>
              <w:pStyle w:val="Compact"/>
              <w:jc w:val="left"/>
            </w:pPr>
            <w:r>
              <w:t xml:space="preserve">Potential asbestos-containing materials / lead-based paint (non-scope; pre-1980 buildings)</w:t>
            </w:r>
          </w:p>
        </w:tc>
        <w:tc>
          <w:tcPr/>
          <w:p>
            <w:pPr>
              <w:pStyle w:val="Compact"/>
              <w:jc w:val="left"/>
            </w:pPr>
            <w:r>
              <w:rPr>
                <w:b/>
                <w:bCs/>
              </w:rPr>
              <w:t xml:space="preserve">Informational</w:t>
            </w:r>
          </w:p>
        </w:tc>
        <w:tc>
          <w:tcPr/>
          <w:p>
            <w:pPr>
              <w:pStyle w:val="Compact"/>
              <w:jc w:val="left"/>
            </w:pPr>
            <w:r>
              <w:t xml:space="preserve">Phase I ESA § 8.6-equivalent</w:t>
            </w:r>
          </w:p>
        </w:tc>
      </w:tr>
      <w:tr>
        <w:tc>
          <w:tcPr/>
          <w:p>
            <w:pPr>
              <w:pStyle w:val="Compact"/>
              <w:jc w:val="left"/>
            </w:pPr>
            <w:r>
              <w:t xml:space="preserve">I-2</w:t>
            </w:r>
          </w:p>
        </w:tc>
        <w:tc>
          <w:tcPr/>
          <w:p>
            <w:pPr>
              <w:pStyle w:val="Compact"/>
              <w:jc w:val="left"/>
            </w:pPr>
            <w:r>
              <w:t xml:space="preserve">Norfolk Southern railroad right-of-way herbicide (de minimis)</w:t>
            </w:r>
          </w:p>
        </w:tc>
        <w:tc>
          <w:tcPr/>
          <w:p>
            <w:pPr>
              <w:pStyle w:val="Compact"/>
              <w:jc w:val="left"/>
            </w:pPr>
            <w:r>
              <w:rPr>
                <w:b/>
                <w:bCs/>
              </w:rPr>
              <w:t xml:space="preserve">Informational</w:t>
            </w:r>
          </w:p>
        </w:tc>
        <w:tc>
          <w:tcPr/>
          <w:p>
            <w:pPr>
              <w:pStyle w:val="Compact"/>
              <w:jc w:val="left"/>
            </w:pPr>
            <w:r>
              <w:t xml:space="preserve">Phase I ESA</w:t>
            </w:r>
          </w:p>
        </w:tc>
      </w:tr>
      <w:tr>
        <w:tc>
          <w:tcPr/>
          <w:p>
            <w:pPr>
              <w:pStyle w:val="Compact"/>
              <w:jc w:val="left"/>
            </w:pPr>
            <w:r>
              <w:t xml:space="preserve">I-3</w:t>
            </w:r>
          </w:p>
        </w:tc>
        <w:tc>
          <w:tcPr/>
          <w:p>
            <w:pPr>
              <w:pStyle w:val="Compact"/>
              <w:jc w:val="left"/>
            </w:pPr>
            <w:r>
              <w:t xml:space="preserve">RCRA SQG status; post-closing Lender environmental covenants</w:t>
            </w:r>
          </w:p>
        </w:tc>
        <w:tc>
          <w:tcPr/>
          <w:p>
            <w:pPr>
              <w:pStyle w:val="Compact"/>
              <w:jc w:val="left"/>
            </w:pPr>
            <w:r>
              <w:rPr>
                <w:b/>
                <w:bCs/>
              </w:rPr>
              <w:t xml:space="preserve">Informational</w:t>
            </w:r>
          </w:p>
        </w:tc>
        <w:tc>
          <w:tcPr/>
          <w:p>
            <w:pPr>
              <w:pStyle w:val="Compact"/>
              <w:jc w:val="left"/>
            </w:pPr>
            <w:r>
              <w:t xml:space="preserve">Phase I ESA; Lender letter</w:t>
            </w:r>
          </w:p>
        </w:tc>
      </w:tr>
    </w:tbl>
    <w:p>
      <w:r>
        <w:pict>
          <v:rect style="width:0;height:1.5pt" o:hralign="center" o:hrstd="t" o:hr="t"/>
        </w:pict>
      </w:r>
    </w:p>
    <w:bookmarkEnd w:id="21"/>
    <w:bookmarkEnd w:id="22"/>
    <w:bookmarkStart w:id="23" w:name="ii.-transaction-overview"/>
    <w:p>
      <w:pPr>
        <w:pStyle w:val="Heading2"/>
      </w:pPr>
      <w:r>
        <w:t xml:space="preserve">II. Transaction Overview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Property</w:t>
            </w:r>
          </w:p>
        </w:tc>
        <w:tc>
          <w:tcPr/>
          <w:p>
            <w:pPr>
              <w:pStyle w:val="Compact"/>
              <w:jc w:val="left"/>
            </w:pPr>
            <w:r>
              <w:t xml:space="preserve">4820 Lakeshore Industrial Drive, Toledo, Lucas County, Ohio 43611</w:t>
            </w:r>
          </w:p>
        </w:tc>
      </w:tr>
      <w:tr>
        <w:tc>
          <w:tcPr/>
          <w:p>
            <w:pPr>
              <w:pStyle w:val="Compact"/>
              <w:jc w:val="left"/>
            </w:pPr>
            <w:r>
              <w:t xml:space="preserve">Parcels</w:t>
            </w:r>
          </w:p>
        </w:tc>
        <w:tc>
          <w:tcPr/>
          <w:p>
            <w:pPr>
              <w:pStyle w:val="Compact"/>
              <w:jc w:val="left"/>
            </w:pPr>
            <w:r>
              <w:t xml:space="preserve">Lucas County Parcel Nos. 18-04562-001, -002, -003 (≈14.7 acres)</w:t>
            </w:r>
          </w:p>
        </w:tc>
      </w:tr>
      <w:tr>
        <w:tc>
          <w:tcPr/>
          <w:p>
            <w:pPr>
              <w:pStyle w:val="Compact"/>
              <w:jc w:val="left"/>
            </w:pPr>
            <w:r>
              <w:t xml:space="preserve">Improvements</w:t>
            </w:r>
          </w:p>
        </w:tc>
        <w:tc>
          <w:tcPr/>
          <w:p>
            <w:pPr>
              <w:pStyle w:val="Compact"/>
              <w:jc w:val="left"/>
            </w:pPr>
            <w:r>
              <w:t xml:space="preserve">Main manufacturing building (≈100,000 sf: 78,000 sf orig. 1962 + 22,000 sf add. 1978); warehouse (≈35,000 sf, 1985); maintenance/utility building (≈6,500 sf, 1972)</w:t>
            </w:r>
          </w:p>
        </w:tc>
      </w:tr>
      <w:tr>
        <w:tc>
          <w:tcPr/>
          <w:p>
            <w:pPr>
              <w:pStyle w:val="Compact"/>
              <w:jc w:val="left"/>
            </w:pPr>
            <w:r>
              <w:t xml:space="preserve">Seller</w:t>
            </w:r>
          </w:p>
        </w:tc>
        <w:tc>
          <w:tcPr/>
          <w:p>
            <w:pPr>
              <w:pStyle w:val="Compact"/>
              <w:jc w:val="left"/>
            </w:pPr>
            <w:r>
              <w:t xml:space="preserve">Breckenridge Manufacturing Co. (Gerald Breckenridge III, President)</w:t>
            </w:r>
          </w:p>
        </w:tc>
      </w:tr>
      <w:tr>
        <w:tc>
          <w:tcPr/>
          <w:p>
            <w:pPr>
              <w:pStyle w:val="Compact"/>
              <w:jc w:val="left"/>
            </w:pPr>
            <w:r>
              <w:t xml:space="preserve">Buyer</w:t>
            </w:r>
          </w:p>
        </w:tc>
        <w:tc>
          <w:tcPr/>
          <w:p>
            <w:pPr>
              <w:pStyle w:val="Compact"/>
              <w:jc w:val="left"/>
            </w:pPr>
            <w:r>
              <w:t xml:space="preserve">Cornerstone Industrial Partners LLC (Marcus Choi, Managing Partner)</w:t>
            </w:r>
          </w:p>
        </w:tc>
      </w:tr>
      <w:tr>
        <w:tc>
          <w:tcPr/>
          <w:p>
            <w:pPr>
              <w:pStyle w:val="Compact"/>
              <w:jc w:val="left"/>
            </w:pPr>
            <w:r>
              <w:t xml:space="preserve">Purchase Price</w:t>
            </w:r>
          </w:p>
        </w:tc>
        <w:tc>
          <w:tcPr/>
          <w:p>
            <w:pPr>
              <w:pStyle w:val="Compact"/>
              <w:jc w:val="left"/>
            </w:pPr>
            <w:r>
              <w:t xml:space="preserve">$8,750,000</w:t>
            </w:r>
          </w:p>
        </w:tc>
      </w:tr>
      <w:tr>
        <w:tc>
          <w:tcPr/>
          <w:p>
            <w:pPr>
              <w:pStyle w:val="Compact"/>
              <w:jc w:val="left"/>
            </w:pPr>
            <w:r>
              <w:t xml:space="preserve">Lender / Loan</w:t>
            </w:r>
          </w:p>
        </w:tc>
        <w:tc>
          <w:tcPr/>
          <w:p>
            <w:pPr>
              <w:pStyle w:val="Compact"/>
              <w:jc w:val="left"/>
            </w:pPr>
            <w:r>
              <w:t xml:space="preserve">Great Lakes Capital Bank; $6,125,000 (≈70% LTV); Borrower equity $2,625,000; Loan No. GLCB-2024-08173</w:t>
            </w:r>
          </w:p>
        </w:tc>
      </w:tr>
      <w:tr>
        <w:tc>
          <w:tcPr/>
          <w:p>
            <w:pPr>
              <w:pStyle w:val="Compact"/>
              <w:jc w:val="left"/>
            </w:pPr>
            <w:r>
              <w:t xml:space="preserve">APA</w:t>
            </w:r>
          </w:p>
        </w:tc>
        <w:tc>
          <w:tcPr/>
          <w:p>
            <w:pPr>
              <w:pStyle w:val="Compact"/>
              <w:jc w:val="left"/>
            </w:pPr>
            <w:r>
              <w:t xml:space="preserve">Asset Purchase Agreement dated September 1, 2024</w:t>
            </w:r>
          </w:p>
        </w:tc>
      </w:tr>
      <w:tr>
        <w:tc>
          <w:tcPr/>
          <w:p>
            <w:pPr>
              <w:pStyle w:val="Compact"/>
              <w:jc w:val="left"/>
            </w:pPr>
            <w:r>
              <w:t xml:space="preserve">Closing Date</w:t>
            </w:r>
          </w:p>
        </w:tc>
        <w:tc>
          <w:tcPr/>
          <w:p>
            <w:pPr>
              <w:pStyle w:val="Compact"/>
              <w:jc w:val="left"/>
            </w:pPr>
            <w:r>
              <w:t xml:space="preserve">December 15, 2024</w:t>
            </w:r>
          </w:p>
        </w:tc>
      </w:tr>
      <w:tr>
        <w:tc>
          <w:tcPr/>
          <w:p>
            <w:pPr>
              <w:pStyle w:val="Compact"/>
              <w:jc w:val="left"/>
            </w:pPr>
            <w:r>
              <w:t xml:space="preserve">Environmental Due Diligence Period</w:t>
            </w:r>
          </w:p>
        </w:tc>
        <w:tc>
          <w:tcPr/>
          <w:p>
            <w:pPr>
              <w:pStyle w:val="Compact"/>
              <w:jc w:val="left"/>
            </w:pPr>
            <w:r>
              <w:t xml:space="preserve">Expires 5:00 p.m. ET, October 31, 2024</w:t>
            </w:r>
          </w:p>
        </w:tc>
      </w:tr>
      <w:tr>
        <w:tc>
          <w:tcPr/>
          <w:p>
            <w:pPr>
              <w:pStyle w:val="Compact"/>
              <w:jc w:val="left"/>
            </w:pPr>
            <w:r>
              <w:t xml:space="preserve">Earnest Money</w:t>
            </w:r>
          </w:p>
        </w:tc>
        <w:tc>
          <w:tcPr/>
          <w:p>
            <w:pPr>
              <w:pStyle w:val="Compact"/>
              <w:jc w:val="left"/>
            </w:pPr>
            <w:r>
              <w:t xml:space="preserve">$437,500 (5% of price)</w:t>
            </w:r>
          </w:p>
        </w:tc>
      </w:tr>
      <w:tr>
        <w:tc>
          <w:tcPr/>
          <w:p>
            <w:pPr>
              <w:pStyle w:val="Compact"/>
              <w:jc w:val="left"/>
            </w:pPr>
            <w:r>
              <w:t xml:space="preserve">Buyer / Lender counsel</w:t>
            </w:r>
          </w:p>
        </w:tc>
        <w:tc>
          <w:tcPr/>
          <w:p>
            <w:pPr>
              <w:pStyle w:val="Compact"/>
              <w:jc w:val="left"/>
            </w:pPr>
            <w:r>
              <w:t xml:space="preserve">Whitfield &amp; Crane LLP (Sarah Castellano, lead partner)</w:t>
            </w:r>
          </w:p>
        </w:tc>
      </w:tr>
      <w:tr>
        <w:tc>
          <w:tcPr/>
          <w:p>
            <w:pPr>
              <w:pStyle w:val="Compact"/>
              <w:jc w:val="left"/>
            </w:pPr>
            <w:r>
              <w:t xml:space="preserve">Phase I ESA</w:t>
            </w:r>
          </w:p>
        </w:tc>
        <w:tc>
          <w:tcPr/>
          <w:p>
            <w:pPr>
              <w:pStyle w:val="Compact"/>
              <w:jc w:val="left"/>
            </w:pPr>
            <w:r>
              <w:t xml:space="preserve">Greenfield Environmental Consultants Inc.; Lauren Haddad, P.E. (Ohio PE No. 67842); report dated October 25, 2024; site reconnaissance October 2, 2024; Project No. GEC-2024-0347; ASTM E1527-21</w:t>
            </w:r>
          </w:p>
        </w:tc>
      </w:tr>
    </w:tbl>
    <w:p>
      <w:pPr>
        <w:pStyle w:val="BodyText"/>
      </w:pPr>
      <w:r>
        <w:rPr>
          <w:b/>
          <w:bCs/>
        </w:rPr>
        <w:t xml:space="preserve">Historical use of the Property.</w:t>
      </w:r>
      <w:r>
        <w:t xml:space="preserve"> </w:t>
      </w:r>
      <w:r>
        <w:t xml:space="preserve">Agricultural/residential (Halstead family farmhouse) pre-1961; farmhouse demolished 1961. Breckenridge Manufacturing Co. has owned the Property since 1961 and conducted metal stamping,</w:t>
      </w:r>
      <w:r>
        <w:t xml:space="preserve"> </w:t>
      </w:r>
      <w:r>
        <w:rPr>
          <w:b/>
          <w:bCs/>
        </w:rPr>
        <w:t xml:space="preserve">vapor degreasing with TCE (1961–1992)</w:t>
      </w:r>
      <w:r>
        <w:t xml:space="preserve">,</w:t>
      </w:r>
      <w:r>
        <w:t xml:space="preserve"> </w:t>
      </w:r>
      <w:r>
        <w:rPr>
          <w:b/>
          <w:bCs/>
        </w:rPr>
        <w:t xml:space="preserve">electroplating with hexavalent chromium and nickel (1965–2004)</w:t>
      </w:r>
      <w:r>
        <w:t xml:space="preserve">, and painting through 2019. Since December 2019 the Property has been used solely for warehousing. This use history places the Property in the Lender’s</w:t>
      </w:r>
      <w:r>
        <w:t xml:space="preserve"> </w:t>
      </w:r>
      <w:r>
        <w:t xml:space="preserve">“</w:t>
      </w:r>
      <w:r>
        <w:t xml:space="preserve">Elevated Environmental Risk</w:t>
      </w:r>
      <w:r>
        <w:t xml:space="preserve">”</w:t>
      </w:r>
      <w:r>
        <w:t xml:space="preserve"> </w:t>
      </w:r>
      <w:r>
        <w:t xml:space="preserve">category.</w:t>
      </w:r>
    </w:p>
    <w:p>
      <w:r>
        <w:pict>
          <v:rect style="width:0;height:1.5pt" o:hralign="center" o:hrstd="t" o:hr="t"/>
        </w:pict>
      </w:r>
    </w:p>
    <w:bookmarkEnd w:id="23"/>
    <w:bookmarkStart w:id="24" w:name="iii.-scope-and-documents-reviewed"/>
    <w:p>
      <w:pPr>
        <w:pStyle w:val="Heading2"/>
      </w:pPr>
      <w:r>
        <w:t xml:space="preserve">III. Scope and Documents Reviewed</w:t>
      </w:r>
    </w:p>
    <w:p>
      <w:pPr>
        <w:pStyle w:val="FirstParagraph"/>
      </w:pPr>
      <w:r>
        <w:t xml:space="preserve">The following documents pertaining to the Property were reviewed in preparing this memorandum:</w:t>
      </w:r>
    </w:p>
    <w:p>
      <w:pPr>
        <w:pStyle w:val="Compact"/>
        <w:numPr>
          <w:ilvl w:val="0"/>
          <w:numId w:val="1001"/>
        </w:numPr>
      </w:pPr>
      <w:r>
        <w:rPr>
          <w:b/>
          <w:bCs/>
        </w:rPr>
        <w:t xml:space="preserve">Phase I ESA</w:t>
      </w:r>
      <w:r>
        <w:t xml:space="preserve"> </w:t>
      </w:r>
      <w:r>
        <w:t xml:space="preserve">— Greenfield Environmental Consultants Inc., dated October 25, 2024 (Project No. GEC-2024-0347), including Appendices A–E (EDR database summary, historical source documentation, regulatory correspondence, site photographs, qualifications).</w:t>
      </w:r>
    </w:p>
    <w:p>
      <w:pPr>
        <w:pStyle w:val="Compact"/>
        <w:numPr>
          <w:ilvl w:val="0"/>
          <w:numId w:val="1001"/>
        </w:numPr>
      </w:pPr>
      <w:r>
        <w:rPr>
          <w:b/>
          <w:bCs/>
        </w:rPr>
        <w:t xml:space="preserve">Ohio EPA file response</w:t>
      </w:r>
      <w:r>
        <w:t xml:space="preserve"> </w:t>
      </w:r>
      <w:r>
        <w:t xml:space="preserve">— Ohio EPA, Division of Environmental Response and Revitalization, Northwest District Office, dated September 28, 2024 (File Ref. DERR-NW-2024-RR-0438), including the enclosed July 17, 2003 Compliance Evaluation Inspection report.</w:t>
      </w:r>
    </w:p>
    <w:p>
      <w:pPr>
        <w:pStyle w:val="Compact"/>
        <w:numPr>
          <w:ilvl w:val="0"/>
          <w:numId w:val="1001"/>
        </w:numPr>
      </w:pPr>
      <w:r>
        <w:rPr>
          <w:b/>
          <w:bCs/>
        </w:rPr>
        <w:t xml:space="preserve">EDR database summary</w:t>
      </w:r>
      <w:r>
        <w:t xml:space="preserve"> </w:t>
      </w:r>
      <w:r>
        <w:t xml:space="preserve">— Environmental Data Resources, Inc., Radius Map Report summary, dated September 15, 2024 (EDR Inquiry No. 6742891).</w:t>
      </w:r>
    </w:p>
    <w:p>
      <w:pPr>
        <w:pStyle w:val="Compact"/>
        <w:numPr>
          <w:ilvl w:val="0"/>
          <w:numId w:val="1001"/>
        </w:numPr>
      </w:pPr>
      <w:r>
        <w:rPr>
          <w:b/>
          <w:bCs/>
        </w:rPr>
        <w:t xml:space="preserve">Asset Purchase Agreement</w:t>
      </w:r>
      <w:r>
        <w:t xml:space="preserve"> </w:t>
      </w:r>
      <w:r>
        <w:t xml:space="preserve">— excerpt (Articles I, IV §§ 4.12–4.13, VI § 6.3, VIII §§ 8.1–8.4; Schedule 4.13), dated September 1, 2024.</w:t>
      </w:r>
    </w:p>
    <w:p>
      <w:pPr>
        <w:pStyle w:val="Compact"/>
        <w:numPr>
          <w:ilvl w:val="0"/>
          <w:numId w:val="1001"/>
        </w:numPr>
      </w:pPr>
      <w:r>
        <w:rPr>
          <w:b/>
          <w:bCs/>
        </w:rPr>
        <w:t xml:space="preserve">Lender environmental requirements letter</w:t>
      </w:r>
      <w:r>
        <w:t xml:space="preserve"> </w:t>
      </w:r>
      <w:r>
        <w:t xml:space="preserve">— Great Lakes Capital Bank, dated September 10, 2024 (Loan No. GLCB-2024-08173).</w:t>
      </w:r>
    </w:p>
    <w:p>
      <w:pPr>
        <w:pStyle w:val="FirstParagraph"/>
      </w:pPr>
      <w:r>
        <w:rPr>
          <w:b/>
          <w:bCs/>
        </w:rPr>
        <w:t xml:space="preserve">Out-of-scope materials.</w:t>
      </w:r>
      <w:r>
        <w:t xml:space="preserve"> </w:t>
      </w:r>
      <w:r>
        <w:t xml:space="preserve">A separate Phase I ESA and supporting documents (a GeoSearch database summary and a 2004 UST closure report) pertaining to a different property — 2850 Millrace Road, Dayton, Ohio (Valtec Manufacturing Holdings Inc.; purchase price $4,200,000; report dated April 18, 2025) — were also included in the materials provided. Those documents relate to a</w:t>
      </w:r>
      <w:r>
        <w:t xml:space="preserve"> </w:t>
      </w:r>
      <w:r>
        <w:rPr>
          <w:b/>
          <w:bCs/>
        </w:rPr>
        <w:t xml:space="preserve">distinct, unrelated transaction</w:t>
      </w:r>
      <w:r>
        <w:t xml:space="preserve"> </w:t>
      </w:r>
      <w:r>
        <w:t xml:space="preserve">(different seller, different property, different purchase price, and a report dated after the Closing Date for the transaction that is the subject of this memo). They are</w:t>
      </w:r>
      <w:r>
        <w:t xml:space="preserve"> </w:t>
      </w:r>
      <w:r>
        <w:rPr>
          <w:b/>
          <w:bCs/>
        </w:rPr>
        <w:t xml:space="preserve">outside the scope of this memorandum</w:t>
      </w:r>
      <w:r>
        <w:t xml:space="preserve">, which addresses only the Lakeshore Industrial Drive acquisition. We flag this only so the deal team does not inadvertently commingle the two matters.</w:t>
      </w:r>
    </w:p>
    <w:p>
      <w:r>
        <w:pict>
          <v:rect style="width:0;height:1.5pt" o:hralign="center" o:hrstd="t" o:hr="t"/>
        </w:pict>
      </w:r>
    </w:p>
    <w:bookmarkEnd w:id="24"/>
    <w:bookmarkStart w:id="25" w:name="iv.-severity-rating-framework"/>
    <w:p>
      <w:pPr>
        <w:pStyle w:val="Heading2"/>
      </w:pPr>
      <w:r>
        <w:t xml:space="preserve">IV. Severity Rating Framework</w:t>
      </w:r>
    </w:p>
    <w:p>
      <w:pPr>
        <w:pStyle w:val="FirstParagraph"/>
      </w:pPr>
      <w:r>
        <w:t xml:space="preserve">We have rated each issue using the following five-tier framework. Ratings reflect the condition’s potential impact on (a) human health and the environment, (b) remediation cost and deal economics, (c) Lender funding, (d) Seller’s representations and indemnity exposure, and (e) the Buyer’s termination/renegotiation leverage.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Tier</w:t>
            </w:r>
          </w:p>
        </w:tc>
        <w:tc>
          <w:tcPr/>
          <w:p>
            <w:pPr>
              <w:pStyle w:val="Compact"/>
              <w:jc w:val="left"/>
            </w:pPr>
            <w:r>
              <w:t xml:space="preserve">Definition</w:t>
            </w:r>
          </w:p>
        </w:tc>
      </w:tr>
      <w:tr>
        <w:tc>
          <w:tcPr/>
          <w:p>
            <w:pPr>
              <w:pStyle w:val="Compact"/>
              <w:jc w:val="left"/>
            </w:pPr>
            <w:r>
              <w:rPr>
                <w:b/>
                <w:bCs/>
              </w:rPr>
              <w:t xml:space="preserve">Critical</w:t>
            </w:r>
          </w:p>
        </w:tc>
        <w:tc>
          <w:tcPr/>
          <w:p>
            <w:pPr>
              <w:pStyle w:val="Compact"/>
              <w:jc w:val="left"/>
            </w:pPr>
            <w:r>
              <w:t xml:space="preserve">Conditions involving known or likely releases of highly toxic/carcinogenic substances (TCE, hexavalent chromium, PCE); likely remediation cost potentially exceeding the indemnity cap; conditions that may trigger Lender decline or the Buyer’s termination right; or material deficiencies in the Phase I ESA relative to the Lender’s express requirements.</w:t>
            </w:r>
          </w:p>
        </w:tc>
      </w:tr>
      <w:tr>
        <w:tc>
          <w:tcPr/>
          <w:p>
            <w:pPr>
              <w:pStyle w:val="Compact"/>
              <w:jc w:val="left"/>
            </w:pPr>
            <w:r>
              <w:rPr>
                <w:b/>
                <w:bCs/>
              </w:rPr>
              <w:t xml:space="preserve">High</w:t>
            </w:r>
          </w:p>
        </w:tc>
        <w:tc>
          <w:tcPr/>
          <w:p>
            <w:pPr>
              <w:pStyle w:val="Compact"/>
              <w:jc w:val="left"/>
            </w:pPr>
            <w:r>
              <w:t xml:space="preserve">Significant conditions requiring subsurface investigation and likely remediation; material to deal economics; potential representation breaches; or conditions that trigger Lender Phase II / insurance / escrow requirements.</w:t>
            </w:r>
          </w:p>
        </w:tc>
      </w:tr>
      <w:tr>
        <w:tc>
          <w:tcPr/>
          <w:p>
            <w:pPr>
              <w:pStyle w:val="Compact"/>
              <w:jc w:val="left"/>
            </w:pPr>
            <w:r>
              <w:rPr>
                <w:b/>
                <w:bCs/>
              </w:rPr>
              <w:t xml:space="preserve">Moderate</w:t>
            </w:r>
          </w:p>
        </w:tc>
        <w:tc>
          <w:tcPr/>
          <w:p>
            <w:pPr>
              <w:pStyle w:val="Compact"/>
              <w:jc w:val="left"/>
            </w:pPr>
            <w:r>
              <w:t xml:space="preserve">Conditions warranting investigation, monitoring, or contractual attention; manageable with protections; cost uncertainty but likely not deal-threatening; data gaps and disclosure concerns.</w:t>
            </w:r>
          </w:p>
        </w:tc>
      </w:tr>
      <w:tr>
        <w:tc>
          <w:tcPr/>
          <w:p>
            <w:pPr>
              <w:pStyle w:val="Compact"/>
              <w:jc w:val="left"/>
            </w:pPr>
            <w:r>
              <w:rPr>
                <w:b/>
                <w:bCs/>
              </w:rPr>
              <w:t xml:space="preserve">Low</w:t>
            </w:r>
          </w:p>
        </w:tc>
        <w:tc>
          <w:tcPr/>
          <w:p>
            <w:pPr>
              <w:pStyle w:val="Compact"/>
              <w:jc w:val="left"/>
            </w:pPr>
            <w:r>
              <w:t xml:space="preserve">Minor, historical/resolved, or routine conditions with limited residual risk; addressed by existing documentation or standard measures.</w:t>
            </w:r>
          </w:p>
        </w:tc>
      </w:tr>
      <w:tr>
        <w:tc>
          <w:tcPr/>
          <w:p>
            <w:pPr>
              <w:pStyle w:val="Compact"/>
              <w:jc w:val="left"/>
            </w:pPr>
            <w:r>
              <w:rPr>
                <w:b/>
                <w:bCs/>
              </w:rPr>
              <w:t xml:space="preserve">Informational</w:t>
            </w:r>
          </w:p>
        </w:tc>
        <w:tc>
          <w:tcPr/>
          <w:p>
            <w:pPr>
              <w:pStyle w:val="Compact"/>
              <w:jc w:val="left"/>
            </w:pPr>
            <w:r>
              <w:t xml:space="preserve">Items relevant to ongoing compliance or post-closing obligations; not currently a risk but relevant to operations or future plans.</w:t>
            </w:r>
          </w:p>
        </w:tc>
      </w:tr>
    </w:tbl>
    <w:p>
      <w:r>
        <w:pict>
          <v:rect style="width:0;height:1.5pt" o:hralign="center" o:hrstd="t" o:hr="t"/>
        </w:pict>
      </w:r>
    </w:p>
    <w:bookmarkEnd w:id="25"/>
    <w:bookmarkStart w:id="30" w:name="v.-critical-issues"/>
    <w:p>
      <w:pPr>
        <w:pStyle w:val="Heading2"/>
      </w:pPr>
      <w:r>
        <w:t xml:space="preserve">V. Critical Issues</w:t>
      </w:r>
    </w:p>
    <w:bookmarkStart w:id="26" w:name="Xfd043d84e652a75a8633f852e5eaf6a64ffc6dd"/>
    <w:p>
      <w:pPr>
        <w:pStyle w:val="Heading3"/>
      </w:pPr>
      <w:r>
        <w:t xml:space="preserve">C-1. Former TCE Vapor-Degreasing Operations; Abandoned Leaking Waste-TCE Drum; 1988 Solvent Spill —</w:t>
      </w:r>
      <w:r>
        <w:t xml:space="preserve"> </w:t>
      </w:r>
      <w:r>
        <w:rPr>
          <w:b/>
          <w:bCs/>
        </w:rPr>
        <w:t xml:space="preserve">CRITICAL</w:t>
      </w:r>
    </w:p>
    <w:p>
      <w:pPr>
        <w:pStyle w:val="FirstParagraph"/>
      </w:pPr>
      <w:r>
        <w:rPr>
          <w:b/>
          <w:bCs/>
        </w:rPr>
        <w:t xml:space="preserve">Condition.</w:t>
      </w:r>
      <w:r>
        <w:t xml:space="preserve"> </w:t>
      </w:r>
      <w:r>
        <w:t xml:space="preserve">TCE was used as a vapor-degreasing solvent in the northwest corner of the main manufacturing building from 1961 through approximately 1992 (≈31 years). The Phase I ESA documented:</w:t>
      </w:r>
    </w:p>
    <w:p>
      <w:pPr>
        <w:pStyle w:val="Compact"/>
        <w:numPr>
          <w:ilvl w:val="0"/>
          <w:numId w:val="1002"/>
        </w:numPr>
      </w:pPr>
      <w:r>
        <w:t xml:space="preserve">Visible dark staining on the concrete floor slab and lower walls (up to ≈3 ft) across an ≈4,000-sf area; multiple floor cracks.</w:t>
      </w:r>
    </w:p>
    <w:p>
      <w:pPr>
        <w:pStyle w:val="Compact"/>
        <w:numPr>
          <w:ilvl w:val="0"/>
          <w:numId w:val="1002"/>
        </w:numPr>
      </w:pPr>
      <w:r>
        <w:t xml:space="preserve">A</w:t>
      </w:r>
      <w:r>
        <w:t xml:space="preserve"> </w:t>
      </w:r>
      <w:r>
        <w:rPr>
          <w:b/>
          <w:bCs/>
        </w:rPr>
        <w:t xml:space="preserve">photoionization detector (PID) reading of 42.3 ppm</w:t>
      </w:r>
      <w:r>
        <w:t xml:space="preserve"> </w:t>
      </w:r>
      <w:r>
        <w:t xml:space="preserve">at a floor-slab crack, versus background readings of &lt;0.5 ppm elsewhere — strong evidence of residual chlorinated-solvent vapors emanating from the subsurface.</w:t>
      </w:r>
    </w:p>
    <w:p>
      <w:pPr>
        <w:pStyle w:val="Compact"/>
        <w:numPr>
          <w:ilvl w:val="0"/>
          <w:numId w:val="1002"/>
        </w:numPr>
      </w:pPr>
      <w:r>
        <w:rPr>
          <w:b/>
          <w:bCs/>
        </w:rPr>
        <w:t xml:space="preserve">No closure documentation, decommissioning records, or confirmation sampling</w:t>
      </w:r>
      <w:r>
        <w:t xml:space="preserve"> </w:t>
      </w:r>
      <w:r>
        <w:t xml:space="preserve">for the degreasing area following the cessation of TCE use in 1992.</w:t>
      </w:r>
    </w:p>
    <w:p>
      <w:pPr>
        <w:pStyle w:val="Compact"/>
        <w:numPr>
          <w:ilvl w:val="0"/>
          <w:numId w:val="1002"/>
        </w:numPr>
      </w:pPr>
      <w:r>
        <w:t xml:space="preserve">An</w:t>
      </w:r>
      <w:r>
        <w:t xml:space="preserve"> </w:t>
      </w:r>
      <w:r>
        <w:rPr>
          <w:b/>
          <w:bCs/>
        </w:rPr>
        <w:t xml:space="preserve">abandoned 55-gallon drum labeled</w:t>
      </w:r>
      <w:r>
        <w:rPr>
          <w:b/>
          <w:bCs/>
        </w:rPr>
        <w:t xml:space="preserve"> </w:t>
      </w:r>
      <w:r>
        <w:rPr>
          <w:b/>
          <w:bCs/>
        </w:rPr>
        <w:t xml:space="preserve">“</w:t>
      </w:r>
      <w:r>
        <w:rPr>
          <w:b/>
          <w:bCs/>
        </w:rPr>
        <w:t xml:space="preserve">WASTE TRICHLOROETHYLENE</w:t>
      </w:r>
      <w:r>
        <w:rPr>
          <w:b/>
          <w:bCs/>
        </w:rPr>
        <w:t xml:space="preserve">”</w:t>
      </w:r>
      <w:r>
        <w:t xml:space="preserve"> </w:t>
      </w:r>
      <w:r>
        <w:t xml:space="preserve">on the ground surface behind the maintenance/utility building, approximately half full, with a rusted bottom and evidence of past leakage; ≈3 ft × 3 ft of stained, vegetation-free soil beneath the drum. Seller stated the drum had been</w:t>
      </w:r>
      <w:r>
        <w:t xml:space="preserve"> </w:t>
      </w:r>
      <w:r>
        <w:t xml:space="preserve">“</w:t>
      </w:r>
      <w:r>
        <w:t xml:space="preserve">there for years… probably from the early ’90s.</w:t>
      </w:r>
      <w:r>
        <w:t xml:space="preserve">”</w:t>
      </w:r>
    </w:p>
    <w:p>
      <w:pPr>
        <w:pStyle w:val="Compact"/>
        <w:numPr>
          <w:ilvl w:val="0"/>
          <w:numId w:val="1002"/>
        </w:numPr>
      </w:pPr>
      <w:r>
        <w:t xml:space="preserve">A</w:t>
      </w:r>
      <w:r>
        <w:t xml:space="preserve"> </w:t>
      </w:r>
      <w:r>
        <w:rPr>
          <w:b/>
          <w:bCs/>
        </w:rPr>
        <w:t xml:space="preserve">documented March 14, 1988 chemical spill</w:t>
      </w:r>
      <w:r>
        <w:t xml:space="preserve"> </w:t>
      </w:r>
      <w:r>
        <w:t xml:space="preserve">(Toledo Fire Department incident report) involving an</w:t>
      </w:r>
      <w:r>
        <w:t xml:space="preserve"> </w:t>
      </w:r>
      <w:r>
        <w:t xml:space="preserve">“</w:t>
      </w:r>
      <w:r>
        <w:t xml:space="preserve">unknown quantity of degreasing solvent</w:t>
      </w:r>
      <w:r>
        <w:t xml:space="preserve">”</w:t>
      </w:r>
      <w:r>
        <w:t xml:space="preserve"> </w:t>
      </w:r>
      <w:r>
        <w:t xml:space="preserve">from an overturned drum, cleaned by Seller’s employees with no follow-up inspection or environmental assessment. This spill does not appear in ERNS.</w:t>
      </w:r>
    </w:p>
    <w:p>
      <w:pPr>
        <w:pStyle w:val="FirstParagraph"/>
      </w:pPr>
      <w:r>
        <w:rPr>
          <w:b/>
          <w:bCs/>
        </w:rPr>
        <w:t xml:space="preserve">Why Critical.</w:t>
      </w:r>
      <w:r>
        <w:t xml:space="preserve"> </w:t>
      </w:r>
      <w:r>
        <w:t xml:space="preserve">TCE is a probable human carcinogen and a dense non-aqueous-phase liquid (</w:t>
      </w:r>
      <w:r>
        <w:t xml:space="preserve">“</w:t>
      </w:r>
      <w:r>
        <w:t xml:space="preserve">DNAPL</w:t>
      </w:r>
      <w:r>
        <w:t xml:space="preserve">”</w:t>
      </w:r>
      <w:r>
        <w:t xml:space="preserve">) that migrates vertically through soil and groundwater and generates persistent vapor-intrusion risk. A 42.3-ppm PID reading at a floor crack is a direct indicator of subsurface VOC mass. The combination of (i) 31 years of TCE use, (ii) an active vapor source beneath the slab, (iii) an abandoned, leaking waste-TCE drum with stained soil, (iv) a documented but unassessed 1988 spill, and (v) the total absence of closure documentation indicates a likely release to soil and potentially groundwater. Remediation of chlorinated solvents in soil/groundwater, plus vapor mitigation, routinely reaches seven figures. This condition, standing alone, may support Remediation Costs exceeding the $500,000 termination threshold in APA § 6.3(b).</w:t>
      </w:r>
    </w:p>
    <w:p>
      <w:pPr>
        <w:pStyle w:val="BodyText"/>
      </w:pPr>
      <w:r>
        <w:rPr>
          <w:b/>
          <w:bCs/>
        </w:rPr>
        <w:t xml:space="preserve">Recommendation.</w:t>
      </w:r>
      <w:r>
        <w:t xml:space="preserve"> </w:t>
      </w:r>
      <w:r>
        <w:t xml:space="preserve">Phase II soil and groundwater sampling (VOCs, including TCE and daughter products cis-1,2-DCE and vinyl chloride) beneath and around the former degreasing area and the abandoned drum; sub-slab soil-gas and indoor-air assessment (see H-7); removal and proper disposal of the abandoned drum; characterization of stained soil.</w:t>
      </w:r>
    </w:p>
    <w:bookmarkEnd w:id="26"/>
    <w:bookmarkStart w:id="27" w:name="X83a27ab2d007239a787db0b03aaaf97e3abcddc"/>
    <w:p>
      <w:pPr>
        <w:pStyle w:val="Heading3"/>
      </w:pPr>
      <w:r>
        <w:t xml:space="preserve">C-2. Former Hexavalent Chromium / Nickel Electroplating Operations (1965–2004) —</w:t>
      </w:r>
      <w:r>
        <w:t xml:space="preserve"> </w:t>
      </w:r>
      <w:r>
        <w:rPr>
          <w:b/>
          <w:bCs/>
        </w:rPr>
        <w:t xml:space="preserve">CRITICAL</w:t>
      </w:r>
    </w:p>
    <w:p>
      <w:pPr>
        <w:pStyle w:val="FirstParagraph"/>
      </w:pPr>
      <w:r>
        <w:rPr>
          <w:b/>
          <w:bCs/>
        </w:rPr>
        <w:t xml:space="preserve">Condition.</w:t>
      </w:r>
      <w:r>
        <w:t xml:space="preserve"> </w:t>
      </w:r>
      <w:r>
        <w:t xml:space="preserve">Electroplating using hexavalent chromium and nickel was conducted in the south wing of the main building from 1965 through 2004 (≈39 years). The Phase I ESA documented:</w:t>
      </w:r>
    </w:p>
    <w:p>
      <w:pPr>
        <w:pStyle w:val="Compact"/>
        <w:numPr>
          <w:ilvl w:val="0"/>
          <w:numId w:val="1003"/>
        </w:numPr>
      </w:pPr>
      <w:r>
        <w:t xml:space="preserve">Prominent</w:t>
      </w:r>
      <w:r>
        <w:t xml:space="preserve"> </w:t>
      </w:r>
      <w:r>
        <w:rPr>
          <w:b/>
          <w:bCs/>
        </w:rPr>
        <w:t xml:space="preserve">blue-green staining</w:t>
      </w:r>
      <w:r>
        <w:t xml:space="preserve"> </w:t>
      </w:r>
      <w:r>
        <w:t xml:space="preserve">on concrete floors and lower walls (up to ≈4 ft), consistent with chromium residues; concrete pitting, etching, and chemical degradation.</w:t>
      </w:r>
    </w:p>
    <w:p>
      <w:pPr>
        <w:pStyle w:val="Compact"/>
        <w:numPr>
          <w:ilvl w:val="0"/>
          <w:numId w:val="1003"/>
        </w:numPr>
      </w:pPr>
      <w:r>
        <w:t xml:space="preserve">An</w:t>
      </w:r>
      <w:r>
        <w:t xml:space="preserve"> </w:t>
      </w:r>
      <w:r>
        <w:rPr>
          <w:b/>
          <w:bCs/>
        </w:rPr>
        <w:t xml:space="preserve">in-ground concrete sump</w:t>
      </w:r>
      <w:r>
        <w:t xml:space="preserve"> </w:t>
      </w:r>
      <w:r>
        <w:t xml:space="preserve">(≈3 ft × 3 ft × ≈3 ft deep) in the center of the room containing ≈4 inches of liquid with a visible</w:t>
      </w:r>
      <w:r>
        <w:t xml:space="preserve"> </w:t>
      </w:r>
      <w:r>
        <w:rPr>
          <w:b/>
          <w:bCs/>
        </w:rPr>
        <w:t xml:space="preserve">iridescent sheen</w:t>
      </w:r>
      <w:r>
        <w:t xml:space="preserve"> </w:t>
      </w:r>
      <w:r>
        <w:t xml:space="preserve">and greenish tint; source/composition undetermined (not sampled).</w:t>
      </w:r>
    </w:p>
    <w:p>
      <w:pPr>
        <w:pStyle w:val="Compact"/>
        <w:numPr>
          <w:ilvl w:val="0"/>
          <w:numId w:val="1003"/>
        </w:numPr>
      </w:pPr>
      <w:r>
        <w:rPr>
          <w:b/>
          <w:bCs/>
        </w:rPr>
        <w:t xml:space="preserve">Hazardous-waste disposal documentation exists only for 2004</w:t>
      </w:r>
      <w:r>
        <w:t xml:space="preserve"> </w:t>
      </w:r>
      <w:r>
        <w:t xml:space="preserve">— six manifests documenting 14,200 lb of waste under RCRA codes</w:t>
      </w:r>
      <w:r>
        <w:t xml:space="preserve"> </w:t>
      </w:r>
      <w:r>
        <w:rPr>
          <w:b/>
          <w:bCs/>
        </w:rPr>
        <w:t xml:space="preserve">D007 (chromium)</w:t>
      </w:r>
      <w:r>
        <w:t xml:space="preserve"> </w:t>
      </w:r>
      <w:r>
        <w:t xml:space="preserve">and</w:t>
      </w:r>
      <w:r>
        <w:t xml:space="preserve"> </w:t>
      </w:r>
      <w:r>
        <w:rPr>
          <w:b/>
          <w:bCs/>
        </w:rPr>
        <w:t xml:space="preserve">F006 (electroplating sludge)</w:t>
      </w:r>
      <w:r>
        <w:t xml:space="preserve">, transported by Tri-County Environmental Hauling Inc. </w:t>
      </w:r>
      <w:r>
        <w:rPr>
          <w:b/>
          <w:bCs/>
        </w:rPr>
        <w:t xml:space="preserve">No manifests or biennial reports exist for 1965–2003</w:t>
      </w:r>
      <w:r>
        <w:t xml:space="preserve"> </w:t>
      </w:r>
      <w:r>
        <w:t xml:space="preserve">(39 years), as confirmed by Ohio EPA.</w:t>
      </w:r>
    </w:p>
    <w:p>
      <w:pPr>
        <w:pStyle w:val="Compact"/>
        <w:numPr>
          <w:ilvl w:val="0"/>
          <w:numId w:val="1003"/>
        </w:numPr>
      </w:pPr>
      <w:r>
        <w:t xml:space="preserve">A</w:t>
      </w:r>
      <w:r>
        <w:t xml:space="preserve"> </w:t>
      </w:r>
      <w:r>
        <w:rPr>
          <w:b/>
          <w:bCs/>
        </w:rPr>
        <w:t xml:space="preserve">2003 Ohio EPA compliance inspection</w:t>
      </w:r>
      <w:r>
        <w:t xml:space="preserve"> </w:t>
      </w:r>
      <w:r>
        <w:t xml:space="preserve">documented improper hazardous-waste storage (see H-3), resulting in a Notice of Violation and a consent order.</w:t>
      </w:r>
    </w:p>
    <w:p>
      <w:pPr>
        <w:pStyle w:val="FirstParagraph"/>
      </w:pPr>
      <w:r>
        <w:rPr>
          <w:b/>
          <w:bCs/>
        </w:rPr>
        <w:t xml:space="preserve">Why Critical.</w:t>
      </w:r>
      <w:r>
        <w:t xml:space="preserve"> </w:t>
      </w:r>
      <w:r>
        <w:t xml:space="preserve">Hexavalent chromium is a known human carcinogen and is highly mobile in groundwater; F006 electroplating sludge is a listed hazardous waste. The near-total absence of disposal records for 39 years of operation creates both (a) a strong inference of on-site release/accumulation and (b) potential CERCLA</w:t>
      </w:r>
      <w:r>
        <w:t xml:space="preserve"> </w:t>
      </w:r>
      <w:r>
        <w:t xml:space="preserve">“</w:t>
      </w:r>
      <w:r>
        <w:t xml:space="preserve">arranger</w:t>
      </w:r>
      <w:r>
        <w:t xml:space="preserve">”</w:t>
      </w:r>
      <w:r>
        <w:t xml:space="preserve"> </w:t>
      </w:r>
      <w:r>
        <w:t xml:space="preserve">liability for any off-site disposal that was not properly documented. The visible contamination, the uncharacterized sump liquid with sheen, and the documented regulatory violation collectively indicate a likely release to the subsurface. As with C-1, remediation of metals (and any co-mingled solvent) in soil/groundwater beneath an occupied building can exceed the indemnity cap.</w:t>
      </w:r>
    </w:p>
    <w:p>
      <w:pPr>
        <w:pStyle w:val="BodyText"/>
      </w:pPr>
      <w:r>
        <w:rPr>
          <w:b/>
          <w:bCs/>
        </w:rPr>
        <w:t xml:space="preserve">Recommendation.</w:t>
      </w:r>
      <w:r>
        <w:t xml:space="preserve"> </w:t>
      </w:r>
      <w:r>
        <w:t xml:space="preserve">Phase II characterization of the sump liquid (metals, VOCs, pH, TCLP); soil borings through and beneath the slab in the former plating room (total and hexavalent chromium, nickel, other metals); groundwater monitoring wells; waste characterization for sump-liquid disposal.</w:t>
      </w:r>
    </w:p>
    <w:bookmarkEnd w:id="27"/>
    <w:bookmarkStart w:id="28" w:name="X08d3c06b9e048fc452ae9bd33c0b07d422810da"/>
    <w:p>
      <w:pPr>
        <w:pStyle w:val="Heading3"/>
      </w:pPr>
      <w:r>
        <w:t xml:space="preserve">C-3. Off-Site PCE Groundwater Plume (Lake Erie Dry Cleaning) Migrating Onto the Property; Groundwater Management Zone; ESA Under-Classification —</w:t>
      </w:r>
      <w:r>
        <w:t xml:space="preserve"> </w:t>
      </w:r>
      <w:r>
        <w:rPr>
          <w:b/>
          <w:bCs/>
        </w:rPr>
        <w:t xml:space="preserve">CRITICAL</w:t>
      </w:r>
    </w:p>
    <w:p>
      <w:pPr>
        <w:pStyle w:val="FirstParagraph"/>
      </w:pPr>
      <w:r>
        <w:rPr>
          <w:b/>
          <w:bCs/>
        </w:rPr>
        <w:t xml:space="preserve">Condition.</w:t>
      </w:r>
      <w:r>
        <w:t xml:space="preserve"> </w:t>
      </w:r>
      <w:r>
        <w:t xml:space="preserve">The former Lake Erie Dry Cleaning facility at 4900 Lakeshore Industrial Drive is located</w:t>
      </w:r>
      <w:r>
        <w:t xml:space="preserve"> </w:t>
      </w:r>
      <w:r>
        <w:rPr>
          <w:b/>
          <w:bCs/>
        </w:rPr>
        <w:t xml:space="preserve">immediately north (upgradient)</w:t>
      </w:r>
      <w:r>
        <w:t xml:space="preserve"> </w:t>
      </w:r>
      <w:r>
        <w:t xml:space="preserve">of the Property, ≈120 ft from the northern property boundary. Per the Ohio EPA response and the EDR summary:</w:t>
      </w:r>
    </w:p>
    <w:p>
      <w:pPr>
        <w:pStyle w:val="Compact"/>
        <w:numPr>
          <w:ilvl w:val="0"/>
          <w:numId w:val="1004"/>
        </w:numPr>
      </w:pPr>
      <w:r>
        <w:t xml:space="preserve">Confirmed</w:t>
      </w:r>
      <w:r>
        <w:t xml:space="preserve"> </w:t>
      </w:r>
      <w:r>
        <w:rPr>
          <w:b/>
          <w:bCs/>
        </w:rPr>
        <w:t xml:space="preserve">PCE groundwater contamination plume</w:t>
      </w:r>
      <w:r>
        <w:t xml:space="preserve">; Ohio EPA Master Sites List, VAP ID NW-0923.</w:t>
      </w:r>
    </w:p>
    <w:p>
      <w:pPr>
        <w:pStyle w:val="Compact"/>
        <w:numPr>
          <w:ilvl w:val="0"/>
          <w:numId w:val="1004"/>
        </w:numPr>
      </w:pPr>
      <w:r>
        <w:t xml:space="preserve">2014 investigation:</w:t>
      </w:r>
      <w:r>
        <w:t xml:space="preserve"> </w:t>
      </w:r>
      <w:r>
        <w:rPr>
          <w:b/>
          <w:bCs/>
        </w:rPr>
        <w:t xml:space="preserve">PCE at 87 µg/L at monitoring well MW-7</w:t>
      </w:r>
      <w:r>
        <w:t xml:space="preserve">, ≈120 ft north of the Property boundary. The applicable Ohio generic groundwater standard for PCE is</w:t>
      </w:r>
      <w:r>
        <w:t xml:space="preserve"> </w:t>
      </w:r>
      <w:r>
        <w:rPr>
          <w:b/>
          <w:bCs/>
        </w:rPr>
        <w:t xml:space="preserve">5 µg/L</w:t>
      </w:r>
      <w:r>
        <w:t xml:space="preserve"> </w:t>
      </w:r>
      <w:r>
        <w:t xml:space="preserve">— the detected concentration</w:t>
      </w:r>
      <w:r>
        <w:t xml:space="preserve"> </w:t>
      </w:r>
      <w:r>
        <w:rPr>
          <w:b/>
          <w:bCs/>
        </w:rPr>
        <w:t xml:space="preserve">exceeds the standard by a factor of ≈17.4</w:t>
      </w:r>
      <w:r>
        <w:t xml:space="preserve">.</w:t>
      </w:r>
    </w:p>
    <w:p>
      <w:pPr>
        <w:pStyle w:val="Compact"/>
        <w:numPr>
          <w:ilvl w:val="0"/>
          <w:numId w:val="1004"/>
        </w:numPr>
      </w:pPr>
      <w:r>
        <w:t xml:space="preserve">Plume migration direction is</w:t>
      </w:r>
      <w:r>
        <w:t xml:space="preserve"> </w:t>
      </w:r>
      <w:r>
        <w:rPr>
          <w:b/>
          <w:bCs/>
        </w:rPr>
        <w:t xml:space="preserve">south-southeast — toward the Property</w:t>
      </w:r>
      <w:r>
        <w:t xml:space="preserve"> </w:t>
      </w:r>
      <w:r>
        <w:t xml:space="preserve">— consistent with regional groundwater flow.</w:t>
      </w:r>
    </w:p>
    <w:p>
      <w:pPr>
        <w:pStyle w:val="Compact"/>
        <w:numPr>
          <w:ilvl w:val="0"/>
          <w:numId w:val="1004"/>
        </w:numPr>
      </w:pPr>
      <w:r>
        <w:t xml:space="preserve">The Property is located within a</w:t>
      </w:r>
      <w:r>
        <w:t xml:space="preserve"> </w:t>
      </w:r>
      <w:r>
        <w:rPr>
          <w:b/>
          <w:bCs/>
        </w:rPr>
        <w:t xml:space="preserve">state-designated Groundwater Management Zone (</w:t>
      </w:r>
      <w:r>
        <w:rPr>
          <w:b/>
          <w:bCs/>
        </w:rPr>
        <w:t xml:space="preserve">“</w:t>
      </w:r>
      <w:r>
        <w:rPr>
          <w:b/>
          <w:bCs/>
        </w:rPr>
        <w:t xml:space="preserve">GMZ</w:t>
      </w:r>
      <w:r>
        <w:rPr>
          <w:b/>
          <w:bCs/>
        </w:rPr>
        <w:t xml:space="preserve">”</w:t>
      </w:r>
      <w:r>
        <w:rPr>
          <w:b/>
          <w:bCs/>
        </w:rPr>
        <w:t xml:space="preserve">)</w:t>
      </w:r>
      <w:r>
        <w:t xml:space="preserve"> </w:t>
      </w:r>
      <w:r>
        <w:t xml:space="preserve">established in connection with this plume.</w:t>
      </w:r>
    </w:p>
    <w:p>
      <w:pPr>
        <w:pStyle w:val="Compact"/>
        <w:numPr>
          <w:ilvl w:val="0"/>
          <w:numId w:val="1004"/>
        </w:numPr>
      </w:pPr>
      <w:r>
        <w:t xml:space="preserve">A 2018 Ohio VAP</w:t>
      </w:r>
      <w:r>
        <w:t xml:space="preserve"> </w:t>
      </w:r>
      <w:r>
        <w:rPr>
          <w:b/>
          <w:bCs/>
        </w:rPr>
        <w:t xml:space="preserve">Covenant Not to Sue applies only to the dry-cleaner parcel</w:t>
      </w:r>
      <w:r>
        <w:t xml:space="preserve"> </w:t>
      </w:r>
      <w:r>
        <w:t xml:space="preserve">and</w:t>
      </w:r>
      <w:r>
        <w:t xml:space="preserve"> </w:t>
      </w:r>
      <w:r>
        <w:rPr>
          <w:b/>
          <w:bCs/>
        </w:rPr>
        <w:t xml:space="preserve">does not address off-site migration</w:t>
      </w:r>
      <w:r>
        <w:t xml:space="preserve"> </w:t>
      </w:r>
      <w:r>
        <w:t xml:space="preserve">onto the Property.</w:t>
      </w:r>
    </w:p>
    <w:p>
      <w:pPr>
        <w:pStyle w:val="Compact"/>
        <w:numPr>
          <w:ilvl w:val="0"/>
          <w:numId w:val="1004"/>
        </w:numPr>
      </w:pPr>
      <w:r>
        <w:t xml:space="preserve">An environmental covenant recorded against the dry-cleaner parcel restricts groundwater use and requires maintenance of a sub-slab vapor mitigation system</w:t>
      </w:r>
      <w:r>
        <w:t xml:space="preserve"> </w:t>
      </w:r>
      <w:r>
        <w:rPr>
          <w:b/>
          <w:bCs/>
        </w:rPr>
        <w:t xml:space="preserve">on that parcel only</w:t>
      </w:r>
      <w:r>
        <w:t xml:space="preserve">.</w:t>
      </w:r>
    </w:p>
    <w:p>
      <w:pPr>
        <w:pStyle w:val="Compact"/>
        <w:numPr>
          <w:ilvl w:val="0"/>
          <w:numId w:val="1004"/>
        </w:numPr>
      </w:pPr>
      <w:r>
        <w:rPr>
          <w:b/>
          <w:bCs/>
        </w:rPr>
        <w:t xml:space="preserve">No investigation of PCE in groundwater beneath the Property has been conducted</w:t>
      </w:r>
      <w:r>
        <w:t xml:space="preserve">, and the lateral/vertical extent of plume migration onto the Property</w:t>
      </w:r>
      <w:r>
        <w:t xml:space="preserve"> </w:t>
      </w:r>
      <w:r>
        <w:rPr>
          <w:b/>
          <w:bCs/>
        </w:rPr>
        <w:t xml:space="preserve">has not been delineated</w:t>
      </w:r>
      <w:r>
        <w:t xml:space="preserve">.</w:t>
      </w:r>
    </w:p>
    <w:p>
      <w:pPr>
        <w:pStyle w:val="FirstParagraph"/>
      </w:pPr>
      <w:r>
        <w:rPr>
          <w:b/>
          <w:bCs/>
        </w:rPr>
        <w:t xml:space="preserve">ESA deficiency.</w:t>
      </w:r>
      <w:r>
        <w:t xml:space="preserve"> </w:t>
      </w:r>
      <w:r>
        <w:t xml:space="preserve">The Phase I ESA discusses the dry-cleaner plume in its database-review narrative but</w:t>
      </w:r>
      <w:r>
        <w:t xml:space="preserve"> </w:t>
      </w:r>
      <w:r>
        <w:rPr>
          <w:b/>
          <w:bCs/>
        </w:rPr>
        <w:t xml:space="preserve">does not list the off-site PCE plume as a REC</w:t>
      </w:r>
      <w:r>
        <w:t xml:space="preserve"> </w:t>
      </w:r>
      <w:r>
        <w:t xml:space="preserve">and</w:t>
      </w:r>
      <w:r>
        <w:t xml:space="preserve"> </w:t>
      </w:r>
      <w:r>
        <w:rPr>
          <w:b/>
          <w:bCs/>
        </w:rPr>
        <w:t xml:space="preserve">does not include it in the recommended Phase II scope</w:t>
      </w:r>
      <w:r>
        <w:t xml:space="preserve">. The Lender’s requirements letter (Section 2) expressly requires that the Phase I ESA</w:t>
      </w:r>
      <w:r>
        <w:t xml:space="preserve"> </w:t>
      </w:r>
      <w:r>
        <w:t xml:space="preserve">“</w:t>
      </w:r>
      <w:r>
        <w:t xml:space="preserve">evaluate off-site sources of contamination that may be migrating onto or otherwise affecting the subject Property, including… contaminated groundwater plumes from adjacent or nearby properties,</w:t>
      </w:r>
      <w:r>
        <w:t xml:space="preserve">”</w:t>
      </w:r>
      <w:r>
        <w:t xml:space="preserve"> </w:t>
      </w:r>
      <w:r>
        <w:t xml:space="preserve">and that</w:t>
      </w:r>
      <w:r>
        <w:t xml:space="preserve"> </w:t>
      </w:r>
      <w:r>
        <w:t xml:space="preserve">“</w:t>
      </w:r>
      <w:r>
        <w:t xml:space="preserve">any such conditions must be identified as recognized environmental conditions.</w:t>
      </w:r>
      <w:r>
        <w:t xml:space="preserve">”</w:t>
      </w:r>
      <w:r>
        <w:t xml:space="preserve"> </w:t>
      </w:r>
      <w:r>
        <w:t xml:space="preserve">The ESA’s treatment therefore</w:t>
      </w:r>
      <w:r>
        <w:t xml:space="preserve"> </w:t>
      </w:r>
      <w:r>
        <w:rPr>
          <w:b/>
          <w:bCs/>
        </w:rPr>
        <w:t xml:space="preserve">does not satisfy the Lender’s express requirement</w:t>
      </w:r>
      <w:r>
        <w:t xml:space="preserve">, and the Lender’s environmental counsel (Whitfield &amp; Crane LLP) is directed to independently review the ESA for this issue.</w:t>
      </w:r>
    </w:p>
    <w:p>
      <w:pPr>
        <w:pStyle w:val="BodyText"/>
      </w:pPr>
      <w:r>
        <w:rPr>
          <w:b/>
          <w:bCs/>
        </w:rPr>
        <w:t xml:space="preserve">Why Critical.</w:t>
      </w:r>
      <w:r>
        <w:t xml:space="preserve"> </w:t>
      </w:r>
      <w:r>
        <w:t xml:space="preserve">PCE is a probable human carcinogen and a chlorinated solvent with significant vapor-intrusion potential. A plume at 17× the standard, 120 ft upgradient and migrating toward the Property, with the Property inside a GMZ and with no on-Property delineation, constitutes — at minimum — a</w:t>
      </w:r>
      <w:r>
        <w:t xml:space="preserve"> </w:t>
      </w:r>
      <w:r>
        <w:t xml:space="preserve">“</w:t>
      </w:r>
      <w:r>
        <w:t xml:space="preserve">material threat of a future release</w:t>
      </w:r>
      <w:r>
        <w:t xml:space="preserve">”</w:t>
      </w:r>
      <w:r>
        <w:t xml:space="preserve"> </w:t>
      </w:r>
      <w:r>
        <w:t xml:space="preserve">and likely</w:t>
      </w:r>
      <w:r>
        <w:t xml:space="preserve"> </w:t>
      </w:r>
      <w:r>
        <w:t xml:space="preserve">“</w:t>
      </w:r>
      <w:r>
        <w:t xml:space="preserve">conditions indicative of a release</w:t>
      </w:r>
      <w:r>
        <w:t xml:space="preserve">”</w:t>
      </w:r>
      <w:r>
        <w:t xml:space="preserve"> </w:t>
      </w:r>
      <w:r>
        <w:t xml:space="preserve">on the Property under ASTM E1527-21, and should be classified as a</w:t>
      </w:r>
      <w:r>
        <w:t xml:space="preserve"> </w:t>
      </w:r>
      <w:r>
        <w:rPr>
          <w:b/>
          <w:bCs/>
        </w:rPr>
        <w:t xml:space="preserve">REC</w:t>
      </w:r>
      <w:r>
        <w:t xml:space="preserve">. The GMZ may restrict future groundwater withdrawals, well installations, and certain land uses on the Property (see M-5). Vapor-intrusion risk to occupied warehouse structures is a direct concern (see H-7). This condition is also a likely basis for the Lender to require a Phase II and to scrutinize the ESA’s AAI adequacy.</w:t>
      </w:r>
    </w:p>
    <w:p>
      <w:pPr>
        <w:pStyle w:val="BodyText"/>
      </w:pPr>
      <w:r>
        <w:rPr>
          <w:b/>
          <w:bCs/>
        </w:rPr>
        <w:t xml:space="preserve">Recommendation.</w:t>
      </w:r>
      <w:r>
        <w:t xml:space="preserve"> </w:t>
      </w:r>
      <w:r>
        <w:t xml:space="preserve">Direct the Environmental Professional to</w:t>
      </w:r>
      <w:r>
        <w:t xml:space="preserve"> </w:t>
      </w:r>
      <w:r>
        <w:rPr>
          <w:b/>
          <w:bCs/>
        </w:rPr>
        <w:t xml:space="preserve">supplement the Phase I ESA and reclassify the off-site PCE plume as a REC</w:t>
      </w:r>
      <w:r>
        <w:t xml:space="preserve">; include groundwater monitoring wells on the Property (downgradient of MW-7) and sub-slab/indoor-air vapor assessment in the Phase II scope; confirm GMZ restrictions with Ohio EPA’s Division of Drinking and Ground Waters; evaluate whether the GMZ constitutes an institutional control/AUL affecting the Property (see M-5).</w:t>
      </w:r>
    </w:p>
    <w:bookmarkEnd w:id="28"/>
    <w:bookmarkStart w:id="29" w:name="X4adbbc2b487f37b1834a1dbbb79a499f276b8fc"/>
    <w:p>
      <w:pPr>
        <w:pStyle w:val="Heading3"/>
      </w:pPr>
      <w:r>
        <w:t xml:space="preserve">C-4. Lender Funding at Risk — Triggered Requirements, Tight Timeline, Potential Decline —</w:t>
      </w:r>
      <w:r>
        <w:t xml:space="preserve"> </w:t>
      </w:r>
      <w:r>
        <w:rPr>
          <w:b/>
          <w:bCs/>
        </w:rPr>
        <w:t xml:space="preserve">CRITICAL</w:t>
      </w:r>
    </w:p>
    <w:p>
      <w:pPr>
        <w:pStyle w:val="FirstParagraph"/>
      </w:pPr>
      <w:r>
        <w:rPr>
          <w:b/>
          <w:bCs/>
        </w:rPr>
        <w:t xml:space="preserve">Condition.</w:t>
      </w:r>
      <w:r>
        <w:t xml:space="preserve"> </w:t>
      </w:r>
      <w:r>
        <w:t xml:space="preserve">Because the Phase I ESA identifies RECs, the Lender</w:t>
      </w:r>
      <w:r>
        <w:t xml:space="preserve"> </w:t>
      </w:r>
      <w:r>
        <w:rPr>
          <w:b/>
          <w:bCs/>
        </w:rPr>
        <w:t xml:space="preserve">will not fund the Loan on the Phase I ESA alone</w:t>
      </w:r>
      <w:r>
        <w:t xml:space="preserve">. Under the Lender’s letter (Section 3.B), the following become conditions precedent to funding:</w:t>
      </w:r>
    </w:p>
    <w:p>
      <w:pPr>
        <w:pStyle w:val="Compact"/>
        <w:numPr>
          <w:ilvl w:val="0"/>
          <w:numId w:val="1005"/>
        </w:numPr>
      </w:pPr>
      <w:r>
        <w:rPr>
          <w:b/>
          <w:bCs/>
        </w:rPr>
        <w:t xml:space="preserve">Phase II ESA</w:t>
      </w:r>
      <w:r>
        <w:t xml:space="preserve"> </w:t>
      </w:r>
      <w:r>
        <w:t xml:space="preserve">(ASTM E1903-19) with</w:t>
      </w:r>
      <w:r>
        <w:t xml:space="preserve"> </w:t>
      </w:r>
      <w:r>
        <w:rPr>
          <w:b/>
          <w:bCs/>
        </w:rPr>
        <w:t xml:space="preserve">quantified remediation cost estimates</w:t>
      </w:r>
      <w:r>
        <w:t xml:space="preserve"> </w:t>
      </w:r>
      <w:r>
        <w:t xml:space="preserve">— best-case, most-likely, and worst-case — prepared by a licensed professional engineer, including assumed methodology, applicable standards, and time to completion.</w:t>
      </w:r>
    </w:p>
    <w:p>
      <w:pPr>
        <w:pStyle w:val="Compact"/>
        <w:numPr>
          <w:ilvl w:val="0"/>
          <w:numId w:val="1005"/>
        </w:numPr>
      </w:pPr>
      <w:r>
        <w:rPr>
          <w:b/>
          <w:bCs/>
        </w:rPr>
        <w:t xml:space="preserve">Pollution Legal Liability (</w:t>
      </w:r>
      <w:r>
        <w:rPr>
          <w:b/>
          <w:bCs/>
        </w:rPr>
        <w:t xml:space="preserve">“</w:t>
      </w:r>
      <w:r>
        <w:rPr>
          <w:b/>
          <w:bCs/>
        </w:rPr>
        <w:t xml:space="preserve">PLL</w:t>
      </w:r>
      <w:r>
        <w:rPr>
          <w:b/>
          <w:bCs/>
        </w:rPr>
        <w:t xml:space="preserve">”</w:t>
      </w:r>
      <w:r>
        <w:rPr>
          <w:b/>
          <w:bCs/>
        </w:rPr>
        <w:t xml:space="preserve">) insurance</w:t>
      </w:r>
      <w:r>
        <w:t xml:space="preserve"> </w:t>
      </w:r>
      <w:r>
        <w:t xml:space="preserve">— carrier rated A- or better; policy limits ≥ the greater of the worst-case estimate or</w:t>
      </w:r>
      <w:r>
        <w:t xml:space="preserve"> </w:t>
      </w:r>
      <w:r>
        <w:rPr>
          <w:b/>
          <w:bCs/>
        </w:rPr>
        <w:t xml:space="preserve">$5,000,000</w:t>
      </w:r>
      <w:r>
        <w:t xml:space="preserve">; term ≥ 10 years; Lender as additional insured and loss payee.</w:t>
      </w:r>
      <w:r>
        <w:t xml:space="preserve"> </w:t>
      </w:r>
      <w:r>
        <w:rPr>
          <w:b/>
          <w:bCs/>
        </w:rPr>
        <w:t xml:space="preserve">Non-negotiable</w:t>
      </w:r>
      <w:r>
        <w:t xml:space="preserve"> </w:t>
      </w:r>
      <w:r>
        <w:t xml:space="preserve">where RECs are identified.</w:t>
      </w:r>
    </w:p>
    <w:p>
      <w:pPr>
        <w:pStyle w:val="Compact"/>
        <w:numPr>
          <w:ilvl w:val="0"/>
          <w:numId w:val="1005"/>
        </w:numPr>
      </w:pPr>
      <w:r>
        <w:rPr>
          <w:b/>
          <w:bCs/>
        </w:rPr>
        <w:t xml:space="preserve">Environmental Escrow</w:t>
      </w:r>
      <w:r>
        <w:t xml:space="preserve"> </w:t>
      </w:r>
      <w:r>
        <w:t xml:space="preserve">— if the most-likely estimate exceeds $250,000, an escrow at the Lender equal to</w:t>
      </w:r>
      <w:r>
        <w:t xml:space="preserve"> </w:t>
      </w:r>
      <w:r>
        <w:rPr>
          <w:b/>
          <w:bCs/>
        </w:rPr>
        <w:t xml:space="preserve">125% of the most-likely estimate</w:t>
      </w:r>
      <w:r>
        <w:t xml:space="preserve">, drawable only with Lender approval.</w:t>
      </w:r>
    </w:p>
    <w:p>
      <w:pPr>
        <w:pStyle w:val="Compact"/>
        <w:numPr>
          <w:ilvl w:val="0"/>
          <w:numId w:val="1005"/>
        </w:numPr>
      </w:pPr>
      <w:r>
        <w:rPr>
          <w:b/>
          <w:bCs/>
        </w:rPr>
        <w:t xml:space="preserve">Remediation Plan</w:t>
      </w:r>
      <w:r>
        <w:t xml:space="preserve"> </w:t>
      </w:r>
      <w:r>
        <w:t xml:space="preserve">— if estimated costs exceed $500,000 (most-likely or worst-case), a plan approved by a licensed EP and, where applicable, Ohio EPA, with completion within 36 months of closing.</w:t>
      </w:r>
    </w:p>
    <w:p>
      <w:pPr>
        <w:pStyle w:val="Compact"/>
        <w:numPr>
          <w:ilvl w:val="0"/>
          <w:numId w:val="1005"/>
        </w:numPr>
      </w:pPr>
      <w:r>
        <w:rPr>
          <w:b/>
          <w:bCs/>
        </w:rPr>
        <w:t xml:space="preserve">Vapor Intrusion Assessment</w:t>
      </w:r>
      <w:r>
        <w:t xml:space="preserve"> </w:t>
      </w:r>
      <w:r>
        <w:t xml:space="preserve">— required because VOCs (TCE, PCE) are present/likely; mitigation plan if warranted, implemented before or concurrent with closing.</w:t>
      </w:r>
    </w:p>
    <w:p>
      <w:pPr>
        <w:pStyle w:val="FirstParagraph"/>
      </w:pPr>
      <w:r>
        <w:rPr>
          <w:b/>
          <w:bCs/>
        </w:rPr>
        <w:t xml:space="preserve">Decline triggers (Section 3.C).</w:t>
      </w:r>
      <w:r>
        <w:t xml:space="preserve"> </w:t>
      </w:r>
      <w:r>
        <w:t xml:space="preserve">The Lender may decline if, in its sole judgment: (a) the worst-case estimate exceeds 50% of appraised value; (b) the Property is/proposed for NPL listing; (c) an active RCRA corrective-action order could create a lien senior to the mortgage; or (d)</w:t>
      </w:r>
      <w:r>
        <w:t xml:space="preserve"> </w:t>
      </w:r>
      <w:r>
        <w:rPr>
          <w:b/>
          <w:bCs/>
        </w:rPr>
        <w:t xml:space="preserve">unresolved data gaps prevent adequate characterization</w:t>
      </w:r>
      <w:r>
        <w:t xml:space="preserve">. Several data gaps exist here (see M-4).</w:t>
      </w:r>
    </w:p>
    <w:p>
      <w:pPr>
        <w:pStyle w:val="BodyText"/>
      </w:pPr>
      <w:r>
        <w:rPr>
          <w:b/>
          <w:bCs/>
        </w:rPr>
        <w:t xml:space="preserve">Timeline.</w:t>
      </w:r>
      <w:r>
        <w:t xml:space="preserve"> </w:t>
      </w:r>
      <w:r>
        <w:t xml:space="preserve">Phase I ESA due to Lender by</w:t>
      </w:r>
      <w:r>
        <w:t xml:space="preserve"> </w:t>
      </w:r>
      <w:r>
        <w:rPr>
          <w:b/>
          <w:bCs/>
        </w:rPr>
        <w:t xml:space="preserve">November 15, 2024</w:t>
      </w:r>
      <w:r>
        <w:t xml:space="preserve"> </w:t>
      </w:r>
      <w:r>
        <w:t xml:space="preserve">(the ESA is dated October 25, 2024 — satisfied); Phase II ESA + PLL binder + escrow evidence due by</w:t>
      </w:r>
      <w:r>
        <w:t xml:space="preserve"> </w:t>
      </w:r>
      <w:r>
        <w:rPr>
          <w:b/>
          <w:bCs/>
        </w:rPr>
        <w:t xml:space="preserve">November 30, 2024</w:t>
      </w:r>
      <w:r>
        <w:t xml:space="preserve">; Closing</w:t>
      </w:r>
      <w:r>
        <w:t xml:space="preserve"> </w:t>
      </w:r>
      <w:r>
        <w:rPr>
          <w:b/>
          <w:bCs/>
        </w:rPr>
        <w:t xml:space="preserve">December 15, 2024</w:t>
      </w:r>
      <w:r>
        <w:t xml:space="preserve">. The Phase II must be commissioned immediately to meet the November 30 deadline.</w:t>
      </w:r>
    </w:p>
    <w:p>
      <w:pPr>
        <w:pStyle w:val="BodyText"/>
      </w:pPr>
      <w:r>
        <w:rPr>
          <w:b/>
          <w:bCs/>
        </w:rPr>
        <w:t xml:space="preserve">Why Critical.</w:t>
      </w:r>
      <w:r>
        <w:t xml:space="preserve"> </w:t>
      </w:r>
      <w:r>
        <w:t xml:space="preserve">The combination of three carcinogenic-substance RECs (C-1, C-2, C-3), the vapor-intrusion trigger, the likely need for a remediation plan (costs plausibly &gt; $500,000), and the unresolved data gaps creates a real risk that the Lender (i) requires a large escrow and a $5M+ PLL policy, (ii) imposes a remediation plan with a 36-month completion obligation, or (iii) declines on</w:t>
      </w:r>
      <w:r>
        <w:t xml:space="preserve"> </w:t>
      </w:r>
      <w:r>
        <w:t xml:space="preserve">“</w:t>
      </w:r>
      <w:r>
        <w:t xml:space="preserve">unacceptable risk</w:t>
      </w:r>
      <w:r>
        <w:t xml:space="preserve">”</w:t>
      </w:r>
      <w:r>
        <w:t xml:space="preserve"> </w:t>
      </w:r>
      <w:r>
        <w:t xml:space="preserve">or</w:t>
      </w:r>
      <w:r>
        <w:t xml:space="preserve"> </w:t>
      </w:r>
      <w:r>
        <w:t xml:space="preserve">“</w:t>
      </w:r>
      <w:r>
        <w:t xml:space="preserve">unresolved data gaps</w:t>
      </w:r>
      <w:r>
        <w:t xml:space="preserve">”</w:t>
      </w:r>
      <w:r>
        <w:t xml:space="preserve"> </w:t>
      </w:r>
      <w:r>
        <w:t xml:space="preserve">grounds. The Lender’s express requirement that off-site migrating plumes be classified as RECs (which the ESA did not satisfy) is an additional point of friction the deal team should expect.</w:t>
      </w:r>
    </w:p>
    <w:p>
      <w:pPr>
        <w:pStyle w:val="BodyText"/>
      </w:pPr>
      <w:r>
        <w:rPr>
          <w:b/>
          <w:bCs/>
        </w:rPr>
        <w:t xml:space="preserve">Recommendation.</w:t>
      </w:r>
      <w:r>
        <w:t xml:space="preserve"> </w:t>
      </w:r>
      <w:r>
        <w:t xml:space="preserve">Commission the Phase II immediately; engage a licensed PE to prepare the three-tier cost estimates concurrently; begin PLL insurance marketing now (10-year, ≥$5M terms require lead time); budget for a 125% escrow; plan for a vapor-intrusion assessment and possible mitigation before closing; and pre-clear the ESA’s off-site-plume treatment with the Lender’s environmental counsel.</w:t>
      </w:r>
    </w:p>
    <w:p>
      <w:r>
        <w:pict>
          <v:rect style="width:0;height:1.5pt" o:hralign="center" o:hrstd="t" o:hr="t"/>
        </w:pict>
      </w:r>
    </w:p>
    <w:bookmarkEnd w:id="29"/>
    <w:bookmarkEnd w:id="30"/>
    <w:bookmarkStart w:id="38" w:name="vi.-high-severity-issues"/>
    <w:p>
      <w:pPr>
        <w:pStyle w:val="Heading2"/>
      </w:pPr>
      <w:r>
        <w:t xml:space="preserve">VI. High-Severity Issues</w:t>
      </w:r>
    </w:p>
    <w:bookmarkStart w:id="31" w:name="X4cb09e2ac564c458632d504daba59e72e572433"/>
    <w:p>
      <w:pPr>
        <w:pStyle w:val="Heading3"/>
      </w:pPr>
      <w:r>
        <w:t xml:space="preserve">H-1. Undocumented, Unregistered 2,000-Gallon Waste-Solvent UST —</w:t>
      </w:r>
      <w:r>
        <w:t xml:space="preserve"> </w:t>
      </w:r>
      <w:r>
        <w:rPr>
          <w:b/>
          <w:bCs/>
        </w:rPr>
        <w:t xml:space="preserve">HIGH</w:t>
      </w:r>
    </w:p>
    <w:p>
      <w:pPr>
        <w:pStyle w:val="FirstParagraph"/>
      </w:pPr>
      <w:r>
        <w:rPr>
          <w:b/>
          <w:bCs/>
        </w:rPr>
        <w:t xml:space="preserve">Condition.</w:t>
      </w:r>
      <w:r>
        <w:t xml:space="preserve"> </w:t>
      </w:r>
      <w:r>
        <w:t xml:space="preserve">The 1987 Sanborn fire-insurance map depicts a</w:t>
      </w:r>
      <w:r>
        <w:t xml:space="preserve"> </w:t>
      </w:r>
      <w:r>
        <w:rPr>
          <w:b/>
          <w:bCs/>
        </w:rPr>
        <w:t xml:space="preserve">2,000-gallon waste-solvent UST</w:t>
      </w:r>
      <w:r>
        <w:t xml:space="preserve"> </w:t>
      </w:r>
      <w:r>
        <w:t xml:space="preserve">on the east side of the Property, between the main building and the eastern boundary, in the general vicinity of the former outdoor drum-storage area. Ohio EPA/BUSTR confirmed</w:t>
      </w:r>
      <w:r>
        <w:t xml:space="preserve"> </w:t>
      </w:r>
      <w:r>
        <w:rPr>
          <w:b/>
          <w:bCs/>
        </w:rPr>
        <w:t xml:space="preserve">no registration, installation, closure, or removal records</w:t>
      </w:r>
      <w:r>
        <w:t xml:space="preserve"> </w:t>
      </w:r>
      <w:r>
        <w:t xml:space="preserve">exist for this tank. No surface appurtenances (fill/vent pipes) were observed during reconnaissance. The EDR summary flags that the</w:t>
      </w:r>
      <w:r>
        <w:t xml:space="preserve"> </w:t>
      </w:r>
      <w:r>
        <w:t xml:space="preserve">“</w:t>
      </w:r>
      <w:r>
        <w:t xml:space="preserve">tank may remain in place.</w:t>
      </w:r>
      <w:r>
        <w:t xml:space="preserve">”</w:t>
      </w:r>
    </w:p>
    <w:p>
      <w:pPr>
        <w:pStyle w:val="BodyText"/>
      </w:pPr>
      <w:r>
        <w:rPr>
          <w:b/>
          <w:bCs/>
        </w:rPr>
        <w:t xml:space="preserve">Why High.</w:t>
      </w:r>
      <w:r>
        <w:t xml:space="preserve"> </w:t>
      </w:r>
      <w:r>
        <w:t xml:space="preserve">A</w:t>
      </w:r>
      <w:r>
        <w:t xml:space="preserve"> </w:t>
      </w:r>
      <w:r>
        <w:t xml:space="preserve">“</w:t>
      </w:r>
      <w:r>
        <w:t xml:space="preserve">waste solvent</w:t>
      </w:r>
      <w:r>
        <w:t xml:space="preserve">”</w:t>
      </w:r>
      <w:r>
        <w:t xml:space="preserve"> </w:t>
      </w:r>
      <w:r>
        <w:t xml:space="preserve">UST at a facility that used TCE for 31 years likely contained chlorinated solvents. The absence of any registration or closure record means (a) the tank may still be in the ground, (b) if removed, the removal was undocumented and unassessed, and (c) any release would be uncharacterized. This is a potential REC that the Phase I ESA noted but did not classify. It also bears directly on the accuracy of Seller’s UST representations (APA § 4.13; Schedule 4.13 lists only the active diesel UST) — see H-5.</w:t>
      </w:r>
    </w:p>
    <w:p>
      <w:pPr>
        <w:pStyle w:val="BodyText"/>
      </w:pPr>
      <w:r>
        <w:rPr>
          <w:b/>
          <w:bCs/>
        </w:rPr>
        <w:t xml:space="preserve">Recommendation.</w:t>
      </w:r>
      <w:r>
        <w:t xml:space="preserve"> </w:t>
      </w:r>
      <w:r>
        <w:t xml:space="preserve">Geophysical survey (ground-penetrating radar) to confirm presence/absence; if present, plan closure assessment under Ohio BUSTR; include the area in Phase II soil/groundwater VOC sampling.</w:t>
      </w:r>
    </w:p>
    <w:bookmarkEnd w:id="31"/>
    <w:bookmarkStart w:id="32" w:name="X03b765442aed7d4fb8b51b96b539ddd40439066"/>
    <w:p>
      <w:pPr>
        <w:pStyle w:val="Heading3"/>
      </w:pPr>
      <w:r>
        <w:t xml:space="preserve">H-2. Former Outdoor Drum-Storage Area (East Side) —</w:t>
      </w:r>
      <w:r>
        <w:t xml:space="preserve"> </w:t>
      </w:r>
      <w:r>
        <w:rPr>
          <w:b/>
          <w:bCs/>
        </w:rPr>
        <w:t xml:space="preserve">HIGH</w:t>
      </w:r>
    </w:p>
    <w:p>
      <w:pPr>
        <w:pStyle w:val="FirstParagraph"/>
      </w:pPr>
      <w:r>
        <w:rPr>
          <w:b/>
          <w:bCs/>
        </w:rPr>
        <w:t xml:space="preserve">Condition.</w:t>
      </w:r>
      <w:r>
        <w:t xml:space="preserve"> </w:t>
      </w:r>
      <w:r>
        <w:t xml:space="preserve">An ≈40 ft × 60 ft unpaved area on the east side, delineated by deteriorating concrete curbing, exhibits</w:t>
      </w:r>
      <w:r>
        <w:t xml:space="preserve"> </w:t>
      </w:r>
      <w:r>
        <w:rPr>
          <w:b/>
          <w:bCs/>
        </w:rPr>
        <w:t xml:space="preserve">stressed vegetation</w:t>
      </w:r>
      <w:r>
        <w:t xml:space="preserve">. The 1990 and 2000 aerial photographs show an estimated 100+ drums arranged there. Seller acknowledged,</w:t>
      </w:r>
      <w:r>
        <w:t xml:space="preserve"> </w:t>
      </w:r>
      <w:r>
        <w:t xml:space="preserve">“</w:t>
      </w:r>
      <w:r>
        <w:t xml:space="preserve">We used to keep drums out there before the EPA came around.</w:t>
      </w:r>
      <w:r>
        <w:t xml:space="preserve">”</w:t>
      </w:r>
      <w:r>
        <w:t xml:space="preserve"> </w:t>
      </w:r>
      <w:r>
        <w:t xml:space="preserve">This is the same area where the</w:t>
      </w:r>
      <w:r>
        <w:t xml:space="preserve"> </w:t>
      </w:r>
      <w:r>
        <w:rPr>
          <w:b/>
          <w:bCs/>
        </w:rPr>
        <w:t xml:space="preserve">2003 Ohio EPA inspection observed rusted and visibly leaking 55-gallon drums containing electroplating sludge and spent chromium-bearing wastewater</w:t>
      </w:r>
      <w:r>
        <w:t xml:space="preserve">, with ground-surface staining (see H-3). The 1987 Sanborn 2,000-gallon waste-solvent UST is in the same vicinity (see H-1).</w:t>
      </w:r>
    </w:p>
    <w:p>
      <w:pPr>
        <w:pStyle w:val="BodyText"/>
      </w:pPr>
      <w:r>
        <w:rPr>
          <w:b/>
          <w:bCs/>
        </w:rPr>
        <w:t xml:space="preserve">Why High.</w:t>
      </w:r>
      <w:r>
        <w:t xml:space="preserve"> </w:t>
      </w:r>
      <w:r>
        <w:t xml:space="preserve">Documented leaking hazardous-waste drums (chromium-bearing) on an unpaved surface, plus stressed vegetation and a co-located undocumented waste-solvent UST, indicate likely releases of both metals and chlorinated solvents to soil/groundwater in this area. This area overlaps C-2 (chromium) and H-1 (solvent UST) but is a distinct AOC warranting its own Phase II grid.</w:t>
      </w:r>
    </w:p>
    <w:p>
      <w:pPr>
        <w:pStyle w:val="BodyText"/>
      </w:pPr>
      <w:r>
        <w:rPr>
          <w:b/>
          <w:bCs/>
        </w:rPr>
        <w:t xml:space="preserve">Recommendation.</w:t>
      </w:r>
      <w:r>
        <w:t xml:space="preserve"> </w:t>
      </w:r>
      <w:r>
        <w:t xml:space="preserve">Phase II soil borings and groundwater wells across the curbed area; analyze for VOCs (TCE/PCE and daughter products) and metals (total and hexavalent chromium, nickel).</w:t>
      </w:r>
    </w:p>
    <w:bookmarkEnd w:id="32"/>
    <w:bookmarkStart w:id="33" w:name="Xd9ebdb511b6c165d53cd62d1630012d9fff283d"/>
    <w:p>
      <w:pPr>
        <w:pStyle w:val="Heading3"/>
      </w:pPr>
      <w:r>
        <w:t xml:space="preserve">H-3. 2003 Ohio EPA Notice of Violation and Director’s Final Findings and Orders (Consent Order) —</w:t>
      </w:r>
      <w:r>
        <w:t xml:space="preserve"> </w:t>
      </w:r>
      <w:r>
        <w:rPr>
          <w:b/>
          <w:bCs/>
        </w:rPr>
        <w:t xml:space="preserve">HIGH</w:t>
      </w:r>
    </w:p>
    <w:p>
      <w:pPr>
        <w:pStyle w:val="FirstParagraph"/>
      </w:pPr>
      <w:r>
        <w:rPr>
          <w:b/>
          <w:bCs/>
        </w:rPr>
        <w:t xml:space="preserve">Condition.</w:t>
      </w:r>
      <w:r>
        <w:t xml:space="preserve"> </w:t>
      </w:r>
      <w:r>
        <w:t xml:space="preserve">Ohio EPA conducted a Compliance Evaluation Inspection on July 17, 2003, documenting: (1) improper storage of hazardous waste in rusted/leaking 55-gallon drums (electroplating sludge and spent chromium-bearing wastewater) in the east-side outdoor area, with ground staining; (2) failure to label accumulation-start dates; (3) failure to maintain hazardous-waste determination records. Ohio EPA issued</w:t>
      </w:r>
      <w:r>
        <w:t xml:space="preserve"> </w:t>
      </w:r>
      <w:r>
        <w:rPr>
          <w:b/>
          <w:bCs/>
        </w:rPr>
        <w:t xml:space="preserve">Notice of Violation File No. NW-2003-0471</w:t>
      </w:r>
      <w:r>
        <w:t xml:space="preserve"> </w:t>
      </w:r>
      <w:r>
        <w:t xml:space="preserve">on August 12, 2003, addressed to Seller and Gerald Breckenridge III. The NOV was resolved by</w:t>
      </w:r>
      <w:r>
        <w:t xml:space="preserve"> </w:t>
      </w:r>
      <w:r>
        <w:rPr>
          <w:b/>
          <w:bCs/>
        </w:rPr>
        <w:t xml:space="preserve">Director’s Final Findings and Orders (consent order)</w:t>
      </w:r>
      <w:r>
        <w:t xml:space="preserve"> </w:t>
      </w:r>
      <w:r>
        <w:t xml:space="preserve">requiring a facility-wide waste audit, proper characterization/disposal of accumulated waste, a written waste-management plan, and a compliance certification within 120 days.</w:t>
      </w:r>
      <w:r>
        <w:t xml:space="preserve"> </w:t>
      </w:r>
      <w:r>
        <w:rPr>
          <w:b/>
          <w:bCs/>
        </w:rPr>
        <w:t xml:space="preserve">The consent order file is archived and was not produced; the compliance certification has not been confirmed.</w:t>
      </w:r>
    </w:p>
    <w:p>
      <w:pPr>
        <w:pStyle w:val="BodyText"/>
      </w:pPr>
      <w:r>
        <w:rPr>
          <w:b/>
          <w:bCs/>
        </w:rPr>
        <w:t xml:space="preserve">Why High.</w:t>
      </w:r>
      <w:r>
        <w:t xml:space="preserve"> </w:t>
      </w:r>
      <w:r>
        <w:t xml:space="preserve">This is a documented regulatory violation and a formal enforcement action (consent order). It is directly relevant to (a) the accuracy of Seller’s representations (APA §§ 4.12(b), 4.12(c) — see H-5), (b) the Lender’s decline trigger for</w:t>
      </w:r>
      <w:r>
        <w:t xml:space="preserve"> </w:t>
      </w:r>
      <w:r>
        <w:t xml:space="preserve">“</w:t>
      </w:r>
      <w:r>
        <w:t xml:space="preserve">active RCRA corrective action order</w:t>
      </w:r>
      <w:r>
        <w:t xml:space="preserve">”</w:t>
      </w:r>
      <w:r>
        <w:t xml:space="preserve"> </w:t>
      </w:r>
      <w:r>
        <w:t xml:space="preserve">(the consent order is resolved but its completion is unconfirmed), and (c) the inference that hazardous wastes were historically mismanaged (supporting C-2 and H-2). The unconfirmed compliance certification is an open item.</w:t>
      </w:r>
    </w:p>
    <w:p>
      <w:pPr>
        <w:pStyle w:val="BodyText"/>
      </w:pPr>
      <w:r>
        <w:rPr>
          <w:b/>
          <w:bCs/>
        </w:rPr>
        <w:t xml:space="preserve">Recommendation.</w:t>
      </w:r>
      <w:r>
        <w:t xml:space="preserve"> </w:t>
      </w:r>
      <w:r>
        <w:t xml:space="preserve">Obtain the consent order and compliance certification from Ohio EPA Central Office (File No. NW-2003-0471; retrieval may take 30–45 business days — likely too slow for closing, so demand production from Seller); confirm the matter is fully resolved and closed.</w:t>
      </w:r>
    </w:p>
    <w:bookmarkEnd w:id="33"/>
    <w:bookmarkStart w:id="34" w:name="Xfa4c5fe527bfb1b84636b2f62e60a0532a1444c"/>
    <w:p>
      <w:pPr>
        <w:pStyle w:val="Heading3"/>
      </w:pPr>
      <w:r>
        <w:t xml:space="preserve">H-4. 39-Year Gap in Hazardous-Waste Manifests (1965–2003) —</w:t>
      </w:r>
      <w:r>
        <w:t xml:space="preserve"> </w:t>
      </w:r>
      <w:r>
        <w:rPr>
          <w:b/>
          <w:bCs/>
        </w:rPr>
        <w:t xml:space="preserve">HIGH</w:t>
      </w:r>
    </w:p>
    <w:p>
      <w:pPr>
        <w:pStyle w:val="FirstParagraph"/>
      </w:pPr>
      <w:r>
        <w:rPr>
          <w:b/>
          <w:bCs/>
        </w:rPr>
        <w:t xml:space="preserve">Condition.</w:t>
      </w:r>
      <w:r>
        <w:t xml:space="preserve"> </w:t>
      </w:r>
      <w:r>
        <w:t xml:space="preserve">Ohio EPA confirmed that the only hazardous-waste manifests/biennial reports on file for the facility are for reporting year 2004 (14,200 lb, D007/F006).</w:t>
      </w:r>
      <w:r>
        <w:t xml:space="preserve"> </w:t>
      </w:r>
      <w:r>
        <w:rPr>
          <w:b/>
          <w:bCs/>
        </w:rPr>
        <w:t xml:space="preserve">No manifests exist for 1965–2003</w:t>
      </w:r>
      <w:r>
        <w:t xml:space="preserve"> </w:t>
      </w:r>
      <w:r>
        <w:t xml:space="preserve">— 39 years of electroplating operations. Seller could not produce any disposal records for that period and stated such records were</w:t>
      </w:r>
      <w:r>
        <w:t xml:space="preserve"> </w:t>
      </w:r>
      <w:r>
        <w:t xml:space="preserve">“</w:t>
      </w:r>
      <w:r>
        <w:t xml:space="preserve">not available.</w:t>
      </w:r>
      <w:r>
        <w:t xml:space="preserve">”</w:t>
      </w:r>
    </w:p>
    <w:p>
      <w:pPr>
        <w:pStyle w:val="BodyText"/>
      </w:pPr>
      <w:r>
        <w:rPr>
          <w:b/>
          <w:bCs/>
        </w:rPr>
        <w:t xml:space="preserve">Why High.</w:t>
      </w:r>
      <w:r>
        <w:t xml:space="preserve"> </w:t>
      </w:r>
      <w:r>
        <w:t xml:space="preserve">The absence of disposal documentation for nearly four decades of hazardous-waste generation creates (a) a strong inference that wastes may have been disposed on-site or otherwise improperly managed (supporting C-2, H-2), and (b) potential</w:t>
      </w:r>
      <w:r>
        <w:t xml:space="preserve"> </w:t>
      </w:r>
      <w:r>
        <w:rPr>
          <w:b/>
          <w:bCs/>
        </w:rPr>
        <w:t xml:space="preserve">CERCLA arranger/disposer liability</w:t>
      </w:r>
      <w:r>
        <w:t xml:space="preserve"> </w:t>
      </w:r>
      <w:r>
        <w:t xml:space="preserve">for any off-site disposal that cannot be documented. It also limits the ability to reconstruct historical waste-management practices. This is a material data gap with liability implications beyond pure remediation cost.</w:t>
      </w:r>
    </w:p>
    <w:p>
      <w:pPr>
        <w:pStyle w:val="BodyText"/>
      </w:pPr>
      <w:r>
        <w:rPr>
          <w:b/>
          <w:bCs/>
        </w:rPr>
        <w:t xml:space="preserve">Recommendation.</w:t>
      </w:r>
      <w:r>
        <w:t xml:space="preserve"> </w:t>
      </w:r>
      <w:r>
        <w:t xml:space="preserve">Acknowledge this gap in the Phase II/insurance underwriting; consider whether any historical disposal sites can be identified through interviews or records; factor arranger-liability exposure into the indemnity negotiation and PLL policy scope.</w:t>
      </w:r>
    </w:p>
    <w:bookmarkEnd w:id="34"/>
    <w:bookmarkStart w:id="35" w:name="X2165c783d5f12c6a1cb3ff3b7c3c21fa8595c9f"/>
    <w:p>
      <w:pPr>
        <w:pStyle w:val="Heading3"/>
      </w:pPr>
      <w:r>
        <w:t xml:space="preserve">H-5. Potential Inaccuracies/Breaches of Seller’s Environmental Representations (APA §§ 4.12, 4.13) —</w:t>
      </w:r>
      <w:r>
        <w:t xml:space="preserve"> </w:t>
      </w:r>
      <w:r>
        <w:rPr>
          <w:b/>
          <w:bCs/>
        </w:rPr>
        <w:t xml:space="preserve">HIGH</w:t>
      </w:r>
    </w:p>
    <w:p>
      <w:pPr>
        <w:pStyle w:val="FirstParagraph"/>
      </w:pPr>
      <w:r>
        <w:rPr>
          <w:b/>
          <w:bCs/>
        </w:rPr>
        <w:t xml:space="preserve">Condition.</w:t>
      </w:r>
      <w:r>
        <w:t xml:space="preserve"> </w:t>
      </w:r>
      <w:r>
        <w:t xml:space="preserve">Seller’s environmental reps, as qualified by</w:t>
      </w:r>
      <w:r>
        <w:t xml:space="preserve"> </w:t>
      </w:r>
      <w:r>
        <w:t xml:space="preserve">“</w:t>
      </w:r>
      <w:r>
        <w:t xml:space="preserve">to Seller’s knowledge</w:t>
      </w:r>
      <w:r>
        <w:t xml:space="preserve">”</w:t>
      </w:r>
      <w:r>
        <w:t xml:space="preserve"> </w:t>
      </w:r>
      <w:r>
        <w:t xml:space="preserve">and the Schedules, appear inconsistent with the documented record: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Rep</w:t>
            </w:r>
          </w:p>
        </w:tc>
        <w:tc>
          <w:tcPr/>
          <w:p>
            <w:pPr>
              <w:pStyle w:val="Compact"/>
              <w:jc w:val="left"/>
            </w:pPr>
            <w:r>
              <w:t xml:space="preserve">Seller’s Position</w:t>
            </w:r>
          </w:p>
        </w:tc>
        <w:tc>
          <w:tcPr/>
          <w:p>
            <w:pPr>
              <w:pStyle w:val="Compact"/>
              <w:jc w:val="left"/>
            </w:pPr>
            <w:r>
              <w:t xml:space="preserve">Documented Record</w:t>
            </w:r>
          </w:p>
        </w:tc>
        <w:tc>
          <w:tcPr/>
          <w:p>
            <w:pPr>
              <w:pStyle w:val="Compact"/>
              <w:jc w:val="left"/>
            </w:pPr>
            <w:r>
              <w:t xml:space="preserve">Assessment</w:t>
            </w:r>
          </w:p>
        </w:tc>
      </w:tr>
      <w:tr>
        <w:tc>
          <w:tcPr/>
          <w:p>
            <w:pPr>
              <w:pStyle w:val="Compact"/>
              <w:jc w:val="left"/>
            </w:pPr>
            <w:r>
              <w:t xml:space="preserve">§ 4.12(a) — no Release; no HS exceeding standards</w:t>
            </w:r>
          </w:p>
        </w:tc>
        <w:tc>
          <w:tcPr/>
          <w:p>
            <w:pPr>
              <w:pStyle w:val="Compact"/>
              <w:jc w:val="left"/>
            </w:pPr>
            <w:r>
              <w:t xml:space="preserve">Schedule 4.12(a):</w:t>
            </w:r>
            <w:r>
              <w:t xml:space="preserve"> </w:t>
            </w:r>
            <w:r>
              <w:t xml:space="preserve">“</w:t>
            </w:r>
            <w:r>
              <w:t xml:space="preserve">None</w:t>
            </w:r>
            <w:r>
              <w:t xml:space="preserve">”</w:t>
            </w:r>
          </w:p>
        </w:tc>
        <w:tc>
          <w:tcPr/>
          <w:p>
            <w:pPr>
              <w:pStyle w:val="Compact"/>
              <w:jc w:val="left"/>
            </w:pPr>
            <w:r>
              <w:t xml:space="preserve">1988 solvent spill; 2003 leaking drums; TCE PID 42.3 ppm; chromium staining; abandoned leaking TCE drum; PCE plume migrating onto Property</w:t>
            </w:r>
          </w:p>
        </w:tc>
        <w:tc>
          <w:tcPr/>
          <w:p>
            <w:pPr>
              <w:pStyle w:val="Compact"/>
              <w:jc w:val="left"/>
            </w:pPr>
            <w:r>
              <w:t xml:space="preserve">Likely inaccurate;</w:t>
            </w:r>
            <w:r>
              <w:t xml:space="preserve"> </w:t>
            </w:r>
            <w:r>
              <w:t xml:space="preserve">“</w:t>
            </w:r>
            <w:r>
              <w:t xml:space="preserve">knowledge</w:t>
            </w:r>
            <w:r>
              <w:t xml:space="preserve">”</w:t>
            </w:r>
            <w:r>
              <w:t xml:space="preserve"> </w:t>
            </w:r>
            <w:r>
              <w:t xml:space="preserve">qualifier weakened by Fire Dept. and Ohio EPA records</w:t>
            </w:r>
          </w:p>
        </w:tc>
      </w:tr>
      <w:tr>
        <w:tc>
          <w:tcPr/>
          <w:p>
            <w:pPr>
              <w:pStyle w:val="Compact"/>
              <w:jc w:val="left"/>
            </w:pPr>
            <w:r>
              <w:t xml:space="preserve">§ 4.12(b) — material compliance with Environmental Laws</w:t>
            </w:r>
          </w:p>
        </w:tc>
        <w:tc>
          <w:tcPr/>
          <w:p>
            <w:pPr>
              <w:pStyle w:val="Compact"/>
              <w:jc w:val="left"/>
            </w:pPr>
            <w:r>
              <w:t xml:space="preserve">Represented as compliant</w:t>
            </w:r>
          </w:p>
        </w:tc>
        <w:tc>
          <w:tcPr/>
          <w:p>
            <w:pPr>
              <w:pStyle w:val="Compact"/>
              <w:jc w:val="left"/>
            </w:pPr>
            <w:r>
              <w:t xml:space="preserve">2003 NOV and consent order for improper hazardous-waste storage</w:t>
            </w:r>
          </w:p>
        </w:tc>
        <w:tc>
          <w:tcPr/>
          <w:p>
            <w:pPr>
              <w:pStyle w:val="Compact"/>
              <w:jc w:val="left"/>
            </w:pPr>
            <w:r>
              <w:t xml:space="preserve">Likely inaccurate</w:t>
            </w:r>
          </w:p>
        </w:tc>
      </w:tr>
      <w:tr>
        <w:tc>
          <w:tcPr/>
          <w:p>
            <w:pPr>
              <w:pStyle w:val="Compact"/>
              <w:jc w:val="left"/>
            </w:pPr>
            <w:r>
              <w:t xml:space="preserve">§ 4.12(c) — no Environmental Notice; no consent orders</w:t>
            </w:r>
          </w:p>
        </w:tc>
        <w:tc>
          <w:tcPr/>
          <w:p>
            <w:pPr>
              <w:pStyle w:val="Compact"/>
              <w:jc w:val="left"/>
            </w:pPr>
            <w:r>
              <w:t xml:space="preserve">Schedule 4.12(c):</w:t>
            </w:r>
            <w:r>
              <w:t xml:space="preserve"> </w:t>
            </w:r>
            <w:r>
              <w:t xml:space="preserve">“</w:t>
            </w:r>
            <w:r>
              <w:t xml:space="preserve">None</w:t>
            </w:r>
            <w:r>
              <w:t xml:space="preserve">”</w:t>
            </w:r>
          </w:p>
        </w:tc>
        <w:tc>
          <w:tcPr/>
          <w:p>
            <w:pPr>
              <w:pStyle w:val="Compact"/>
              <w:jc w:val="left"/>
            </w:pPr>
            <w:r>
              <w:t xml:space="preserve">2003 NOV (File NW-2003-0471) and Director’s Final Findings and Orders</w:t>
            </w:r>
          </w:p>
        </w:tc>
        <w:tc>
          <w:tcPr/>
          <w:p>
            <w:pPr>
              <w:pStyle w:val="Compact"/>
              <w:jc w:val="left"/>
            </w:pPr>
            <w:r>
              <w:rPr>
                <w:b/>
                <w:bCs/>
              </w:rPr>
              <w:t xml:space="preserve">Appears inaccurate</w:t>
            </w:r>
            <w:r>
              <w:t xml:space="preserve"> </w:t>
            </w:r>
            <w:r>
              <w:t xml:space="preserve">— these are</w:t>
            </w:r>
            <w:r>
              <w:t xml:space="preserve"> </w:t>
            </w:r>
            <w:r>
              <w:t xml:space="preserve">“</w:t>
            </w:r>
            <w:r>
              <w:t xml:space="preserve">Environmental Notices</w:t>
            </w:r>
            <w:r>
              <w:t xml:space="preserve">”</w:t>
            </w:r>
            <w:r>
              <w:t xml:space="preserve"> </w:t>
            </w:r>
            <w:r>
              <w:t xml:space="preserve">and a consent order as defined in APA § 1.1</w:t>
            </w:r>
          </w:p>
        </w:tc>
      </w:tr>
      <w:tr>
        <w:tc>
          <w:tcPr/>
          <w:p>
            <w:pPr>
              <w:pStyle w:val="Compact"/>
              <w:jc w:val="left"/>
            </w:pPr>
            <w:r>
              <w:t xml:space="preserve">§ 4.12(d) — delivered all environmental docs; nothing withheld</w:t>
            </w:r>
          </w:p>
        </w:tc>
        <w:tc>
          <w:tcPr/>
          <w:p>
            <w:pPr>
              <w:pStyle w:val="Compact"/>
              <w:jc w:val="left"/>
            </w:pPr>
            <w:r>
              <w:t xml:space="preserve">Represented as complete</w:t>
            </w:r>
          </w:p>
        </w:tc>
        <w:tc>
          <w:tcPr/>
          <w:p>
            <w:pPr>
              <w:pStyle w:val="Compact"/>
              <w:jc w:val="left"/>
            </w:pPr>
            <w:r>
              <w:t xml:space="preserve">Seller refused to produce 1961–1990 corporate records; consent order not produced</w:t>
            </w:r>
          </w:p>
        </w:tc>
        <w:tc>
          <w:tcPr/>
          <w:p>
            <w:pPr>
              <w:pStyle w:val="Compact"/>
              <w:jc w:val="left"/>
            </w:pPr>
            <w:r>
              <w:t xml:space="preserve">Potentially inaccurate/frustrated</w:t>
            </w:r>
          </w:p>
        </w:tc>
      </w:tr>
      <w:tr>
        <w:tc>
          <w:tcPr/>
          <w:p>
            <w:pPr>
              <w:pStyle w:val="Compact"/>
              <w:jc w:val="left"/>
            </w:pPr>
            <w:r>
              <w:t xml:space="preserve">§ 4.12(e) — no liens/AULs/ICs/ECs/covenants applicable to Property</w:t>
            </w:r>
          </w:p>
        </w:tc>
        <w:tc>
          <w:tcPr/>
          <w:p>
            <w:pPr>
              <w:pStyle w:val="Compact"/>
              <w:jc w:val="left"/>
            </w:pPr>
            <w:r>
              <w:t xml:space="preserve">Represented as none</w:t>
            </w:r>
          </w:p>
        </w:tc>
        <w:tc>
          <w:tcPr/>
          <w:p>
            <w:pPr>
              <w:pStyle w:val="Compact"/>
              <w:jc w:val="left"/>
            </w:pPr>
            <w:r>
              <w:t xml:space="preserve">Property within state-designated GMZ (may impose use restrictions)</w:t>
            </w:r>
          </w:p>
        </w:tc>
        <w:tc>
          <w:tcPr/>
          <w:p>
            <w:pPr>
              <w:pStyle w:val="Compact"/>
              <w:jc w:val="left"/>
            </w:pPr>
            <w:r>
              <w:t xml:space="preserve">Potentially inaccurate (see M-5)</w:t>
            </w:r>
          </w:p>
        </w:tc>
      </w:tr>
      <w:tr>
        <w:tc>
          <w:tcPr/>
          <w:p>
            <w:pPr>
              <w:pStyle w:val="Compact"/>
              <w:jc w:val="left"/>
            </w:pPr>
            <w:r>
              <w:t xml:space="preserve">§ 4.13(a) — complete list of all USTs (current and former); all properly registered/closed</w:t>
            </w:r>
          </w:p>
        </w:tc>
        <w:tc>
          <w:tcPr/>
          <w:p>
            <w:pPr>
              <w:pStyle w:val="Compact"/>
              <w:jc w:val="left"/>
            </w:pPr>
            <w:r>
              <w:t xml:space="preserve">Schedule 4.13 lists only the active 10,000-gal diesel UST</w:t>
            </w:r>
          </w:p>
        </w:tc>
        <w:tc>
          <w:tcPr/>
          <w:p>
            <w:pPr>
              <w:pStyle w:val="Compact"/>
              <w:jc w:val="left"/>
            </w:pPr>
            <w:r>
              <w:t xml:space="preserve">1987 Sanborn: 2,000-gal waste-solvent UST; 1948/1955 Sanborn: 500-gal heating-oil UST — neither registered/closed per BUSTR</w:t>
            </w:r>
          </w:p>
        </w:tc>
        <w:tc>
          <w:tcPr/>
          <w:p>
            <w:pPr>
              <w:pStyle w:val="Compact"/>
              <w:jc w:val="left"/>
            </w:pPr>
            <w:r>
              <w:rPr>
                <w:b/>
                <w:bCs/>
              </w:rPr>
              <w:t xml:space="preserve">Appears incomplete</w:t>
            </w:r>
            <w:r>
              <w:t xml:space="preserve">; if those tanks existed, the</w:t>
            </w:r>
            <w:r>
              <w:t xml:space="preserve"> </w:t>
            </w:r>
            <w:r>
              <w:t xml:space="preserve">“</w:t>
            </w:r>
            <w:r>
              <w:t xml:space="preserve">properly registered… properly closed</w:t>
            </w:r>
            <w:r>
              <w:t xml:space="preserve">”</w:t>
            </w:r>
            <w:r>
              <w:t xml:space="preserve"> </w:t>
            </w:r>
            <w:r>
              <w:t xml:space="preserve">rep is breached</w:t>
            </w:r>
          </w:p>
        </w:tc>
      </w:tr>
      <w:tr>
        <w:tc>
          <w:tcPr/>
          <w:p>
            <w:pPr>
              <w:pStyle w:val="Compact"/>
              <w:jc w:val="left"/>
            </w:pPr>
            <w:r>
              <w:t xml:space="preserve">§ 4.13(b) — no Releases from any UST; no leaking</w:t>
            </w:r>
          </w:p>
        </w:tc>
        <w:tc>
          <w:tcPr/>
          <w:p>
            <w:pPr>
              <w:pStyle w:val="Compact"/>
              <w:jc w:val="left"/>
            </w:pPr>
            <w:r>
              <w:t xml:space="preserve">Represented as none</w:t>
            </w:r>
          </w:p>
        </w:tc>
        <w:tc>
          <w:tcPr/>
          <w:p>
            <w:pPr>
              <w:pStyle w:val="Compact"/>
              <w:jc w:val="left"/>
            </w:pPr>
            <w:r>
              <w:t xml:space="preserve">Cannot confirm for undocumented USTs; active diesel UST appears sound</w:t>
            </w:r>
          </w:p>
        </w:tc>
        <w:tc>
          <w:tcPr/>
          <w:p>
            <w:pPr>
              <w:pStyle w:val="Compact"/>
              <w:jc w:val="left"/>
            </w:pPr>
            <w:r>
              <w:t xml:space="preserve">Accurate for active UST; unconfirmed for others</w:t>
            </w:r>
          </w:p>
        </w:tc>
      </w:tr>
    </w:tbl>
    <w:p>
      <w:pPr>
        <w:pStyle w:val="BodyText"/>
      </w:pPr>
      <w:r>
        <w:rPr>
          <w:b/>
          <w:bCs/>
        </w:rPr>
        <w:t xml:space="preserve">Why High.</w:t>
      </w:r>
      <w:r>
        <w:t xml:space="preserve"> </w:t>
      </w:r>
      <w:r>
        <w:t xml:space="preserve">Rep breaches are the primary vehicle for recovering Losses beyond the $1.75M cap via the</w:t>
      </w:r>
      <w:r>
        <w:t xml:space="preserve"> </w:t>
      </w:r>
      <w:r>
        <w:rPr>
          <w:b/>
          <w:bCs/>
        </w:rPr>
        <w:t xml:space="preserve">fraud/intentional-misrepresentation exception</w:t>
      </w:r>
      <w:r>
        <w:t xml:space="preserve"> </w:t>
      </w:r>
      <w:r>
        <w:t xml:space="preserve">(APA § 8.4(d)), which strips the cap, basket, and survival limits. The most exposed reps are § 4.12(c) (the 2003 NOV/consent order is a matter of Ohio EPA record Seller should know) and § 4.13(a) (the Sanborn-documented USTs). Seller’s documented statements to the EP — denying awareness of</w:t>
      </w:r>
      <w:r>
        <w:t xml:space="preserve"> </w:t>
      </w:r>
      <w:r>
        <w:t xml:space="preserve">“</w:t>
      </w:r>
      <w:r>
        <w:t xml:space="preserve">any spills</w:t>
      </w:r>
      <w:r>
        <w:t xml:space="preserve">”</w:t>
      </w:r>
      <w:r>
        <w:t xml:space="preserve"> </w:t>
      </w:r>
      <w:r>
        <w:t xml:space="preserve">despite the 1988 Fire Department record, and the incomplete UST schedule — support preserving a potential intentional-misrepresentation argument. Note, however, that the burden of proving fraud/intentional misrepresentation rests on Buyer (§ 8.4(d)).</w:t>
      </w:r>
    </w:p>
    <w:p>
      <w:pPr>
        <w:pStyle w:val="BodyText"/>
      </w:pPr>
      <w:r>
        <w:rPr>
          <w:b/>
          <w:bCs/>
        </w:rPr>
        <w:t xml:space="preserve">Recommendation.</w:t>
      </w:r>
      <w:r>
        <w:t xml:space="preserve"> </w:t>
      </w:r>
      <w:r>
        <w:t xml:space="preserve">Require Seller to</w:t>
      </w:r>
      <w:r>
        <w:t xml:space="preserve"> </w:t>
      </w:r>
      <w:r>
        <w:rPr>
          <w:b/>
          <w:bCs/>
        </w:rPr>
        <w:t xml:space="preserve">update and correct Schedules 4.12 and 4.13</w:t>
      </w:r>
      <w:r>
        <w:t xml:space="preserve"> </w:t>
      </w:r>
      <w:r>
        <w:t xml:space="preserve">before closing (disclose the 2003 NOV/consent order, the undocumented USTs, and the GMZ); obtain a representations bring-down at closing; document Seller’s knowledge of the Fire Department and Ohio EPA records; preserve all evidence of Seller’s inconsistent statements.</w:t>
      </w:r>
    </w:p>
    <w:bookmarkEnd w:id="35"/>
    <w:bookmarkStart w:id="36" w:name="Xf502ad08b4159fcaa9d0374f78d83b4c2e9c857"/>
    <w:p>
      <w:pPr>
        <w:pStyle w:val="Heading3"/>
      </w:pPr>
      <w:r>
        <w:t xml:space="preserve">H-6. Contractual Protections Likely Inadequate; Termination-Right Deadline Imminent —</w:t>
      </w:r>
      <w:r>
        <w:t xml:space="preserve"> </w:t>
      </w:r>
      <w:r>
        <w:rPr>
          <w:b/>
          <w:bCs/>
        </w:rPr>
        <w:t xml:space="preserve">HIGH</w:t>
      </w:r>
    </w:p>
    <w:p>
      <w:pPr>
        <w:pStyle w:val="FirstParagraph"/>
      </w:pPr>
      <w:r>
        <w:rPr>
          <w:b/>
          <w:bCs/>
        </w:rPr>
        <w:t xml:space="preserve">Condition.</w:t>
      </w:r>
      <w:r>
        <w:t xml:space="preserve"> </w:t>
      </w:r>
      <w:r>
        <w:t xml:space="preserve">The APA’s risk-allocation architecture, measured against the foreseeable exposure, is likely insufficient:</w:t>
      </w:r>
    </w:p>
    <w:p>
      <w:pPr>
        <w:pStyle w:val="Compact"/>
        <w:numPr>
          <w:ilvl w:val="0"/>
          <w:numId w:val="1006"/>
        </w:numPr>
      </w:pPr>
      <w:r>
        <w:rPr>
          <w:b/>
          <w:bCs/>
        </w:rPr>
        <w:t xml:space="preserve">Indemnity Cap: $1,750,000</w:t>
      </w:r>
      <w:r>
        <w:t xml:space="preserve"> </w:t>
      </w:r>
      <w:r>
        <w:t xml:space="preserve">(20% of price) — applies to</w:t>
      </w:r>
      <w:r>
        <w:t xml:space="preserve"> </w:t>
      </w:r>
      <w:r>
        <w:rPr>
          <w:b/>
          <w:bCs/>
        </w:rPr>
        <w:t xml:space="preserve">all</w:t>
      </w:r>
      <w:r>
        <w:t xml:space="preserve"> </w:t>
      </w:r>
      <w:r>
        <w:t xml:space="preserve">claims, including Pre-Closing Environmental Liabilities (APA § 8.4(b)). Chlorinated-solvent (TCE/PCE) and hexavalent-chromium remediation, plus vapor mitigation, can readily exceed this amount.</w:t>
      </w:r>
    </w:p>
    <w:p>
      <w:pPr>
        <w:pStyle w:val="Compact"/>
        <w:numPr>
          <w:ilvl w:val="0"/>
          <w:numId w:val="1006"/>
        </w:numPr>
      </w:pPr>
      <w:r>
        <w:rPr>
          <w:b/>
          <w:bCs/>
        </w:rPr>
        <w:t xml:space="preserve">Basket: $87,500</w:t>
      </w:r>
      <w:r>
        <w:t xml:space="preserve"> </w:t>
      </w:r>
      <w:r>
        <w:t xml:space="preserve">(1% of price) — a true deductible that applies</w:t>
      </w:r>
      <w:r>
        <w:t xml:space="preserve"> </w:t>
      </w:r>
      <w:r>
        <w:rPr>
          <w:b/>
          <w:bCs/>
        </w:rPr>
        <w:t xml:space="preserve">only</w:t>
      </w:r>
      <w:r>
        <w:t xml:space="preserve"> </w:t>
      </w:r>
      <w:r>
        <w:t xml:space="preserve">to rep-breach claims (§ 8.2(a)(i)); it does</w:t>
      </w:r>
      <w:r>
        <w:t xml:space="preserve"> </w:t>
      </w:r>
      <w:r>
        <w:rPr>
          <w:b/>
          <w:bCs/>
        </w:rPr>
        <w:t xml:space="preserve">not</w:t>
      </w:r>
      <w:r>
        <w:t xml:space="preserve"> </w:t>
      </w:r>
      <w:r>
        <w:t xml:space="preserve">apply to Pre-Closing Environmental Liabilities (§ 8.2(a)(iii)) or third-party claims (§ 8.2(a)(iv)), which are recoverable from the first dollar (but still subject to the cap).</w:t>
      </w:r>
    </w:p>
    <w:p>
      <w:pPr>
        <w:pStyle w:val="Compact"/>
        <w:numPr>
          <w:ilvl w:val="0"/>
          <w:numId w:val="1006"/>
        </w:numPr>
      </w:pPr>
      <w:r>
        <w:rPr>
          <w:b/>
          <w:bCs/>
        </w:rPr>
        <w:t xml:space="preserve">Survival: 3 years</w:t>
      </w:r>
      <w:r>
        <w:t xml:space="preserve"> </w:t>
      </w:r>
      <w:r>
        <w:t xml:space="preserve">(§ 8.4(c)) — environmental conditions frequently manifest or are discovered beyond three years; Pre-Closing Environmental Liabilities also expire after 3 years unless notice is given before expiration.</w:t>
      </w:r>
    </w:p>
    <w:p>
      <w:pPr>
        <w:pStyle w:val="Compact"/>
        <w:numPr>
          <w:ilvl w:val="0"/>
          <w:numId w:val="1006"/>
        </w:numPr>
      </w:pPr>
      <w:r>
        <w:rPr>
          <w:b/>
          <w:bCs/>
        </w:rPr>
        <w:t xml:space="preserve">Insurance offset</w:t>
      </w:r>
      <w:r>
        <w:t xml:space="preserve"> </w:t>
      </w:r>
      <w:r>
        <w:t xml:space="preserve">(§ 8.4(f)) — indemnity is reduced by insurance proceeds; the Lender-required PLL policy will offset recoveries.</w:t>
      </w:r>
    </w:p>
    <w:p>
      <w:pPr>
        <w:pStyle w:val="Compact"/>
        <w:numPr>
          <w:ilvl w:val="0"/>
          <w:numId w:val="1006"/>
        </w:numPr>
      </w:pPr>
      <w:r>
        <w:rPr>
          <w:b/>
          <w:bCs/>
        </w:rPr>
        <w:t xml:space="preserve">Fraud exception</w:t>
      </w:r>
      <w:r>
        <w:t xml:space="preserve"> </w:t>
      </w:r>
      <w:r>
        <w:t xml:space="preserve">(§ 8.4(d)) — cap/basket/survival do not apply to fraud/intentional misrepresentation; burden on Buyer.</w:t>
      </w:r>
    </w:p>
    <w:p>
      <w:pPr>
        <w:pStyle w:val="FirstParagraph"/>
      </w:pPr>
      <w:r>
        <w:rPr>
          <w:b/>
          <w:bCs/>
        </w:rPr>
        <w:t xml:space="preserve">Termination right (APA § 6.3(b)).</w:t>
      </w:r>
      <w:r>
        <w:t xml:space="preserve"> </w:t>
      </w:r>
      <w:r>
        <w:t xml:space="preserve">Buyer may terminate and recover the earnest money if the Phase I ESA (or any environmental investigation) identifies RECs that, in Buyer’s reasonable judgment, could result in Remediation Costs</w:t>
      </w:r>
      <w:r>
        <w:t xml:space="preserve"> </w:t>
      </w:r>
      <w:r>
        <w:rPr>
          <w:b/>
          <w:bCs/>
        </w:rPr>
        <w:t xml:space="preserve">exceeding $500,000</w:t>
      </w:r>
      <w:r>
        <w:t xml:space="preserve">, by written notice</w:t>
      </w:r>
      <w:r>
        <w:t xml:space="preserve"> </w:t>
      </w:r>
      <w:r>
        <w:rPr>
          <w:b/>
          <w:bCs/>
        </w:rPr>
        <w:t xml:space="preserve">on or before October 31, 2024</w:t>
      </w:r>
      <w:r>
        <w:t xml:space="preserve">. Given C-1, C-2, and C-3, a credible case can be made that remediation costs could exceed $500,000. If Buyer does not terminate by October 31, the right is</w:t>
      </w:r>
      <w:r>
        <w:t xml:space="preserve"> </w:t>
      </w:r>
      <w:r>
        <w:rPr>
          <w:b/>
          <w:bCs/>
        </w:rPr>
        <w:t xml:space="preserve">deemed waived</w:t>
      </w:r>
      <w:r>
        <w:t xml:space="preserve"> </w:t>
      </w:r>
      <w:r>
        <w:t xml:space="preserve">(§ 6.3(c)), though indemnification rights are preserved.</w:t>
      </w:r>
    </w:p>
    <w:p>
      <w:pPr>
        <w:pStyle w:val="BodyText"/>
      </w:pPr>
      <w:r>
        <w:rPr>
          <w:b/>
          <w:bCs/>
        </w:rPr>
        <w:t xml:space="preserve">Why High.</w:t>
      </w:r>
      <w:r>
        <w:t xml:space="preserve"> </w:t>
      </w:r>
      <w:r>
        <w:t xml:space="preserve">The cap and survival period are likely inadequate for the carcinogenic-substance exposure present here. The termination deadline (October 31, 2024) is</w:t>
      </w:r>
      <w:r>
        <w:t xml:space="preserve"> </w:t>
      </w:r>
      <w:r>
        <w:rPr>
          <w:b/>
          <w:bCs/>
        </w:rPr>
        <w:t xml:space="preserve">three days after the date of this memo</w:t>
      </w:r>
      <w:r>
        <w:t xml:space="preserve"> </w:t>
      </w:r>
      <w:r>
        <w:t xml:space="preserve">and only six days after the ESA was issued, leaving little time to evaluate. The deal team must decide now whether to (a) terminate, (b) renegotiate price/escrow/indemnity and proceed, or (c) proceed on faith in the indemnity (not recommended).</w:t>
      </w:r>
    </w:p>
    <w:p>
      <w:pPr>
        <w:pStyle w:val="BodyText"/>
      </w:pPr>
      <w:r>
        <w:rPr>
          <w:b/>
          <w:bCs/>
        </w:rPr>
        <w:t xml:space="preserve">Recommendation.</w:t>
      </w:r>
      <w:r>
        <w:t xml:space="preserve"> </w:t>
      </w:r>
      <w:r>
        <w:t xml:space="preserve">Do not allow the termination right to lapse without a deliberate decision. Preferred path:</w:t>
      </w:r>
      <w:r>
        <w:t xml:space="preserve"> </w:t>
      </w:r>
      <w:r>
        <w:rPr>
          <w:b/>
          <w:bCs/>
        </w:rPr>
        <w:t xml:space="preserve">renegotiate</w:t>
      </w:r>
      <w:r>
        <w:t xml:space="preserve"> </w:t>
      </w:r>
      <w:r>
        <w:t xml:space="preserve">— seek an increased or uncapped environmental indemnity (or a cap carve-out for Pre-Closing Environmental Liabilities), an extended or unlimited survival period for environmental claims, a seller-funded escrow/holdback, removal of the basket for environmental claims, and specific indemnities for TCE/chromium/PCE. If Seller will not renegotiate and Phase II estimates approach or exceed the cap, seriously consider termination.</w:t>
      </w:r>
    </w:p>
    <w:bookmarkEnd w:id="36"/>
    <w:bookmarkStart w:id="37" w:name="Xa5ef0134294636003884eb54b06ddbb5e6b6da4"/>
    <w:p>
      <w:pPr>
        <w:pStyle w:val="Heading3"/>
      </w:pPr>
      <w:r>
        <w:t xml:space="preserve">H-7. Vapor-Intrusion Risk (On-Site TCE and Off-Site PCE) —</w:t>
      </w:r>
      <w:r>
        <w:t xml:space="preserve"> </w:t>
      </w:r>
      <w:r>
        <w:rPr>
          <w:b/>
          <w:bCs/>
        </w:rPr>
        <w:t xml:space="preserve">HIGH</w:t>
      </w:r>
    </w:p>
    <w:p>
      <w:pPr>
        <w:pStyle w:val="FirstParagraph"/>
      </w:pPr>
      <w:r>
        <w:rPr>
          <w:b/>
          <w:bCs/>
        </w:rPr>
        <w:t xml:space="preserve">Condition.</w:t>
      </w:r>
      <w:r>
        <w:t xml:space="preserve"> </w:t>
      </w:r>
      <w:r>
        <w:t xml:space="preserve">Both principal contaminants of concern — TCE (on-site, C-1) and PCE (off-site plume, C-3) — are volatile chlorinated solvents with well-documented vapor-intrusion pathways. The Property is in warehouse use (occupied structures). The adjacent dry-cleaner parcel is subject to an environmental covenant requiring a sub-slab vapor mitigation system;</w:t>
      </w:r>
      <w:r>
        <w:t xml:space="preserve"> </w:t>
      </w:r>
      <w:r>
        <w:rPr>
          <w:b/>
          <w:bCs/>
        </w:rPr>
        <w:t xml:space="preserve">no such assessment or system exists for the Property</w:t>
      </w:r>
      <w:r>
        <w:t xml:space="preserve">, and the Phase I ESA did not include vapor assessment in its recommended Phase II scope.</w:t>
      </w:r>
    </w:p>
    <w:p>
      <w:pPr>
        <w:pStyle w:val="BodyText"/>
      </w:pPr>
      <w:r>
        <w:rPr>
          <w:b/>
          <w:bCs/>
        </w:rPr>
        <w:t xml:space="preserve">Why High.</w:t>
      </w:r>
      <w:r>
        <w:t xml:space="preserve"> </w:t>
      </w:r>
      <w:r>
        <w:t xml:space="preserve">Vapor intrusion is a direct indoor-air health risk for occupants and is a</w:t>
      </w:r>
      <w:r>
        <w:t xml:space="preserve"> </w:t>
      </w:r>
      <w:r>
        <w:rPr>
          <w:b/>
          <w:bCs/>
        </w:rPr>
        <w:t xml:space="preserve">specifically triggered Lender requirement</w:t>
      </w:r>
      <w:r>
        <w:t xml:space="preserve"> </w:t>
      </w:r>
      <w:r>
        <w:t xml:space="preserve">(Lender letter § 3.B.5): if VOCs are present in soil/groundwater at or beneath the Property, a vapor-intrusion assessment is required, and a mitigation plan must be implemented before or concurrent with closing if risks warrant. The 42.3-ppm PID reading (C-1) and the upgradient PCE plume (C-3) together make this trigger essentially certain. Mitigation system installation is a capital cost and an ongoing O&amp;M obligation.</w:t>
      </w:r>
    </w:p>
    <w:p>
      <w:pPr>
        <w:pStyle w:val="BodyText"/>
      </w:pPr>
      <w:r>
        <w:rPr>
          <w:b/>
          <w:bCs/>
        </w:rPr>
        <w:t xml:space="preserve">Recommendation.</w:t>
      </w:r>
      <w:r>
        <w:t xml:space="preserve"> </w:t>
      </w:r>
      <w:r>
        <w:t xml:space="preserve">Include sub-slab soil-gas and indoor-air sampling in the Phase II for both the former degreasing area and the building areas nearest the northern (dry-cleaner) boundary; budget for a vapor mitigation system; coordinate with the Lender on mitigation-plan timing.</w:t>
      </w:r>
    </w:p>
    <w:p>
      <w:r>
        <w:pict>
          <v:rect style="width:0;height:1.5pt" o:hralign="center" o:hrstd="t" o:hr="t"/>
        </w:pict>
      </w:r>
    </w:p>
    <w:bookmarkEnd w:id="37"/>
    <w:bookmarkEnd w:id="38"/>
    <w:bookmarkStart w:id="44" w:name="vii.-moderate-severity-issues"/>
    <w:p>
      <w:pPr>
        <w:pStyle w:val="Heading2"/>
      </w:pPr>
      <w:r>
        <w:t xml:space="preserve">VII. Moderate-Severity Issues</w:t>
      </w:r>
    </w:p>
    <w:bookmarkStart w:id="39" w:name="X73924cbccb4b8d9c2527cb0ab9a03ac25255239"/>
    <w:p>
      <w:pPr>
        <w:pStyle w:val="Heading3"/>
      </w:pPr>
      <w:r>
        <w:t xml:space="preserve">M-1. Monitoring Well</w:t>
      </w:r>
      <w:r>
        <w:t xml:space="preserve"> </w:t>
      </w:r>
      <w:r>
        <w:t xml:space="preserve">“</w:t>
      </w:r>
      <w:r>
        <w:t xml:space="preserve">MW-1</w:t>
      </w:r>
      <w:r>
        <w:t xml:space="preserve">”</w:t>
      </w:r>
      <w:r>
        <w:t xml:space="preserve"> </w:t>
      </w:r>
      <w:r>
        <w:t xml:space="preserve">of Unknown Origin —</w:t>
      </w:r>
      <w:r>
        <w:t xml:space="preserve"> </w:t>
      </w:r>
      <w:r>
        <w:rPr>
          <w:b/>
          <w:bCs/>
        </w:rPr>
        <w:t xml:space="preserve">MODERATE</w:t>
      </w:r>
    </w:p>
    <w:p>
      <w:pPr>
        <w:pStyle w:val="FirstParagraph"/>
      </w:pPr>
      <w:r>
        <w:rPr>
          <w:b/>
          <w:bCs/>
        </w:rPr>
        <w:t xml:space="preserve">Condition.</w:t>
      </w:r>
      <w:r>
        <w:t xml:space="preserve"> </w:t>
      </w:r>
      <w:r>
        <w:t xml:space="preserve">A flush-mounted monitoring well labeled</w:t>
      </w:r>
      <w:r>
        <w:t xml:space="preserve"> </w:t>
      </w:r>
      <w:r>
        <w:t xml:space="preserve">“</w:t>
      </w:r>
      <w:r>
        <w:t xml:space="preserve">MW-1</w:t>
      </w:r>
      <w:r>
        <w:t xml:space="preserve">”</w:t>
      </w:r>
      <w:r>
        <w:t xml:space="preserve"> </w:t>
      </w:r>
      <w:r>
        <w:t xml:space="preserve">was observed ≈30 ft inside the northeast property boundary, with a damaged surface cover (cracked PVC, loose bolts) and accumulated debris. No installation logs, construction details, or analytical data were located. Seller stated he did not know who installed it, when, or why.</w:t>
      </w:r>
    </w:p>
    <w:p>
      <w:pPr>
        <w:pStyle w:val="BodyText"/>
      </w:pPr>
      <w:r>
        <w:rPr>
          <w:b/>
          <w:bCs/>
        </w:rPr>
        <w:t xml:space="preserve">Why Moderate.</w:t>
      </w:r>
      <w:r>
        <w:t xml:space="preserve"> </w:t>
      </w:r>
      <w:r>
        <w:t xml:space="preserve">An unexplained monitoring well suggests a prior environmental investigation that was not disclosed — potentially related to the off-site PCE plume (the well is near the northern boundary, downgradient of the dry cleaner) or to on-site contamination. Its existence is a disclosure/data-gap concern and a physical/safety item. The damaged cover is a pathway for surface-water/intrusion.</w:t>
      </w:r>
    </w:p>
    <w:p>
      <w:pPr>
        <w:pStyle w:val="BodyText"/>
      </w:pPr>
      <w:r>
        <w:rPr>
          <w:b/>
          <w:bCs/>
        </w:rPr>
        <w:t xml:space="preserve">Recommendation.</w:t>
      </w:r>
      <w:r>
        <w:t xml:space="preserve"> </w:t>
      </w:r>
      <w:r>
        <w:t xml:space="preserve">Search Ohio EPA/county well-log records for MW-1; attempt to obtain any associated analytical data; survey/repair the well; include it in Phase II groundwater sampling if structurally sound.</w:t>
      </w:r>
    </w:p>
    <w:bookmarkEnd w:id="39"/>
    <w:bookmarkStart w:id="40" w:name="Xc01c0081de2e3fc43480a6b02a0ae5bf4ef8b76"/>
    <w:p>
      <w:pPr>
        <w:pStyle w:val="Heading3"/>
      </w:pPr>
      <w:r>
        <w:t xml:space="preserve">M-2. Seller’s Refusal to Produce Corporate Records (1961–1990) —</w:t>
      </w:r>
      <w:r>
        <w:t xml:space="preserve"> </w:t>
      </w:r>
      <w:r>
        <w:rPr>
          <w:b/>
          <w:bCs/>
        </w:rPr>
        <w:t xml:space="preserve">MODERATE</w:t>
      </w:r>
    </w:p>
    <w:p>
      <w:pPr>
        <w:pStyle w:val="FirstParagraph"/>
      </w:pPr>
      <w:r>
        <w:rPr>
          <w:b/>
          <w:bCs/>
        </w:rPr>
        <w:t xml:space="preserve">Condition.</w:t>
      </w:r>
      <w:r>
        <w:t xml:space="preserve"> </w:t>
      </w:r>
      <w:r>
        <w:t xml:space="preserve">Seller declined to provide access to corporate records from 1961–1990, including operating, environmental, and waste-disposal records, stating they were</w:t>
      </w:r>
      <w:r>
        <w:t xml:space="preserve"> </w:t>
      </w:r>
      <w:r>
        <w:t xml:space="preserve">“</w:t>
      </w:r>
      <w:r>
        <w:t xml:space="preserve">in storage</w:t>
      </w:r>
      <w:r>
        <w:t xml:space="preserve">”</w:t>
      </w:r>
      <w:r>
        <w:t xml:space="preserve"> </w:t>
      </w:r>
      <w:r>
        <w:t xml:space="preserve">and not readily accessible (Phase I ESA Data Gap No. 2).</w:t>
      </w:r>
    </w:p>
    <w:p>
      <w:pPr>
        <w:pStyle w:val="BodyText"/>
      </w:pPr>
      <w:r>
        <w:rPr>
          <w:b/>
          <w:bCs/>
        </w:rPr>
        <w:t xml:space="preserve">Why Moderate.</w:t>
      </w:r>
      <w:r>
        <w:t xml:space="preserve"> </w:t>
      </w:r>
      <w:r>
        <w:t xml:space="preserve">This limits the ability to characterize historical operations, chemical usage, and waste management during the early decades — the period most likely to have generated the conditions in C-1 and C-2. It also bears on the accuracy of rep § 4.12(d) (delivery of all environmental documents). It is partly mitigated by Sanborn maps, aerials, city directories, and the Ohio EPA file, but a meaningful gap remains.</w:t>
      </w:r>
    </w:p>
    <w:p>
      <w:pPr>
        <w:pStyle w:val="BodyText"/>
      </w:pPr>
      <w:r>
        <w:rPr>
          <w:b/>
          <w:bCs/>
        </w:rPr>
        <w:t xml:space="preserve">Recommendation.</w:t>
      </w:r>
      <w:r>
        <w:t xml:space="preserve"> </w:t>
      </w:r>
      <w:r>
        <w:t xml:space="preserve">Renew the request in writing (creating a record for the § 4.12(d) analysis); consider conditioning closing on production of at least waste-related records; factor the gap into indemnity/escrow negotiations.</w:t>
      </w:r>
    </w:p>
    <w:bookmarkEnd w:id="40"/>
    <w:bookmarkStart w:id="41" w:name="Xac997611f172e053b44cc1c6849467c35842daf"/>
    <w:p>
      <w:pPr>
        <w:pStyle w:val="Heading3"/>
      </w:pPr>
      <w:r>
        <w:t xml:space="preserve">M-3. 500-Gallon Heating-Oil UST (Halstead Farmhouse) —</w:t>
      </w:r>
      <w:r>
        <w:t xml:space="preserve"> </w:t>
      </w:r>
      <w:r>
        <w:rPr>
          <w:b/>
          <w:bCs/>
        </w:rPr>
        <w:t xml:space="preserve">MODERATE</w:t>
      </w:r>
    </w:p>
    <w:p>
      <w:pPr>
        <w:pStyle w:val="FirstParagraph"/>
      </w:pPr>
      <w:r>
        <w:rPr>
          <w:b/>
          <w:bCs/>
        </w:rPr>
        <w:t xml:space="preserve">Condition.</w:t>
      </w:r>
      <w:r>
        <w:t xml:space="preserve"> </w:t>
      </w:r>
      <w:r>
        <w:t xml:space="preserve">The 1948 and 1955 Sanborn maps show a 500-gallon heating-oil UST serving the Halstead farmhouse in the northwest portion of the Property; the farmhouse was demolished in 1961. No surface evidence of a UST was observed;</w:t>
      </w:r>
      <w:r>
        <w:t xml:space="preserve"> </w:t>
      </w:r>
      <w:r>
        <w:rPr>
          <w:b/>
          <w:bCs/>
        </w:rPr>
        <w:t xml:space="preserve">BUSTR has no registration or closure records</w:t>
      </w:r>
      <w:r>
        <w:t xml:space="preserve">; the EDR summary notes the</w:t>
      </w:r>
      <w:r>
        <w:t xml:space="preserve"> </w:t>
      </w:r>
      <w:r>
        <w:t xml:space="preserve">“</w:t>
      </w:r>
      <w:r>
        <w:t xml:space="preserve">tank may remain in place beneath current pavement/fill.</w:t>
      </w:r>
      <w:r>
        <w:t xml:space="preserve">”</w:t>
      </w:r>
      <w:r>
        <w:t xml:space="preserve"> </w:t>
      </w:r>
      <w:r>
        <w:t xml:space="preserve">The Phase I ESA classified this as an HREC (likely removed with the farmhouse in 1961).</w:t>
      </w:r>
    </w:p>
    <w:p>
      <w:pPr>
        <w:pStyle w:val="BodyText"/>
      </w:pPr>
      <w:r>
        <w:rPr>
          <w:b/>
          <w:bCs/>
        </w:rPr>
        <w:t xml:space="preserve">Why Moderate.</w:t>
      </w:r>
      <w:r>
        <w:t xml:space="preserve"> </w:t>
      </w:r>
      <w:r>
        <w:t xml:space="preserve">Although small and historical, the complete absence of closure documentation and the EDR’s</w:t>
      </w:r>
      <w:r>
        <w:t xml:space="preserve"> </w:t>
      </w:r>
      <w:r>
        <w:t xml:space="preserve">“</w:t>
      </w:r>
      <w:r>
        <w:t xml:space="preserve">may remain in place</w:t>
      </w:r>
      <w:r>
        <w:t xml:space="preserve">”</w:t>
      </w:r>
      <w:r>
        <w:t xml:space="preserve"> </w:t>
      </w:r>
      <w:r>
        <w:t xml:space="preserve">note create residual uncertainty. A 500-gallon heating-oil release is low-volume but, if present and leaking, is a reportable condition. The classification as an HREC is reasonable but rests on an assumption (removal in 1961) that is undocumented.</w:t>
      </w:r>
    </w:p>
    <w:p>
      <w:pPr>
        <w:pStyle w:val="BodyText"/>
      </w:pPr>
      <w:r>
        <w:rPr>
          <w:b/>
          <w:bCs/>
        </w:rPr>
        <w:t xml:space="preserve">Recommendation.</w:t>
      </w:r>
      <w:r>
        <w:t xml:space="preserve"> </w:t>
      </w:r>
      <w:r>
        <w:t xml:space="preserve">Geophysical survey of the former farmhouse footprint to confirm absence; if present, closure assessment. Modest cost.</w:t>
      </w:r>
    </w:p>
    <w:bookmarkEnd w:id="41"/>
    <w:bookmarkStart w:id="42" w:name="m-4.-collective-data-gaps-moderate"/>
    <w:p>
      <w:pPr>
        <w:pStyle w:val="Heading3"/>
      </w:pPr>
      <w:r>
        <w:t xml:space="preserve">M-4. Collective Data Gaps —</w:t>
      </w:r>
      <w:r>
        <w:t xml:space="preserve"> </w:t>
      </w:r>
      <w:r>
        <w:rPr>
          <w:b/>
          <w:bCs/>
        </w:rPr>
        <w:t xml:space="preserve">MODERATE</w:t>
      </w:r>
    </w:p>
    <w:p>
      <w:pPr>
        <w:pStyle w:val="FirstParagraph"/>
      </w:pPr>
      <w:r>
        <w:rPr>
          <w:b/>
          <w:bCs/>
        </w:rPr>
        <w:t xml:space="preserve">Condition.</w:t>
      </w:r>
      <w:r>
        <w:t xml:space="preserve"> </w:t>
      </w:r>
      <w:r>
        <w:t xml:space="preserve">Multiple data gaps remain unresolved: (a) hazardous-waste disposal records 1965–2003 (H-4); (b) corporate records 1961–1990 (M-2); (c) the 2003 consent order and compliance certification (H-3); (d) MW-1 origin/data (M-1); (e) the 2,000-gal waste-solvent and 500-gal heating-oil USTs (H-1, M-3); and (f) PCE plume delineation on the Property (C-3).</w:t>
      </w:r>
    </w:p>
    <w:p>
      <w:pPr>
        <w:pStyle w:val="BodyText"/>
      </w:pPr>
      <w:r>
        <w:rPr>
          <w:b/>
          <w:bCs/>
        </w:rPr>
        <w:t xml:space="preserve">Why Moderate.</w:t>
      </w:r>
      <w:r>
        <w:t xml:space="preserve"> </w:t>
      </w:r>
      <w:r>
        <w:t xml:space="preserve">Individually these range from Low to High, but</w:t>
      </w:r>
      <w:r>
        <w:t xml:space="preserve"> </w:t>
      </w:r>
      <w:r>
        <w:rPr>
          <w:b/>
          <w:bCs/>
        </w:rPr>
        <w:t xml:space="preserve">collectively</w:t>
      </w:r>
      <w:r>
        <w:t xml:space="preserve"> </w:t>
      </w:r>
      <w:r>
        <w:t xml:space="preserve">they prevent full characterization of the Property — which is itself a Lender decline trigger (Lender letter § 3.C(d):</w:t>
      </w:r>
      <w:r>
        <w:t xml:space="preserve"> </w:t>
      </w:r>
      <w:r>
        <w:t xml:space="preserve">“</w:t>
      </w:r>
      <w:r>
        <w:t xml:space="preserve">unresolved data gaps that, in the Bank’s judgment, prevent adequate characterization of the environmental risk</w:t>
      </w:r>
      <w:r>
        <w:t xml:space="preserve">”</w:t>
      </w:r>
      <w:r>
        <w:t xml:space="preserve">). The Lender will independently assess materiality.</w:t>
      </w:r>
    </w:p>
    <w:p>
      <w:pPr>
        <w:pStyle w:val="BodyText"/>
      </w:pPr>
      <w:r>
        <w:rPr>
          <w:b/>
          <w:bCs/>
        </w:rPr>
        <w:t xml:space="preserve">Recommendation.</w:t>
      </w:r>
      <w:r>
        <w:t xml:space="preserve"> </w:t>
      </w:r>
      <w:r>
        <w:t xml:space="preserve">Prioritize closing the gaps that bear on the Lender’s decline analysis (PCE delineation, UST status, consent-order resolution) within the Phase II; document all gap-closure efforts for the Lender’s file.</w:t>
      </w:r>
    </w:p>
    <w:bookmarkEnd w:id="42"/>
    <w:bookmarkStart w:id="43" w:name="X3b6c933f027aca59e7bc254612c04214c6278d3"/>
    <w:p>
      <w:pPr>
        <w:pStyle w:val="Heading3"/>
      </w:pPr>
      <w:r>
        <w:t xml:space="preserve">M-5. Groundwater Management Zone as Institutional Control; Rep § 4.12(e) Accuracy —</w:t>
      </w:r>
      <w:r>
        <w:t xml:space="preserve"> </w:t>
      </w:r>
      <w:r>
        <w:rPr>
          <w:b/>
          <w:bCs/>
        </w:rPr>
        <w:t xml:space="preserve">MODERATE</w:t>
      </w:r>
    </w:p>
    <w:p>
      <w:pPr>
        <w:pStyle w:val="FirstParagraph"/>
      </w:pPr>
      <w:r>
        <w:rPr>
          <w:b/>
          <w:bCs/>
        </w:rPr>
        <w:t xml:space="preserve">Condition.</w:t>
      </w:r>
      <w:r>
        <w:t xml:space="preserve"> </w:t>
      </w:r>
      <w:r>
        <w:t xml:space="preserve">The Property lies within a state-designated GMZ established in connection with the Lake Erie Dry Cleaning PCE plume. Ohio EPA advises that the GMZ</w:t>
      </w:r>
      <w:r>
        <w:t xml:space="preserve"> </w:t>
      </w:r>
      <w:r>
        <w:t xml:space="preserve">“</w:t>
      </w:r>
      <w:r>
        <w:t xml:space="preserve">may impose restrictions on new groundwater withdrawals, new well installations, and certain land uses within its boundaries.</w:t>
      </w:r>
      <w:r>
        <w:t xml:space="preserve">”</w:t>
      </w:r>
      <w:r>
        <w:t xml:space="preserve"> </w:t>
      </w:r>
      <w:r>
        <w:t xml:space="preserve">No environmental covenant is recorded against the Property parcels themselves.</w:t>
      </w:r>
    </w:p>
    <w:p>
      <w:pPr>
        <w:pStyle w:val="BodyText"/>
      </w:pPr>
      <w:r>
        <w:rPr>
          <w:b/>
          <w:bCs/>
        </w:rPr>
        <w:t xml:space="preserve">Why Moderate.</w:t>
      </w:r>
      <w:r>
        <w:t xml:space="preserve"> </w:t>
      </w:r>
      <w:r>
        <w:t xml:space="preserve">A GMZ that restricts groundwater use and well installation functions as an institutional control / activity-use limitation applicable to the Property. Seller’s rep § 4.12(e) represents that there are</w:t>
      </w:r>
      <w:r>
        <w:t xml:space="preserve"> </w:t>
      </w:r>
      <w:r>
        <w:t xml:space="preserve">“</w:t>
      </w:r>
      <w:r>
        <w:t xml:space="preserve">no… institutional controls, engineering controls, activity and use limitations, or environmental covenants… applicable to the Property.</w:t>
      </w:r>
      <w:r>
        <w:t xml:space="preserve">”</w:t>
      </w:r>
      <w:r>
        <w:t xml:space="preserve"> </w:t>
      </w:r>
      <w:r>
        <w:t xml:space="preserve">The GMZ may render this rep inaccurate (or at least require disclosure on Schedule 4.12). It also imposes practical limits on Buyer’s future use (e.g., no new water-supply wells without approval) — relevant to redevelopment planning.</w:t>
      </w:r>
    </w:p>
    <w:p>
      <w:pPr>
        <w:pStyle w:val="BodyText"/>
      </w:pPr>
      <w:r>
        <w:rPr>
          <w:b/>
          <w:bCs/>
        </w:rPr>
        <w:t xml:space="preserve">Recommendation.</w:t>
      </w:r>
      <w:r>
        <w:t xml:space="preserve"> </w:t>
      </w:r>
      <w:r>
        <w:t xml:space="preserve">Confirm GMZ restrictions with Ohio EPA’s Division of Drinking and Ground Waters; require Seller to disclose the GMZ on Schedule 4.12 if it constitutes an AUL; reflect GMZ compliance in post-closing operating plans.</w:t>
      </w:r>
    </w:p>
    <w:p>
      <w:r>
        <w:pict>
          <v:rect style="width:0;height:1.5pt" o:hralign="center" o:hrstd="t" o:hr="t"/>
        </w:pict>
      </w:r>
    </w:p>
    <w:bookmarkEnd w:id="43"/>
    <w:bookmarkEnd w:id="44"/>
    <w:bookmarkStart w:id="51" w:name="X6ecdf971fbf581af64fbaf750ce26a765b45d64"/>
    <w:p>
      <w:pPr>
        <w:pStyle w:val="Heading2"/>
      </w:pPr>
      <w:r>
        <w:t xml:space="preserve">VIII. Low-Severity and Informational Issues</w:t>
      </w:r>
    </w:p>
    <w:bookmarkStart w:id="45" w:name="l-1.-active-10000-gallon-diesel-ust-low"/>
    <w:p>
      <w:pPr>
        <w:pStyle w:val="Heading3"/>
      </w:pPr>
      <w:r>
        <w:t xml:space="preserve">L-1. Active 10,000-Gallon Diesel UST —</w:t>
      </w:r>
      <w:r>
        <w:t xml:space="preserve"> </w:t>
      </w:r>
      <w:r>
        <w:rPr>
          <w:b/>
          <w:bCs/>
        </w:rPr>
        <w:t xml:space="preserve">LOW</w:t>
      </w:r>
    </w:p>
    <w:p>
      <w:pPr>
        <w:pStyle w:val="FirstParagraph"/>
      </w:pPr>
      <w:r>
        <w:t xml:space="preserve">The registered 10,000-gal diesel UST (Ohio Facility ID 48-22-10-0087; installed 1978; cathodic-protection upgrade 1998; last inspection May 2022, no violations) is compliant and is not a REC. However, it is an ongoing regulatory/financial-responsibility obligation, and the Lender’s post-closing covenants (Lender letter § 6(d)) prohibit installing, using, operating, or closing any UST without the Lender’s prior written consent. Buyer should confirm registration/insurance continuity at closing.</w:t>
      </w:r>
    </w:p>
    <w:bookmarkEnd w:id="45"/>
    <w:bookmarkStart w:id="46" w:name="Xb54edd3efb26711e72efbb91cd1df16072f9293"/>
    <w:p>
      <w:pPr>
        <w:pStyle w:val="Heading3"/>
      </w:pPr>
      <w:r>
        <w:t xml:space="preserve">L-2. Other Adjacent/Nearby Database Listings —</w:t>
      </w:r>
      <w:r>
        <w:t xml:space="preserve"> </w:t>
      </w:r>
      <w:r>
        <w:rPr>
          <w:b/>
          <w:bCs/>
        </w:rPr>
        <w:t xml:space="preserve">LOW</w:t>
      </w:r>
    </w:p>
    <w:p>
      <w:pPr>
        <w:pStyle w:val="Compact"/>
        <w:numPr>
          <w:ilvl w:val="0"/>
          <w:numId w:val="1007"/>
        </w:numPr>
      </w:pPr>
      <w:r>
        <w:rPr>
          <w:b/>
          <w:bCs/>
        </w:rPr>
        <w:t xml:space="preserve">Toledo Coatings &amp; Adhesives Inc.</w:t>
      </w:r>
      <w:r>
        <w:t xml:space="preserve"> </w:t>
      </w:r>
      <w:r>
        <w:t xml:space="preserve">(east, adjoining): CERCLIS/SEMS archive; EPA NFRAP determination 1999; no documented plume toward the Property. Low.</w:t>
      </w:r>
    </w:p>
    <w:p>
      <w:pPr>
        <w:pStyle w:val="Compact"/>
        <w:numPr>
          <w:ilvl w:val="0"/>
          <w:numId w:val="1007"/>
        </w:numPr>
      </w:pPr>
      <w:r>
        <w:rPr>
          <w:b/>
          <w:bCs/>
        </w:rPr>
        <w:t xml:space="preserve">Bayshore Auto Salvage</w:t>
      </w:r>
      <w:r>
        <w:t xml:space="preserve"> </w:t>
      </w:r>
      <w:r>
        <w:t xml:space="preserve">(NE, ≈0.20 mi): closed LUST (2003 NFA); plume documented migrating east (away from the Property). Low.</w:t>
      </w:r>
    </w:p>
    <w:p>
      <w:pPr>
        <w:pStyle w:val="Compact"/>
        <w:numPr>
          <w:ilvl w:val="0"/>
          <w:numId w:val="1007"/>
        </w:numPr>
      </w:pPr>
      <w:r>
        <w:rPr>
          <w:b/>
          <w:bCs/>
        </w:rPr>
        <w:t xml:space="preserve">Former Sunoco Station #4477</w:t>
      </w:r>
      <w:r>
        <w:t xml:space="preserve"> </w:t>
      </w:r>
      <w:r>
        <w:t xml:space="preserve">(SSW, ≈0.25 mi): closed LUST (1999 NFA); tanks removed; downgradient. None/Low.</w:t>
      </w:r>
    </w:p>
    <w:p>
      <w:pPr>
        <w:pStyle w:val="Compact"/>
        <w:numPr>
          <w:ilvl w:val="0"/>
          <w:numId w:val="1007"/>
        </w:numPr>
      </w:pPr>
      <w:r>
        <w:rPr>
          <w:b/>
          <w:bCs/>
        </w:rPr>
        <w:t xml:space="preserve">Great Lakes Metal Finishing Inc.</w:t>
      </w:r>
      <w:r>
        <w:t xml:space="preserve"> </w:t>
      </w:r>
      <w:r>
        <w:t xml:space="preserve">(ENE, ≈350 ft): active compliant RCRA-SQG (D007/D008); no releases documented. Low.</w:t>
      </w:r>
    </w:p>
    <w:p>
      <w:pPr>
        <w:pStyle w:val="Compact"/>
        <w:numPr>
          <w:ilvl w:val="0"/>
          <w:numId w:val="1007"/>
        </w:numPr>
      </w:pPr>
      <w:r>
        <w:rPr>
          <w:b/>
          <w:bCs/>
        </w:rPr>
        <w:t xml:space="preserve">Metro Petroleum</w:t>
      </w:r>
      <w:r>
        <w:t xml:space="preserve"> </w:t>
      </w:r>
      <w:r>
        <w:t xml:space="preserve">(NNE, ≈0.30 mi): modern compliant retail station; no releases. None.</w:t>
      </w:r>
    </w:p>
    <w:p>
      <w:pPr>
        <w:pStyle w:val="Compact"/>
        <w:numPr>
          <w:ilvl w:val="0"/>
          <w:numId w:val="1007"/>
        </w:numPr>
      </w:pPr>
      <w:r>
        <w:rPr>
          <w:b/>
          <w:bCs/>
        </w:rPr>
        <w:t xml:space="preserve">Norfolk Southern Railroad</w:t>
      </w:r>
      <w:r>
        <w:t xml:space="preserve"> </w:t>
      </w:r>
      <w:r>
        <w:t xml:space="preserve">(west): no listings; herbicide use is de minimis (see I-2).</w:t>
      </w:r>
    </w:p>
    <w:p>
      <w:pPr>
        <w:pStyle w:val="FirstParagraph"/>
      </w:pPr>
      <w:r>
        <w:t xml:space="preserve">None of these, individually or collectively, rise to a REC for the Property. The dominant off-site concern remains the Lake Erie Dry Cleaning PCE plume (C-3).</w:t>
      </w:r>
    </w:p>
    <w:bookmarkEnd w:id="46"/>
    <w:bookmarkStart w:id="47" w:name="Xb1861a68dfdb2ec3e18e82c75b770810af52a16"/>
    <w:p>
      <w:pPr>
        <w:pStyle w:val="Heading3"/>
      </w:pPr>
      <w:r>
        <w:t xml:space="preserve">L-3. Stormwater Detention Basin; Utility-Owned Transformer —</w:t>
      </w:r>
      <w:r>
        <w:t xml:space="preserve"> </w:t>
      </w:r>
      <w:r>
        <w:rPr>
          <w:b/>
          <w:bCs/>
        </w:rPr>
        <w:t xml:space="preserve">LOW</w:t>
      </w:r>
    </w:p>
    <w:p>
      <w:pPr>
        <w:pStyle w:val="FirstParagraph"/>
      </w:pPr>
      <w:r>
        <w:t xml:space="preserve">The stormwater detention basin (NE corner) appeared functional with no staining/sheen/odors. The pole-mounted electrical transformer is owned/maintained by Toledo Edison and displayed no PCB warning labels; it is utility-owned and not a Property asset. Both are Low/Informational.</w:t>
      </w:r>
    </w:p>
    <w:bookmarkEnd w:id="47"/>
    <w:bookmarkStart w:id="48" w:name="Xefefccdeb6e2d55a3f1431650d5511e3a082d8c"/>
    <w:p>
      <w:pPr>
        <w:pStyle w:val="Heading3"/>
      </w:pPr>
      <w:r>
        <w:t xml:space="preserve">I-1. Potential Asbestos-Containing Materials and Lead-Based Paint —</w:t>
      </w:r>
      <w:r>
        <w:t xml:space="preserve"> </w:t>
      </w:r>
      <w:r>
        <w:rPr>
          <w:b/>
          <w:bCs/>
        </w:rPr>
        <w:t xml:space="preserve">INFORMATIONAL</w:t>
      </w:r>
    </w:p>
    <w:p>
      <w:pPr>
        <w:pStyle w:val="FirstParagraph"/>
      </w:pPr>
      <w:r>
        <w:t xml:space="preserve">The main building (1962/1978), maintenance building (1972), and warehouse (1985) are of an age where asbestos-containing materials and lead-based paint may be present. No ACM/LBP survey was performed (non-scope under ASTM E1527-21). If any renovation, demolition, or disturbance of suspect materials is anticipated, Buyer should commission ACM/LBP surveys to address OSHA, NESHAP, and Ohio DEP obligations. Not a current REC but a future-cost consideration tied to redevelopment plans.</w:t>
      </w:r>
    </w:p>
    <w:bookmarkEnd w:id="48"/>
    <w:bookmarkStart w:id="49" w:name="X6e328fbb41b33bb3d8f9071efa70350245e03d1"/>
    <w:p>
      <w:pPr>
        <w:pStyle w:val="Heading3"/>
      </w:pPr>
      <w:r>
        <w:t xml:space="preserve">I-2. Norfolk Southern Railroad Herbicide —</w:t>
      </w:r>
      <w:r>
        <w:t xml:space="preserve"> </w:t>
      </w:r>
      <w:r>
        <w:rPr>
          <w:b/>
          <w:bCs/>
        </w:rPr>
        <w:t xml:space="preserve">INFORMATIONAL</w:t>
      </w:r>
    </w:p>
    <w:p>
      <w:pPr>
        <w:pStyle w:val="FirstParagraph"/>
      </w:pPr>
      <w:r>
        <w:t xml:space="preserve">Historical herbicide application along the western railroad right-of-way is standard maintenance; the Phase I ESA characterized it as de minimis. No evidence of migration onto the Property. Informational only.</w:t>
      </w:r>
    </w:p>
    <w:bookmarkEnd w:id="49"/>
    <w:bookmarkStart w:id="50" w:name="Xecff51f86316a0127fd43c2104534976ca1cdb3"/>
    <w:p>
      <w:pPr>
        <w:pStyle w:val="Heading3"/>
      </w:pPr>
      <w:r>
        <w:t xml:space="preserve">I-3. RCRA SQG Status; Post-Closing Lender Environmental Covenants —</w:t>
      </w:r>
      <w:r>
        <w:t xml:space="preserve"> </w:t>
      </w:r>
      <w:r>
        <w:rPr>
          <w:b/>
          <w:bCs/>
        </w:rPr>
        <w:t xml:space="preserve">INFORMATIONAL</w:t>
      </w:r>
    </w:p>
    <w:p>
      <w:pPr>
        <w:pStyle w:val="FirstParagraph"/>
      </w:pPr>
      <w:r>
        <w:t xml:space="preserve">The Property’s RCRA-SQG status (EPA ID OHD044891237) is a routine regulatory classification, not a REC. Post-closing, the loan documents will impose environmental covenants (release notification within 5 business days; maintain PLL insurance for the loan term; comply with environmental laws/permits; no UST activity without Lender consent; annual environmental compliance certifications). Buyer should operationalize these covenants.</w:t>
      </w:r>
    </w:p>
    <w:p>
      <w:r>
        <w:pict>
          <v:rect style="width:0;height:1.5pt" o:hralign="center" o:hrstd="t" o:hr="t"/>
        </w:pict>
      </w:r>
    </w:p>
    <w:bookmarkEnd w:id="50"/>
    <w:bookmarkEnd w:id="51"/>
    <w:bookmarkStart w:id="52" w:name="Xd549e2f924c5a87d2ebab44280ce25112185fe6"/>
    <w:p>
      <w:pPr>
        <w:pStyle w:val="Heading2"/>
      </w:pPr>
      <w:r>
        <w:t xml:space="preserve">IX. Seller Representations &amp; Warranties — Breach Analysis</w:t>
      </w:r>
    </w:p>
    <w:p>
      <w:pPr>
        <w:pStyle w:val="FirstParagraph"/>
      </w:pPr>
      <w:r>
        <w:t xml:space="preserve">(See the table in H-5 for the issue-by-issue assessment.) In summary, the representations most likely to be inaccurate — and therefore most valuable to Buyer as both a negotiation lever and a potential path to uncapped recovery via the fraud/intentional-misrepresentation exception (APA § 8.4(d)) — are:</w:t>
      </w:r>
    </w:p>
    <w:p>
      <w:pPr>
        <w:pStyle w:val="Compact"/>
        <w:numPr>
          <w:ilvl w:val="0"/>
          <w:numId w:val="1008"/>
        </w:numPr>
      </w:pPr>
      <w:r>
        <w:rPr>
          <w:b/>
          <w:bCs/>
        </w:rPr>
        <w:t xml:space="preserve">§ 4.12(c)</w:t>
      </w:r>
      <w:r>
        <w:t xml:space="preserve"> </w:t>
      </w:r>
      <w:r>
        <w:t xml:space="preserve">—</w:t>
      </w:r>
      <w:r>
        <w:t xml:space="preserve"> </w:t>
      </w:r>
      <w:r>
        <w:t xml:space="preserve">“</w:t>
      </w:r>
      <w:r>
        <w:t xml:space="preserve">no Environmental Notice… no consent orders,</w:t>
      </w:r>
      <w:r>
        <w:t xml:space="preserve">”</w:t>
      </w:r>
      <w:r>
        <w:t xml:space="preserve"> </w:t>
      </w:r>
      <w:r>
        <w:t xml:space="preserve">with Schedule 4.12(c) stating</w:t>
      </w:r>
      <w:r>
        <w:t xml:space="preserve"> </w:t>
      </w:r>
      <w:r>
        <w:t xml:space="preserve">“</w:t>
      </w:r>
      <w:r>
        <w:t xml:space="preserve">None.</w:t>
      </w:r>
      <w:r>
        <w:t xml:space="preserve">”</w:t>
      </w:r>
      <w:r>
        <w:t xml:space="preserve"> </w:t>
      </w:r>
      <w:r>
        <w:t xml:space="preserve">The 2003 NOV (File NW-2003-0471) and the Director’s Final Findings and Orders are, by the APA’s own definitions (§ 1.1,</w:t>
      </w:r>
      <w:r>
        <w:t xml:space="preserve"> </w:t>
      </w:r>
      <w:r>
        <w:t xml:space="preserve">“</w:t>
      </w:r>
      <w:r>
        <w:t xml:space="preserve">Environmental Notice</w:t>
      </w:r>
      <w:r>
        <w:t xml:space="preserve">”</w:t>
      </w:r>
      <w:r>
        <w:t xml:space="preserve">; consent order), squarely within the scope of this rep. This appears to be a clear inaccuracy on a matter of Ohio EPA record.</w:t>
      </w:r>
    </w:p>
    <w:p>
      <w:pPr>
        <w:pStyle w:val="Compact"/>
        <w:numPr>
          <w:ilvl w:val="0"/>
          <w:numId w:val="1008"/>
        </w:numPr>
      </w:pPr>
      <w:r>
        <w:rPr>
          <w:b/>
          <w:bCs/>
        </w:rPr>
        <w:t xml:space="preserve">§ 4.13(a)</w:t>
      </w:r>
      <w:r>
        <w:t xml:space="preserve"> </w:t>
      </w:r>
      <w:r>
        <w:t xml:space="preserve">—</w:t>
      </w:r>
      <w:r>
        <w:t xml:space="preserve"> </w:t>
      </w:r>
      <w:r>
        <w:t xml:space="preserve">“</w:t>
      </w:r>
      <w:r>
        <w:t xml:space="preserve">true, correct, and complete list of all… USTs that are or have been located on the Property,</w:t>
      </w:r>
      <w:r>
        <w:t xml:space="preserve">”</w:t>
      </w:r>
      <w:r>
        <w:t xml:space="preserve"> </w:t>
      </w:r>
      <w:r>
        <w:t xml:space="preserve">with Schedule 4.13 listing only the active diesel UST. The 1987 Sanborn-documented 2,000-gal waste-solvent UST and the 1948/1955 Sanborn-documented 500-gal heating-oil UST are omitted. If those tanks existed (the Sanborn maps are strong evidence), the list is incomplete and the</w:t>
      </w:r>
      <w:r>
        <w:t xml:space="preserve"> </w:t>
      </w:r>
      <w:r>
        <w:t xml:space="preserve">“</w:t>
      </w:r>
      <w:r>
        <w:t xml:space="preserve">properly registered… properly closed</w:t>
      </w:r>
      <w:r>
        <w:t xml:space="preserve">”</w:t>
      </w:r>
      <w:r>
        <w:t xml:space="preserve"> </w:t>
      </w:r>
      <w:r>
        <w:t xml:space="preserve">representation is breached (BUSTR has no records for either).</w:t>
      </w:r>
    </w:p>
    <w:p>
      <w:pPr>
        <w:pStyle w:val="Compact"/>
        <w:numPr>
          <w:ilvl w:val="0"/>
          <w:numId w:val="1008"/>
        </w:numPr>
      </w:pPr>
      <w:r>
        <w:rPr>
          <w:b/>
          <w:bCs/>
        </w:rPr>
        <w:t xml:space="preserve">§ 4.12(a) and (b)</w:t>
      </w:r>
      <w:r>
        <w:t xml:space="preserve"> </w:t>
      </w:r>
      <w:r>
        <w:t xml:space="preserve">—</w:t>
      </w:r>
      <w:r>
        <w:t xml:space="preserve"> </w:t>
      </w:r>
      <w:r>
        <w:t xml:space="preserve">“</w:t>
      </w:r>
      <w:r>
        <w:t xml:space="preserve">no Release… no HS exceeding standards</w:t>
      </w:r>
      <w:r>
        <w:t xml:space="preserve">”</w:t>
      </w:r>
      <w:r>
        <w:t xml:space="preserve"> </w:t>
      </w:r>
      <w:r>
        <w:t xml:space="preserve">and</w:t>
      </w:r>
      <w:r>
        <w:t xml:space="preserve"> </w:t>
      </w:r>
      <w:r>
        <w:t xml:space="preserve">“</w:t>
      </w:r>
      <w:r>
        <w:t xml:space="preserve">material compliance with Environmental Laws.</w:t>
      </w:r>
      <w:r>
        <w:t xml:space="preserve">”</w:t>
      </w:r>
      <w:r>
        <w:t xml:space="preserve"> </w:t>
      </w:r>
      <w:r>
        <w:t xml:space="preserve">The documented 1988 spill, 2003 leaking drums/NOV, TCE PID reading, chromium staining, and abandoned leaking drum are difficult to reconcile with these reps, though the</w:t>
      </w:r>
      <w:r>
        <w:t xml:space="preserve"> </w:t>
      </w:r>
      <w:r>
        <w:t xml:space="preserve">“</w:t>
      </w:r>
      <w:r>
        <w:t xml:space="preserve">to Seller’s knowledge</w:t>
      </w:r>
      <w:r>
        <w:t xml:space="preserve">”</w:t>
      </w:r>
      <w:r>
        <w:t xml:space="preserve"> </w:t>
      </w:r>
      <w:r>
        <w:t xml:space="preserve">qualifier provides Seller some argument (weakened by the Fire Department and Ohio EPA records).</w:t>
      </w:r>
    </w:p>
    <w:p>
      <w:pPr>
        <w:pStyle w:val="Compact"/>
        <w:numPr>
          <w:ilvl w:val="0"/>
          <w:numId w:val="1008"/>
        </w:numPr>
      </w:pPr>
      <w:r>
        <w:rPr>
          <w:b/>
          <w:bCs/>
        </w:rPr>
        <w:t xml:space="preserve">§ 4.12(d)</w:t>
      </w:r>
      <w:r>
        <w:t xml:space="preserve"> </w:t>
      </w:r>
      <w:r>
        <w:t xml:space="preserve">— delivery of all environmental documents; nothing withheld. Seller’s refusal to produce 1961–1990 corporate records and the non-production of the consent order bear on this rep.</w:t>
      </w:r>
    </w:p>
    <w:p>
      <w:pPr>
        <w:pStyle w:val="Compact"/>
        <w:numPr>
          <w:ilvl w:val="0"/>
          <w:numId w:val="1008"/>
        </w:numPr>
      </w:pPr>
      <w:r>
        <w:rPr>
          <w:b/>
          <w:bCs/>
        </w:rPr>
        <w:t xml:space="preserve">§ 4.12(e)</w:t>
      </w:r>
      <w:r>
        <w:t xml:space="preserve"> </w:t>
      </w:r>
      <w:r>
        <w:t xml:space="preserve">— no institutional controls/AULs applicable to the Property. The GMZ designation may qualify (see M-5).</w:t>
      </w:r>
    </w:p>
    <w:p>
      <w:pPr>
        <w:pStyle w:val="FirstParagraph"/>
      </w:pPr>
      <w:r>
        <w:rPr>
          <w:b/>
          <w:bCs/>
        </w:rPr>
        <w:t xml:space="preserve">Strategic note.</w:t>
      </w:r>
      <w:r>
        <w:t xml:space="preserve"> </w:t>
      </w:r>
      <w:r>
        <w:t xml:space="preserve">The fraud/intentional-misrepresentation exception (§ 8.4(d)) removes the $1.75M cap, the $87,500 basket, and the 3-year survival limit — but the burden of proof is on Buyer. The strongest factual basis lies in § 4.12(c) (a matter of Ohio EPA record) and § 4.13(a) (Sanborn-documented USTs), and in Seller’s documented denial of</w:t>
      </w:r>
      <w:r>
        <w:t xml:space="preserve"> </w:t>
      </w:r>
      <w:r>
        <w:t xml:space="preserve">“</w:t>
      </w:r>
      <w:r>
        <w:t xml:space="preserve">any spills</w:t>
      </w:r>
      <w:r>
        <w:t xml:space="preserve">”</w:t>
      </w:r>
      <w:r>
        <w:t xml:space="preserve"> </w:t>
      </w:r>
      <w:r>
        <w:t xml:space="preserve">despite the 1988 Fire Department record. Buyer should preserve all evidence of Seller’s knowledge and inconsistent statements.</w:t>
      </w:r>
    </w:p>
    <w:p>
      <w:r>
        <w:pict>
          <v:rect style="width:0;height:1.5pt" o:hralign="center" o:hrstd="t" o:hr="t"/>
        </w:pict>
      </w:r>
    </w:p>
    <w:bookmarkEnd w:id="52"/>
    <w:bookmarkStart w:id="53" w:name="X6b7dc3e526f709694ff3d4a6e447a06c84eae10"/>
    <w:p>
      <w:pPr>
        <w:pStyle w:val="Heading2"/>
      </w:pPr>
      <w:r>
        <w:t xml:space="preserve">X. Contractual Protections and Termination Analysis</w:t>
      </w:r>
    </w:p>
    <w:p>
      <w:pPr>
        <w:pStyle w:val="FirstParagraph"/>
      </w:pPr>
      <w:r>
        <w:rPr>
          <w:b/>
          <w:bCs/>
        </w:rPr>
        <w:t xml:space="preserve">Indemnity architecture (APA Art. VIII).</w:t>
      </w:r>
    </w:p>
    <w:p>
      <w:pPr>
        <w:pStyle w:val="Compact"/>
        <w:numPr>
          <w:ilvl w:val="0"/>
          <w:numId w:val="1009"/>
        </w:numPr>
      </w:pPr>
      <w:r>
        <w:rPr>
          <w:b/>
          <w:bCs/>
        </w:rPr>
        <w:t xml:space="preserve">Pre-Closing Environmental Liabilities (§ 8.2(a)(iii))</w:t>
      </w:r>
      <w:r>
        <w:t xml:space="preserve">: recoverable from the first dollar (no basket), but capped at $1,750,000 and subject to the 3-year survival period. This is the primary environmental recovery vehicle — and it is likely under-sized for the exposure here.</w:t>
      </w:r>
    </w:p>
    <w:p>
      <w:pPr>
        <w:pStyle w:val="Compact"/>
        <w:numPr>
          <w:ilvl w:val="0"/>
          <w:numId w:val="1009"/>
        </w:numPr>
      </w:pPr>
      <w:r>
        <w:rPr>
          <w:b/>
          <w:bCs/>
        </w:rPr>
        <w:t xml:space="preserve">Rep-breach claims (§ 8.2(a)(i))</w:t>
      </w:r>
      <w:r>
        <w:t xml:space="preserve">: subject to the $87,500 true-deductible basket, the $1.75M cap, and 3-year survival.</w:t>
      </w:r>
    </w:p>
    <w:p>
      <w:pPr>
        <w:pStyle w:val="Compact"/>
        <w:numPr>
          <w:ilvl w:val="0"/>
          <w:numId w:val="1009"/>
        </w:numPr>
      </w:pPr>
      <w:r>
        <w:rPr>
          <w:b/>
          <w:bCs/>
        </w:rPr>
        <w:t xml:space="preserve">Third-party claims (§ 8.2(a)(iv))</w:t>
      </w:r>
      <w:r>
        <w:t xml:space="preserve">: no basket; subject to cap and survival.</w:t>
      </w:r>
    </w:p>
    <w:p>
      <w:pPr>
        <w:pStyle w:val="Compact"/>
        <w:numPr>
          <w:ilvl w:val="0"/>
          <w:numId w:val="1009"/>
        </w:numPr>
      </w:pPr>
      <w:r>
        <w:rPr>
          <w:b/>
          <w:bCs/>
        </w:rPr>
        <w:t xml:space="preserve">Insurance offset (§ 8.4(f))</w:t>
      </w:r>
      <w:r>
        <w:t xml:space="preserve">: indemnity reduced by insurance proceeds (the PLL policy will offset).</w:t>
      </w:r>
    </w:p>
    <w:p>
      <w:pPr>
        <w:pStyle w:val="Compact"/>
        <w:numPr>
          <w:ilvl w:val="0"/>
          <w:numId w:val="1009"/>
        </w:numPr>
      </w:pPr>
      <w:r>
        <w:rPr>
          <w:b/>
          <w:bCs/>
        </w:rPr>
        <w:t xml:space="preserve">Mitigation (§ 8.4(e))</w:t>
      </w:r>
      <w:r>
        <w:t xml:space="preserve">: Buyer must mitigate, including pursuing insurance.</w:t>
      </w:r>
    </w:p>
    <w:p>
      <w:pPr>
        <w:pStyle w:val="Compact"/>
        <w:numPr>
          <w:ilvl w:val="0"/>
          <w:numId w:val="1009"/>
        </w:numPr>
      </w:pPr>
      <w:r>
        <w:rPr>
          <w:b/>
          <w:bCs/>
        </w:rPr>
        <w:t xml:space="preserve">Fraud/intentional misrepresentation (§ 8.4(d))</w:t>
      </w:r>
      <w:r>
        <w:t xml:space="preserve">: uncapped, no basket, no survival limit; burden on Buyer.</w:t>
      </w:r>
    </w:p>
    <w:p>
      <w:pPr>
        <w:pStyle w:val="FirstParagraph"/>
      </w:pPr>
      <w:r>
        <w:rPr>
          <w:b/>
          <w:bCs/>
        </w:rPr>
        <w:t xml:space="preserve">Termination right (§ 6.3(b)).</w:t>
      </w:r>
      <w:r>
        <w:t xml:space="preserve"> </w:t>
      </w:r>
      <w:r>
        <w:t xml:space="preserve">Buyer may terminate and recover the $437,500 earnest money if RECs could result in Remediation Costs &gt; $500,000, by notice on or before</w:t>
      </w:r>
      <w:r>
        <w:t xml:space="preserve"> </w:t>
      </w:r>
      <w:r>
        <w:rPr>
          <w:b/>
          <w:bCs/>
        </w:rPr>
        <w:t xml:space="preserve">October 31, 2024</w:t>
      </w:r>
      <w:r>
        <w:t xml:space="preserve">. With three carcinogenic-substance RECs (C-1, C-2, C-3), a credible case exists that remediation costs could exceed $500,000. Non-exercise by October 31 results in an automatic waiver (§ 6.3(c)), but indemnification rights survive.</w:t>
      </w:r>
    </w:p>
    <w:p>
      <w:pPr>
        <w:pStyle w:val="BodyText"/>
      </w:pPr>
      <w:r>
        <w:rPr>
          <w:b/>
          <w:bCs/>
        </w:rPr>
        <w:t xml:space="preserve">Recommendation.</w:t>
      </w:r>
      <w:r>
        <w:t xml:space="preserve"> </w:t>
      </w:r>
      <w:r>
        <w:t xml:space="preserve">The cap and survival period should be renegotiated before closing. Specifically: (a) increase the cap or carve Pre-Closing Environmental Liabilities out of the cap; (b) extend survival for environmental claims (e.g., the longer of 3 years or the applicable limitations period, or unlimited for latent environmental conditions); (c) add specific indemnities for TCE, hexavalent chromium, and PCE; (d) require a seller-funded escrow/holdback; (e) remove the basket for environmental claims (it already does not apply to § 8.2(a)(iii), but confirm); and (f) preserve the fraud/intentional-misrepresentation argument through careful documentation.</w:t>
      </w:r>
    </w:p>
    <w:p>
      <w:r>
        <w:pict>
          <v:rect style="width:0;height:1.5pt" o:hralign="center" o:hrstd="t" o:hr="t"/>
        </w:pict>
      </w:r>
    </w:p>
    <w:bookmarkEnd w:id="53"/>
    <w:bookmarkStart w:id="54" w:name="Xd4fe625315f01b9cece9f8923a8776c3c6830b8"/>
    <w:p>
      <w:pPr>
        <w:pStyle w:val="Heading2"/>
      </w:pPr>
      <w:r>
        <w:t xml:space="preserve">XI. Lender Requirements — Compliance Gap Analysis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Lender Requirement</w:t>
            </w:r>
          </w:p>
        </w:tc>
        <w:tc>
          <w:tcPr/>
          <w:p>
            <w:pPr>
              <w:pStyle w:val="Compact"/>
              <w:jc w:val="left"/>
            </w:pPr>
            <w:r>
              <w:t xml:space="preserve">Status</w:t>
            </w:r>
          </w:p>
        </w:tc>
        <w:tc>
          <w:tcPr/>
          <w:p>
            <w:pPr>
              <w:pStyle w:val="Compact"/>
              <w:jc w:val="left"/>
            </w:pPr>
            <w:r>
              <w:t xml:space="preserve">Action</w:t>
            </w:r>
          </w:p>
        </w:tc>
      </w:tr>
      <w:tr>
        <w:tc>
          <w:tcPr/>
          <w:p>
            <w:pPr>
              <w:pStyle w:val="Compact"/>
              <w:jc w:val="left"/>
            </w:pPr>
            <w:r>
              <w:t xml:space="preserve">Phase I ESA conforming to ASTM E1527-21; AAI; Lender as reliance party</w:t>
            </w:r>
          </w:p>
        </w:tc>
        <w:tc>
          <w:tcPr/>
          <w:p>
            <w:pPr>
              <w:pStyle w:val="Compact"/>
              <w:jc w:val="left"/>
            </w:pPr>
            <w:r>
              <w:t xml:space="preserve">Satisfied (ESA dated Oct 25, 2024; reliance language included; consultant E&amp;O $5M ≥ $2M required)</w:t>
            </w:r>
          </w:p>
        </w:tc>
        <w:tc>
          <w:tcPr/>
          <w:p>
            <w:pPr>
              <w:pStyle w:val="Compact"/>
              <w:jc w:val="left"/>
            </w:pPr>
            <w:r>
              <w:t xml:space="preserve">Deliver to Lender by Nov 15, 2024</w:t>
            </w:r>
          </w:p>
        </w:tc>
      </w:tr>
      <w:tr>
        <w:tc>
          <w:tcPr/>
          <w:p>
            <w:pPr>
              <w:pStyle w:val="Compact"/>
              <w:jc w:val="left"/>
            </w:pPr>
            <w:r>
              <w:t xml:space="preserve">Off-site plume evaluation; migrating plumes identified as RECs</w:t>
            </w:r>
          </w:p>
        </w:tc>
        <w:tc>
          <w:tcPr/>
          <w:p>
            <w:pPr>
              <w:pStyle w:val="Compact"/>
              <w:jc w:val="left"/>
            </w:pPr>
            <w:r>
              <w:rPr>
                <w:b/>
                <w:bCs/>
              </w:rPr>
              <w:t xml:space="preserve">Not satisfied</w:t>
            </w:r>
            <w:r>
              <w:t xml:space="preserve"> </w:t>
            </w:r>
            <w:r>
              <w:t xml:space="preserve">— ESA discusses PCE plume but does not classify as REC (C-3)</w:t>
            </w:r>
          </w:p>
        </w:tc>
        <w:tc>
          <w:tcPr/>
          <w:p>
            <w:pPr>
              <w:pStyle w:val="Compact"/>
              <w:jc w:val="left"/>
            </w:pPr>
            <w:r>
              <w:t xml:space="preserve">Supplement/reclassify; pre-clear with Lender’s counsel</w:t>
            </w:r>
          </w:p>
        </w:tc>
      </w:tr>
      <w:tr>
        <w:tc>
          <w:tcPr/>
          <w:p>
            <w:pPr>
              <w:pStyle w:val="Compact"/>
              <w:jc w:val="left"/>
            </w:pPr>
            <w:r>
              <w:t xml:space="preserve">Phase II ESA (ASTM E1903-19) with 3-tier cost estimates by licensed PE</w:t>
            </w:r>
          </w:p>
        </w:tc>
        <w:tc>
          <w:tcPr/>
          <w:p>
            <w:pPr>
              <w:pStyle w:val="Compact"/>
              <w:jc w:val="left"/>
            </w:pPr>
            <w:r>
              <w:t xml:space="preserve">Triggered (RECs identified)</w:t>
            </w:r>
          </w:p>
        </w:tc>
        <w:tc>
          <w:tcPr/>
          <w:p>
            <w:pPr>
              <w:pStyle w:val="Compact"/>
              <w:jc w:val="left"/>
            </w:pPr>
            <w:r>
              <w:t xml:space="preserve">Commission immediately; deliver by Nov 30, 2024</w:t>
            </w:r>
          </w:p>
        </w:tc>
      </w:tr>
      <w:tr>
        <w:tc>
          <w:tcPr/>
          <w:p>
            <w:pPr>
              <w:pStyle w:val="Compact"/>
              <w:jc w:val="left"/>
            </w:pPr>
            <w:r>
              <w:t xml:space="preserve">PLL insurance ≥ greater of worst-case or $5M; 10-yr; A- or better; Lender as insured/loss payee</w:t>
            </w:r>
          </w:p>
        </w:tc>
        <w:tc>
          <w:tcPr/>
          <w:p>
            <w:pPr>
              <w:pStyle w:val="Compact"/>
              <w:jc w:val="left"/>
            </w:pPr>
            <w:r>
              <w:t xml:space="preserve">Triggered</w:t>
            </w:r>
          </w:p>
        </w:tc>
        <w:tc>
          <w:tcPr/>
          <w:p>
            <w:pPr>
              <w:pStyle w:val="Compact"/>
              <w:jc w:val="left"/>
            </w:pPr>
            <w:r>
              <w:t xml:space="preserve">Begin marketing now</w:t>
            </w:r>
          </w:p>
        </w:tc>
      </w:tr>
      <w:tr>
        <w:tc>
          <w:tcPr/>
          <w:p>
            <w:pPr>
              <w:pStyle w:val="Compact"/>
              <w:jc w:val="left"/>
            </w:pPr>
            <w:r>
              <w:t xml:space="preserve">Environmental Escrow (125% of most-likely if &gt; $250k)</w:t>
            </w:r>
          </w:p>
        </w:tc>
        <w:tc>
          <w:tcPr/>
          <w:p>
            <w:pPr>
              <w:pStyle w:val="Compact"/>
              <w:jc w:val="left"/>
            </w:pPr>
            <w:r>
              <w:t xml:space="preserve">Likely triggered</w:t>
            </w:r>
          </w:p>
        </w:tc>
        <w:tc>
          <w:tcPr/>
          <w:p>
            <w:pPr>
              <w:pStyle w:val="Compact"/>
              <w:jc w:val="left"/>
            </w:pPr>
            <w:r>
              <w:t xml:space="preserve">Budget for escrow at closing</w:t>
            </w:r>
          </w:p>
        </w:tc>
      </w:tr>
      <w:tr>
        <w:tc>
          <w:tcPr/>
          <w:p>
            <w:pPr>
              <w:pStyle w:val="Compact"/>
              <w:jc w:val="left"/>
            </w:pPr>
            <w:r>
              <w:t xml:space="preserve">Remediation Plan (if costs &gt; $500k)</w:t>
            </w:r>
          </w:p>
        </w:tc>
        <w:tc>
          <w:tcPr/>
          <w:p>
            <w:pPr>
              <w:pStyle w:val="Compact"/>
              <w:jc w:val="left"/>
            </w:pPr>
            <w:r>
              <w:t xml:space="preserve">Likely triggered</w:t>
            </w:r>
          </w:p>
        </w:tc>
        <w:tc>
          <w:tcPr/>
          <w:p>
            <w:pPr>
              <w:pStyle w:val="Compact"/>
              <w:jc w:val="left"/>
            </w:pPr>
            <w:r>
              <w:t xml:space="preserve">Engage EP; coordinate Ohio EPA approval if required</w:t>
            </w:r>
          </w:p>
        </w:tc>
      </w:tr>
      <w:tr>
        <w:tc>
          <w:tcPr/>
          <w:p>
            <w:pPr>
              <w:pStyle w:val="Compact"/>
              <w:jc w:val="left"/>
            </w:pPr>
            <w:r>
              <w:t xml:space="preserve">Vapor Intrusion Assessment (VOCs present)</w:t>
            </w:r>
          </w:p>
        </w:tc>
        <w:tc>
          <w:tcPr/>
          <w:p>
            <w:pPr>
              <w:pStyle w:val="Compact"/>
              <w:jc w:val="left"/>
            </w:pPr>
            <w:r>
              <w:t xml:space="preserve">Triggered (TCE/PCE)</w:t>
            </w:r>
          </w:p>
        </w:tc>
        <w:tc>
          <w:tcPr/>
          <w:p>
            <w:pPr>
              <w:pStyle w:val="Compact"/>
              <w:jc w:val="left"/>
            </w:pPr>
            <w:r>
              <w:t xml:space="preserve">Include in Phase II; plan mitigation</w:t>
            </w:r>
          </w:p>
        </w:tc>
      </w:tr>
      <w:tr>
        <w:tc>
          <w:tcPr/>
          <w:p>
            <w:pPr>
              <w:pStyle w:val="Compact"/>
              <w:jc w:val="left"/>
            </w:pPr>
            <w:r>
              <w:t xml:space="preserve">Data-gap resolution</w:t>
            </w:r>
          </w:p>
        </w:tc>
        <w:tc>
          <w:tcPr/>
          <w:p>
            <w:pPr>
              <w:pStyle w:val="Compact"/>
              <w:jc w:val="left"/>
            </w:pPr>
            <w:r>
              <w:t xml:space="preserve">Several unresolved (M-4)</w:t>
            </w:r>
          </w:p>
        </w:tc>
        <w:tc>
          <w:tcPr/>
          <w:p>
            <w:pPr>
              <w:pStyle w:val="Compact"/>
              <w:jc w:val="left"/>
            </w:pPr>
            <w:r>
              <w:t xml:space="preserve">Prioritize; document efforts</w:t>
            </w:r>
          </w:p>
        </w:tc>
      </w:tr>
      <w:tr>
        <w:tc>
          <w:tcPr/>
          <w:p>
            <w:pPr>
              <w:pStyle w:val="Compact"/>
              <w:jc w:val="left"/>
            </w:pPr>
            <w:r>
              <w:t xml:space="preserve">Decline triggers (worst-case &gt; 50% appraisal; NPL; RCRA corrective-action lien; unresolved gaps)</w:t>
            </w:r>
          </w:p>
        </w:tc>
        <w:tc>
          <w:tcPr/>
          <w:p>
            <w:pPr>
              <w:pStyle w:val="Compact"/>
              <w:jc w:val="left"/>
            </w:pPr>
            <w:r>
              <w:t xml:space="preserve">Monitor</w:t>
            </w:r>
          </w:p>
        </w:tc>
        <w:tc>
          <w:tcPr/>
          <w:p>
            <w:pPr>
              <w:pStyle w:val="Compact"/>
              <w:jc w:val="left"/>
            </w:pPr>
            <w:r>
              <w:t xml:space="preserve">Obtain appraisal; confirm no NPL/active order; close gaps</w:t>
            </w:r>
          </w:p>
        </w:tc>
      </w:tr>
    </w:tbl>
    <w:p>
      <w:pPr>
        <w:pStyle w:val="BodyText"/>
      </w:pPr>
      <w:r>
        <w:rPr>
          <w:b/>
          <w:bCs/>
        </w:rPr>
        <w:t xml:space="preserve">Timeline risk.</w:t>
      </w:r>
      <w:r>
        <w:t xml:space="preserve"> </w:t>
      </w:r>
      <w:r>
        <w:t xml:space="preserve">The November 30, 2024 Phase II/PLL/escrow deadline is 33 days from the date of this memo. A Phase II including groundwater wells, vapor assessment, and a 2,000-gal UST geophysical survey, plus procurement of a 10-year ≥$5M PLL policy, is aggressive but feasible only if initiated immediately and run in parallel.</w:t>
      </w:r>
    </w:p>
    <w:p>
      <w:r>
        <w:pict>
          <v:rect style="width:0;height:1.5pt" o:hralign="center" o:hrstd="t" o:hr="t"/>
        </w:pict>
      </w:r>
    </w:p>
    <w:bookmarkEnd w:id="54"/>
    <w:bookmarkStart w:id="55" w:name="xii.-recommendations-and-next-steps"/>
    <w:p>
      <w:pPr>
        <w:pStyle w:val="Heading2"/>
      </w:pPr>
      <w:r>
        <w:t xml:space="preserve">XII. Recommendations and Next Steps</w:t>
      </w:r>
    </w:p>
    <w:p>
      <w:pPr>
        <w:numPr>
          <w:ilvl w:val="0"/>
          <w:numId w:val="1010"/>
        </w:numPr>
      </w:pPr>
      <w:r>
        <w:rPr>
          <w:b/>
          <w:bCs/>
        </w:rPr>
        <w:t xml:space="preserve">Make a deliberate termination decision before October 31, 2024.</w:t>
      </w:r>
      <w:r>
        <w:t xml:space="preserve"> </w:t>
      </w:r>
      <w:r>
        <w:t xml:space="preserve">Do not allow the § 6.3(b) right to lapse by inaction. Given C-1/C-2/C-3, the better path is likely to</w:t>
      </w:r>
      <w:r>
        <w:t xml:space="preserve"> </w:t>
      </w:r>
      <w:r>
        <w:rPr>
          <w:b/>
          <w:bCs/>
        </w:rPr>
        <w:t xml:space="preserve">renegotiate rather than terminate</w:t>
      </w:r>
      <w:r>
        <w:t xml:space="preserve">, but the decision should be informed by a rapid Phase II and cost estimate. If Seller will not renegotiate and estimates approach the cap, terminate and recover earnest money.</w:t>
      </w:r>
    </w:p>
    <w:p>
      <w:pPr>
        <w:numPr>
          <w:ilvl w:val="0"/>
          <w:numId w:val="1010"/>
        </w:numPr>
      </w:pPr>
      <w:r>
        <w:rPr>
          <w:b/>
          <w:bCs/>
        </w:rPr>
        <w:t xml:space="preserve">Commission a Phase II ESA immediately (ASTM E1903-19)</w:t>
      </w:r>
      <w:r>
        <w:t xml:space="preserve"> </w:t>
      </w:r>
      <w:r>
        <w:t xml:space="preserve">covering, at minimum:</w:t>
      </w:r>
    </w:p>
    <w:p>
      <w:pPr>
        <w:pStyle w:val="Compact"/>
        <w:numPr>
          <w:ilvl w:val="1"/>
          <w:numId w:val="1011"/>
        </w:numPr>
      </w:pPr>
      <w:r>
        <w:t xml:space="preserve">Former TCE degreasing area and abandoned waste-TCE drum (soil/groundwater VOCs; sub-slab vapor);</w:t>
      </w:r>
    </w:p>
    <w:p>
      <w:pPr>
        <w:pStyle w:val="Compact"/>
        <w:numPr>
          <w:ilvl w:val="1"/>
          <w:numId w:val="1011"/>
        </w:numPr>
      </w:pPr>
      <w:r>
        <w:t xml:space="preserve">Former electroplating room (sump-liquid characterization; soil/groundwater metals including hexavalent chromium and nickel);</w:t>
      </w:r>
    </w:p>
    <w:p>
      <w:pPr>
        <w:pStyle w:val="Compact"/>
        <w:numPr>
          <w:ilvl w:val="1"/>
          <w:numId w:val="1011"/>
        </w:numPr>
      </w:pPr>
      <w:r>
        <w:rPr>
          <w:b/>
          <w:bCs/>
        </w:rPr>
        <w:t xml:space="preserve">Off-site PCE plume delineation on the Property</w:t>
      </w:r>
      <w:r>
        <w:t xml:space="preserve"> </w:t>
      </w:r>
      <w:r>
        <w:t xml:space="preserve">(downgradient groundwater wells from MW-7; sub-slab/indoor air near the north boundary) —</w:t>
      </w:r>
      <w:r>
        <w:t xml:space="preserve"> </w:t>
      </w:r>
      <w:r>
        <w:rPr>
          <w:i/>
          <w:iCs/>
        </w:rPr>
        <w:t xml:space="preserve">omitted from the ESA’s recommended scope</w:t>
      </w:r>
      <w:r>
        <w:t xml:space="preserve">;</w:t>
      </w:r>
    </w:p>
    <w:p>
      <w:pPr>
        <w:pStyle w:val="Compact"/>
        <w:numPr>
          <w:ilvl w:val="1"/>
          <w:numId w:val="1011"/>
        </w:numPr>
      </w:pPr>
      <w:r>
        <w:t xml:space="preserve">Former outdoor drum-storage area / 2,000-gal waste-solvent UST area (soil/groundwater VOCs and metals);</w:t>
      </w:r>
    </w:p>
    <w:p>
      <w:pPr>
        <w:pStyle w:val="Compact"/>
        <w:numPr>
          <w:ilvl w:val="1"/>
          <w:numId w:val="1011"/>
        </w:numPr>
      </w:pPr>
      <w:r>
        <w:t xml:space="preserve">Geophysical survey for the 2,000-gal waste-solvent UST (H-1) and 500-gal heating-oil UST (M-3);</w:t>
      </w:r>
    </w:p>
    <w:p>
      <w:pPr>
        <w:pStyle w:val="Compact"/>
        <w:numPr>
          <w:ilvl w:val="1"/>
          <w:numId w:val="1011"/>
        </w:numPr>
      </w:pPr>
      <w:r>
        <w:t xml:space="preserve">Sampling of MW-1 if structurally sound (M-1).</w:t>
      </w:r>
    </w:p>
    <w:p>
      <w:pPr>
        <w:numPr>
          <w:ilvl w:val="0"/>
          <w:numId w:val="1010"/>
        </w:numPr>
      </w:pPr>
      <w:r>
        <w:rPr>
          <w:b/>
          <w:bCs/>
        </w:rPr>
        <w:t xml:space="preserve">Obtain three-tier (best / most-likely / worst-case) remediation cost estimates</w:t>
      </w:r>
      <w:r>
        <w:t xml:space="preserve"> </w:t>
      </w:r>
      <w:r>
        <w:t xml:space="preserve">from a licensed PE, concurrently with the Phase II, to satisfy the Lender and inform the termination/renegotiation decision.</w:t>
      </w:r>
    </w:p>
    <w:p>
      <w:pPr>
        <w:numPr>
          <w:ilvl w:val="0"/>
          <w:numId w:val="1010"/>
        </w:numPr>
      </w:pPr>
      <w:r>
        <w:rPr>
          <w:b/>
          <w:bCs/>
        </w:rPr>
        <w:t xml:space="preserve">Procure PLL insurance</w:t>
      </w:r>
      <w:r>
        <w:t xml:space="preserve"> </w:t>
      </w:r>
      <w:r>
        <w:t xml:space="preserve">(≥ $5M or worst-case; 10-year term; A- or better carrier; Lender as additional insured/loss payee) — begin marketing immediately given lead times.</w:t>
      </w:r>
    </w:p>
    <w:p>
      <w:pPr>
        <w:numPr>
          <w:ilvl w:val="0"/>
          <w:numId w:val="1010"/>
        </w:numPr>
      </w:pPr>
      <w:r>
        <w:rPr>
          <w:b/>
          <w:bCs/>
        </w:rPr>
        <w:t xml:space="preserve">Plan for an Environmental Escrow</w:t>
      </w:r>
      <w:r>
        <w:t xml:space="preserve"> </w:t>
      </w:r>
      <w:r>
        <w:t xml:space="preserve">(125% of most-likely estimate if &gt; $250,000) and a vapor mitigation system, both likely required at closing.</w:t>
      </w:r>
    </w:p>
    <w:p>
      <w:pPr>
        <w:numPr>
          <w:ilvl w:val="0"/>
          <w:numId w:val="1010"/>
        </w:numPr>
      </w:pPr>
      <w:r>
        <w:rPr>
          <w:b/>
          <w:bCs/>
        </w:rPr>
        <w:t xml:space="preserve">Direct the Environmental Professional to supplement the Phase I ESA</w:t>
      </w:r>
      <w:r>
        <w:t xml:space="preserve"> </w:t>
      </w:r>
      <w:r>
        <w:t xml:space="preserve">to (a) reclassify the off-site PCE plume as a REC, (b) address the Lender’s express off-site-plume requirement, and (c) document data-gap closure efforts — to preserve AAI adequacy for the Lender’s counsel review.</w:t>
      </w:r>
    </w:p>
    <w:p>
      <w:pPr>
        <w:numPr>
          <w:ilvl w:val="0"/>
          <w:numId w:val="1010"/>
        </w:numPr>
      </w:pPr>
      <w:r>
        <w:rPr>
          <w:b/>
          <w:bCs/>
        </w:rPr>
        <w:t xml:space="preserve">Renegotiate the APA’s risk allocation</w:t>
      </w:r>
      <w:r>
        <w:t xml:space="preserve">: increase/uncap the environmental indemnity (or carve Pre-Closing Environmental Liabilities out of the cap); extend survival for environmental claims; add specific TCE/chromium/PCE indemnities; require a seller-funded escrow/holdback; remove the basket for environmental claims.</w:t>
      </w:r>
    </w:p>
    <w:p>
      <w:pPr>
        <w:numPr>
          <w:ilvl w:val="0"/>
          <w:numId w:val="1010"/>
        </w:numPr>
      </w:pPr>
      <w:r>
        <w:rPr>
          <w:b/>
          <w:bCs/>
        </w:rPr>
        <w:t xml:space="preserve">Require Seller to correct Schedules 4.12 and 4.13</w:t>
      </w:r>
      <w:r>
        <w:t xml:space="preserve"> </w:t>
      </w:r>
      <w:r>
        <w:t xml:space="preserve">(disclose the 2003 NOV/consent order, the 2,000-gal waste-solvent UST, the 500-gal heating-oil UST, and the GMZ) and provide a representations bring-down at closing. Obtain the consent order and compliance certification (File NW-2003-0471) from Seller or Ohio EPA Central Office.</w:t>
      </w:r>
    </w:p>
    <w:p>
      <w:pPr>
        <w:numPr>
          <w:ilvl w:val="0"/>
          <w:numId w:val="1010"/>
        </w:numPr>
      </w:pPr>
      <w:r>
        <w:rPr>
          <w:b/>
          <w:bCs/>
        </w:rPr>
        <w:t xml:space="preserve">Preserve the fraud/intentional-misrepresentation record</w:t>
      </w:r>
      <w:r>
        <w:t xml:space="preserve">: document Seller’s denial of</w:t>
      </w:r>
      <w:r>
        <w:t xml:space="preserve"> </w:t>
      </w:r>
      <w:r>
        <w:t xml:space="preserve">“</w:t>
      </w:r>
      <w:r>
        <w:t xml:space="preserve">any spills</w:t>
      </w:r>
      <w:r>
        <w:t xml:space="preserve">”</w:t>
      </w:r>
      <w:r>
        <w:t xml:space="preserve"> </w:t>
      </w:r>
      <w:r>
        <w:t xml:space="preserve">against the 1988 Fire Department record, the incomplete UST schedule, and the § 4.12(c) inaccuracy regarding the consent order.</w:t>
      </w:r>
    </w:p>
    <w:p>
      <w:pPr>
        <w:numPr>
          <w:ilvl w:val="0"/>
          <w:numId w:val="1010"/>
        </w:numPr>
      </w:pPr>
      <w:r>
        <w:rPr>
          <w:b/>
          <w:bCs/>
        </w:rPr>
        <w:t xml:space="preserve">Confirm GMZ restrictions</w:t>
      </w:r>
      <w:r>
        <w:t xml:space="preserve"> </w:t>
      </w:r>
      <w:r>
        <w:t xml:space="preserve">with Ohio EPA’s Division of Drinking and Ground Waters and reflect them in post-closing operating/redevelopment plans (no new wells/groundwater withdrawals without approval).</w:t>
      </w:r>
    </w:p>
    <w:p>
      <w:pPr>
        <w:numPr>
          <w:ilvl w:val="0"/>
          <w:numId w:val="1010"/>
        </w:numPr>
      </w:pPr>
      <w:r>
        <w:rPr>
          <w:b/>
          <w:bCs/>
        </w:rPr>
        <w:t xml:space="preserve">Non-scope surveys</w:t>
      </w:r>
      <w:r>
        <w:t xml:space="preserve">: commission ACM/LBP surveys if any renovation or demolition is planned (I-1).</w:t>
      </w:r>
    </w:p>
    <w:p>
      <w:pPr>
        <w:numPr>
          <w:ilvl w:val="0"/>
          <w:numId w:val="1010"/>
        </w:numPr>
      </w:pPr>
      <w:r>
        <w:rPr>
          <w:b/>
          <w:bCs/>
        </w:rPr>
        <w:t xml:space="preserve">Operationalize post-closing Lender covenants</w:t>
      </w:r>
      <w:r>
        <w:t xml:space="preserve">: release-notification protocol, PLL maintenance, UST-consent requirement, annual environmental compliance certifications.</w:t>
      </w:r>
    </w:p>
    <w:p>
      <w:pPr>
        <w:numPr>
          <w:ilvl w:val="0"/>
          <w:numId w:val="1010"/>
        </w:numPr>
      </w:pPr>
      <w:r>
        <w:rPr>
          <w:b/>
          <w:bCs/>
        </w:rPr>
        <w:t xml:space="preserve">Walk-away trigger</w:t>
      </w:r>
      <w:r>
        <w:t xml:space="preserve">: if the Phase II worst-case estimate approaches or exceeds the indemnity cap (or 50% of appraised value, the Lender’s decline threshold), and Seller will not renegotiate or fund adequate escrow/insurance, seriously consider terminating under § 6.3(b) before October 31, 2024 (or, if the deadline has passed, declining to close if conditions permit).</w:t>
      </w:r>
    </w:p>
    <w:p>
      <w:r>
        <w:pict>
          <v:rect style="width:0;height:1.5pt" o:hralign="center" o:hrstd="t" o:hr="t"/>
        </w:pict>
      </w:r>
    </w:p>
    <w:bookmarkEnd w:id="55"/>
    <w:bookmarkStart w:id="56" w:name="xiii.-limitations"/>
    <w:p>
      <w:pPr>
        <w:pStyle w:val="Heading2"/>
      </w:pPr>
      <w:r>
        <w:t xml:space="preserve">XIII. Limitations</w:t>
      </w:r>
    </w:p>
    <w:p>
      <w:pPr>
        <w:pStyle w:val="FirstParagraph"/>
      </w:pPr>
      <w:r>
        <w:t xml:space="preserve">This memorandum is based solely on the documents listed in Section III and was prepared for the internal use of Cornerstone Industrial Partners LLC and its counsel in connection with the proposed acquisition. It is a qualitative due-diligence analysis, not a Phase I or Phase II ESA, and it does not constitute a legal opinion, a determination of liability, a remediation cost estimate, or a guarantee of environmental conditions. Severity ratings reflect professional judgment as of the date hereof and may change based on Phase II results, the Ohio EPA consent order, the appraisal, and PLL underwriting. No sampling or testing was performed in preparing this memorandum. This memorandum is privileged and confidential and should not be distributed outside the deal team, Buyer’s counsel, or the Lender’s review team without authorization.</w:t>
      </w:r>
    </w:p>
    <w:p>
      <w:pPr>
        <w:pStyle w:val="BodyText"/>
      </w:pPr>
      <w:r>
        <w:rPr>
          <w:i/>
          <w:iCs/>
        </w:rPr>
        <w:t xml:space="preserve">— End of Memorandum —</w:t>
      </w:r>
    </w:p>
    <w:bookmarkEnd w:id="56"/>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2026-06-29T00:27:36Z</dcterms:created>
  <dcterms:modified xsi:type="dcterms:W3CDTF">2026-06-29T00:27:36Z</dcterms:modified>
</cp:coreProperties>
</file>

<file path=docProps/custom.xml><?xml version="1.0" encoding="utf-8"?>
<Properties xmlns="http://schemas.openxmlformats.org/officeDocument/2006/custom-properties" xmlns:vt="http://schemas.openxmlformats.org/officeDocument/2006/docPropsVTypes"/>
</file>