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memorandum"/>
    <w:p>
      <w:pPr>
        <w:pStyle w:val="Heading1"/>
      </w:pPr>
      <w:r>
        <w:t xml:space="preserve">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Marcus J. Whitmore, Managing Member and Chief Investment Officer; Sandra K. Liu, Chief Compliance Officer and General Counsel — Whitmore Capital Management LLC (General Partner of Whitmore Capital Partners VII, LP)</w:t>
      </w:r>
    </w:p>
    <w:p>
      <w:pPr>
        <w:pStyle w:val="BodyText"/>
      </w:pPr>
      <w:r>
        <w:rPr>
          <w:b/>
          <w:bCs/>
        </w:rPr>
        <w:t xml:space="preserve">FROM:</w:t>
      </w:r>
      <w:r>
        <w:t xml:space="preserve"> </w:t>
      </w:r>
      <w:r>
        <w:t xml:space="preserve">Bridgeford Hollis LLP, Fund Counsel</w:t>
      </w:r>
    </w:p>
    <w:p>
      <w:pPr>
        <w:pStyle w:val="BodyText"/>
      </w:pPr>
      <w:r>
        <w:rPr>
          <w:b/>
          <w:bCs/>
        </w:rPr>
        <w:t xml:space="preserve">DATE:</w:t>
      </w:r>
      <w:r>
        <w:t xml:space="preserve"> </w:t>
      </w:r>
      <w:r>
        <w:t xml:space="preserve">January 30, 2025</w:t>
      </w:r>
    </w:p>
    <w:p>
      <w:pPr>
        <w:pStyle w:val="BodyText"/>
      </w:pPr>
      <w:r>
        <w:rPr>
          <w:b/>
          <w:bCs/>
        </w:rPr>
        <w:t xml:space="preserve">RE:</w:t>
      </w:r>
      <w:r>
        <w:t xml:space="preserve"> </w:t>
      </w:r>
      <w:r>
        <w:t xml:space="preserve">Discrepancies and Unresolved Issues Identified in Final Closing Source Documents — Whitmore Capital Partners VII, LP (Final Closing Scheduled January 31, 2025)</w:t>
      </w:r>
    </w:p>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is delivered by Bridgeford Hollis LLP (</w:t>
      </w:r>
      <w:r>
        <w:t xml:space="preserve">“</w:t>
      </w:r>
      <w:r>
        <w:rPr>
          <w:b/>
          <w:bCs/>
        </w:rPr>
        <w:t xml:space="preserve">Fund Counsel</w:t>
      </w:r>
      <w:r>
        <w:t xml:space="preserve">”</w:t>
      </w:r>
      <w:r>
        <w:t xml:space="preserve">) in connection with the final closing (the</w:t>
      </w:r>
      <w:r>
        <w:t xml:space="preserve"> </w:t>
      </w:r>
      <w:r>
        <w:t xml:space="preserve">“</w:t>
      </w:r>
      <w:r>
        <w:rPr>
          <w:b/>
          <w:bCs/>
        </w:rPr>
        <w:t xml:space="preserve">Final Closing</w:t>
      </w:r>
      <w:r>
        <w:t xml:space="preserve">”</w:t>
      </w:r>
      <w:r>
        <w:t xml:space="preserve">) of Whitmore Capital Partners VII, LP (the</w:t>
      </w:r>
      <w:r>
        <w:t xml:space="preserve"> </w:t>
      </w:r>
      <w:r>
        <w:t xml:space="preserve">“</w:t>
      </w:r>
      <w:r>
        <w:rPr>
          <w:b/>
          <w:bCs/>
        </w:rPr>
        <w:t xml:space="preserve">Fund</w:t>
      </w:r>
      <w:r>
        <w:t xml:space="preserve">”</w:t>
      </w:r>
      <w:r>
        <w:t xml:space="preserve">), scheduled for January 31, 2025. In the course of preparing the Final Closing Certificate and reviewing the closing deliverables, Fund Counsel has reviewed the following source documents (collectively, the</w:t>
      </w:r>
      <w:r>
        <w:t xml:space="preserve"> </w:t>
      </w:r>
      <w:r>
        <w:t xml:space="preserve">“</w:t>
      </w:r>
      <w:r>
        <w:rPr>
          <w:b/>
          <w:bCs/>
        </w:rPr>
        <w:t xml:space="preserve">Source Documents</w:t>
      </w:r>
      <w:r>
        <w:t xml:space="preserve">”</w:t>
      </w:r>
      <w:r>
        <w:t xml:space="preserve">):</w:t>
      </w:r>
    </w:p>
    <w:p>
      <w:pPr>
        <w:pStyle w:val="Compact"/>
        <w:numPr>
          <w:ilvl w:val="0"/>
          <w:numId w:val="1001"/>
        </w:numPr>
      </w:pPr>
      <w:r>
        <w:t xml:space="preserve">Amended and Restated Agreement of Limited Partnership, dated September 15, 2024 (the</w:t>
      </w:r>
      <w:r>
        <w:t xml:space="preserve"> </w:t>
      </w:r>
      <w:r>
        <w:t xml:space="preserve">“</w:t>
      </w:r>
      <w:r>
        <w:rPr>
          <w:b/>
          <w:bCs/>
        </w:rPr>
        <w:t xml:space="preserve">LPA</w:t>
      </w:r>
      <w:r>
        <w:t xml:space="preserve">”</w:t>
      </w:r>
      <w:r>
        <w:t xml:space="preserve">);</w:t>
      </w:r>
    </w:p>
    <w:p>
      <w:pPr>
        <w:pStyle w:val="Compact"/>
        <w:numPr>
          <w:ilvl w:val="0"/>
          <w:numId w:val="1001"/>
        </w:numPr>
      </w:pPr>
      <w:r>
        <w:t xml:space="preserve">Amendment No. 1 to the LPA, dated November 30, 2024 (the</w:t>
      </w:r>
      <w:r>
        <w:t xml:space="preserve"> </w:t>
      </w:r>
      <w:r>
        <w:t xml:space="preserve">“</w:t>
      </w:r>
      <w:r>
        <w:rPr>
          <w:b/>
          <w:bCs/>
        </w:rPr>
        <w:t xml:space="preserve">Amendment</w:t>
      </w:r>
      <w:r>
        <w:t xml:space="preserve">”</w:t>
      </w:r>
      <w:r>
        <w:t xml:space="preserve">);</w:t>
      </w:r>
    </w:p>
    <w:p>
      <w:pPr>
        <w:pStyle w:val="Compact"/>
        <w:numPr>
          <w:ilvl w:val="0"/>
          <w:numId w:val="1001"/>
        </w:numPr>
      </w:pPr>
      <w:r>
        <w:t xml:space="preserve">GP Internal Closing Memorandum, dated January 28, 2025 (the</w:t>
      </w:r>
      <w:r>
        <w:t xml:space="preserve"> </w:t>
      </w:r>
      <w:r>
        <w:t xml:space="preserve">“</w:t>
      </w:r>
      <w:r>
        <w:rPr>
          <w:b/>
          <w:bCs/>
        </w:rPr>
        <w:t xml:space="preserve">GP Memo</w:t>
      </w:r>
      <w:r>
        <w:t xml:space="preserve">”</w:t>
      </w:r>
      <w:r>
        <w:t xml:space="preserve">);</w:t>
      </w:r>
    </w:p>
    <w:p>
      <w:pPr>
        <w:pStyle w:val="Compact"/>
        <w:numPr>
          <w:ilvl w:val="0"/>
          <w:numId w:val="1001"/>
        </w:numPr>
      </w:pPr>
      <w:r>
        <w:t xml:space="preserve">Capital Call Notice No. 1, dated October 10, 2024 (</w:t>
      </w:r>
      <w:r>
        <w:t xml:space="preserve">“</w:t>
      </w:r>
      <w:r>
        <w:rPr>
          <w:b/>
          <w:bCs/>
        </w:rPr>
        <w:t xml:space="preserve">CC#1</w:t>
      </w:r>
      <w:r>
        <w:t xml:space="preserve">”</w:t>
      </w:r>
      <w:r>
        <w:t xml:space="preserve">);</w:t>
      </w:r>
    </w:p>
    <w:p>
      <w:pPr>
        <w:pStyle w:val="Compact"/>
        <w:numPr>
          <w:ilvl w:val="0"/>
          <w:numId w:val="1001"/>
        </w:numPr>
      </w:pPr>
      <w:r>
        <w:t xml:space="preserve">Capital Call Notice No. 2, dated December 15, 2024 (</w:t>
      </w:r>
      <w:r>
        <w:t xml:space="preserve">“</w:t>
      </w:r>
      <w:r>
        <w:rPr>
          <w:b/>
          <w:bCs/>
        </w:rPr>
        <w:t xml:space="preserve">CC#2</w:t>
      </w:r>
      <w:r>
        <w:t xml:space="preserve">”</w:t>
      </w:r>
      <w:r>
        <w:t xml:space="preserve">);</w:t>
      </w:r>
    </w:p>
    <w:p>
      <w:pPr>
        <w:pStyle w:val="Compact"/>
        <w:numPr>
          <w:ilvl w:val="0"/>
          <w:numId w:val="1001"/>
        </w:numPr>
      </w:pPr>
      <w:r>
        <w:t xml:space="preserve">Form of Subscription Agreement for the Final Closing (the</w:t>
      </w:r>
      <w:r>
        <w:t xml:space="preserve"> </w:t>
      </w:r>
      <w:r>
        <w:t xml:space="preserve">“</w:t>
      </w:r>
      <w:r>
        <w:rPr>
          <w:b/>
          <w:bCs/>
        </w:rPr>
        <w:t xml:space="preserve">Sub Agreement</w:t>
      </w:r>
      <w:r>
        <w:t xml:space="preserve">”</w:t>
      </w:r>
      <w:r>
        <w:t xml:space="preserve">);</w:t>
      </w:r>
    </w:p>
    <w:p>
      <w:pPr>
        <w:pStyle w:val="Compact"/>
        <w:numPr>
          <w:ilvl w:val="0"/>
          <w:numId w:val="1001"/>
        </w:numPr>
      </w:pPr>
      <w:r>
        <w:t xml:space="preserve">AML/KYC Completion Email from Oakmere Fund Services LLC, dated January 24, 2025 (the</w:t>
      </w:r>
      <w:r>
        <w:t xml:space="preserve"> </w:t>
      </w:r>
      <w:r>
        <w:t xml:space="preserve">“</w:t>
      </w:r>
      <w:r>
        <w:rPr>
          <w:b/>
          <w:bCs/>
        </w:rPr>
        <w:t xml:space="preserve">AML Email</w:t>
      </w:r>
      <w:r>
        <w:t xml:space="preserve">”</w:t>
      </w:r>
      <w:r>
        <w:t xml:space="preserve">);</w:t>
      </w:r>
    </w:p>
    <w:p>
      <w:pPr>
        <w:pStyle w:val="Compact"/>
        <w:numPr>
          <w:ilvl w:val="0"/>
          <w:numId w:val="1001"/>
        </w:numPr>
      </w:pPr>
      <w:r>
        <w:t xml:space="preserve">Administrative Closing Checklist, dated on or about January 30, 2025 (the</w:t>
      </w:r>
      <w:r>
        <w:t xml:space="preserve"> </w:t>
      </w:r>
      <w:r>
        <w:t xml:space="preserve">“</w:t>
      </w:r>
      <w:r>
        <w:rPr>
          <w:b/>
          <w:bCs/>
        </w:rPr>
        <w:t xml:space="preserve">Checklist</w:t>
      </w:r>
      <w:r>
        <w:t xml:space="preserve">”</w:t>
      </w:r>
      <w:r>
        <w:t xml:space="preserve">), including the Commitment Schedule and Equalization Calculation tabs.</w:t>
      </w:r>
    </w:p>
    <w:p>
      <w:pPr>
        <w:pStyle w:val="FirstParagraph"/>
      </w:pPr>
      <w:r>
        <w:t xml:space="preserve">This memorandum flags the discrepancies, inconsistencies, and unresolved issues identified during that review. Items are organized by severity.</w:t>
      </w:r>
      <w:r>
        <w:t xml:space="preserve"> </w:t>
      </w:r>
      <w:r>
        <w:rPr>
          <w:b/>
          <w:bCs/>
        </w:rPr>
        <w:t xml:space="preserve">Several items must be resolved before the Final Closing Certificate can be executed</w:t>
      </w:r>
      <w:r>
        <w:t xml:space="preserve">, and two items (the ERISA calculation and the AML/KYC coverage) implicate conditions precedent that are</w:t>
      </w:r>
      <w:r>
        <w:t xml:space="preserve"> </w:t>
      </w:r>
      <w:r>
        <w:rPr>
          <w:b/>
          <w:bCs/>
        </w:rPr>
        <w:t xml:space="preserve">non-waivable</w:t>
      </w:r>
      <w:r>
        <w:t xml:space="preserve"> </w:t>
      </w:r>
      <w:r>
        <w:t xml:space="preserve">under Section 11.3 of the LPA.</w:t>
      </w:r>
    </w:p>
    <w:p>
      <w:r>
        <w:pict>
          <v:rect style="width:0;height:1.5pt" o:hralign="center" o:hrstd="t" o:hr="t"/>
        </w:pict>
      </w:r>
    </w:p>
    <w:bookmarkEnd w:id="20"/>
    <w:bookmarkStart w:id="24" w:name="X1fe4d6ca3031b43fe130a2a38b1a137230e0525"/>
    <w:p>
      <w:pPr>
        <w:pStyle w:val="Heading2"/>
      </w:pPr>
      <w:r>
        <w:t xml:space="preserve">II. Critical Issues Requiring Resolution Before Closing</w:t>
      </w:r>
    </w:p>
    <w:bookmarkStart w:id="21" w:name="X4b6166017861a6c4676d768d0d4d59aa4004632"/>
    <w:p>
      <w:pPr>
        <w:pStyle w:val="Heading3"/>
      </w:pPr>
      <w:r>
        <w:t xml:space="preserve">A. ERISA / Benefit Plan Investor Calculation — Multiple Inconsistent Figures; Potential Cap Exceedance</w:t>
      </w:r>
    </w:p>
    <w:p>
      <w:pPr>
        <w:pStyle w:val="FirstParagraph"/>
      </w:pPr>
      <w:r>
        <w:rPr>
          <w:b/>
          <w:bCs/>
        </w:rPr>
        <w:t xml:space="preserve">This is the most significant issue identified.</w:t>
      </w:r>
      <w:r>
        <w:t xml:space="preserve"> </w:t>
      </w:r>
      <w:r>
        <w:t xml:space="preserve">Condition 5 of Section 11.2 (ERISA Compliance) is</w:t>
      </w:r>
      <w:r>
        <w:t xml:space="preserve"> </w:t>
      </w:r>
      <w:r>
        <w:rPr>
          <w:b/>
          <w:bCs/>
        </w:rPr>
        <w:t xml:space="preserve">non-waivable</w:t>
      </w:r>
      <w:r>
        <w:t xml:space="preserve"> </w:t>
      </w:r>
      <w:r>
        <w:t xml:space="preserve">under Section 11.3 of the LPA. The Source Documents contain at least four different Benefit Plan Investor (</w:t>
      </w:r>
      <w:r>
        <w:t xml:space="preserve">“</w:t>
      </w:r>
      <w:r>
        <w:rPr>
          <w:b/>
          <w:bCs/>
        </w:rPr>
        <w:t xml:space="preserve">BPI</w:t>
      </w:r>
      <w:r>
        <w:t xml:space="preserve">”</w:t>
      </w:r>
      <w:r>
        <w:t xml:space="preserve">) calculations, which do not reconcile with one another:</w:t>
      </w:r>
    </w:p>
    <w:tbl>
      <w:tblPr>
        <w:tblStyle w:val="Table"/>
        <w:tblW w:type="pct" w:w="5000"/>
        <w:jc w:val="left"/>
        <w:tblLayout w:type="fixed"/>
        <w:tblLook w:firstRow="1" w:lastRow="0" w:firstColumn="0" w:lastColumn="0" w:noHBand="0" w:noVBand="0" w:val="0020"/>
      </w:tblPr>
      <w:tblGrid>
        <w:gridCol w:w="1195"/>
        <w:gridCol w:w="2540"/>
        <w:gridCol w:w="1942"/>
        <w:gridCol w:w="1046"/>
        <w:gridCol w:w="1195"/>
      </w:tblGrid>
      <w:tr>
        <w:trPr>
          <w:tblHeader w:val="on"/>
        </w:trPr>
        <w:tc>
          <w:tcPr/>
          <w:p>
            <w:pPr>
              <w:pStyle w:val="Compact"/>
              <w:jc w:val="left"/>
            </w:pPr>
            <w:r>
              <w:t xml:space="preserve">Source</w:t>
            </w:r>
          </w:p>
        </w:tc>
        <w:tc>
          <w:tcPr/>
          <w:p>
            <w:pPr>
              <w:pStyle w:val="Compact"/>
              <w:jc w:val="left"/>
            </w:pPr>
            <w:r>
              <w:t xml:space="preserve">BPI Commitments</w:t>
            </w:r>
          </w:p>
        </w:tc>
        <w:tc>
          <w:tcPr/>
          <w:p>
            <w:pPr>
              <w:pStyle w:val="Compact"/>
              <w:jc w:val="left"/>
            </w:pPr>
            <w:r>
              <w:t xml:space="preserve">Denominator</w:t>
            </w:r>
          </w:p>
        </w:tc>
        <w:tc>
          <w:tcPr/>
          <w:p>
            <w:pPr>
              <w:pStyle w:val="Compact"/>
              <w:jc w:val="left"/>
            </w:pPr>
            <w:r>
              <w:t xml:space="preserve">BPI %</w:t>
            </w:r>
          </w:p>
        </w:tc>
        <w:tc>
          <w:tcPr/>
          <w:p>
            <w:pPr>
              <w:pStyle w:val="Compact"/>
              <w:jc w:val="left"/>
            </w:pPr>
            <w:r>
              <w:t xml:space="preserve">Status</w:t>
            </w:r>
          </w:p>
        </w:tc>
      </w:tr>
      <w:tr>
        <w:tc>
          <w:tcPr/>
          <w:p>
            <w:pPr>
              <w:pStyle w:val="Compact"/>
              <w:jc w:val="left"/>
            </w:pPr>
            <w:r>
              <w:t xml:space="preserve">GP Memo (§V.C)</w:t>
            </w:r>
          </w:p>
        </w:tc>
        <w:tc>
          <w:tcPr/>
          <w:p>
            <w:pPr>
              <w:pStyle w:val="Compact"/>
              <w:jc w:val="left"/>
            </w:pPr>
            <w:r>
              <w:t xml:space="preserve">$225,300,000 (prior closings only)</w:t>
            </w:r>
          </w:p>
        </w:tc>
        <w:tc>
          <w:tcPr/>
          <w:p>
            <w:pPr>
              <w:pStyle w:val="Compact"/>
              <w:jc w:val="left"/>
            </w:pPr>
            <w:r>
              <w:t xml:space="preserve">$1,140,000,000</w:t>
            </w:r>
          </w:p>
        </w:tc>
        <w:tc>
          <w:tcPr/>
          <w:p>
            <w:pPr>
              <w:pStyle w:val="Compact"/>
              <w:jc w:val="left"/>
            </w:pPr>
            <w:r>
              <w:t xml:space="preserve">19.8%</w:t>
            </w:r>
          </w:p>
        </w:tc>
        <w:tc>
          <w:tcPr/>
          <w:p>
            <w:pPr>
              <w:pStyle w:val="Compact"/>
              <w:jc w:val="left"/>
            </w:pPr>
            <w:r>
              <w:t xml:space="preserve">Wrong denominator; excludes final-closing BPIs</w:t>
            </w:r>
          </w:p>
        </w:tc>
      </w:tr>
      <w:tr>
        <w:tc>
          <w:tcPr/>
          <w:p>
            <w:pPr>
              <w:pStyle w:val="Compact"/>
              <w:jc w:val="left"/>
            </w:pPr>
            <w:r>
              <w:t xml:space="preserve">Sub Agreement (§2.3; Sch. I)</w:t>
            </w:r>
          </w:p>
        </w:tc>
        <w:tc>
          <w:tcPr/>
          <w:p>
            <w:pPr>
              <w:pStyle w:val="Compact"/>
              <w:jc w:val="left"/>
            </w:pPr>
            <w:r>
              <w:t xml:space="preserve">$355,300,000</w:t>
            </w:r>
          </w:p>
        </w:tc>
        <w:tc>
          <w:tcPr/>
          <w:p>
            <w:pPr>
              <w:pStyle w:val="Compact"/>
              <w:jc w:val="left"/>
            </w:pPr>
            <w:r>
              <w:t xml:space="preserve">$1,615,000,000</w:t>
            </w:r>
          </w:p>
        </w:tc>
        <w:tc>
          <w:tcPr/>
          <w:p>
            <w:pPr>
              <w:pStyle w:val="Compact"/>
              <w:jc w:val="left"/>
            </w:pPr>
            <w:r>
              <w:t xml:space="preserve">22.00%</w:t>
            </w:r>
          </w:p>
        </w:tc>
        <w:tc>
          <w:tcPr/>
          <w:p>
            <w:pPr>
              <w:pStyle w:val="Compact"/>
              <w:jc w:val="left"/>
            </w:pPr>
            <w:r>
              <w:t xml:space="preserve">Below cap</w:t>
            </w:r>
          </w:p>
        </w:tc>
      </w:tr>
      <w:tr>
        <w:tc>
          <w:tcPr/>
          <w:p>
            <w:pPr>
              <w:pStyle w:val="Compact"/>
              <w:jc w:val="left"/>
            </w:pPr>
            <w:r>
              <w:t xml:space="preserve">Checklist — ERISA Analysis tab</w:t>
            </w:r>
          </w:p>
        </w:tc>
        <w:tc>
          <w:tcPr/>
          <w:p>
            <w:pPr>
              <w:pStyle w:val="Compact"/>
              <w:jc w:val="left"/>
            </w:pPr>
            <w:r>
              <w:t xml:space="preserve">$355,300,000</w:t>
            </w:r>
          </w:p>
        </w:tc>
        <w:tc>
          <w:tcPr/>
          <w:p>
            <w:pPr>
              <w:pStyle w:val="Compact"/>
              <w:jc w:val="left"/>
            </w:pPr>
            <w:r>
              <w:t xml:space="preserve">$1,615,000,000</w:t>
            </w:r>
          </w:p>
        </w:tc>
        <w:tc>
          <w:tcPr/>
          <w:p>
            <w:pPr>
              <w:pStyle w:val="Compact"/>
              <w:jc w:val="left"/>
            </w:pPr>
            <w:r>
              <w:t xml:space="preserve">22.00%</w:t>
            </w:r>
          </w:p>
        </w:tc>
        <w:tc>
          <w:tcPr/>
          <w:p>
            <w:pPr>
              <w:pStyle w:val="Compact"/>
              <w:jc w:val="left"/>
            </w:pPr>
            <w:r>
              <w:t xml:space="preserve">Below cap; does not match Commitment Schedule</w:t>
            </w:r>
            <w:r>
              <w:t xml:space="preserve"> </w:t>
            </w:r>
            <w:r>
              <w:t xml:space="preserve">“</w:t>
            </w:r>
            <w:r>
              <w:t xml:space="preserve">Y</w:t>
            </w:r>
            <w:r>
              <w:t xml:space="preserve">”</w:t>
            </w:r>
            <w:r>
              <w:t xml:space="preserve"> </w:t>
            </w:r>
            <w:r>
              <w:t xml:space="preserve">markings</w:t>
            </w:r>
          </w:p>
        </w:tc>
      </w:tr>
      <w:tr>
        <w:tc>
          <w:tcPr/>
          <w:p>
            <w:pPr>
              <w:pStyle w:val="Compact"/>
              <w:jc w:val="left"/>
            </w:pPr>
            <w:r>
              <w:t xml:space="preserve">Checklist — Commitment Schedule</w:t>
            </w:r>
            <w:r>
              <w:t xml:space="preserve"> </w:t>
            </w:r>
            <w:r>
              <w:t xml:space="preserve">“</w:t>
            </w:r>
            <w:r>
              <w:t xml:space="preserve">Y</w:t>
            </w:r>
            <w:r>
              <w:t xml:space="preserve">”</w:t>
            </w:r>
            <w:r>
              <w:t xml:space="preserve"> </w:t>
            </w:r>
            <w:r>
              <w:t xml:space="preserve">markings</w:t>
            </w:r>
          </w:p>
        </w:tc>
        <w:tc>
          <w:tcPr/>
          <w:p>
            <w:pPr>
              <w:pStyle w:val="Compact"/>
              <w:jc w:val="left"/>
            </w:pPr>
            <w:r>
              <w:t xml:space="preserve">$465,300,000</w:t>
            </w:r>
          </w:p>
        </w:tc>
        <w:tc>
          <w:tcPr/>
          <w:p>
            <w:pPr>
              <w:pStyle w:val="Compact"/>
              <w:jc w:val="left"/>
            </w:pPr>
            <w:r>
              <w:t xml:space="preserve">$1,615,000,000</w:t>
            </w:r>
          </w:p>
        </w:tc>
        <w:tc>
          <w:tcPr/>
          <w:p>
            <w:pPr>
              <w:pStyle w:val="Compact"/>
              <w:jc w:val="left"/>
            </w:pPr>
            <w:r>
              <w:rPr>
                <w:b/>
                <w:bCs/>
              </w:rPr>
              <w:t xml:space="preserve">28.81%</w:t>
            </w:r>
          </w:p>
        </w:tc>
        <w:tc>
          <w:tcPr/>
          <w:p>
            <w:pPr>
              <w:pStyle w:val="Compact"/>
              <w:jc w:val="left"/>
            </w:pPr>
            <w:r>
              <w:rPr>
                <w:b/>
                <w:bCs/>
              </w:rPr>
              <w:t xml:space="preserve">Exceeds 24.99% cap</w:t>
            </w:r>
          </w:p>
        </w:tc>
      </w:tr>
    </w:tbl>
    <w:p>
      <w:pPr>
        <w:pStyle w:val="BodyText"/>
      </w:pPr>
      <w:r>
        <w:rPr>
          <w:b/>
          <w:bCs/>
        </w:rPr>
        <w:t xml:space="preserve">Specific problems:</w:t>
      </w:r>
    </w:p>
    <w:p>
      <w:pPr>
        <w:numPr>
          <w:ilvl w:val="0"/>
          <w:numId w:val="1002"/>
        </w:numPr>
      </w:pPr>
      <w:r>
        <w:rPr>
          <w:b/>
          <w:bCs/>
        </w:rPr>
        <w:t xml:space="preserve">GP Memo uses an incorrect denominator.</w:t>
      </w:r>
      <w:r>
        <w:t xml:space="preserve"> </w:t>
      </w:r>
      <w:r>
        <w:t xml:space="preserve">The GP Memo (§V.C) states that</w:t>
      </w:r>
      <w:r>
        <w:t xml:space="preserve"> </w:t>
      </w:r>
      <w:r>
        <w:t xml:space="preserve">“</w:t>
      </w:r>
      <w:r>
        <w:t xml:space="preserve">total Fund commitments will be approximately $1,140,000,000</w:t>
      </w:r>
      <w:r>
        <w:t xml:space="preserve">”</w:t>
      </w:r>
      <w:r>
        <w:t xml:space="preserve"> </w:t>
      </w:r>
      <w:r>
        <w:t xml:space="preserve">and calculates the BPI percentage as $225,300,000 / $1,140,000,000 = 19.8%. The correct total Fund commitments figure is</w:t>
      </w:r>
      <w:r>
        <w:t xml:space="preserve"> </w:t>
      </w:r>
      <w:r>
        <w:rPr>
          <w:b/>
          <w:bCs/>
        </w:rPr>
        <w:t xml:space="preserve">$1,615,000,000</w:t>
      </w:r>
      <w:r>
        <w:t xml:space="preserve"> </w:t>
      </w:r>
      <w:r>
        <w:t xml:space="preserve">(as stated in GP Memo §III, the Sub Agreement, and the Checklist). The $1,140,000,000 figure appears nowhere else and is incorrect. Additionally, the GP Memo’s numerator ($225,300,000) reflects only prior-closing BPIs and</w:t>
      </w:r>
      <w:r>
        <w:t xml:space="preserve"> </w:t>
      </w:r>
      <w:r>
        <w:rPr>
          <w:b/>
          <w:bCs/>
        </w:rPr>
        <w:t xml:space="preserve">excludes the $130,000,000 of final-closing BPIs</w:t>
      </w:r>
      <w:r>
        <w:t xml:space="preserve"> </w:t>
      </w:r>
      <w:r>
        <w:t xml:space="preserve">(Meridian and Sentry), which must be included when calculating the post-Final-Closing percentage.</w:t>
      </w:r>
    </w:p>
    <w:p>
      <w:pPr>
        <w:numPr>
          <w:ilvl w:val="0"/>
          <w:numId w:val="1002"/>
        </w:numPr>
      </w:pPr>
      <w:r>
        <w:rPr>
          <w:b/>
          <w:bCs/>
        </w:rPr>
        <w:t xml:space="preserve">The Checklist’s Commitment Schedule</w:t>
      </w:r>
      <w:r>
        <w:rPr>
          <w:b/>
          <w:bCs/>
        </w:rPr>
        <w:t xml:space="preserve"> </w:t>
      </w:r>
      <w:r>
        <w:rPr>
          <w:b/>
          <w:bCs/>
        </w:rPr>
        <w:t xml:space="preserve">“</w:t>
      </w:r>
      <w:r>
        <w:rPr>
          <w:b/>
          <w:bCs/>
        </w:rPr>
        <w:t xml:space="preserve">Y</w:t>
      </w:r>
      <w:r>
        <w:rPr>
          <w:b/>
          <w:bCs/>
        </w:rPr>
        <w:t xml:space="preserve">”</w:t>
      </w:r>
      <w:r>
        <w:rPr>
          <w:b/>
          <w:bCs/>
        </w:rPr>
        <w:t xml:space="preserve"> </w:t>
      </w:r>
      <w:r>
        <w:rPr>
          <w:b/>
          <w:bCs/>
        </w:rPr>
        <w:t xml:space="preserve">markings do not match its own ERISA Analysis.</w:t>
      </w:r>
      <w:r>
        <w:t xml:space="preserve"> </w:t>
      </w:r>
      <w:r>
        <w:t xml:space="preserve">The Commitment Schedule marks</w:t>
      </w:r>
      <w:r>
        <w:t xml:space="preserve"> </w:t>
      </w:r>
      <w:r>
        <w:rPr>
          <w:b/>
          <w:bCs/>
        </w:rPr>
        <w:t xml:space="preserve">nine (9) LPs</w:t>
      </w:r>
      <w:r>
        <w:t xml:space="preserve"> </w:t>
      </w:r>
      <w:r>
        <w:t xml:space="preserve">as</w:t>
      </w:r>
      <w:r>
        <w:t xml:space="preserve"> </w:t>
      </w:r>
      <w:r>
        <w:t xml:space="preserve">“</w:t>
      </w:r>
      <w:r>
        <w:t xml:space="preserve">Y</w:t>
      </w:r>
      <w:r>
        <w:t xml:space="preserve">”</w:t>
      </w:r>
      <w:r>
        <w:t xml:space="preserve"> </w:t>
      </w:r>
      <w:r>
        <w:t xml:space="preserve">(ERISA Plan Investor), totaling</w:t>
      </w:r>
      <w:r>
        <w:t xml:space="preserve"> </w:t>
      </w:r>
      <w:r>
        <w:rPr>
          <w:b/>
          <w:bCs/>
        </w:rPr>
        <w:t xml:space="preserve">$465,300,000</w:t>
      </w:r>
      <w:r>
        <w:t xml:space="preserve">, which equals</w:t>
      </w:r>
      <w:r>
        <w:t xml:space="preserve"> </w:t>
      </w:r>
      <w:r>
        <w:rPr>
          <w:b/>
          <w:bCs/>
        </w:rPr>
        <w:t xml:space="preserve">28.81%</w:t>
      </w:r>
      <w:r>
        <w:t xml:space="preserve"> </w:t>
      </w:r>
      <w:r>
        <w:t xml:space="preserve">of total commitments and</w:t>
      </w:r>
      <w:r>
        <w:t xml:space="preserve"> </w:t>
      </w:r>
      <w:r>
        <w:rPr>
          <w:b/>
          <w:bCs/>
        </w:rPr>
        <w:t xml:space="preserve">exceeds the 24.99% cap</w:t>
      </w:r>
      <w:r>
        <w:t xml:space="preserve">. The ERISA Analysis tab, however, calculates only</w:t>
      </w:r>
      <w:r>
        <w:t xml:space="preserve"> </w:t>
      </w:r>
      <w:r>
        <w:rPr>
          <w:b/>
          <w:bCs/>
        </w:rPr>
        <w:t xml:space="preserve">$355,300,000 (22.00%)</w:t>
      </w:r>
      <w:r>
        <w:t xml:space="preserve">. The $110,000,000 difference corresponds exactly to two LPs excluded from the ERISA Analysis: Commonwealth Public Employees’ Retirement Fund ($85,000,000) and Ashford Healthcare System Retirement Plan ($25,000,000). There is no apparent rationale for excluding these two LPs while including the other seven</w:t>
      </w:r>
      <w:r>
        <w:t xml:space="preserve"> </w:t>
      </w:r>
      <w:r>
        <w:t xml:space="preserve">“</w:t>
      </w:r>
      <w:r>
        <w:t xml:space="preserve">Y</w:t>
      </w:r>
      <w:r>
        <w:t xml:space="preserve">”</w:t>
      </w:r>
      <w:r>
        <w:t xml:space="preserve">-marked LPs.</w:t>
      </w:r>
    </w:p>
    <w:p>
      <w:pPr>
        <w:numPr>
          <w:ilvl w:val="0"/>
          <w:numId w:val="1002"/>
        </w:numPr>
      </w:pPr>
      <w:r>
        <w:rPr>
          <w:b/>
          <w:bCs/>
        </w:rPr>
        <w:t xml:space="preserve">Treatment of governmental plans is inconsistent and not supported by the LPA.</w:t>
      </w:r>
      <w:r>
        <w:t xml:space="preserve"> </w:t>
      </w:r>
      <w:r>
        <w:t xml:space="preserve">Of the nine LPs marked</w:t>
      </w:r>
      <w:r>
        <w:t xml:space="preserve"> </w:t>
      </w:r>
      <w:r>
        <w:t xml:space="preserve">“</w:t>
      </w:r>
      <w:r>
        <w:t xml:space="preserve">Y</w:t>
      </w:r>
      <w:r>
        <w:t xml:space="preserve">”</w:t>
      </w:r>
      <w:r>
        <w:t xml:space="preserve"> </w:t>
      </w:r>
      <w:r>
        <w:t xml:space="preserve">for ERISA in the Commitment Schedule,</w:t>
      </w:r>
      <w:r>
        <w:t xml:space="preserve"> </w:t>
      </w:r>
      <w:r>
        <w:rPr>
          <w:b/>
          <w:bCs/>
        </w:rPr>
        <w:t xml:space="preserve">eight are governmental plans</w:t>
      </w:r>
      <w:r>
        <w:t xml:space="preserve"> </w:t>
      </w:r>
      <w:r>
        <w:t xml:space="preserve">(state pension funds, municipal pension trusts, and a teachers’ retirement system), which are generally</w:t>
      </w:r>
      <w:r>
        <w:t xml:space="preserve"> </w:t>
      </w:r>
      <w:r>
        <w:rPr>
          <w:b/>
          <w:bCs/>
        </w:rPr>
        <w:t xml:space="preserve">exempt from Title I of ERISA</w:t>
      </w:r>
      <w:r>
        <w:t xml:space="preserve"> </w:t>
      </w:r>
      <w:r>
        <w:t xml:space="preserve">under Section 3(32) of ERISA. Only one — Ashford Healthcare System Retirement Plan ($25,000,000) — is a true ERISA plan. The LPA’s definition of</w:t>
      </w:r>
      <w:r>
        <w:t xml:space="preserve"> </w:t>
      </w:r>
      <w:r>
        <w:t xml:space="preserve">“</w:t>
      </w:r>
      <w:r>
        <w:t xml:space="preserve">Benefit Plan Investor</w:t>
      </w:r>
      <w:r>
        <w:t xml:space="preserve">”</w:t>
      </w:r>
      <w:r>
        <w:t xml:space="preserve"> </w:t>
      </w:r>
      <w:r>
        <w:t xml:space="preserve">(Article I) tracks the ERISA/Section 4975 plan-assets definition and</w:t>
      </w:r>
      <w:r>
        <w:t xml:space="preserve"> </w:t>
      </w:r>
      <w:r>
        <w:rPr>
          <w:b/>
          <w:bCs/>
        </w:rPr>
        <w:t xml:space="preserve">does not include governmental plans</w:t>
      </w:r>
      <w:r>
        <w:t xml:space="preserve">. Nevertheless, the Sub Agreement (§2.3, Box C) states that governmental plans are</w:t>
      </w:r>
      <w:r>
        <w:t xml:space="preserve"> </w:t>
      </w:r>
      <w:r>
        <w:t xml:space="preserve">“</w:t>
      </w:r>
      <w:r>
        <w:t xml:space="preserve">treated as benefit plan investors to the extent specified in the LPA</w:t>
      </w:r>
      <w:r>
        <w:t xml:space="preserve">”</w:t>
      </w:r>
      <w:r>
        <w:t xml:space="preserve"> </w:t>
      </w:r>
      <w:r>
        <w:t xml:space="preserve">— but the LPA does not in fact specify such treatment. The GP Memo likewise labels Meridian and Sentry as</w:t>
      </w:r>
      <w:r>
        <w:t xml:space="preserve"> </w:t>
      </w:r>
      <w:r>
        <w:t xml:space="preserve">“</w:t>
      </w:r>
      <w:r>
        <w:t xml:space="preserve">Benefit plan investor (ERISA plan investor),</w:t>
      </w:r>
      <w:r>
        <w:t xml:space="preserve">”</w:t>
      </w:r>
      <w:r>
        <w:t xml:space="preserve"> </w:t>
      </w:r>
      <w:r>
        <w:t xml:space="preserve">which is technically imprecise for governmental plans.</w:t>
      </w:r>
    </w:p>
    <w:p>
      <w:pPr>
        <w:pStyle w:val="FirstParagraph"/>
      </w:pPr>
      <w:r>
        <w:rPr>
          <w:b/>
          <w:bCs/>
        </w:rPr>
        <w:t xml:space="preserve">Implications and recommended resolution:</w:t>
      </w:r>
    </w:p>
    <w:p>
      <w:pPr>
        <w:pStyle w:val="Compact"/>
        <w:numPr>
          <w:ilvl w:val="0"/>
          <w:numId w:val="1003"/>
        </w:numPr>
      </w:pPr>
      <w:r>
        <w:t xml:space="preserve">If governmental plans are</w:t>
      </w:r>
      <w:r>
        <w:t xml:space="preserve"> </w:t>
      </w:r>
      <w:r>
        <w:rPr>
          <w:b/>
          <w:bCs/>
        </w:rPr>
        <w:t xml:space="preserve">not</w:t>
      </w:r>
      <w:r>
        <w:t xml:space="preserve"> </w:t>
      </w:r>
      <w:r>
        <w:t xml:space="preserve">counted as BPIs (consistent with the LPA’s Article I definition), only Ashford ($25,000,000) is a true BPI, yielding</w:t>
      </w:r>
      <w:r>
        <w:t xml:space="preserve"> </w:t>
      </w:r>
      <w:r>
        <w:rPr>
          <w:b/>
          <w:bCs/>
        </w:rPr>
        <w:t xml:space="preserve">1.55%</w:t>
      </w:r>
      <w:r>
        <w:t xml:space="preserve"> </w:t>
      </w:r>
      <w:r>
        <w:t xml:space="preserve">— well below the cap, and the condition is satisfied.</w:t>
      </w:r>
    </w:p>
    <w:p>
      <w:pPr>
        <w:pStyle w:val="Compact"/>
        <w:numPr>
          <w:ilvl w:val="0"/>
          <w:numId w:val="1003"/>
        </w:numPr>
      </w:pPr>
      <w:r>
        <w:t xml:space="preserve">If governmental plans</w:t>
      </w:r>
      <w:r>
        <w:t xml:space="preserve"> </w:t>
      </w:r>
      <w:r>
        <w:rPr>
          <w:b/>
          <w:bCs/>
        </w:rPr>
        <w:t xml:space="preserve">are</w:t>
      </w:r>
      <w:r>
        <w:t xml:space="preserve"> </w:t>
      </w:r>
      <w:r>
        <w:t xml:space="preserve">counted as BPIs (as the Commitment Schedule</w:t>
      </w:r>
      <w:r>
        <w:t xml:space="preserve"> </w:t>
      </w:r>
      <w:r>
        <w:t xml:space="preserve">“</w:t>
      </w:r>
      <w:r>
        <w:t xml:space="preserve">Y</w:t>
      </w:r>
      <w:r>
        <w:t xml:space="preserve">”</w:t>
      </w:r>
      <w:r>
        <w:t xml:space="preserve"> </w:t>
      </w:r>
      <w:r>
        <w:t xml:space="preserve">markings and the Sub Agreement’s Box C suggest), the total is</w:t>
      </w:r>
      <w:r>
        <w:t xml:space="preserve"> </w:t>
      </w:r>
      <w:r>
        <w:rPr>
          <w:b/>
          <w:bCs/>
        </w:rPr>
        <w:t xml:space="preserve">$465,300,000 = 28.81%</w:t>
      </w:r>
      <w:r>
        <w:t xml:space="preserve">, which</w:t>
      </w:r>
      <w:r>
        <w:t xml:space="preserve"> </w:t>
      </w:r>
      <w:r>
        <w:rPr>
          <w:b/>
          <w:bCs/>
        </w:rPr>
        <w:t xml:space="preserve">exceeds the 24.99% cap</w:t>
      </w:r>
      <w:r>
        <w:t xml:space="preserve"> </w:t>
      </w:r>
      <w:r>
        <w:t xml:space="preserve">— meaning the non-waivable ERISA condition would</w:t>
      </w:r>
      <w:r>
        <w:t xml:space="preserve"> </w:t>
      </w:r>
      <w:r>
        <w:rPr>
          <w:b/>
          <w:bCs/>
        </w:rPr>
        <w:t xml:space="preserve">not</w:t>
      </w:r>
      <w:r>
        <w:t xml:space="preserve"> </w:t>
      </w:r>
      <w:r>
        <w:t xml:space="preserve">be satisfied and the Final Closing could not lawfully proceed without reducing BPI commitments.</w:t>
      </w:r>
    </w:p>
    <w:p>
      <w:pPr>
        <w:pStyle w:val="Compact"/>
        <w:numPr>
          <w:ilvl w:val="0"/>
          <w:numId w:val="1003"/>
        </w:numPr>
      </w:pPr>
      <w:r>
        <w:t xml:space="preserve">The 22.00% figure used in the Sub Agreement and the Checklist’s ERISA Analysis reflects an</w:t>
      </w:r>
      <w:r>
        <w:t xml:space="preserve"> </w:t>
      </w:r>
      <w:r>
        <w:rPr>
          <w:b/>
          <w:bCs/>
        </w:rPr>
        <w:t xml:space="preserve">inconsistent subset</w:t>
      </w:r>
      <w:r>
        <w:t xml:space="preserve"> </w:t>
      </w:r>
      <w:r>
        <w:t xml:space="preserve">of the</w:t>
      </w:r>
      <w:r>
        <w:t xml:space="preserve"> </w:t>
      </w:r>
      <w:r>
        <w:t xml:space="preserve">“</w:t>
      </w:r>
      <w:r>
        <w:t xml:space="preserve">Y</w:t>
      </w:r>
      <w:r>
        <w:t xml:space="preserve">”</w:t>
      </w:r>
      <w:r>
        <w:t xml:space="preserve">-marked LPs and does not correspond to any single coherent methodology.</w:t>
      </w:r>
    </w:p>
    <w:p>
      <w:pPr>
        <w:pStyle w:val="FirstParagraph"/>
      </w:pPr>
      <w:r>
        <w:rPr>
          <w:b/>
          <w:bCs/>
        </w:rPr>
        <w:t xml:space="preserve">Fund Counsel recommends</w:t>
      </w:r>
      <w:r>
        <w:t xml:space="preserve"> </w:t>
      </w:r>
      <w:r>
        <w:t xml:space="preserve">that the General Partner, in consultation with ERISA counsel, (i) confirm the correct interpretation of</w:t>
      </w:r>
      <w:r>
        <w:t xml:space="preserve"> </w:t>
      </w:r>
      <w:r>
        <w:t xml:space="preserve">“</w:t>
      </w:r>
      <w:r>
        <w:t xml:space="preserve">Benefit Plan Investor</w:t>
      </w:r>
      <w:r>
        <w:t xml:space="preserve">”</w:t>
      </w:r>
      <w:r>
        <w:t xml:space="preserve"> </w:t>
      </w:r>
      <w:r>
        <w:t xml:space="preserve">under the LPA, (ii) reconcile the Commitment Schedule</w:t>
      </w:r>
      <w:r>
        <w:t xml:space="preserve"> </w:t>
      </w:r>
      <w:r>
        <w:t xml:space="preserve">“</w:t>
      </w:r>
      <w:r>
        <w:t xml:space="preserve">Y</w:t>
      </w:r>
      <w:r>
        <w:t xml:space="preserve">”</w:t>
      </w:r>
      <w:r>
        <w:t xml:space="preserve"> </w:t>
      </w:r>
      <w:r>
        <w:t xml:space="preserve">markings with the ERISA Analysis, and (iii) document a single, internally consistent BPI calculation before the Final Closing Certificate is executed. The certificate should not certify Condition 5 until this reconciliation is complete.</w:t>
      </w:r>
    </w:p>
    <w:bookmarkEnd w:id="21"/>
    <w:bookmarkStart w:id="22" w:name="X9bdcd043fdad8dfb09ce8142a3b0b63601e79c9"/>
    <w:p>
      <w:pPr>
        <w:pStyle w:val="Heading3"/>
      </w:pPr>
      <w:r>
        <w:t xml:space="preserve">B. AML/KYC Verification — Cascade Re Insurance Ltd. Omitted from Completion Email</w:t>
      </w:r>
    </w:p>
    <w:p>
      <w:pPr>
        <w:pStyle w:val="FirstParagraph"/>
      </w:pPr>
      <w:r>
        <w:t xml:space="preserve">Condition 3 of Section 11.2 (AML/KYC Compliance) is</w:t>
      </w:r>
      <w:r>
        <w:t xml:space="preserve"> </w:t>
      </w:r>
      <w:r>
        <w:rPr>
          <w:b/>
          <w:bCs/>
        </w:rPr>
        <w:t xml:space="preserve">non-waivable</w:t>
      </w:r>
      <w:r>
        <w:t xml:space="preserve"> </w:t>
      </w:r>
      <w:r>
        <w:t xml:space="preserve">under Section 11.3 of the LPA. The AML Email from Oakmere Fund Services LLC (dated January 24, 2025) states that AML/KYC verification is</w:t>
      </w:r>
      <w:r>
        <w:t xml:space="preserve"> </w:t>
      </w:r>
      <w:r>
        <w:t xml:space="preserve">“</w:t>
      </w:r>
      <w:r>
        <w:t xml:space="preserve">complete</w:t>
      </w:r>
      <w:r>
        <w:t xml:space="preserve">”</w:t>
      </w:r>
      <w:r>
        <w:t xml:space="preserve"> </w:t>
      </w:r>
      <w:r>
        <w:t xml:space="preserve">for</w:t>
      </w:r>
      <w:r>
        <w:t xml:space="preserve"> </w:t>
      </w:r>
      <w:r>
        <w:t xml:space="preserve">“</w:t>
      </w:r>
      <w:r>
        <w:t xml:space="preserve">the final closing investors</w:t>
      </w:r>
      <w:r>
        <w:t xml:space="preserve">”</w:t>
      </w:r>
      <w:r>
        <w:t xml:space="preserve"> </w:t>
      </w:r>
      <w:r>
        <w:t xml:space="preserve">but then lists only</w:t>
      </w:r>
      <w:r>
        <w:t xml:space="preserve"> </w:t>
      </w:r>
      <w:r>
        <w:rPr>
          <w:b/>
          <w:bCs/>
        </w:rPr>
        <w:t xml:space="preserve">five (5) of the six (6)</w:t>
      </w:r>
      <w:r>
        <w:t xml:space="preserve"> </w:t>
      </w:r>
      <w:r>
        <w:t xml:space="preserve">Final Closing Limited Partners:</w:t>
      </w:r>
    </w:p>
    <w:p>
      <w:pPr>
        <w:pStyle w:val="Compact"/>
        <w:numPr>
          <w:ilvl w:val="0"/>
          <w:numId w:val="1004"/>
        </w:numPr>
      </w:pPr>
      <w:r>
        <w:t xml:space="preserve">Meridian State Teachers’ Retirement System</w:t>
      </w:r>
    </w:p>
    <w:p>
      <w:pPr>
        <w:pStyle w:val="Compact"/>
        <w:numPr>
          <w:ilvl w:val="0"/>
          <w:numId w:val="1004"/>
        </w:numPr>
      </w:pPr>
      <w:r>
        <w:t xml:space="preserve">Haverfield Family Office LLC</w:t>
      </w:r>
    </w:p>
    <w:p>
      <w:pPr>
        <w:pStyle w:val="Compact"/>
        <w:numPr>
          <w:ilvl w:val="0"/>
          <w:numId w:val="1004"/>
        </w:numPr>
      </w:pPr>
      <w:r>
        <w:t xml:space="preserve">Northbridge Endowment Fund</w:t>
      </w:r>
    </w:p>
    <w:p>
      <w:pPr>
        <w:pStyle w:val="Compact"/>
        <w:numPr>
          <w:ilvl w:val="0"/>
          <w:numId w:val="1004"/>
        </w:numPr>
      </w:pPr>
      <w:r>
        <w:t xml:space="preserve">Sentry Municipal Employees’ Pension Trust</w:t>
      </w:r>
    </w:p>
    <w:p>
      <w:pPr>
        <w:pStyle w:val="Compact"/>
        <w:numPr>
          <w:ilvl w:val="0"/>
          <w:numId w:val="1004"/>
        </w:numPr>
      </w:pPr>
      <w:r>
        <w:t xml:space="preserve">Kingsgate Ventures Fund-of-Funds III, LP</w:t>
      </w:r>
    </w:p>
    <w:p>
      <w:pPr>
        <w:pStyle w:val="FirstParagraph"/>
      </w:pPr>
      <w:r>
        <w:rPr>
          <w:b/>
          <w:bCs/>
        </w:rPr>
        <w:t xml:space="preserve">Cascade Re Insurance Ltd.</w:t>
      </w:r>
      <w:r>
        <w:t xml:space="preserve"> </w:t>
      </w:r>
      <w:r>
        <w:t xml:space="preserve">($35,000,000 commitment; Bermuda-domiciled Class 3B reinsurer) is</w:t>
      </w:r>
      <w:r>
        <w:t xml:space="preserve"> </w:t>
      </w:r>
      <w:r>
        <w:rPr>
          <w:b/>
          <w:bCs/>
        </w:rPr>
        <w:t xml:space="preserve">not listed</w:t>
      </w:r>
      <w:r>
        <w:t xml:space="preserve"> </w:t>
      </w:r>
      <w:r>
        <w:t xml:space="preserve">in the AML Email. Cascade Re is a non-U.S. entity organized in an offshore insurance jurisdiction and would ordinarily warrant</w:t>
      </w:r>
      <w:r>
        <w:t xml:space="preserve"> </w:t>
      </w:r>
      <w:r>
        <w:rPr>
          <w:b/>
          <w:bCs/>
        </w:rPr>
        <w:t xml:space="preserve">enhanced due diligence</w:t>
      </w:r>
      <w:r>
        <w:t xml:space="preserve"> </w:t>
      </w:r>
      <w:r>
        <w:t xml:space="preserve">(EDD), including source-of-funds verification, sanctions screening against non-U.S. lists, and beneficial ownership analysis. The Checklist (item 18) marks AML/KYC as</w:t>
      </w:r>
      <w:r>
        <w:t xml:space="preserve"> </w:t>
      </w:r>
      <w:r>
        <w:t xml:space="preserve">“</w:t>
      </w:r>
      <w:r>
        <w:t xml:space="preserve">Complete</w:t>
      </w:r>
      <w:r>
        <w:t xml:space="preserve">”</w:t>
      </w:r>
      <w:r>
        <w:t xml:space="preserve"> </w:t>
      </w:r>
      <w:r>
        <w:t xml:space="preserve">for</w:t>
      </w:r>
      <w:r>
        <w:t xml:space="preserve"> </w:t>
      </w:r>
      <w:r>
        <w:t xml:space="preserve">“</w:t>
      </w:r>
      <w:r>
        <w:t xml:space="preserve">all Final Closing limited partners</w:t>
      </w:r>
      <w:r>
        <w:t xml:space="preserve">”</w:t>
      </w:r>
      <w:r>
        <w:t xml:space="preserve"> </w:t>
      </w:r>
      <w:r>
        <w:t xml:space="preserve">and cites the AML Email as support, but the email on its face does not cover Cascade Re.</w:t>
      </w:r>
    </w:p>
    <w:p>
      <w:pPr>
        <w:pStyle w:val="BodyText"/>
      </w:pPr>
      <w:r>
        <w:rPr>
          <w:b/>
          <w:bCs/>
        </w:rPr>
        <w:t xml:space="preserve">Fund Counsel recommends</w:t>
      </w:r>
      <w:r>
        <w:t xml:space="preserve"> </w:t>
      </w:r>
      <w:r>
        <w:t xml:space="preserve">that Oakmere promptly deliver a supplemental AML/KYC completion confirmation expressly covering Cascade Re Insurance Ltd., including confirmation of EDD procedures performed, before the Final Closing. The Final Closing Certificate’s certification of Condition 3 should not be executed until written AML/KYC confirmation covering all six Final Closing Limited Partners — including Cascade Re — is on file.</w:t>
      </w:r>
    </w:p>
    <w:bookmarkEnd w:id="22"/>
    <w:bookmarkStart w:id="23" w:name="Xc90bc21cf0cfd292c029ee1189b3e0efdc7a3db"/>
    <w:p>
      <w:pPr>
        <w:pStyle w:val="Heading3"/>
      </w:pPr>
      <w:r>
        <w:t xml:space="preserve">C. LPA Amendment No. 1 — Section 8.3(b) / 8.3(c) Catch-Up Correction Mislabeled</w:t>
      </w:r>
    </w:p>
    <w:p>
      <w:pPr>
        <w:pStyle w:val="FirstParagraph"/>
      </w:pPr>
      <w:r>
        <w:t xml:space="preserve">Amendment No. 1, Section 1.2, purports to correct a</w:t>
      </w:r>
      <w:r>
        <w:t xml:space="preserve"> </w:t>
      </w:r>
      <w:r>
        <w:t xml:space="preserve">“</w:t>
      </w:r>
      <w:r>
        <w:t xml:space="preserve">technical error</w:t>
      </w:r>
      <w:r>
        <w:t xml:space="preserve">”</w:t>
      </w:r>
      <w:r>
        <w:t xml:space="preserve"> </w:t>
      </w:r>
      <w:r>
        <w:t xml:space="preserve">in</w:t>
      </w:r>
      <w:r>
        <w:t xml:space="preserve"> </w:t>
      </w:r>
      <w:r>
        <w:t xml:space="preserve">“</w:t>
      </w:r>
      <w:r>
        <w:rPr>
          <w:b/>
          <w:bCs/>
        </w:rPr>
        <w:t xml:space="preserve">Section 8.3(b)</w:t>
      </w:r>
      <w:r>
        <w:t xml:space="preserve">”</w:t>
      </w:r>
      <w:r>
        <w:t xml:space="preserve"> </w:t>
      </w:r>
      <w:r>
        <w:t xml:space="preserve">of the LPA, which it describes as the</w:t>
      </w:r>
      <w:r>
        <w:t xml:space="preserve"> </w:t>
      </w:r>
      <w:r>
        <w:t xml:space="preserve">“</w:t>
      </w:r>
      <w:r>
        <w:t xml:space="preserve">second tier of the distribution waterfall (the General Partner’s</w:t>
      </w:r>
      <w:r>
        <w:t xml:space="preserve"> </w:t>
      </w:r>
      <w:r>
        <w:t xml:space="preserve">‘</w:t>
      </w:r>
      <w:r>
        <w:t xml:space="preserve">catch-up</w:t>
      </w:r>
      <w:r>
        <w:t xml:space="preserve">’</w:t>
      </w:r>
      <w:r>
        <w:t xml:space="preserve"> </w:t>
      </w:r>
      <w:r>
        <w:t xml:space="preserve">allocation).</w:t>
      </w:r>
      <w:r>
        <w:t xml:space="preserve">”</w:t>
      </w:r>
      <w:r>
        <w:t xml:space="preserve"> </w:t>
      </w:r>
      <w:r>
        <w:t xml:space="preserve">However, in the LPA as executed:</w:t>
      </w:r>
    </w:p>
    <w:p>
      <w:pPr>
        <w:pStyle w:val="Compact"/>
        <w:numPr>
          <w:ilvl w:val="0"/>
          <w:numId w:val="1005"/>
        </w:numPr>
      </w:pPr>
      <w:r>
        <w:rPr>
          <w:b/>
          <w:bCs/>
        </w:rPr>
        <w:t xml:space="preserve">Section 8.3(b)</w:t>
      </w:r>
      <w:r>
        <w:t xml:space="preserve"> </w:t>
      </w:r>
      <w:r>
        <w:t xml:space="preserve">is the</w:t>
      </w:r>
      <w:r>
        <w:t xml:space="preserve"> </w:t>
      </w:r>
      <w:r>
        <w:rPr>
          <w:b/>
          <w:bCs/>
        </w:rPr>
        <w:t xml:space="preserve">Preferred Return</w:t>
      </w:r>
      <w:r>
        <w:t xml:space="preserve"> </w:t>
      </w:r>
      <w:r>
        <w:t xml:space="preserve">tier (100% to the Partners until each Partner has received an 8% IRR preferred return);</w:t>
      </w:r>
    </w:p>
    <w:p>
      <w:pPr>
        <w:pStyle w:val="Compact"/>
        <w:numPr>
          <w:ilvl w:val="0"/>
          <w:numId w:val="1005"/>
        </w:numPr>
      </w:pPr>
      <w:r>
        <w:rPr>
          <w:b/>
          <w:bCs/>
        </w:rPr>
        <w:t xml:space="preserve">Section 8.3(c)</w:t>
      </w:r>
      <w:r>
        <w:t xml:space="preserve"> </w:t>
      </w:r>
      <w:r>
        <w:t xml:space="preserve">is the</w:t>
      </w:r>
      <w:r>
        <w:t xml:space="preserve"> </w:t>
      </w:r>
      <w:r>
        <w:rPr>
          <w:b/>
          <w:bCs/>
        </w:rPr>
        <w:t xml:space="preserve">GP Catch-Up</w:t>
      </w:r>
      <w:r>
        <w:t xml:space="preserve"> </w:t>
      </w:r>
      <w:r>
        <w:t xml:space="preserve">tier (100% to the General Partner until the GP has received 20% of amounts distributed under Sections 8.3(b) and 8.3(c)).</w:t>
      </w:r>
    </w:p>
    <w:p>
      <w:pPr>
        <w:pStyle w:val="FirstParagraph"/>
      </w:pPr>
      <w:r>
        <w:t xml:space="preserve">The Amendment therefore misidentifies the section being corrected. The</w:t>
      </w:r>
      <w:r>
        <w:t xml:space="preserve"> </w:t>
      </w:r>
      <w:r>
        <w:t xml:space="preserve">“</w:t>
      </w:r>
      <w:r>
        <w:t xml:space="preserve">original</w:t>
      </w:r>
      <w:r>
        <w:t xml:space="preserve">”</w:t>
      </w:r>
      <w:r>
        <w:t xml:space="preserve"> </w:t>
      </w:r>
      <w:r>
        <w:t xml:space="preserve">language quoted in the Amendment (distributions</w:t>
      </w:r>
      <w:r>
        <w:t xml:space="preserve"> </w:t>
      </w:r>
      <w:r>
        <w:t xml:space="preserve">“</w:t>
      </w:r>
      <w:r>
        <w:t xml:space="preserve">to the General Partner in an amount equal to 20% of the aggregate amount distributed pursuant to Section 8.3(a) and this Section 8.3(b)</w:t>
      </w:r>
      <w:r>
        <w:t xml:space="preserve">”</w:t>
      </w:r>
      <w:r>
        <w:t xml:space="preserve">)</w:t>
      </w:r>
      <w:r>
        <w:t xml:space="preserve"> </w:t>
      </w:r>
      <w:r>
        <w:rPr>
          <w:b/>
          <w:bCs/>
        </w:rPr>
        <w:t xml:space="preserve">does not match</w:t>
      </w:r>
      <w:r>
        <w:t xml:space="preserve"> </w:t>
      </w:r>
      <w:r>
        <w:t xml:space="preserve">the actual text of Section 8.3(b) in the LPA (which is the preferred return, 100% to Partners). If the Amendment’s replacement text were applied literally to Section 8.3(b), it would</w:t>
      </w:r>
      <w:r>
        <w:t xml:space="preserve"> </w:t>
      </w:r>
      <w:r>
        <w:rPr>
          <w:b/>
          <w:bCs/>
        </w:rPr>
        <w:t xml:space="preserve">delete the preferred return</w:t>
      </w:r>
      <w:r>
        <w:t xml:space="preserve"> </w:t>
      </w:r>
      <w:r>
        <w:t xml:space="preserve">and replace it with a second catch-up provision — an economically nonsensical result that would materially and adversely affect the Limited Partners.</w:t>
      </w:r>
    </w:p>
    <w:p>
      <w:pPr>
        <w:pStyle w:val="BodyText"/>
      </w:pPr>
      <w:r>
        <w:t xml:space="preserve">The intended correction almost certainly targets</w:t>
      </w:r>
      <w:r>
        <w:t xml:space="preserve"> </w:t>
      </w:r>
      <w:r>
        <w:rPr>
          <w:b/>
          <w:bCs/>
        </w:rPr>
        <w:t xml:space="preserve">Section 8.3(c)</w:t>
      </w:r>
      <w:r>
        <w:t xml:space="preserve"> </w:t>
      </w:r>
      <w:r>
        <w:t xml:space="preserve">(the GP Catch-Up), not Section 8.3(b). Notably, the LPA’s Section 8.3(c) already appears to contain a properly functioning catch-up mechanism, raising a further question as to whether the</w:t>
      </w:r>
      <w:r>
        <w:t xml:space="preserve"> </w:t>
      </w:r>
      <w:r>
        <w:t xml:space="preserve">“</w:t>
      </w:r>
      <w:r>
        <w:t xml:space="preserve">technical error</w:t>
      </w:r>
      <w:r>
        <w:t xml:space="preserve">”</w:t>
      </w:r>
      <w:r>
        <w:t xml:space="preserve"> </w:t>
      </w:r>
      <w:r>
        <w:t xml:space="preserve">the Amendment describes ever existed in the form stated.</w:t>
      </w:r>
    </w:p>
    <w:p>
      <w:pPr>
        <w:pStyle w:val="BodyText"/>
      </w:pPr>
      <w:r>
        <w:rPr>
          <w:b/>
          <w:bCs/>
        </w:rPr>
        <w:t xml:space="preserve">Fund Counsel recommends</w:t>
      </w:r>
      <w:r>
        <w:t xml:space="preserve"> </w:t>
      </w:r>
      <w:r>
        <w:t xml:space="preserve">that the Amendment be reviewed and, if necessary, corrected (via a further amendment or clarifying memorandum) to reference the correct section (8.3(c)) and to confirm that the preferred return in Section 8.3(b) remains intact. Because the Amendment was effected unilaterally by the General Partner under Section 14.1 of the LPA (see Section III.D below), any correction should be carefully documented.</w:t>
      </w:r>
    </w:p>
    <w:p>
      <w:r>
        <w:pict>
          <v:rect style="width:0;height:1.5pt" o:hralign="center" o:hrstd="t" o:hr="t"/>
        </w:pict>
      </w:r>
    </w:p>
    <w:bookmarkEnd w:id="23"/>
    <w:bookmarkEnd w:id="24"/>
    <w:bookmarkStart w:id="31" w:name="X61cd368e0bf19f6b419ba3d5af1df462ca5d249"/>
    <w:p>
      <w:pPr>
        <w:pStyle w:val="Heading2"/>
      </w:pPr>
      <w:r>
        <w:t xml:space="preserve">III. Significant Discrepancies in Source Documents</w:t>
      </w:r>
    </w:p>
    <w:bookmarkStart w:id="25" w:name="Xfd27372c0283b2ee6191ed3fcb1719f3311f9ee"/>
    <w:p>
      <w:pPr>
        <w:pStyle w:val="Heading3"/>
      </w:pPr>
      <w:r>
        <w:t xml:space="preserve">A. Birchwood Insurance Co. — Capital Commitment Amount Inconsistent</w:t>
      </w:r>
    </w:p>
    <w:p>
      <w:pPr>
        <w:pStyle w:val="FirstParagraph"/>
      </w:pPr>
      <w:r>
        <w:t xml:space="preserve">The Amendment (Section 1.3(a)) states that Birchwood Insurance Co., a Second Closing Limited Partner, has a Capital Commitment of</w:t>
      </w:r>
      <w:r>
        <w:t xml:space="preserve"> </w:t>
      </w:r>
      <w:r>
        <w:rPr>
          <w:b/>
          <w:bCs/>
        </w:rPr>
        <w:t xml:space="preserve">$75,000,000</w:t>
      </w:r>
      <w:r>
        <w:t xml:space="preserve">. However:</w:t>
      </w:r>
    </w:p>
    <w:p>
      <w:pPr>
        <w:pStyle w:val="Compact"/>
        <w:numPr>
          <w:ilvl w:val="0"/>
          <w:numId w:val="1006"/>
        </w:numPr>
      </w:pPr>
      <w:r>
        <w:rPr>
          <w:b/>
          <w:bCs/>
        </w:rPr>
        <w:t xml:space="preserve">CC#2</w:t>
      </w:r>
      <w:r>
        <w:t xml:space="preserve"> </w:t>
      </w:r>
      <w:r>
        <w:t xml:space="preserve">(Exhibit A) lists Birchwood at</w:t>
      </w:r>
      <w:r>
        <w:t xml:space="preserve"> </w:t>
      </w:r>
      <w:r>
        <w:rPr>
          <w:b/>
          <w:bCs/>
        </w:rPr>
        <w:t xml:space="preserve">$60,000,000</w:t>
      </w:r>
      <w:r>
        <w:t xml:space="preserve"> </w:t>
      </w:r>
      <w:r>
        <w:t xml:space="preserve">(5% call = $3,000,000, which is consistent with $60,000,000);</w:t>
      </w:r>
    </w:p>
    <w:p>
      <w:pPr>
        <w:pStyle w:val="Compact"/>
        <w:numPr>
          <w:ilvl w:val="0"/>
          <w:numId w:val="1006"/>
        </w:numPr>
      </w:pPr>
      <w:r>
        <w:t xml:space="preserve">The</w:t>
      </w:r>
      <w:r>
        <w:t xml:space="preserve"> </w:t>
      </w:r>
      <w:r>
        <w:rPr>
          <w:b/>
          <w:bCs/>
        </w:rPr>
        <w:t xml:space="preserve">Checklist</w:t>
      </w:r>
      <w:r>
        <w:t xml:space="preserve"> </w:t>
      </w:r>
      <w:r>
        <w:t xml:space="preserve">(Commitment Schedule) lists Birchwood at</w:t>
      </w:r>
      <w:r>
        <w:t xml:space="preserve"> </w:t>
      </w:r>
      <w:r>
        <w:rPr>
          <w:b/>
          <w:bCs/>
        </w:rPr>
        <w:t xml:space="preserve">$60,000,000</w:t>
      </w:r>
      <w:r>
        <w:t xml:space="preserve">; and</w:t>
      </w:r>
    </w:p>
    <w:p>
      <w:pPr>
        <w:pStyle w:val="Compact"/>
        <w:numPr>
          <w:ilvl w:val="0"/>
          <w:numId w:val="1006"/>
        </w:numPr>
      </w:pPr>
      <w:r>
        <w:t xml:space="preserve">The Amendment’s</w:t>
      </w:r>
      <w:r>
        <w:t xml:space="preserve"> </w:t>
      </w:r>
      <w:r>
        <w:rPr>
          <w:b/>
          <w:bCs/>
        </w:rPr>
        <w:t xml:space="preserve">own aggregate</w:t>
      </w:r>
      <w:r>
        <w:t xml:space="preserve"> </w:t>
      </w:r>
      <w:r>
        <w:t xml:space="preserve">for the Second Closing is $375,000,000 for nine LPs. The nine Second Closing LPs per the Checklist sum to $375,000,000</w:t>
      </w:r>
      <w:r>
        <w:t xml:space="preserve"> </w:t>
      </w:r>
      <w:r>
        <w:rPr>
          <w:b/>
          <w:bCs/>
        </w:rPr>
        <w:t xml:space="preserve">only if</w:t>
      </w:r>
      <w:r>
        <w:t xml:space="preserve"> </w:t>
      </w:r>
      <w:r>
        <w:t xml:space="preserve">Birchwood is $60,000,000; if Birchwood were $75,000,000, the Second Closing total would be $390,000,000, which contradicts the Amendment’s stated aggregate.</w:t>
      </w:r>
    </w:p>
    <w:p>
      <w:pPr>
        <w:pStyle w:val="FirstParagraph"/>
      </w:pPr>
      <w:r>
        <w:t xml:space="preserve">The</w:t>
      </w:r>
      <w:r>
        <w:t xml:space="preserve"> </w:t>
      </w:r>
      <w:r>
        <w:rPr>
          <w:b/>
          <w:bCs/>
        </w:rPr>
        <w:t xml:space="preserve">$75,000,000 figure in the Amendment is internally inconsistent</w:t>
      </w:r>
      <w:r>
        <w:t xml:space="preserve"> </w:t>
      </w:r>
      <w:r>
        <w:t xml:space="preserve">with the Amendment’s own $375,000,000 aggregate and is contradicted by CC#2 and the Checklist. The correct figure appears to be</w:t>
      </w:r>
      <w:r>
        <w:t xml:space="preserve"> </w:t>
      </w:r>
      <w:r>
        <w:rPr>
          <w:b/>
          <w:bCs/>
        </w:rPr>
        <w:t xml:space="preserve">$60,000,000</w:t>
      </w:r>
      <w:r>
        <w:t xml:space="preserve">. Fund Counsel recommends correcting the Amendment (or confirming the correct amount) and ensuring the Advisory Committee appointment of Thomas A. Riley (Birchwood’s representative) references the correct commitment.</w:t>
      </w:r>
    </w:p>
    <w:bookmarkEnd w:id="25"/>
    <w:bookmarkStart w:id="26" w:name="X5fbcacfc27b03a91374fbe32097c02b680d0def"/>
    <w:p>
      <w:pPr>
        <w:pStyle w:val="Heading3"/>
      </w:pPr>
      <w:r>
        <w:t xml:space="preserve">B. Default Interest Rate — Three Different Rates Across Documents</w:t>
      </w:r>
    </w:p>
    <w:p>
      <w:pPr>
        <w:pStyle w:val="FirstParagraph"/>
      </w:pPr>
      <w:r>
        <w:t xml:space="preserve">The documents state three different default interest rates:</w:t>
      </w:r>
    </w:p>
    <w:tbl>
      <w:tblPr>
        <w:tblStyle w:val="Table"/>
        <w:tblW w:type="pct" w:w="5000"/>
        <w:jc w:val="left"/>
        <w:tblLayout w:type="fixed"/>
        <w:tblLook w:firstRow="1" w:lastRow="0" w:firstColumn="0" w:lastColumn="0" w:noHBand="0" w:noVBand="0" w:val="0020"/>
      </w:tblPr>
      <w:tblGrid>
        <w:gridCol w:w="2475"/>
        <w:gridCol w:w="5445"/>
      </w:tblGrid>
      <w:tr>
        <w:trPr>
          <w:tblHeader w:val="on"/>
        </w:trPr>
        <w:tc>
          <w:tcPr/>
          <w:p>
            <w:pPr>
              <w:pStyle w:val="Compact"/>
              <w:jc w:val="left"/>
            </w:pPr>
            <w:r>
              <w:t xml:space="preserve">Document</w:t>
            </w:r>
          </w:p>
        </w:tc>
        <w:tc>
          <w:tcPr/>
          <w:p>
            <w:pPr>
              <w:pStyle w:val="Compact"/>
              <w:jc w:val="left"/>
            </w:pPr>
            <w:r>
              <w:t xml:space="preserve">Default Interest Rate</w:t>
            </w:r>
          </w:p>
        </w:tc>
      </w:tr>
      <w:tr>
        <w:tc>
          <w:tcPr/>
          <w:p>
            <w:pPr>
              <w:pStyle w:val="Compact"/>
              <w:jc w:val="left"/>
            </w:pPr>
            <w:r>
              <w:t xml:space="preserve">LPA (§3.3(b))</w:t>
            </w:r>
          </w:p>
        </w:tc>
        <w:tc>
          <w:tcPr/>
          <w:p>
            <w:pPr>
              <w:pStyle w:val="Compact"/>
              <w:jc w:val="left"/>
            </w:pPr>
            <w:r>
              <w:t xml:space="preserve">12% per annum (cure-period interest; no compounding specified)</w:t>
            </w:r>
          </w:p>
        </w:tc>
      </w:tr>
      <w:tr>
        <w:tc>
          <w:tcPr/>
          <w:p>
            <w:pPr>
              <w:pStyle w:val="Compact"/>
              <w:jc w:val="left"/>
            </w:pPr>
            <w:r>
              <w:t xml:space="preserve">CC#1 (§V)</w:t>
            </w:r>
          </w:p>
        </w:tc>
        <w:tc>
          <w:tcPr/>
          <w:p>
            <w:pPr>
              <w:pStyle w:val="Compact"/>
              <w:jc w:val="left"/>
            </w:pPr>
            <w:r>
              <w:t xml:space="preserve">12% per annum (or maximum rate permitted by law, if lower)</w:t>
            </w:r>
          </w:p>
        </w:tc>
      </w:tr>
      <w:tr>
        <w:tc>
          <w:tcPr/>
          <w:p>
            <w:pPr>
              <w:pStyle w:val="Compact"/>
              <w:jc w:val="left"/>
            </w:pPr>
            <w:r>
              <w:t xml:space="preserve">CC#2 (§V)</w:t>
            </w:r>
          </w:p>
        </w:tc>
        <w:tc>
          <w:tcPr/>
          <w:p>
            <w:pPr>
              <w:pStyle w:val="Compact"/>
              <w:jc w:val="left"/>
            </w:pPr>
            <w:r>
              <w:t xml:space="preserve">12% per annum,</w:t>
            </w:r>
            <w:r>
              <w:t xml:space="preserve"> </w:t>
            </w:r>
            <w:r>
              <w:rPr>
                <w:b/>
                <w:bCs/>
              </w:rPr>
              <w:t xml:space="preserve">compounding quarterly</w:t>
            </w:r>
          </w:p>
        </w:tc>
      </w:tr>
      <w:tr>
        <w:tc>
          <w:tcPr/>
          <w:p>
            <w:pPr>
              <w:pStyle w:val="Compact"/>
              <w:jc w:val="left"/>
            </w:pPr>
            <w:r>
              <w:t xml:space="preserve">Sub Agreement (§1.2)</w:t>
            </w:r>
          </w:p>
        </w:tc>
        <w:tc>
          <w:tcPr/>
          <w:p>
            <w:pPr>
              <w:pStyle w:val="Compact"/>
              <w:jc w:val="left"/>
            </w:pPr>
            <w:r>
              <w:rPr>
                <w:b/>
                <w:bCs/>
              </w:rPr>
              <w:t xml:space="preserve">18% per annum</w:t>
            </w:r>
            <w:r>
              <w:t xml:space="preserve"> </w:t>
            </w:r>
            <w:r>
              <w:t xml:space="preserve">(lesser of 18% and maximum rate permitted by law)</w:t>
            </w:r>
          </w:p>
        </w:tc>
      </w:tr>
    </w:tbl>
    <w:p>
      <w:pPr>
        <w:pStyle w:val="BodyText"/>
      </w:pPr>
      <w:r>
        <w:t xml:space="preserve">The</w:t>
      </w:r>
      <w:r>
        <w:t xml:space="preserve"> </w:t>
      </w:r>
      <w:r>
        <w:rPr>
          <w:b/>
          <w:bCs/>
        </w:rPr>
        <w:t xml:space="preserve">Sub Agreement’s 18% rate is inconsistent with the LPA’s 12% rate</w:t>
      </w:r>
      <w:r>
        <w:t xml:space="preserve"> </w:t>
      </w:r>
      <w:r>
        <w:t xml:space="preserve">and would overstate the default remedy available to the Fund. The</w:t>
      </w:r>
      <w:r>
        <w:t xml:space="preserve"> </w:t>
      </w:r>
      <w:r>
        <w:rPr>
          <w:b/>
          <w:bCs/>
        </w:rPr>
        <w:t xml:space="preserve">CC#2</w:t>
      </w:r>
      <w:r>
        <w:rPr>
          <w:b/>
          <w:bCs/>
        </w:rPr>
        <w:t xml:space="preserve"> </w:t>
      </w:r>
      <w:r>
        <w:rPr>
          <w:b/>
          <w:bCs/>
        </w:rPr>
        <w:t xml:space="preserve">“</w:t>
      </w:r>
      <w:r>
        <w:rPr>
          <w:b/>
          <w:bCs/>
        </w:rPr>
        <w:t xml:space="preserve">compounding quarterly</w:t>
      </w:r>
      <w:r>
        <w:rPr>
          <w:b/>
          <w:bCs/>
        </w:rPr>
        <w:t xml:space="preserve">”</w:t>
      </w:r>
      <w:r>
        <w:t xml:space="preserve"> </w:t>
      </w:r>
      <w:r>
        <w:t xml:space="preserve">specification is not found in the LPA and is inconsistent with CC#1 (which does not mention compounding). Fund Counsel recommends conforming the Sub Agreement and the capital call notices to the LPA’s 12% per annum simple-interest default rate, or amending the LPA if a different rate is intended. The Final Closing Certificate should not be relied upon to cure this inconsistency.</w:t>
      </w:r>
    </w:p>
    <w:bookmarkEnd w:id="26"/>
    <w:bookmarkStart w:id="27" w:name="X6612de93d7be59a46dc3b40ac8e871af265797d"/>
    <w:p>
      <w:pPr>
        <w:pStyle w:val="Heading3"/>
      </w:pPr>
      <w:r>
        <w:t xml:space="preserve">C. Equalization Interest — Day-Count Discrepancies</w:t>
      </w:r>
    </w:p>
    <w:p>
      <w:pPr>
        <w:pStyle w:val="FirstParagraph"/>
      </w:pPr>
      <w:r>
        <w:t xml:space="preserve">Section 3.2(c) of the LPA provides that equalization interest is calculated</w:t>
      </w:r>
      <w:r>
        <w:t xml:space="preserve"> </w:t>
      </w:r>
      <w:r>
        <w:t xml:space="preserve">“</w:t>
      </w:r>
      <w:r>
        <w:t xml:space="preserve">from and including the date of each prior Capital Call through and including the date of the applicable Subsequent Closing.</w:t>
      </w:r>
      <w:r>
        <w:t xml:space="preserve">”</w:t>
      </w:r>
      <w:r>
        <w:t xml:space="preserve"> </w:t>
      </w:r>
      <w:r>
        <w:t xml:space="preserve">The day counts used in the Source Documents do not consistently follow this</w:t>
      </w:r>
      <w:r>
        <w:t xml:space="preserve"> </w:t>
      </w:r>
      <w:r>
        <w:t xml:space="preserve">“</w:t>
      </w:r>
      <w:r>
        <w:t xml:space="preserve">inclusive both endpoints</w:t>
      </w:r>
      <w:r>
        <w:t xml:space="preserve">”</w:t>
      </w:r>
      <w:r>
        <w:t xml:space="preserve"> </w:t>
      </w:r>
      <w:r>
        <w:t xml:space="preserve">methodology:</w:t>
      </w:r>
    </w:p>
    <w:tbl>
      <w:tblPr>
        <w:tblStyle w:val="Table"/>
        <w:tblW w:type="pct" w:w="5000"/>
        <w:jc w:val="left"/>
        <w:tblLayout w:type="fixed"/>
        <w:tblLook w:firstRow="1" w:lastRow="0" w:firstColumn="0" w:lastColumn="0" w:noHBand="0" w:noVBand="0" w:val="0020"/>
      </w:tblPr>
      <w:tblGrid>
        <w:gridCol w:w="1131"/>
        <w:gridCol w:w="2747"/>
        <w:gridCol w:w="1212"/>
        <w:gridCol w:w="2828"/>
      </w:tblGrid>
      <w:tr>
        <w:trPr>
          <w:tblHeader w:val="on"/>
        </w:trPr>
        <w:tc>
          <w:tcPr/>
          <w:p>
            <w:pPr>
              <w:pStyle w:val="Compact"/>
              <w:jc w:val="left"/>
            </w:pPr>
            <w:r>
              <w:t xml:space="preserve">Capital Call</w:t>
            </w:r>
          </w:p>
        </w:tc>
        <w:tc>
          <w:tcPr/>
          <w:p>
            <w:pPr>
              <w:pStyle w:val="Compact"/>
              <w:jc w:val="left"/>
            </w:pPr>
            <w:r>
              <w:t xml:space="preserve">LPA Method (inclusive both ends)</w:t>
            </w:r>
          </w:p>
        </w:tc>
        <w:tc>
          <w:tcPr/>
          <w:p>
            <w:pPr>
              <w:pStyle w:val="Compact"/>
              <w:jc w:val="left"/>
            </w:pPr>
            <w:r>
              <w:t xml:space="preserve">Sub Agreement</w:t>
            </w:r>
          </w:p>
        </w:tc>
        <w:tc>
          <w:tcPr/>
          <w:p>
            <w:pPr>
              <w:pStyle w:val="Compact"/>
              <w:jc w:val="left"/>
            </w:pPr>
            <w:r>
              <w:t xml:space="preserve">Checklist (Equalization Calc tab)</w:t>
            </w:r>
          </w:p>
        </w:tc>
      </w:tr>
      <w:tr>
        <w:tc>
          <w:tcPr/>
          <w:p>
            <w:pPr>
              <w:pStyle w:val="Compact"/>
              <w:jc w:val="left"/>
            </w:pPr>
            <w:r>
              <w:t xml:space="preserve">CC#1 (Oct 10, 2024 → Jan 31, 2025)</w:t>
            </w:r>
          </w:p>
        </w:tc>
        <w:tc>
          <w:tcPr/>
          <w:p>
            <w:pPr>
              <w:pStyle w:val="Compact"/>
              <w:jc w:val="left"/>
            </w:pPr>
            <w:r>
              <w:rPr>
                <w:b/>
                <w:bCs/>
              </w:rPr>
              <w:t xml:space="preserve">114 days</w:t>
            </w:r>
          </w:p>
        </w:tc>
        <w:tc>
          <w:tcPr/>
          <w:p>
            <w:pPr>
              <w:pStyle w:val="Compact"/>
              <w:jc w:val="left"/>
            </w:pPr>
            <w:r>
              <w:t xml:space="preserve">113 days</w:t>
            </w:r>
          </w:p>
        </w:tc>
        <w:tc>
          <w:tcPr/>
          <w:p>
            <w:pPr>
              <w:pStyle w:val="Compact"/>
              <w:jc w:val="left"/>
            </w:pPr>
            <w:r>
              <w:t xml:space="preserve">113 days</w:t>
            </w:r>
          </w:p>
        </w:tc>
      </w:tr>
      <w:tr>
        <w:tc>
          <w:tcPr/>
          <w:p>
            <w:pPr>
              <w:pStyle w:val="Compact"/>
              <w:jc w:val="left"/>
            </w:pPr>
            <w:r>
              <w:t xml:space="preserve">CC#2 (Dec 15, 2024 → Jan 31, 2025)</w:t>
            </w:r>
          </w:p>
        </w:tc>
        <w:tc>
          <w:tcPr/>
          <w:p>
            <w:pPr>
              <w:pStyle w:val="Compact"/>
              <w:jc w:val="left"/>
            </w:pPr>
            <w:r>
              <w:rPr>
                <w:b/>
                <w:bCs/>
              </w:rPr>
              <w:t xml:space="preserve">48 days</w:t>
            </w:r>
          </w:p>
        </w:tc>
        <w:tc>
          <w:tcPr/>
          <w:p>
            <w:pPr>
              <w:pStyle w:val="Compact"/>
              <w:jc w:val="left"/>
            </w:pPr>
            <w:r>
              <w:t xml:space="preserve">47 days</w:t>
            </w:r>
          </w:p>
        </w:tc>
        <w:tc>
          <w:tcPr/>
          <w:p>
            <w:pPr>
              <w:pStyle w:val="Compact"/>
              <w:jc w:val="left"/>
            </w:pPr>
            <w:r>
              <w:rPr>
                <w:b/>
                <w:bCs/>
              </w:rPr>
              <w:t xml:space="preserve">46 days</w:t>
            </w:r>
          </w:p>
        </w:tc>
      </w:tr>
    </w:tbl>
    <w:p>
      <w:pPr>
        <w:pStyle w:val="BodyText"/>
      </w:pPr>
      <w:r>
        <w:t xml:space="preserve">The</w:t>
      </w:r>
      <w:r>
        <w:t xml:space="preserve"> </w:t>
      </w:r>
      <w:r>
        <w:rPr>
          <w:b/>
          <w:bCs/>
        </w:rPr>
        <w:t xml:space="preserve">Checklist’s 46-day count for CC#2</w:t>
      </w:r>
      <w:r>
        <w:t xml:space="preserve"> </w:t>
      </w:r>
      <w:r>
        <w:t xml:space="preserve">does not correspond to any standard convention (it is neither the date-difference of 47 nor the inclusive count of 48). This produces a different total equalization interest than the Sub Agreement:</w:t>
      </w:r>
    </w:p>
    <w:p>
      <w:pPr>
        <w:pStyle w:val="Compact"/>
        <w:numPr>
          <w:ilvl w:val="0"/>
          <w:numId w:val="1007"/>
        </w:numPr>
      </w:pPr>
      <w:r>
        <w:rPr>
          <w:b/>
          <w:bCs/>
        </w:rPr>
        <w:t xml:space="preserve">Checklist total equalization interest:</w:t>
      </w:r>
      <w:r>
        <w:t xml:space="preserve"> </w:t>
      </w:r>
      <w:r>
        <w:t xml:space="preserve">$849,534.24 (total due: $43,599,534.24)</w:t>
      </w:r>
    </w:p>
    <w:p>
      <w:pPr>
        <w:pStyle w:val="Compact"/>
        <w:numPr>
          <w:ilvl w:val="0"/>
          <w:numId w:val="1007"/>
        </w:numPr>
      </w:pPr>
      <w:r>
        <w:rPr>
          <w:b/>
          <w:bCs/>
        </w:rPr>
        <w:t xml:space="preserve">Sub Agreement total equalization interest:</w:t>
      </w:r>
      <w:r>
        <w:t xml:space="preserve"> </w:t>
      </w:r>
      <w:r>
        <w:t xml:space="preserve">$852,661.64 aggregate / $852,657.53 per-LP sum (total due: $43,602,661.64)</w:t>
      </w:r>
    </w:p>
    <w:p>
      <w:pPr>
        <w:pStyle w:val="FirstParagraph"/>
      </w:pPr>
      <w:r>
        <w:t xml:space="preserve">The difference ($3,127.40 in total amounts due) is small in absolute terms but affects the precise amount each Final Closing Limited Partner must wire. Fund Counsel recommends that Oakmere confirm the controlling day-count convention (the LPA’s</w:t>
      </w:r>
      <w:r>
        <w:t xml:space="preserve"> </w:t>
      </w:r>
      <w:r>
        <w:t xml:space="preserve">“</w:t>
      </w:r>
      <w:r>
        <w:t xml:space="preserve">from and including … through and including</w:t>
      </w:r>
      <w:r>
        <w:t xml:space="preserve">”</w:t>
      </w:r>
      <w:r>
        <w:t xml:space="preserve"> </w:t>
      </w:r>
      <w:r>
        <w:t xml:space="preserve">language yields 114 and 48 days), reconcile the two calculations, and ensure the closing statements delivered to each Final Closing Limited Partner reflect a single agreed figure.</w:t>
      </w:r>
    </w:p>
    <w:bookmarkEnd w:id="27"/>
    <w:bookmarkStart w:id="28" w:name="X9d7e69c53f1a9c7580af1b247063278c797728f"/>
    <w:p>
      <w:pPr>
        <w:pStyle w:val="Heading3"/>
      </w:pPr>
      <w:r>
        <w:t xml:space="preserve">D. LPA Amendment No. 1 — Incorrect Section Cross-References</w:t>
      </w:r>
    </w:p>
    <w:p>
      <w:pPr>
        <w:pStyle w:val="FirstParagraph"/>
      </w:pPr>
      <w:r>
        <w:t xml:space="preserve">The Amendment contains multiple incorrect cross-references to the LPA, several of which are material to the validity of the actions taken:</w:t>
      </w:r>
    </w:p>
    <w:tbl>
      <w:tblPr>
        <w:tblStyle w:val="Table"/>
        <w:tblW w:type="pct" w:w="5000"/>
        <w:jc w:val="left"/>
        <w:tblLayout w:type="fixed"/>
        <w:tblLook w:firstRow="1" w:lastRow="0" w:firstColumn="0" w:lastColumn="0" w:noHBand="0" w:noVBand="0" w:val="0020"/>
      </w:tblPr>
      <w:tblGrid>
        <w:gridCol w:w="2682"/>
        <w:gridCol w:w="2810"/>
        <w:gridCol w:w="2427"/>
      </w:tblGrid>
      <w:tr>
        <w:trPr>
          <w:tblHeader w:val="on"/>
        </w:trPr>
        <w:tc>
          <w:tcPr/>
          <w:p>
            <w:pPr>
              <w:pStyle w:val="Compact"/>
              <w:jc w:val="left"/>
            </w:pPr>
            <w:r>
              <w:t xml:space="preserve">Amendment Reference</w:t>
            </w:r>
          </w:p>
        </w:tc>
        <w:tc>
          <w:tcPr/>
          <w:p>
            <w:pPr>
              <w:pStyle w:val="Compact"/>
              <w:jc w:val="left"/>
            </w:pPr>
            <w:r>
              <w:t xml:space="preserve">Actual LPA Provision</w:t>
            </w:r>
          </w:p>
        </w:tc>
        <w:tc>
          <w:tcPr/>
          <w:p>
            <w:pPr>
              <w:pStyle w:val="Compact"/>
              <w:jc w:val="left"/>
            </w:pPr>
            <w:r>
              <w:t xml:space="preserve">Correct Reference</w:t>
            </w:r>
          </w:p>
        </w:tc>
      </w:tr>
      <w:tr>
        <w:tc>
          <w:tcPr/>
          <w:p>
            <w:pPr>
              <w:pStyle w:val="Compact"/>
              <w:jc w:val="left"/>
            </w:pPr>
            <w:r>
              <w:t xml:space="preserve">“</w:t>
            </w:r>
            <w:r>
              <w:t xml:space="preserve">Section 11.1(b)</w:t>
            </w:r>
            <w:r>
              <w:t xml:space="preserve">”</w:t>
            </w:r>
            <w:r>
              <w:t xml:space="preserve"> </w:t>
            </w:r>
            <w:r>
              <w:t xml:space="preserve">(subsequent closings)</w:t>
            </w:r>
          </w:p>
        </w:tc>
        <w:tc>
          <w:tcPr/>
          <w:p>
            <w:pPr>
              <w:pStyle w:val="Compact"/>
              <w:jc w:val="left"/>
            </w:pPr>
            <w:r>
              <w:t xml:space="preserve">§11.1 has no subsections; subsequent closings are in §3.1(b)</w:t>
            </w:r>
          </w:p>
        </w:tc>
        <w:tc>
          <w:tcPr/>
          <w:p>
            <w:pPr>
              <w:pStyle w:val="Compact"/>
              <w:jc w:val="left"/>
            </w:pPr>
            <w:r>
              <w:t xml:space="preserve">§3.1(b)</w:t>
            </w:r>
          </w:p>
        </w:tc>
      </w:tr>
      <w:tr>
        <w:tc>
          <w:tcPr/>
          <w:p>
            <w:pPr>
              <w:pStyle w:val="Compact"/>
              <w:jc w:val="left"/>
            </w:pPr>
            <w:r>
              <w:t xml:space="preserve">“</w:t>
            </w:r>
            <w:r>
              <w:t xml:space="preserve">Section 14.3</w:t>
            </w:r>
            <w:r>
              <w:t xml:space="preserve">”</w:t>
            </w:r>
            <w:r>
              <w:t xml:space="preserve"> </w:t>
            </w:r>
            <w:r>
              <w:t xml:space="preserve">/</w:t>
            </w:r>
            <w:r>
              <w:t xml:space="preserve"> </w:t>
            </w:r>
            <w:r>
              <w:t xml:space="preserve">“</w:t>
            </w:r>
            <w:r>
              <w:t xml:space="preserve">Section 14.3(b)</w:t>
            </w:r>
            <w:r>
              <w:t xml:space="preserve">”</w:t>
            </w:r>
            <w:r>
              <w:t xml:space="preserve"> </w:t>
            </w:r>
            <w:r>
              <w:t xml:space="preserve">(amendments without LP consent)</w:t>
            </w:r>
          </w:p>
        </w:tc>
        <w:tc>
          <w:tcPr/>
          <w:p>
            <w:pPr>
              <w:pStyle w:val="Compact"/>
              <w:jc w:val="left"/>
            </w:pPr>
            <w:r>
              <w:t xml:space="preserve">§14.3 is Governing Law; amendments are in §14.1</w:t>
            </w:r>
          </w:p>
        </w:tc>
        <w:tc>
          <w:tcPr/>
          <w:p>
            <w:pPr>
              <w:pStyle w:val="Compact"/>
              <w:jc w:val="left"/>
            </w:pPr>
            <w:r>
              <w:t xml:space="preserve">§14.1</w:t>
            </w:r>
          </w:p>
        </w:tc>
      </w:tr>
      <w:tr>
        <w:tc>
          <w:tcPr/>
          <w:p>
            <w:pPr>
              <w:pStyle w:val="Compact"/>
              <w:jc w:val="left"/>
            </w:pPr>
            <w:r>
              <w:t xml:space="preserve">“</w:t>
            </w:r>
            <w:r>
              <w:t xml:space="preserve">Section 3.1(a)</w:t>
            </w:r>
            <w:r>
              <w:t xml:space="preserve">”</w:t>
            </w:r>
            <w:r>
              <w:t xml:space="preserve"> </w:t>
            </w:r>
            <w:r>
              <w:t xml:space="preserve">(Hard Cap and Target Fund Size)</w:t>
            </w:r>
          </w:p>
        </w:tc>
        <w:tc>
          <w:tcPr/>
          <w:p>
            <w:pPr>
              <w:pStyle w:val="Compact"/>
              <w:jc w:val="left"/>
            </w:pPr>
            <w:r>
              <w:t xml:space="preserve">§3.1(a) is Initial Closing; Hard Cap is §3.1(c), Target is §3.1(d)</w:t>
            </w:r>
          </w:p>
        </w:tc>
        <w:tc>
          <w:tcPr/>
          <w:p>
            <w:pPr>
              <w:pStyle w:val="Compact"/>
              <w:jc w:val="left"/>
            </w:pPr>
            <w:r>
              <w:t xml:space="preserve">§3.1(c) / §3.1(d)</w:t>
            </w:r>
          </w:p>
        </w:tc>
      </w:tr>
      <w:tr>
        <w:tc>
          <w:tcPr/>
          <w:p>
            <w:pPr>
              <w:pStyle w:val="Compact"/>
              <w:jc w:val="left"/>
            </w:pPr>
            <w:r>
              <w:t xml:space="preserve">“</w:t>
            </w:r>
            <w:r>
              <w:t xml:space="preserve">Article XII</w:t>
            </w:r>
            <w:r>
              <w:t xml:space="preserve">”</w:t>
            </w:r>
            <w:r>
              <w:t xml:space="preserve"> </w:t>
            </w:r>
            <w:r>
              <w:t xml:space="preserve">(GP representations and warranties) (§2.2(a))</w:t>
            </w:r>
          </w:p>
        </w:tc>
        <w:tc>
          <w:tcPr/>
          <w:p>
            <w:pPr>
              <w:pStyle w:val="Compact"/>
              <w:jc w:val="left"/>
            </w:pPr>
            <w:r>
              <w:t xml:space="preserve">Article XII is Confidentiality; Side Letters; MFN</w:t>
            </w:r>
          </w:p>
        </w:tc>
        <w:tc>
          <w:tcPr/>
          <w:p>
            <w:pPr>
              <w:pStyle w:val="Compact"/>
              <w:jc w:val="left"/>
            </w:pPr>
            <w:r>
              <w:t xml:space="preserve">No dedicated GP reps article exists (see §III.F)</w:t>
            </w:r>
          </w:p>
        </w:tc>
      </w:tr>
      <w:tr>
        <w:tc>
          <w:tcPr/>
          <w:p>
            <w:pPr>
              <w:pStyle w:val="Compact"/>
              <w:jc w:val="left"/>
            </w:pPr>
            <w:r>
              <w:t xml:space="preserve">“</w:t>
            </w:r>
            <w:r>
              <w:t xml:space="preserve">Section 8.3(b)</w:t>
            </w:r>
            <w:r>
              <w:t xml:space="preserve">”</w:t>
            </w:r>
            <w:r>
              <w:t xml:space="preserve"> </w:t>
            </w:r>
            <w:r>
              <w:t xml:space="preserve">(catch-up correction) (§1.2)</w:t>
            </w:r>
          </w:p>
        </w:tc>
        <w:tc>
          <w:tcPr/>
          <w:p>
            <w:pPr>
              <w:pStyle w:val="Compact"/>
              <w:jc w:val="left"/>
            </w:pPr>
            <w:r>
              <w:t xml:space="preserve">§8.3(b) is Preferred Return; catch-up is §8.3(c)</w:t>
            </w:r>
          </w:p>
        </w:tc>
        <w:tc>
          <w:tcPr/>
          <w:p>
            <w:pPr>
              <w:pStyle w:val="Compact"/>
              <w:jc w:val="left"/>
            </w:pPr>
            <w:r>
              <w:t xml:space="preserve">§8.3(c)</w:t>
            </w:r>
          </w:p>
        </w:tc>
      </w:tr>
    </w:tbl>
    <w:p>
      <w:pPr>
        <w:pStyle w:val="BodyText"/>
      </w:pPr>
      <w:r>
        <w:t xml:space="preserve">The reliance on</w:t>
      </w:r>
      <w:r>
        <w:t xml:space="preserve"> </w:t>
      </w:r>
      <w:r>
        <w:t xml:space="preserve">“</w:t>
      </w:r>
      <w:r>
        <w:t xml:space="preserve">Section 14.3</w:t>
      </w:r>
      <w:r>
        <w:t xml:space="preserve">”</w:t>
      </w:r>
      <w:r>
        <w:t xml:space="preserve"> </w:t>
      </w:r>
      <w:r>
        <w:t xml:space="preserve">for the General Partner’s authority to amend the LPA without Limited Partner consent is particularly concerning, because the actual amendment authority is in</w:t>
      </w:r>
      <w:r>
        <w:t xml:space="preserve"> </w:t>
      </w:r>
      <w:r>
        <w:rPr>
          <w:b/>
          <w:bCs/>
        </w:rPr>
        <w:t xml:space="preserve">Section 14.1</w:t>
      </w:r>
      <w:r>
        <w:t xml:space="preserve">, and Section 14.3 (Governing Law) confers no such authority. While the substance of the ministerial-amendment authority exists in Section 14.1, the Amendment’s citation is incorrect. Fund Counsel recommends correcting these citations.</w:t>
      </w:r>
    </w:p>
    <w:bookmarkEnd w:id="28"/>
    <w:bookmarkStart w:id="29" w:name="Xfe41d8d9c9a7d0469a57b0085d1ef375e92ac16"/>
    <w:p>
      <w:pPr>
        <w:pStyle w:val="Heading3"/>
      </w:pPr>
      <w:r>
        <w:t xml:space="preserve">E. Key Person Certification — GP Memo Addresses Only One of Two Key Persons</w:t>
      </w:r>
    </w:p>
    <w:p>
      <w:pPr>
        <w:pStyle w:val="FirstParagraph"/>
      </w:pPr>
      <w:r>
        <w:t xml:space="preserve">Section 9.4(d) of the LPA requires the General Partner to certify at each Closing that</w:t>
      </w:r>
      <w:r>
        <w:t xml:space="preserve"> </w:t>
      </w:r>
      <w:r>
        <w:rPr>
          <w:b/>
          <w:bCs/>
        </w:rPr>
        <w:t xml:space="preserve">each</w:t>
      </w:r>
      <w:r>
        <w:t xml:space="preserve"> </w:t>
      </w:r>
      <w:r>
        <w:t xml:space="preserve">Key Person continues to devote substantially all of his or her business time to the Partnership and that no Key Person Event has occurred. The Key Persons are</w:t>
      </w:r>
      <w:r>
        <w:t xml:space="preserve"> </w:t>
      </w:r>
      <w:r>
        <w:rPr>
          <w:b/>
          <w:bCs/>
        </w:rPr>
        <w:t xml:space="preserve">Marcus J. Whitmore</w:t>
      </w:r>
      <w:r>
        <w:t xml:space="preserve"> </w:t>
      </w:r>
      <w:r>
        <w:t xml:space="preserve">and</w:t>
      </w:r>
      <w:r>
        <w:t xml:space="preserve"> </w:t>
      </w:r>
      <w:r>
        <w:rPr>
          <w:b/>
          <w:bCs/>
        </w:rPr>
        <w:t xml:space="preserve">Priya S. Mehta</w:t>
      </w:r>
      <w:r>
        <w:t xml:space="preserve"> </w:t>
      </w:r>
      <w:r>
        <w:t xml:space="preserve">(LPA §9.4(a)).</w:t>
      </w:r>
    </w:p>
    <w:p>
      <w:pPr>
        <w:pStyle w:val="BodyText"/>
      </w:pPr>
      <w:r>
        <w:t xml:space="preserve">The GP Memo (§VII) addresses</w:t>
      </w:r>
      <w:r>
        <w:t xml:space="preserve"> </w:t>
      </w:r>
      <w:r>
        <w:rPr>
          <w:b/>
          <w:bCs/>
        </w:rPr>
        <w:t xml:space="preserve">only Marcus J. Whitmore</w:t>
      </w:r>
      <w:r>
        <w:t xml:space="preserve">, stating that he</w:t>
      </w:r>
      <w:r>
        <w:t xml:space="preserve"> </w:t>
      </w:r>
      <w:r>
        <w:t xml:space="preserve">“</w:t>
      </w:r>
      <w:r>
        <w:t xml:space="preserve">continues to devote substantially all of his business time to the affairs of Fund VII.</w:t>
      </w:r>
      <w:r>
        <w:t xml:space="preserve">”</w:t>
      </w:r>
      <w:r>
        <w:t xml:space="preserve"> </w:t>
      </w:r>
      <w:r>
        <w:t xml:space="preserve">The GP Memo does</w:t>
      </w:r>
      <w:r>
        <w:t xml:space="preserve"> </w:t>
      </w:r>
      <w:r>
        <w:rPr>
          <w:b/>
          <w:bCs/>
        </w:rPr>
        <w:t xml:space="preserve">not</w:t>
      </w:r>
      <w:r>
        <w:t xml:space="preserve"> </w:t>
      </w:r>
      <w:r>
        <w:t xml:space="preserve">address Priya S. Mehta’s status. By contrast, the Amendment (§2.2(b)) properly certifies that</w:t>
      </w:r>
      <w:r>
        <w:t xml:space="preserve"> </w:t>
      </w:r>
      <w:r>
        <w:t xml:space="preserve">“</w:t>
      </w:r>
      <w:r>
        <w:rPr>
          <w:b/>
          <w:bCs/>
        </w:rPr>
        <w:t xml:space="preserve">both</w:t>
      </w:r>
      <w:r>
        <w:t xml:space="preserve"> </w:t>
      </w:r>
      <w:r>
        <w:t xml:space="preserve">Marcus J. Whitmore and Priya S. Mehta … continue to devote substantially all of their business time and professional efforts</w:t>
      </w:r>
      <w:r>
        <w:t xml:space="preserve">”</w:t>
      </w:r>
      <w:r>
        <w:t xml:space="preserve"> </w:t>
      </w:r>
      <w:r>
        <w:t xml:space="preserve">to the Partnership.</w:t>
      </w:r>
    </w:p>
    <w:p>
      <w:pPr>
        <w:pStyle w:val="BodyText"/>
      </w:pPr>
      <w:r>
        <w:t xml:space="preserve">The Final Closing Certificate must certify the status of</w:t>
      </w:r>
      <w:r>
        <w:t xml:space="preserve"> </w:t>
      </w:r>
      <w:r>
        <w:rPr>
          <w:b/>
          <w:bCs/>
        </w:rPr>
        <w:t xml:space="preserve">both</w:t>
      </w:r>
      <w:r>
        <w:t xml:space="preserve"> </w:t>
      </w:r>
      <w:r>
        <w:t xml:space="preserve">Key Persons. Fund Counsel has drafted the certificate accordingly (see Section II of the Final Closing Certificate). The General Partner should confirm that it has the factual basis to certify Ms. Mehta’s continued full-time devotion to the Fund.</w:t>
      </w:r>
    </w:p>
    <w:bookmarkEnd w:id="29"/>
    <w:bookmarkStart w:id="30" w:name="X861d9591b9cec403cb4cca0ec0d2b81d010ee94"/>
    <w:p>
      <w:pPr>
        <w:pStyle w:val="Heading3"/>
      </w:pPr>
      <w:r>
        <w:t xml:space="preserve">F. GP Representations and Warranties — No Dedicated Article in the LPA</w:t>
      </w:r>
    </w:p>
    <w:p>
      <w:pPr>
        <w:pStyle w:val="FirstParagraph"/>
      </w:pPr>
      <w:r>
        <w:t xml:space="preserve">Condition 10 of Section 11.2(10) requires the General Partner to certify that</w:t>
      </w:r>
      <w:r>
        <w:t xml:space="preserve"> </w:t>
      </w:r>
      <w:r>
        <w:t xml:space="preserve">“</w:t>
      </w:r>
      <w:r>
        <w:t xml:space="preserve">all representations and warranties of the General Partner contained in this Agreement are true and correct.</w:t>
      </w:r>
      <w:r>
        <w:t xml:space="preserve">”</w:t>
      </w:r>
      <w:r>
        <w:t xml:space="preserve"> </w:t>
      </w:r>
      <w:r>
        <w:t xml:space="preserve">However, the LPA does</w:t>
      </w:r>
      <w:r>
        <w:t xml:space="preserve"> </w:t>
      </w:r>
      <w:r>
        <w:rPr>
          <w:b/>
          <w:bCs/>
        </w:rPr>
        <w:t xml:space="preserve">not contain a dedicated article of General Partner representations and warranties</w:t>
      </w:r>
      <w:r>
        <w:t xml:space="preserve">. Article VI is titled</w:t>
      </w:r>
      <w:r>
        <w:t xml:space="preserve"> </w:t>
      </w:r>
      <w:r>
        <w:t xml:space="preserve">“</w:t>
      </w:r>
      <w:r>
        <w:t xml:space="preserve">Representations, Warranties, and Covenants of</w:t>
      </w:r>
      <w:r>
        <w:t xml:space="preserve"> </w:t>
      </w:r>
      <w:r>
        <w:rPr>
          <w:b/>
          <w:bCs/>
        </w:rPr>
        <w:t xml:space="preserve">Limited Partners</w:t>
      </w:r>
      <w:r>
        <w:t xml:space="preserve">”</w:t>
      </w:r>
      <w:r>
        <w:t xml:space="preserve"> </w:t>
      </w:r>
      <w:r>
        <w:t xml:space="preserve">(not the GP). The Source Documents cite inconsistent (and incorrect) locations for GP representations:</w:t>
      </w:r>
    </w:p>
    <w:p>
      <w:pPr>
        <w:pStyle w:val="Compact"/>
        <w:numPr>
          <w:ilvl w:val="0"/>
          <w:numId w:val="1008"/>
        </w:numPr>
      </w:pPr>
      <w:r>
        <w:t xml:space="preserve">The</w:t>
      </w:r>
      <w:r>
        <w:t xml:space="preserve"> </w:t>
      </w:r>
      <w:r>
        <w:rPr>
          <w:b/>
          <w:bCs/>
        </w:rPr>
        <w:t xml:space="preserve">GP Memo</w:t>
      </w:r>
      <w:r>
        <w:t xml:space="preserve"> </w:t>
      </w:r>
      <w:r>
        <w:t xml:space="preserve">(§VI, Condition 10) references</w:t>
      </w:r>
      <w:r>
        <w:t xml:space="preserve"> </w:t>
      </w:r>
      <w:r>
        <w:t xml:space="preserve">“</w:t>
      </w:r>
      <w:r>
        <w:rPr>
          <w:b/>
          <w:bCs/>
        </w:rPr>
        <w:t xml:space="preserve">Article VII</w:t>
      </w:r>
      <w:r>
        <w:t xml:space="preserve">”</w:t>
      </w:r>
      <w:r>
        <w:t xml:space="preserve"> </w:t>
      </w:r>
      <w:r>
        <w:t xml:space="preserve">(which is actually Management Fees and Expenses);</w:t>
      </w:r>
    </w:p>
    <w:p>
      <w:pPr>
        <w:pStyle w:val="Compact"/>
        <w:numPr>
          <w:ilvl w:val="0"/>
          <w:numId w:val="1008"/>
        </w:numPr>
      </w:pPr>
      <w:r>
        <w:t xml:space="preserve">The</w:t>
      </w:r>
      <w:r>
        <w:t xml:space="preserve"> </w:t>
      </w:r>
      <w:r>
        <w:rPr>
          <w:b/>
          <w:bCs/>
        </w:rPr>
        <w:t xml:space="preserve">Amendment</w:t>
      </w:r>
      <w:r>
        <w:t xml:space="preserve"> </w:t>
      </w:r>
      <w:r>
        <w:t xml:space="preserve">(§2.2(a)) references</w:t>
      </w:r>
      <w:r>
        <w:t xml:space="preserve"> </w:t>
      </w:r>
      <w:r>
        <w:t xml:space="preserve">“</w:t>
      </w:r>
      <w:r>
        <w:rPr>
          <w:b/>
          <w:bCs/>
        </w:rPr>
        <w:t xml:space="preserve">Article XII</w:t>
      </w:r>
      <w:r>
        <w:t xml:space="preserve">”</w:t>
      </w:r>
      <w:r>
        <w:t xml:space="preserve"> </w:t>
      </w:r>
      <w:r>
        <w:t xml:space="preserve">(which is actually Confidentiality; Side Letters; MFN).</w:t>
      </w:r>
    </w:p>
    <w:p>
      <w:pPr>
        <w:pStyle w:val="FirstParagraph"/>
      </w:pPr>
      <w:r>
        <w:t xml:space="preserve">Fund Counsel recommends that the General Partner identify the specific provisions of the LPA containing GP representations and warranties (if any), or confirm that the certification under Condition 10 is intended to cover the General Partner’s representations embedded throughout the LPA (e.g., the SEC registration representation in Section 9.2, the Key Person undertakings in Section 9.4, and the GP Commitment representation in Section 3.1(e)). The Final Closing Certificate certifies Condition 10 in general terms; the General Partner should satisfy itself that this certification is supportable.</w:t>
      </w:r>
    </w:p>
    <w:p>
      <w:r>
        <w:pict>
          <v:rect style="width:0;height:1.5pt" o:hralign="center" o:hrstd="t" o:hr="t"/>
        </w:pict>
      </w:r>
    </w:p>
    <w:bookmarkEnd w:id="30"/>
    <w:bookmarkEnd w:id="31"/>
    <w:bookmarkStart w:id="32" w:name="Xe18b2ff64724fcabe8d80322d8bd0a86f8b734b"/>
    <w:p>
      <w:pPr>
        <w:pStyle w:val="Heading2"/>
      </w:pPr>
      <w:r>
        <w:t xml:space="preserve">IV. Cross-Reference and Citation Errors in Capital Call Notices and Subscription Agreement</w:t>
      </w:r>
    </w:p>
    <w:p>
      <w:pPr>
        <w:pStyle w:val="FirstParagraph"/>
      </w:pPr>
      <w:r>
        <w:t xml:space="preserve">In addition to the Amendment errors noted in Section III.D, the capital call notices and the Subscription Agreement contain numerous incorrect cross-references to the LPA:</w:t>
      </w:r>
    </w:p>
    <w:tbl>
      <w:tblPr>
        <w:tblStyle w:val="Table"/>
        <w:tblW w:type="pct" w:w="5000"/>
        <w:jc w:val="left"/>
        <w:tblLayout w:type="fixed"/>
        <w:tblLook w:firstRow="1" w:lastRow="0" w:firstColumn="0" w:lastColumn="0" w:noHBand="0" w:noVBand="0" w:val="0020"/>
      </w:tblPr>
      <w:tblGrid>
        <w:gridCol w:w="1494"/>
        <w:gridCol w:w="3138"/>
        <w:gridCol w:w="3287"/>
      </w:tblGrid>
      <w:tr>
        <w:trPr>
          <w:tblHeader w:val="on"/>
        </w:trPr>
        <w:tc>
          <w:tcPr/>
          <w:p>
            <w:pPr>
              <w:pStyle w:val="Compact"/>
              <w:jc w:val="left"/>
            </w:pPr>
            <w:r>
              <w:t xml:space="preserve">Document</w:t>
            </w:r>
          </w:p>
        </w:tc>
        <w:tc>
          <w:tcPr/>
          <w:p>
            <w:pPr>
              <w:pStyle w:val="Compact"/>
              <w:jc w:val="left"/>
            </w:pPr>
            <w:r>
              <w:t xml:space="preserve">Incorrect Reference</w:t>
            </w:r>
          </w:p>
        </w:tc>
        <w:tc>
          <w:tcPr/>
          <w:p>
            <w:pPr>
              <w:pStyle w:val="Compact"/>
              <w:jc w:val="left"/>
            </w:pPr>
            <w:r>
              <w:t xml:space="preserve">Correct LPA Provision</w:t>
            </w:r>
          </w:p>
        </w:tc>
      </w:tr>
      <w:tr>
        <w:tc>
          <w:tcPr/>
          <w:p>
            <w:pPr>
              <w:pStyle w:val="Compact"/>
              <w:jc w:val="left"/>
            </w:pPr>
            <w:r>
              <w:t xml:space="preserve">CC#1 (§V)</w:t>
            </w:r>
          </w:p>
        </w:tc>
        <w:tc>
          <w:tcPr/>
          <w:p>
            <w:pPr>
              <w:pStyle w:val="Compact"/>
              <w:jc w:val="left"/>
            </w:pPr>
            <w:r>
              <w:t xml:space="preserve">“</w:t>
            </w:r>
            <w:r>
              <w:t xml:space="preserve">Section 3.5</w:t>
            </w:r>
            <w:r>
              <w:t xml:space="preserve">”</w:t>
            </w:r>
            <w:r>
              <w:t xml:space="preserve"> </w:t>
            </w:r>
            <w:r>
              <w:t xml:space="preserve">(default remedies)</w:t>
            </w:r>
          </w:p>
        </w:tc>
        <w:tc>
          <w:tcPr/>
          <w:p>
            <w:pPr>
              <w:pStyle w:val="Compact"/>
              <w:jc w:val="left"/>
            </w:pPr>
            <w:r>
              <w:t xml:space="preserve">§3.3 (Default Provisions)</w:t>
            </w:r>
          </w:p>
        </w:tc>
      </w:tr>
      <w:tr>
        <w:tc>
          <w:tcPr/>
          <w:p>
            <w:pPr>
              <w:pStyle w:val="Compact"/>
              <w:jc w:val="left"/>
            </w:pPr>
            <w:r>
              <w:t xml:space="preserve">CC#1 (§VII)</w:t>
            </w:r>
          </w:p>
        </w:tc>
        <w:tc>
          <w:tcPr/>
          <w:p>
            <w:pPr>
              <w:pStyle w:val="Compact"/>
              <w:jc w:val="left"/>
            </w:pPr>
            <w:r>
              <w:t xml:space="preserve">“</w:t>
            </w:r>
            <w:r>
              <w:t xml:space="preserve">Section 14.1</w:t>
            </w:r>
            <w:r>
              <w:t xml:space="preserve">”</w:t>
            </w:r>
            <w:r>
              <w:t xml:space="preserve"> </w:t>
            </w:r>
            <w:r>
              <w:t xml:space="preserve">(Notices)</w:t>
            </w:r>
          </w:p>
        </w:tc>
        <w:tc>
          <w:tcPr/>
          <w:p>
            <w:pPr>
              <w:pStyle w:val="Compact"/>
              <w:jc w:val="left"/>
            </w:pPr>
            <w:r>
              <w:t xml:space="preserve">§14.2 (Notices)</w:t>
            </w:r>
          </w:p>
        </w:tc>
      </w:tr>
      <w:tr>
        <w:tc>
          <w:tcPr/>
          <w:p>
            <w:pPr>
              <w:pStyle w:val="Compact"/>
              <w:jc w:val="left"/>
            </w:pPr>
            <w:r>
              <w:t xml:space="preserve">CC#2 (§V)</w:t>
            </w:r>
          </w:p>
        </w:tc>
        <w:tc>
          <w:tcPr/>
          <w:p>
            <w:pPr>
              <w:pStyle w:val="Compact"/>
              <w:jc w:val="left"/>
            </w:pPr>
            <w:r>
              <w:t xml:space="preserve">“</w:t>
            </w:r>
            <w:r>
              <w:t xml:space="preserve">Section 3.5</w:t>
            </w:r>
            <w:r>
              <w:t xml:space="preserve">”</w:t>
            </w:r>
            <w:r>
              <w:t xml:space="preserve"> </w:t>
            </w:r>
            <w:r>
              <w:t xml:space="preserve">(default remedies)</w:t>
            </w:r>
          </w:p>
        </w:tc>
        <w:tc>
          <w:tcPr/>
          <w:p>
            <w:pPr>
              <w:pStyle w:val="Compact"/>
              <w:jc w:val="left"/>
            </w:pPr>
            <w:r>
              <w:t xml:space="preserve">§3.3 (Default Provisions)</w:t>
            </w:r>
          </w:p>
        </w:tc>
      </w:tr>
      <w:tr>
        <w:tc>
          <w:tcPr/>
          <w:p>
            <w:pPr>
              <w:pStyle w:val="Compact"/>
              <w:jc w:val="left"/>
            </w:pPr>
            <w:r>
              <w:t xml:space="preserve">CC#2 (§III(b))</w:t>
            </w:r>
          </w:p>
        </w:tc>
        <w:tc>
          <w:tcPr/>
          <w:p>
            <w:pPr>
              <w:pStyle w:val="Compact"/>
              <w:jc w:val="left"/>
            </w:pPr>
            <w:r>
              <w:t xml:space="preserve">“</w:t>
            </w:r>
            <w:r>
              <w:t xml:space="preserve">Section 6.1</w:t>
            </w:r>
            <w:r>
              <w:t xml:space="preserve">”</w:t>
            </w:r>
            <w:r>
              <w:t xml:space="preserve"> </w:t>
            </w:r>
            <w:r>
              <w:t xml:space="preserve">(management fees)</w:t>
            </w:r>
          </w:p>
        </w:tc>
        <w:tc>
          <w:tcPr/>
          <w:p>
            <w:pPr>
              <w:pStyle w:val="Compact"/>
              <w:jc w:val="left"/>
            </w:pPr>
            <w:r>
              <w:t xml:space="preserve">§7.1 (Management Fee)</w:t>
            </w:r>
          </w:p>
        </w:tc>
      </w:tr>
      <w:tr>
        <w:tc>
          <w:tcPr/>
          <w:p>
            <w:pPr>
              <w:pStyle w:val="Compact"/>
              <w:jc w:val="left"/>
            </w:pPr>
            <w:r>
              <w:t xml:space="preserve">CC#2 (§VIII)</w:t>
            </w:r>
          </w:p>
        </w:tc>
        <w:tc>
          <w:tcPr/>
          <w:p>
            <w:pPr>
              <w:pStyle w:val="Compact"/>
              <w:jc w:val="left"/>
            </w:pPr>
            <w:r>
              <w:t xml:space="preserve">“</w:t>
            </w:r>
            <w:r>
              <w:t xml:space="preserve">Section 13.1</w:t>
            </w:r>
            <w:r>
              <w:t xml:space="preserve">”</w:t>
            </w:r>
            <w:r>
              <w:t xml:space="preserve"> </w:t>
            </w:r>
            <w:r>
              <w:t xml:space="preserve">(notice provisions)</w:t>
            </w:r>
          </w:p>
        </w:tc>
        <w:tc>
          <w:tcPr/>
          <w:p>
            <w:pPr>
              <w:pStyle w:val="Compact"/>
              <w:jc w:val="left"/>
            </w:pPr>
            <w:r>
              <w:t xml:space="preserve">§14.2 (Notices)</w:t>
            </w:r>
          </w:p>
        </w:tc>
      </w:tr>
      <w:tr>
        <w:tc>
          <w:tcPr/>
          <w:p>
            <w:pPr>
              <w:pStyle w:val="Compact"/>
              <w:jc w:val="left"/>
            </w:pPr>
            <w:r>
              <w:t xml:space="preserve">Sub Agreement (§1.2)</w:t>
            </w:r>
          </w:p>
        </w:tc>
        <w:tc>
          <w:tcPr/>
          <w:p>
            <w:pPr>
              <w:pStyle w:val="Compact"/>
              <w:jc w:val="left"/>
            </w:pPr>
            <w:r>
              <w:t xml:space="preserve">“</w:t>
            </w:r>
            <w:r>
              <w:t xml:space="preserve">Section 3.5</w:t>
            </w:r>
            <w:r>
              <w:t xml:space="preserve">”</w:t>
            </w:r>
            <w:r>
              <w:t xml:space="preserve"> </w:t>
            </w:r>
            <w:r>
              <w:t xml:space="preserve">(default remedies)</w:t>
            </w:r>
          </w:p>
        </w:tc>
        <w:tc>
          <w:tcPr/>
          <w:p>
            <w:pPr>
              <w:pStyle w:val="Compact"/>
              <w:jc w:val="left"/>
            </w:pPr>
            <w:r>
              <w:t xml:space="preserve">§3.3 (Default Provisions)</w:t>
            </w:r>
          </w:p>
        </w:tc>
      </w:tr>
      <w:tr>
        <w:tc>
          <w:tcPr/>
          <w:p>
            <w:pPr>
              <w:pStyle w:val="Compact"/>
              <w:jc w:val="left"/>
            </w:pPr>
            <w:r>
              <w:t xml:space="preserve">Sub Agreement (§2.4(c), §3.1, §8.8)</w:t>
            </w:r>
          </w:p>
        </w:tc>
        <w:tc>
          <w:tcPr/>
          <w:p>
            <w:pPr>
              <w:pStyle w:val="Compact"/>
              <w:jc w:val="left"/>
            </w:pPr>
            <w:r>
              <w:t xml:space="preserve">“</w:t>
            </w:r>
            <w:r>
              <w:t xml:space="preserve">Article X</w:t>
            </w:r>
            <w:r>
              <w:t xml:space="preserve">”</w:t>
            </w:r>
            <w:r>
              <w:t xml:space="preserve"> </w:t>
            </w:r>
            <w:r>
              <w:t xml:space="preserve">(transfer restrictions)</w:t>
            </w:r>
          </w:p>
        </w:tc>
        <w:tc>
          <w:tcPr/>
          <w:p>
            <w:pPr>
              <w:pStyle w:val="Compact"/>
              <w:jc w:val="left"/>
            </w:pPr>
            <w:r>
              <w:t xml:space="preserve">Article XIII (Transfers)</w:t>
            </w:r>
          </w:p>
        </w:tc>
      </w:tr>
      <w:tr>
        <w:tc>
          <w:tcPr/>
          <w:p>
            <w:pPr>
              <w:pStyle w:val="Compact"/>
              <w:jc w:val="left"/>
            </w:pPr>
            <w:r>
              <w:t xml:space="preserve">Sub Agreement (§8.2)</w:t>
            </w:r>
          </w:p>
        </w:tc>
        <w:tc>
          <w:tcPr/>
          <w:p>
            <w:pPr>
              <w:pStyle w:val="Compact"/>
              <w:jc w:val="left"/>
            </w:pPr>
            <w:r>
              <w:t xml:space="preserve">“</w:t>
            </w:r>
            <w:r>
              <w:t xml:space="preserve">Section 14.6</w:t>
            </w:r>
            <w:r>
              <w:t xml:space="preserve">”</w:t>
            </w:r>
            <w:r>
              <w:t xml:space="preserve"> </w:t>
            </w:r>
            <w:r>
              <w:t xml:space="preserve">(dispute resolution)</w:t>
            </w:r>
          </w:p>
        </w:tc>
        <w:tc>
          <w:tcPr/>
          <w:p>
            <w:pPr>
              <w:pStyle w:val="Compact"/>
              <w:jc w:val="left"/>
            </w:pPr>
            <w:r>
              <w:t xml:space="preserve">§14.4 (Dispute Resolution)</w:t>
            </w:r>
          </w:p>
        </w:tc>
      </w:tr>
      <w:tr>
        <w:tc>
          <w:tcPr/>
          <w:p>
            <w:pPr>
              <w:pStyle w:val="Compact"/>
              <w:jc w:val="left"/>
            </w:pPr>
            <w:r>
              <w:t xml:space="preserve">Sub Agreement (§8.9)</w:t>
            </w:r>
          </w:p>
        </w:tc>
        <w:tc>
          <w:tcPr/>
          <w:p>
            <w:pPr>
              <w:pStyle w:val="Compact"/>
              <w:jc w:val="left"/>
            </w:pPr>
            <w:r>
              <w:t xml:space="preserve">“</w:t>
            </w:r>
            <w:r>
              <w:t xml:space="preserve">Section 14.2</w:t>
            </w:r>
            <w:r>
              <w:t xml:space="preserve">”</w:t>
            </w:r>
            <w:r>
              <w:t xml:space="preserve"> </w:t>
            </w:r>
            <w:r>
              <w:t xml:space="preserve">(power of attorney)</w:t>
            </w:r>
          </w:p>
        </w:tc>
        <w:tc>
          <w:tcPr/>
          <w:p>
            <w:pPr>
              <w:pStyle w:val="Compact"/>
              <w:jc w:val="left"/>
            </w:pPr>
            <w:r>
              <w:t xml:space="preserve">§14.9 (Power of Attorney)</w:t>
            </w:r>
          </w:p>
        </w:tc>
      </w:tr>
      <w:tr>
        <w:tc>
          <w:tcPr/>
          <w:p>
            <w:pPr>
              <w:pStyle w:val="Compact"/>
              <w:jc w:val="left"/>
            </w:pPr>
            <w:r>
              <w:t xml:space="preserve">Sub Agreement (§2.8)</w:t>
            </w:r>
          </w:p>
        </w:tc>
        <w:tc>
          <w:tcPr/>
          <w:p>
            <w:pPr>
              <w:pStyle w:val="Compact"/>
              <w:jc w:val="left"/>
            </w:pPr>
            <w:r>
              <w:t xml:space="preserve">“</w:t>
            </w:r>
            <w:r>
              <w:t xml:space="preserve">Section 12.3</w:t>
            </w:r>
            <w:r>
              <w:t xml:space="preserve">”</w:t>
            </w:r>
            <w:r>
              <w:t xml:space="preserve"> </w:t>
            </w:r>
            <w:r>
              <w:t xml:space="preserve">(side letter provisions)</w:t>
            </w:r>
          </w:p>
        </w:tc>
        <w:tc>
          <w:tcPr/>
          <w:p>
            <w:pPr>
              <w:pStyle w:val="Compact"/>
              <w:jc w:val="left"/>
            </w:pPr>
            <w:r>
              <w:t xml:space="preserve">§12.2 (Side Letters)</w:t>
            </w:r>
          </w:p>
        </w:tc>
      </w:tr>
      <w:tr>
        <w:tc>
          <w:tcPr/>
          <w:p>
            <w:pPr>
              <w:pStyle w:val="Compact"/>
              <w:jc w:val="left"/>
            </w:pPr>
            <w:r>
              <w:t xml:space="preserve">Sub Agreement (§1.3)</w:t>
            </w:r>
          </w:p>
        </w:tc>
        <w:tc>
          <w:tcPr/>
          <w:p>
            <w:pPr>
              <w:pStyle w:val="Compact"/>
              <w:jc w:val="left"/>
            </w:pPr>
            <w:r>
              <w:t xml:space="preserve">“</w:t>
            </w:r>
            <w:r>
              <w:t xml:space="preserve">Section 3.2(c)(iii)</w:t>
            </w:r>
            <w:r>
              <w:t xml:space="preserve">”</w:t>
            </w:r>
          </w:p>
        </w:tc>
        <w:tc>
          <w:tcPr/>
          <w:p>
            <w:pPr>
              <w:pStyle w:val="Compact"/>
              <w:jc w:val="left"/>
            </w:pPr>
            <w:r>
              <w:t xml:space="preserve">§3.2(c) has no subsection (iii)</w:t>
            </w:r>
          </w:p>
        </w:tc>
      </w:tr>
      <w:tr>
        <w:tc>
          <w:tcPr/>
          <w:p>
            <w:pPr>
              <w:pStyle w:val="Compact"/>
              <w:jc w:val="left"/>
            </w:pPr>
            <w:r>
              <w:t xml:space="preserve">Sub Agreement (§3.4(b))</w:t>
            </w:r>
          </w:p>
        </w:tc>
        <w:tc>
          <w:tcPr/>
          <w:p>
            <w:pPr>
              <w:pStyle w:val="Compact"/>
              <w:jc w:val="left"/>
            </w:pPr>
            <w:r>
              <w:t xml:space="preserve">“</w:t>
            </w:r>
            <w:r>
              <w:t xml:space="preserve">Articles IV and V</w:t>
            </w:r>
            <w:r>
              <w:t xml:space="preserve">”</w:t>
            </w:r>
            <w:r>
              <w:t xml:space="preserve"> </w:t>
            </w:r>
            <w:r>
              <w:t xml:space="preserve">(allocations and distributions)</w:t>
            </w:r>
          </w:p>
        </w:tc>
        <w:tc>
          <w:tcPr/>
          <w:p>
            <w:pPr>
              <w:pStyle w:val="Compact"/>
              <w:jc w:val="left"/>
            </w:pPr>
            <w:r>
              <w:t xml:space="preserve">Article IV (Allocations) and Article VIII (Distributions)</w:t>
            </w:r>
          </w:p>
        </w:tc>
      </w:tr>
      <w:tr>
        <w:tc>
          <w:tcPr/>
          <w:p>
            <w:pPr>
              <w:pStyle w:val="Compact"/>
              <w:jc w:val="left"/>
            </w:pPr>
            <w:r>
              <w:t xml:space="preserve">GP Memo (§VIII)</w:t>
            </w:r>
          </w:p>
        </w:tc>
        <w:tc>
          <w:tcPr/>
          <w:p>
            <w:pPr>
              <w:pStyle w:val="Compact"/>
              <w:jc w:val="left"/>
            </w:pPr>
            <w:r>
              <w:t xml:space="preserve">“</w:t>
            </w:r>
            <w:r>
              <w:t xml:space="preserve">Section 8.1</w:t>
            </w:r>
            <w:r>
              <w:t xml:space="preserve">”</w:t>
            </w:r>
            <w:r>
              <w:t xml:space="preserve"> </w:t>
            </w:r>
            <w:r>
              <w:t xml:space="preserve">(investment period termination)</w:t>
            </w:r>
          </w:p>
        </w:tc>
        <w:tc>
          <w:tcPr/>
          <w:p>
            <w:pPr>
              <w:pStyle w:val="Compact"/>
              <w:jc w:val="left"/>
            </w:pPr>
            <w:r>
              <w:t xml:space="preserve">§2.7 (Investment Period)</w:t>
            </w:r>
          </w:p>
        </w:tc>
      </w:tr>
      <w:tr>
        <w:tc>
          <w:tcPr/>
          <w:p>
            <w:pPr>
              <w:pStyle w:val="Compact"/>
              <w:jc w:val="left"/>
            </w:pPr>
            <w:r>
              <w:t xml:space="preserve">Checklist (items 12–17)</w:t>
            </w:r>
          </w:p>
        </w:tc>
        <w:tc>
          <w:tcPr/>
          <w:p>
            <w:pPr>
              <w:pStyle w:val="Compact"/>
              <w:jc w:val="left"/>
            </w:pPr>
            <w:r>
              <w:t xml:space="preserve">“</w:t>
            </w:r>
            <w:r>
              <w:t xml:space="preserve">Subscription Agreement, Section 4(f)</w:t>
            </w:r>
            <w:r>
              <w:t xml:space="preserve">”</w:t>
            </w:r>
            <w:r>
              <w:t xml:space="preserve"> </w:t>
            </w:r>
            <w:r>
              <w:t xml:space="preserve">(QP reps)</w:t>
            </w:r>
          </w:p>
        </w:tc>
        <w:tc>
          <w:tcPr/>
          <w:p>
            <w:pPr>
              <w:pStyle w:val="Compact"/>
              <w:jc w:val="left"/>
            </w:pPr>
            <w:r>
              <w:t xml:space="preserve">Sub Agreement §2.2 (Qualified Purchaser)</w:t>
            </w:r>
          </w:p>
        </w:tc>
      </w:tr>
    </w:tbl>
    <w:p>
      <w:pPr>
        <w:pStyle w:val="BodyText"/>
      </w:pPr>
      <w:r>
        <w:t xml:space="preserve">These errors do not necessarily invalidate the underlying transactions (the LPA controls in the event of conflict, as the capital call notices themselves acknowledge), but they create confusion and should be corrected in any future notices or in a conforming amendment. The reference to</w:t>
      </w:r>
      <w:r>
        <w:t xml:space="preserve"> </w:t>
      </w:r>
      <w:r>
        <w:t xml:space="preserve">“</w:t>
      </w:r>
      <w:r>
        <w:t xml:space="preserve">Section 3.5</w:t>
      </w:r>
      <w:r>
        <w:t xml:space="preserve">”</w:t>
      </w:r>
      <w:r>
        <w:t xml:space="preserve"> </w:t>
      </w:r>
      <w:r>
        <w:t xml:space="preserve">for default remedies is particularly recurrent (appearing in CC#1, CC#2, and the Sub Agreement) and should be corrected to Section 3.3.</w:t>
      </w:r>
    </w:p>
    <w:p>
      <w:r>
        <w:pict>
          <v:rect style="width:0;height:1.5pt" o:hralign="center" o:hrstd="t" o:hr="t"/>
        </w:pict>
      </w:r>
    </w:p>
    <w:bookmarkEnd w:id="32"/>
    <w:bookmarkStart w:id="33" w:name="Xff984080097cd05f729eaa7b2c1327e6f4a18a7"/>
    <w:p>
      <w:pPr>
        <w:pStyle w:val="Heading2"/>
      </w:pPr>
      <w:r>
        <w:t xml:space="preserve">V. Pending Closing Deliverables and Conditions</w:t>
      </w:r>
    </w:p>
    <w:p>
      <w:pPr>
        <w:pStyle w:val="FirstParagraph"/>
      </w:pPr>
      <w:r>
        <w:t xml:space="preserve">The following conditions precedent and deliverables remain</w:t>
      </w:r>
      <w:r>
        <w:t xml:space="preserve"> </w:t>
      </w:r>
      <w:r>
        <w:rPr>
          <w:b/>
          <w:bCs/>
        </w:rPr>
        <w:t xml:space="preserve">pending</w:t>
      </w:r>
      <w:r>
        <w:t xml:space="preserve"> </w:t>
      </w:r>
      <w:r>
        <w:t xml:space="preserve">as of the date of this memorandum and must be completed before or at the Final Closing:</w:t>
      </w:r>
    </w:p>
    <w:tbl>
      <w:tblPr>
        <w:tblStyle w:val="Table"/>
        <w:tblW w:type="pct" w:w="5000"/>
        <w:jc w:val="left"/>
        <w:tblLayout w:type="fixed"/>
        <w:tblLook w:firstRow="1" w:lastRow="0" w:firstColumn="0" w:lastColumn="0" w:noHBand="0" w:noVBand="0" w:val="0020"/>
      </w:tblPr>
      <w:tblGrid>
        <w:gridCol w:w="990"/>
        <w:gridCol w:w="2475"/>
        <w:gridCol w:w="1320"/>
        <w:gridCol w:w="3135"/>
      </w:tblGrid>
      <w:tr>
        <w:trPr>
          <w:tblHeader w:val="on"/>
        </w:trPr>
        <w:tc>
          <w:tcPr/>
          <w:p>
            <w:pPr>
              <w:pStyle w:val="Compact"/>
              <w:jc w:val="left"/>
            </w:pPr>
            <w:r>
              <w:t xml:space="preserve">Item</w:t>
            </w:r>
          </w:p>
        </w:tc>
        <w:tc>
          <w:tcPr/>
          <w:p>
            <w:pPr>
              <w:pStyle w:val="Compact"/>
              <w:jc w:val="left"/>
            </w:pPr>
            <w:r>
              <w:t xml:space="preserve">LPA Reference</w:t>
            </w:r>
          </w:p>
        </w:tc>
        <w:tc>
          <w:tcPr/>
          <w:p>
            <w:pPr>
              <w:pStyle w:val="Compact"/>
              <w:jc w:val="left"/>
            </w:pPr>
            <w:r>
              <w:t xml:space="preserve">Status</w:t>
            </w:r>
          </w:p>
        </w:tc>
        <w:tc>
          <w:tcPr/>
          <w:p>
            <w:pPr>
              <w:pStyle w:val="Compact"/>
              <w:jc w:val="left"/>
            </w:pPr>
            <w:r>
              <w:t xml:space="preserve">Responsible Party</w:t>
            </w:r>
          </w:p>
        </w:tc>
      </w:tr>
      <w:tr>
        <w:tc>
          <w:tcPr/>
          <w:p>
            <w:pPr>
              <w:pStyle w:val="Compact"/>
              <w:jc w:val="left"/>
            </w:pPr>
            <w:r>
              <w:t xml:space="preserve">Receipt of Final Closing capital contributions (catch-up + equalization interest) in escrow</w:t>
            </w:r>
          </w:p>
        </w:tc>
        <w:tc>
          <w:tcPr/>
          <w:p>
            <w:pPr>
              <w:pStyle w:val="Compact"/>
              <w:jc w:val="left"/>
            </w:pPr>
            <w:r>
              <w:t xml:space="preserve">§11.2(2)</w:t>
            </w:r>
          </w:p>
        </w:tc>
        <w:tc>
          <w:tcPr/>
          <w:p>
            <w:pPr>
              <w:pStyle w:val="Compact"/>
              <w:jc w:val="left"/>
            </w:pPr>
            <w:r>
              <w:rPr>
                <w:b/>
                <w:bCs/>
              </w:rPr>
              <w:t xml:space="preserve">Pending</w:t>
            </w:r>
            <w:r>
              <w:t xml:space="preserve"> </w:t>
            </w:r>
            <w:r>
              <w:t xml:space="preserve">— awaiting bank confirmation of wires (Checklist item 21)</w:t>
            </w:r>
          </w:p>
        </w:tc>
        <w:tc>
          <w:tcPr/>
          <w:p>
            <w:pPr>
              <w:pStyle w:val="Compact"/>
              <w:jc w:val="left"/>
            </w:pPr>
            <w:r>
              <w:t xml:space="preserve">Oakmere / Pinnacle National Bank</w:t>
            </w:r>
          </w:p>
        </w:tc>
      </w:tr>
      <w:tr>
        <w:tc>
          <w:tcPr/>
          <w:p>
            <w:pPr>
              <w:pStyle w:val="Compact"/>
              <w:jc w:val="left"/>
            </w:pPr>
            <w:r>
              <w:t xml:space="preserve">Transfer of escrow funds to operating account</w:t>
            </w:r>
          </w:p>
        </w:tc>
        <w:tc>
          <w:tcPr/>
          <w:p>
            <w:pPr>
              <w:pStyle w:val="Compact"/>
              <w:jc w:val="left"/>
            </w:pPr>
            <w:r>
              <w:t xml:space="preserve">§3.2</w:t>
            </w:r>
          </w:p>
        </w:tc>
        <w:tc>
          <w:tcPr/>
          <w:p>
            <w:pPr>
              <w:pStyle w:val="Compact"/>
              <w:jc w:val="left"/>
            </w:pPr>
            <w:r>
              <w:rPr>
                <w:b/>
                <w:bCs/>
              </w:rPr>
              <w:t xml:space="preserve">Pending</w:t>
            </w:r>
            <w:r>
              <w:t xml:space="preserve"> </w:t>
            </w:r>
            <w:r>
              <w:t xml:space="preserve">— upon closing and escrow release (Checklist item 22)</w:t>
            </w:r>
          </w:p>
        </w:tc>
        <w:tc>
          <w:tcPr/>
          <w:p>
            <w:pPr>
              <w:pStyle w:val="Compact"/>
              <w:jc w:val="left"/>
            </w:pPr>
            <w:r>
              <w:t xml:space="preserve">Oakmere</w:t>
            </w:r>
          </w:p>
        </w:tc>
      </w:tr>
      <w:tr>
        <w:tc>
          <w:tcPr/>
          <w:p>
            <w:pPr>
              <w:pStyle w:val="Compact"/>
              <w:jc w:val="left"/>
            </w:pPr>
            <w:r>
              <w:t xml:space="preserve">Legal opinions from Fund Counsel (formation, enforceability, securities law)</w:t>
            </w:r>
          </w:p>
        </w:tc>
        <w:tc>
          <w:tcPr/>
          <w:p>
            <w:pPr>
              <w:pStyle w:val="Compact"/>
              <w:jc w:val="left"/>
            </w:pPr>
            <w:r>
              <w:t xml:space="preserve">§11.2(7)</w:t>
            </w:r>
          </w:p>
        </w:tc>
        <w:tc>
          <w:tcPr/>
          <w:p>
            <w:pPr>
              <w:pStyle w:val="Compact"/>
              <w:jc w:val="left"/>
            </w:pPr>
            <w:r>
              <w:rPr>
                <w:b/>
                <w:bCs/>
              </w:rPr>
              <w:t xml:space="preserve">In process</w:t>
            </w:r>
            <w:r>
              <w:t xml:space="preserve"> </w:t>
            </w:r>
            <w:r>
              <w:t xml:space="preserve">— draft circulated; final execution version pending (Checklist item 23)</w:t>
            </w:r>
          </w:p>
        </w:tc>
        <w:tc>
          <w:tcPr/>
          <w:p>
            <w:pPr>
              <w:pStyle w:val="Compact"/>
              <w:jc w:val="left"/>
            </w:pPr>
            <w:r>
              <w:t xml:space="preserve">Bridgeford Hollis LLP</w:t>
            </w:r>
          </w:p>
        </w:tc>
      </w:tr>
      <w:tr>
        <w:tc>
          <w:tcPr/>
          <w:p>
            <w:pPr>
              <w:pStyle w:val="Compact"/>
              <w:jc w:val="left"/>
            </w:pPr>
            <w:r>
              <w:t xml:space="preserve">Updated Schedule A (all three closings)</w:t>
            </w:r>
          </w:p>
        </w:tc>
        <w:tc>
          <w:tcPr/>
          <w:p>
            <w:pPr>
              <w:pStyle w:val="Compact"/>
              <w:jc w:val="left"/>
            </w:pPr>
            <w:r>
              <w:t xml:space="preserve">§11.2(8)</w:t>
            </w:r>
          </w:p>
        </w:tc>
        <w:tc>
          <w:tcPr/>
          <w:p>
            <w:pPr>
              <w:pStyle w:val="Compact"/>
              <w:jc w:val="left"/>
            </w:pPr>
            <w:r>
              <w:rPr>
                <w:b/>
                <w:bCs/>
              </w:rPr>
              <w:t xml:space="preserve">In process</w:t>
            </w:r>
            <w:r>
              <w:t xml:space="preserve"> </w:t>
            </w:r>
            <w:r>
              <w:t xml:space="preserve">— preliminary draft under review (Checklist item 26)</w:t>
            </w:r>
          </w:p>
        </w:tc>
        <w:tc>
          <w:tcPr/>
          <w:p>
            <w:pPr>
              <w:pStyle w:val="Compact"/>
              <w:jc w:val="left"/>
            </w:pPr>
            <w:r>
              <w:t xml:space="preserve">Oakmere / Bridgeford Hollis</w:t>
            </w:r>
          </w:p>
        </w:tc>
      </w:tr>
      <w:tr>
        <w:tc>
          <w:tcPr/>
          <w:p>
            <w:pPr>
              <w:pStyle w:val="Compact"/>
              <w:jc w:val="left"/>
            </w:pPr>
            <w:r>
              <w:t xml:space="preserve">Final Closing Certificate</w:t>
            </w:r>
          </w:p>
        </w:tc>
        <w:tc>
          <w:tcPr/>
          <w:p>
            <w:pPr>
              <w:pStyle w:val="Compact"/>
              <w:jc w:val="left"/>
            </w:pPr>
            <w:r>
              <w:t xml:space="preserve">§11.2 / §9.4(d)</w:t>
            </w:r>
          </w:p>
        </w:tc>
        <w:tc>
          <w:tcPr/>
          <w:p>
            <w:pPr>
              <w:pStyle w:val="Compact"/>
              <w:jc w:val="left"/>
            </w:pPr>
            <w:r>
              <w:rPr>
                <w:b/>
                <w:bCs/>
              </w:rPr>
              <w:t xml:space="preserve">In preparation</w:t>
            </w:r>
            <w:r>
              <w:t xml:space="preserve"> </w:t>
            </w:r>
            <w:r>
              <w:t xml:space="preserve">— this draft (Checklist item 33)</w:t>
            </w:r>
          </w:p>
        </w:tc>
        <w:tc>
          <w:tcPr/>
          <w:p>
            <w:pPr>
              <w:pStyle w:val="Compact"/>
              <w:jc w:val="left"/>
            </w:pPr>
            <w:r>
              <w:t xml:space="preserve">Bridgeford Hollis / GP</w:t>
            </w:r>
          </w:p>
        </w:tc>
      </w:tr>
      <w:tr>
        <w:tc>
          <w:tcPr/>
          <w:p>
            <w:pPr>
              <w:pStyle w:val="Compact"/>
              <w:jc w:val="left"/>
            </w:pPr>
            <w:r>
              <w:t xml:space="preserve">Form D amendment (post-closing)</w:t>
            </w:r>
          </w:p>
        </w:tc>
        <w:tc>
          <w:tcPr/>
          <w:p>
            <w:pPr>
              <w:pStyle w:val="Compact"/>
              <w:jc w:val="left"/>
            </w:pPr>
            <w:r>
              <w:t xml:space="preserve">SEC Rule 503</w:t>
            </w:r>
          </w:p>
        </w:tc>
        <w:tc>
          <w:tcPr/>
          <w:p>
            <w:pPr>
              <w:pStyle w:val="Compact"/>
              <w:jc w:val="left"/>
            </w:pPr>
            <w:r>
              <w:rPr>
                <w:b/>
                <w:bCs/>
              </w:rPr>
              <w:t xml:space="preserve">Pending</w:t>
            </w:r>
            <w:r>
              <w:t xml:space="preserve"> </w:t>
            </w:r>
            <w:r>
              <w:t xml:space="preserve">— due by February 15, 2025 (Checklist item 28)</w:t>
            </w:r>
          </w:p>
        </w:tc>
        <w:tc>
          <w:tcPr/>
          <w:p>
            <w:pPr>
              <w:pStyle w:val="Compact"/>
              <w:jc w:val="left"/>
            </w:pPr>
            <w:r>
              <w:t xml:space="preserve">Sandra K. Liu / Bridgeford Hollis</w:t>
            </w:r>
          </w:p>
        </w:tc>
      </w:tr>
      <w:tr>
        <w:tc>
          <w:tcPr/>
          <w:p>
            <w:pPr>
              <w:pStyle w:val="Compact"/>
              <w:jc w:val="left"/>
            </w:pPr>
            <w:r>
              <w:t xml:space="preserve">MFN notices to eligible LPs (post-closing)</w:t>
            </w:r>
          </w:p>
        </w:tc>
        <w:tc>
          <w:tcPr/>
          <w:p>
            <w:pPr>
              <w:pStyle w:val="Compact"/>
              <w:jc w:val="left"/>
            </w:pPr>
            <w:r>
              <w:t xml:space="preserve">§12.3</w:t>
            </w:r>
          </w:p>
        </w:tc>
        <w:tc>
          <w:tcPr/>
          <w:p>
            <w:pPr>
              <w:pStyle w:val="Compact"/>
              <w:jc w:val="left"/>
            </w:pPr>
            <w:r>
              <w:rPr>
                <w:b/>
                <w:bCs/>
              </w:rPr>
              <w:t xml:space="preserve">Pending</w:t>
            </w:r>
            <w:r>
              <w:t xml:space="preserve"> </w:t>
            </w:r>
            <w:r>
              <w:t xml:space="preserve">— within 30 days of Final Closing (Checklist item 31)</w:t>
            </w:r>
          </w:p>
        </w:tc>
        <w:tc>
          <w:tcPr/>
          <w:p>
            <w:pPr>
              <w:pStyle w:val="Compact"/>
              <w:jc w:val="left"/>
            </w:pPr>
            <w:r>
              <w:t xml:space="preserve">Bridgeford Hollis</w:t>
            </w:r>
          </w:p>
        </w:tc>
      </w:tr>
      <w:tr>
        <w:tc>
          <w:tcPr/>
          <w:p>
            <w:pPr>
              <w:pStyle w:val="Compact"/>
              <w:jc w:val="left"/>
            </w:pPr>
            <w:r>
              <w:t xml:space="preserve">Advisory Committee fifth seat (post-closing)</w:t>
            </w:r>
          </w:p>
        </w:tc>
        <w:tc>
          <w:tcPr/>
          <w:p>
            <w:pPr>
              <w:pStyle w:val="Compact"/>
              <w:jc w:val="left"/>
            </w:pPr>
            <w:r>
              <w:t xml:space="preserve">§9.1(b)</w:t>
            </w:r>
          </w:p>
        </w:tc>
        <w:tc>
          <w:tcPr/>
          <w:p>
            <w:pPr>
              <w:pStyle w:val="Compact"/>
              <w:jc w:val="left"/>
            </w:pPr>
            <w:r>
              <w:rPr>
                <w:b/>
                <w:bCs/>
              </w:rPr>
              <w:t xml:space="preserve">Pending</w:t>
            </w:r>
            <w:r>
              <w:t xml:space="preserve"> </w:t>
            </w:r>
            <w:r>
              <w:t xml:space="preserve">— to be filled from Final Closing LPs (Checklist item 32)</w:t>
            </w:r>
          </w:p>
        </w:tc>
        <w:tc>
          <w:tcPr/>
          <w:p>
            <w:pPr>
              <w:pStyle w:val="Compact"/>
              <w:jc w:val="left"/>
            </w:pPr>
            <w:r>
              <w:t xml:space="preserve">GP</w:t>
            </w:r>
          </w:p>
        </w:tc>
      </w:tr>
      <w:tr>
        <w:tc>
          <w:tcPr/>
          <w:p>
            <w:pPr>
              <w:pStyle w:val="Compact"/>
              <w:jc w:val="left"/>
            </w:pPr>
            <w:r>
              <w:t xml:space="preserve">Advisory Committee notification — Target Fund Size exceeded</w:t>
            </w:r>
          </w:p>
        </w:tc>
        <w:tc>
          <w:tcPr/>
          <w:p>
            <w:pPr>
              <w:pStyle w:val="Compact"/>
              <w:jc w:val="left"/>
            </w:pPr>
            <w:r>
              <w:t xml:space="preserve">§3.1(d)</w:t>
            </w:r>
          </w:p>
        </w:tc>
        <w:tc>
          <w:tcPr/>
          <w:p>
            <w:pPr>
              <w:pStyle w:val="Compact"/>
              <w:jc w:val="left"/>
            </w:pPr>
            <w:r>
              <w:rPr>
                <w:b/>
                <w:bCs/>
              </w:rPr>
              <w:t xml:space="preserve">Not yet addressed</w:t>
            </w:r>
            <w:r>
              <w:t xml:space="preserve"> </w:t>
            </w:r>
            <w:r>
              <w:t xml:space="preserve">— required within 5 Business Days of Final Closing (see §VI.A)</w:t>
            </w:r>
          </w:p>
        </w:tc>
        <w:tc>
          <w:tcPr/>
          <w:p>
            <w:pPr>
              <w:pStyle w:val="Compact"/>
              <w:jc w:val="left"/>
            </w:pPr>
            <w:r>
              <w:t xml:space="preserve">GP</w:t>
            </w:r>
          </w:p>
        </w:tc>
      </w:tr>
    </w:tbl>
    <w:p>
      <w:pPr>
        <w:pStyle w:val="BodyText"/>
      </w:pPr>
      <w:r>
        <w:rPr>
          <w:b/>
          <w:bCs/>
        </w:rPr>
        <w:t xml:space="preserve">Conditions 2, 7, and 8</w:t>
      </w:r>
      <w:r>
        <w:t xml:space="preserve"> </w:t>
      </w:r>
      <w:r>
        <w:t xml:space="preserve">of Section 11.2 cannot be certified as satisfied until the escrow funding is confirmed, the legal opinions are executed and delivered, and the final Schedule A is approved. The Final Closing Certificate has been drafted in the form it will take once these items are completed; it should not be executed until they are.</w:t>
      </w:r>
    </w:p>
    <w:p>
      <w:r>
        <w:pict>
          <v:rect style="width:0;height:1.5pt" o:hralign="center" o:hrstd="t" o:hr="t"/>
        </w:pict>
      </w:r>
    </w:p>
    <w:bookmarkEnd w:id="33"/>
    <w:bookmarkStart w:id="43" w:name="vi.-additional-issues-and-observations"/>
    <w:p>
      <w:pPr>
        <w:pStyle w:val="Heading2"/>
      </w:pPr>
      <w:r>
        <w:t xml:space="preserve">VI. Additional Issues and Observations</w:t>
      </w:r>
    </w:p>
    <w:bookmarkStart w:id="34" w:name="X42e9351f224caadad482524d0d1f04d79b25d0e"/>
    <w:p>
      <w:pPr>
        <w:pStyle w:val="Heading3"/>
      </w:pPr>
      <w:r>
        <w:t xml:space="preserve">A. Advisory Committee Notification — Target Fund Size Exceeded (Not Yet Addressed)</w:t>
      </w:r>
    </w:p>
    <w:p>
      <w:pPr>
        <w:pStyle w:val="FirstParagraph"/>
      </w:pPr>
      <w:r>
        <w:t xml:space="preserve">Following the Final Closing, aggregate Capital Commitments ($1,615,000,000) will exceed the Target Fund Size of $1,500,000,000 by $115,000,000. Section 3.1(d) of the LPA requires the General Partner to notify the Advisory Committee in writing of such excess, including the amount of the excess and the identities and Capital Commitments of the Partners admitted at the applicable Closing,</w:t>
      </w:r>
      <w:r>
        <w:t xml:space="preserve"> </w:t>
      </w:r>
      <w:r>
        <w:rPr>
          <w:b/>
          <w:bCs/>
        </w:rPr>
        <w:t xml:space="preserve">not later than five (5) Business Days following the Closing</w:t>
      </w:r>
      <w:r>
        <w:t xml:space="preserve"> </w:t>
      </w:r>
      <w:r>
        <w:t xml:space="preserve">at which the Target Fund Size is first exceeded. The Target Fund Size was not exceeded at the Initial or Second Closings (cumulative $1,330,000,000), so this notification obligation is triggered at the Final Closing.</w:t>
      </w:r>
    </w:p>
    <w:p>
      <w:pPr>
        <w:pStyle w:val="BodyText"/>
      </w:pPr>
      <w:r>
        <w:t xml:space="preserve">This notification is</w:t>
      </w:r>
      <w:r>
        <w:t xml:space="preserve"> </w:t>
      </w:r>
      <w:r>
        <w:rPr>
          <w:b/>
          <w:bCs/>
        </w:rPr>
        <w:t xml:space="preserve">not listed as an outstanding item in the GP Memo</w:t>
      </w:r>
      <w:r>
        <w:t xml:space="preserve"> </w:t>
      </w:r>
      <w:r>
        <w:t xml:space="preserve">(§XII) and does not appear in the Checklist. The Sub Agreement (§5.1 and Schedule I) characterizes this notification as</w:t>
      </w:r>
      <w:r>
        <w:t xml:space="preserve"> </w:t>
      </w:r>
      <w:r>
        <w:t xml:space="preserve">“</w:t>
      </w:r>
      <w:r>
        <w:t xml:space="preserve">a condition to the acceptance of commitments above the Fund Target,</w:t>
      </w:r>
      <w:r>
        <w:t xml:space="preserve">”</w:t>
      </w:r>
      <w:r>
        <w:t xml:space="preserve"> </w:t>
      </w:r>
      <w:r>
        <w:t xml:space="preserve">which</w:t>
      </w:r>
      <w:r>
        <w:t xml:space="preserve"> </w:t>
      </w:r>
      <w:r>
        <w:rPr>
          <w:b/>
          <w:bCs/>
        </w:rPr>
        <w:t xml:space="preserve">overstates</w:t>
      </w:r>
      <w:r>
        <w:t xml:space="preserve"> </w:t>
      </w:r>
      <w:r>
        <w:t xml:space="preserve">the LPA requirement — Section 3.1(d) expressly provides that exceeding the Target Fund Size</w:t>
      </w:r>
      <w:r>
        <w:t xml:space="preserve"> </w:t>
      </w:r>
      <w:r>
        <w:t xml:space="preserve">“</w:t>
      </w:r>
      <w:r>
        <w:t xml:space="preserve">shall not require Advisory Committee consent.</w:t>
      </w:r>
      <w:r>
        <w:t xml:space="preserve">”</w:t>
      </w:r>
      <w:r>
        <w:t xml:space="preserve"> </w:t>
      </w:r>
      <w:r>
        <w:t xml:space="preserve">Fund Counsel recommends (i) correcting the Sub Agreement’s characterization and (ii) calendaring the Advisory Committee notification for delivery within five Business Days of the Final Closing. The Final Closing Certificate acknowledges this obligation in Section III(a).</w:t>
      </w:r>
    </w:p>
    <w:bookmarkEnd w:id="34"/>
    <w:bookmarkStart w:id="35" w:name="X77a336cbf1e2ad53ef74019df837173c4ce1db4"/>
    <w:p>
      <w:pPr>
        <w:pStyle w:val="Heading3"/>
      </w:pPr>
      <w:r>
        <w:t xml:space="preserve">B. Capital Call Notice No. 1 — Funding Date Inconsistency</w:t>
      </w:r>
    </w:p>
    <w:p>
      <w:pPr>
        <w:pStyle w:val="FirstParagraph"/>
      </w:pPr>
      <w:r>
        <w:t xml:space="preserve">CC#1 states that the Drawdown Date (funding deadline) is</w:t>
      </w:r>
      <w:r>
        <w:t xml:space="preserve"> </w:t>
      </w:r>
      <w:r>
        <w:rPr>
          <w:b/>
          <w:bCs/>
        </w:rPr>
        <w:t xml:space="preserve">October 25, 2024</w:t>
      </w:r>
      <w:r>
        <w:t xml:space="preserve">. CC#2 (§I) states that</w:t>
      </w:r>
      <w:r>
        <w:t xml:space="preserve"> </w:t>
      </w:r>
      <w:r>
        <w:t xml:space="preserve">“</w:t>
      </w:r>
      <w:r>
        <w:t xml:space="preserve">The Funding Date for Capital Call Notice No. 1 was</w:t>
      </w:r>
      <w:r>
        <w:t xml:space="preserve"> </w:t>
      </w:r>
      <w:r>
        <w:rPr>
          <w:b/>
          <w:bCs/>
        </w:rPr>
        <w:t xml:space="preserve">October 24, 2024</w:t>
      </w:r>
      <w:r>
        <w:t xml:space="preserve">.</w:t>
      </w:r>
      <w:r>
        <w:t xml:space="preserve">”</w:t>
      </w:r>
      <w:r>
        <w:t xml:space="preserve"> </w:t>
      </w:r>
      <w:r>
        <w:t xml:space="preserve">These are inconsistent by one day. The GP Memo does not specify the CC#1 funding date. Fund Counsel recommends confirming the actual date on which CC#1 funds were received (bank records) and correcting the reference in CC#2 if necessary, as the CC#1 funding date is used as a reference point in the equalization interest narrative.</w:t>
      </w:r>
    </w:p>
    <w:bookmarkEnd w:id="35"/>
    <w:bookmarkStart w:id="36" w:name="X97fd924d683ed564d8005967646edc76621ed68"/>
    <w:p>
      <w:pPr>
        <w:pStyle w:val="Heading3"/>
      </w:pPr>
      <w:r>
        <w:t xml:space="preserve">C. Private Placement Memorandum — Date Inconsistency</w:t>
      </w:r>
    </w:p>
    <w:p>
      <w:pPr>
        <w:pStyle w:val="FirstParagraph"/>
      </w:pPr>
      <w:r>
        <w:t xml:space="preserve">The PPM is referenced by different dates across the Source Documents:</w:t>
      </w:r>
    </w:p>
    <w:p>
      <w:pPr>
        <w:pStyle w:val="Compact"/>
        <w:numPr>
          <w:ilvl w:val="0"/>
          <w:numId w:val="1009"/>
        </w:numPr>
      </w:pPr>
      <w:r>
        <w:rPr>
          <w:b/>
          <w:bCs/>
        </w:rPr>
        <w:t xml:space="preserve">GP Memo</w:t>
      </w:r>
      <w:r>
        <w:t xml:space="preserve"> </w:t>
      </w:r>
      <w:r>
        <w:t xml:space="preserve">(§I):</w:t>
      </w:r>
      <w:r>
        <w:t xml:space="preserve"> </w:t>
      </w:r>
      <w:r>
        <w:t xml:space="preserve">“</w:t>
      </w:r>
      <w:r>
        <w:t xml:space="preserve">Confidential Private Placement Memorandum dated</w:t>
      </w:r>
      <w:r>
        <w:t xml:space="preserve"> </w:t>
      </w:r>
      <w:r>
        <w:rPr>
          <w:b/>
          <w:bCs/>
        </w:rPr>
        <w:t xml:space="preserve">July 15, 2024</w:t>
      </w:r>
      <w:r>
        <w:t xml:space="preserve">”</w:t>
      </w:r>
    </w:p>
    <w:p>
      <w:pPr>
        <w:pStyle w:val="Compact"/>
        <w:numPr>
          <w:ilvl w:val="0"/>
          <w:numId w:val="1009"/>
        </w:numPr>
      </w:pPr>
      <w:r>
        <w:rPr>
          <w:b/>
          <w:bCs/>
        </w:rPr>
        <w:t xml:space="preserve">Amendment</w:t>
      </w:r>
      <w:r>
        <w:t xml:space="preserve"> </w:t>
      </w:r>
      <w:r>
        <w:t xml:space="preserve">(§1.2(c)):</w:t>
      </w:r>
      <w:r>
        <w:t xml:space="preserve"> </w:t>
      </w:r>
      <w:r>
        <w:t xml:space="preserve">“</w:t>
      </w:r>
      <w:r>
        <w:t xml:space="preserve">Confidential Private Placement Memorandum dated</w:t>
      </w:r>
      <w:r>
        <w:t xml:space="preserve"> </w:t>
      </w:r>
      <w:r>
        <w:rPr>
          <w:b/>
          <w:bCs/>
        </w:rPr>
        <w:t xml:space="preserve">July 2024</w:t>
      </w:r>
      <w:r>
        <w:t xml:space="preserve">”</w:t>
      </w:r>
    </w:p>
    <w:p>
      <w:pPr>
        <w:pStyle w:val="Compact"/>
        <w:numPr>
          <w:ilvl w:val="0"/>
          <w:numId w:val="1009"/>
        </w:numPr>
      </w:pPr>
      <w:r>
        <w:rPr>
          <w:b/>
          <w:bCs/>
        </w:rPr>
        <w:t xml:space="preserve">CC#2</w:t>
      </w:r>
      <w:r>
        <w:t xml:space="preserve"> </w:t>
      </w:r>
      <w:r>
        <w:t xml:space="preserve">(§III(a)):</w:t>
      </w:r>
      <w:r>
        <w:t xml:space="preserve"> </w:t>
      </w:r>
      <w:r>
        <w:t xml:space="preserve">“</w:t>
      </w:r>
      <w:r>
        <w:t xml:space="preserve">Private Placement Memorandum dated</w:t>
      </w:r>
      <w:r>
        <w:t xml:space="preserve"> </w:t>
      </w:r>
      <w:r>
        <w:rPr>
          <w:b/>
          <w:bCs/>
        </w:rPr>
        <w:t xml:space="preserve">August 1, 2024</w:t>
      </w:r>
      <w:r>
        <w:t xml:space="preserve">”</w:t>
      </w:r>
    </w:p>
    <w:p>
      <w:pPr>
        <w:pStyle w:val="FirstParagraph"/>
      </w:pPr>
      <w:r>
        <w:t xml:space="preserve">The GP Memo and Amendment are roughly consistent (July 2024 / July 15, 2024), but CC#2’s</w:t>
      </w:r>
      <w:r>
        <w:t xml:space="preserve"> </w:t>
      </w:r>
      <w:r>
        <w:t xml:space="preserve">“</w:t>
      </w:r>
      <w:r>
        <w:t xml:space="preserve">August 1, 2024</w:t>
      </w:r>
      <w:r>
        <w:t xml:space="preserve">”</w:t>
      </w:r>
      <w:r>
        <w:t xml:space="preserve"> </w:t>
      </w:r>
      <w:r>
        <w:t xml:space="preserve">date is inconsistent. Fund Counsel recommends confirming the correct PPM date and correcting CC#2.</w:t>
      </w:r>
    </w:p>
    <w:bookmarkEnd w:id="36"/>
    <w:bookmarkStart w:id="37" w:name="X7e967838abd4bf09f3c94e1f9dadbac21deb6d7"/>
    <w:p>
      <w:pPr>
        <w:pStyle w:val="Heading3"/>
      </w:pPr>
      <w:r>
        <w:t xml:space="preserve">D. Individual LP Commitments — CC#2 Exhibit A vs. Checklist</w:t>
      </w:r>
    </w:p>
    <w:p>
      <w:pPr>
        <w:pStyle w:val="FirstParagraph"/>
      </w:pPr>
      <w:r>
        <w:t xml:space="preserve">CC#2’s Exhibit A lists individual Capital Commitments for three named Initial Closing LPs that</w:t>
      </w:r>
      <w:r>
        <w:t xml:space="preserve"> </w:t>
      </w:r>
      <w:r>
        <w:rPr>
          <w:b/>
          <w:bCs/>
        </w:rPr>
        <w:t xml:space="preserve">do not match</w:t>
      </w:r>
      <w:r>
        <w:t xml:space="preserve"> </w:t>
      </w:r>
      <w:r>
        <w:t xml:space="preserve">the Checklist’s Commitment Schedule:</w:t>
      </w:r>
    </w:p>
    <w:tbl>
      <w:tblPr>
        <w:tblStyle w:val="Table"/>
        <w:tblW w:type="pct" w:w="5000"/>
        <w:jc w:val="left"/>
        <w:tblLayout w:type="fixed"/>
        <w:tblLook w:firstRow="1" w:lastRow="0" w:firstColumn="0" w:lastColumn="0" w:noHBand="0" w:noVBand="0" w:val="0020"/>
      </w:tblPr>
      <w:tblGrid>
        <w:gridCol w:w="621"/>
        <w:gridCol w:w="2484"/>
        <w:gridCol w:w="4814"/>
      </w:tblGrid>
      <w:tr>
        <w:trPr>
          <w:tblHeader w:val="on"/>
        </w:trPr>
        <w:tc>
          <w:tcPr/>
          <w:p>
            <w:pPr>
              <w:pStyle w:val="Compact"/>
              <w:jc w:val="left"/>
            </w:pPr>
            <w:r>
              <w:t xml:space="preserve">LP</w:t>
            </w:r>
          </w:p>
        </w:tc>
        <w:tc>
          <w:tcPr/>
          <w:p>
            <w:pPr>
              <w:pStyle w:val="Compact"/>
              <w:jc w:val="left"/>
            </w:pPr>
            <w:r>
              <w:t xml:space="preserve">CC#2 Exhibit A</w:t>
            </w:r>
          </w:p>
        </w:tc>
        <w:tc>
          <w:tcPr/>
          <w:p>
            <w:pPr>
              <w:pStyle w:val="Compact"/>
              <w:jc w:val="left"/>
            </w:pPr>
            <w:r>
              <w:t xml:space="preserve">Checklist Commitment Schedule</w:t>
            </w:r>
          </w:p>
        </w:tc>
      </w:tr>
      <w:tr>
        <w:tc>
          <w:tcPr/>
          <w:p>
            <w:pPr>
              <w:pStyle w:val="Compact"/>
              <w:jc w:val="left"/>
            </w:pPr>
            <w:r>
              <w:t xml:space="preserve">Silvermark Capital Advisors</w:t>
            </w:r>
          </w:p>
        </w:tc>
        <w:tc>
          <w:tcPr/>
          <w:p>
            <w:pPr>
              <w:pStyle w:val="Compact"/>
              <w:jc w:val="left"/>
            </w:pPr>
            <w:r>
              <w:t xml:space="preserve">$125,000,000</w:t>
            </w:r>
          </w:p>
        </w:tc>
        <w:tc>
          <w:tcPr/>
          <w:p>
            <w:pPr>
              <w:pStyle w:val="Compact"/>
              <w:jc w:val="left"/>
            </w:pPr>
            <w:r>
              <w:t xml:space="preserve">$75,000,000</w:t>
            </w:r>
          </w:p>
        </w:tc>
      </w:tr>
      <w:tr>
        <w:tc>
          <w:tcPr/>
          <w:p>
            <w:pPr>
              <w:pStyle w:val="Compact"/>
              <w:jc w:val="left"/>
            </w:pPr>
            <w:r>
              <w:t xml:space="preserve">Commonwealth Public Employees’ Retirement Fund</w:t>
            </w:r>
          </w:p>
        </w:tc>
        <w:tc>
          <w:tcPr/>
          <w:p>
            <w:pPr>
              <w:pStyle w:val="Compact"/>
              <w:jc w:val="left"/>
            </w:pPr>
            <w:r>
              <w:t xml:space="preserve">$100,000,000</w:t>
            </w:r>
          </w:p>
        </w:tc>
        <w:tc>
          <w:tcPr/>
          <w:p>
            <w:pPr>
              <w:pStyle w:val="Compact"/>
              <w:jc w:val="left"/>
            </w:pPr>
            <w:r>
              <w:t xml:space="preserve">$85,000,000</w:t>
            </w:r>
          </w:p>
        </w:tc>
      </w:tr>
      <w:tr>
        <w:tc>
          <w:tcPr/>
          <w:p>
            <w:pPr>
              <w:pStyle w:val="Compact"/>
              <w:jc w:val="left"/>
            </w:pPr>
            <w:r>
              <w:t xml:space="preserve">Graystone Foundation</w:t>
            </w:r>
          </w:p>
        </w:tc>
        <w:tc>
          <w:tcPr/>
          <w:p>
            <w:pPr>
              <w:pStyle w:val="Compact"/>
              <w:jc w:val="left"/>
            </w:pPr>
            <w:r>
              <w:t xml:space="preserve">$75,000,000</w:t>
            </w:r>
          </w:p>
        </w:tc>
        <w:tc>
          <w:tcPr/>
          <w:p>
            <w:pPr>
              <w:pStyle w:val="Compact"/>
              <w:jc w:val="left"/>
            </w:pPr>
            <w:r>
              <w:t xml:space="preserve">$50,000,000</w:t>
            </w:r>
          </w:p>
        </w:tc>
      </w:tr>
    </w:tbl>
    <w:p>
      <w:pPr>
        <w:pStyle w:val="BodyText"/>
      </w:pPr>
      <w:r>
        <w:t xml:space="preserve">The CC#2 subtotals ($940,000,000 aggregate; $47,000,000 called) are correct, but the individual breakdown for these three LPs does not match the Checklist. If the CC#2 individual amounts were used to calculate each LP’s capital call, Silvermark would have been called $6,250,000 (5% of $125M) rather than $3,750,000 (5% of $75M). Fund Counsel recommends reconciling the individual commitment amounts and confirming that the capital actually called from each LP in CC#2 matches its true Capital Commitment. This may require adjustments to individual LP capital accounts.</w:t>
      </w:r>
    </w:p>
    <w:bookmarkEnd w:id="37"/>
    <w:bookmarkStart w:id="38" w:name="X7774f36fa31cc17401802aa120d0107cb4ccfed"/>
    <w:p>
      <w:pPr>
        <w:pStyle w:val="Heading3"/>
      </w:pPr>
      <w:r>
        <w:t xml:space="preserve">E. Governmental Plans — ERISA Status Characterization</w:t>
      </w:r>
    </w:p>
    <w:p>
      <w:pPr>
        <w:pStyle w:val="FirstParagraph"/>
      </w:pPr>
      <w:r>
        <w:t xml:space="preserve">As noted in Section II.A, the Sub Agreement (Box C) and the GP Memo characterize governmental plans (Meridian, Sentry, and the prior-closing state/municipal pension funds) as</w:t>
      </w:r>
      <w:r>
        <w:t xml:space="preserve"> </w:t>
      </w:r>
      <w:r>
        <w:t xml:space="preserve">“</w:t>
      </w:r>
      <w:r>
        <w:t xml:space="preserve">Benefit Plan Investors</w:t>
      </w:r>
      <w:r>
        <w:t xml:space="preserve">”</w:t>
      </w:r>
      <w:r>
        <w:t xml:space="preserve"> </w:t>
      </w:r>
      <w:r>
        <w:t xml:space="preserve">for Section 6.8 purposes. Governmental plans are generally</w:t>
      </w:r>
      <w:r>
        <w:t xml:space="preserve"> </w:t>
      </w:r>
      <w:r>
        <w:rPr>
          <w:b/>
          <w:bCs/>
        </w:rPr>
        <w:t xml:space="preserve">exempt from ERISA</w:t>
      </w:r>
      <w:r>
        <w:t xml:space="preserve"> </w:t>
      </w:r>
      <w:r>
        <w:t xml:space="preserve">under Section 3(32) of ERISA and are not</w:t>
      </w:r>
      <w:r>
        <w:t xml:space="preserve"> </w:t>
      </w:r>
      <w:r>
        <w:t xml:space="preserve">“</w:t>
      </w:r>
      <w:r>
        <w:t xml:space="preserve">Benefit Plan Investors</w:t>
      </w:r>
      <w:r>
        <w:t xml:space="preserve">”</w:t>
      </w:r>
      <w:r>
        <w:t xml:space="preserve"> </w:t>
      </w:r>
      <w:r>
        <w:t xml:space="preserve">under the LPA’s Article I definition. The conservative treatment of governmental plans as BPIs is not expressly supported by the LPA text. If this conservative treatment is maintained, the BPI percentage (28.81%) would exceed the 24.99% cap. Fund Counsel recommends confirming with ERISA counsel whether governmental plans should be counted and documenting the basis for the determination.</w:t>
      </w:r>
    </w:p>
    <w:bookmarkEnd w:id="38"/>
    <w:bookmarkStart w:id="39" w:name="f.-side-letter-count"/>
    <w:p>
      <w:pPr>
        <w:pStyle w:val="Heading3"/>
      </w:pPr>
      <w:r>
        <w:t xml:space="preserve">F. Side Letter Count</w:t>
      </w:r>
    </w:p>
    <w:p>
      <w:pPr>
        <w:pStyle w:val="FirstParagraph"/>
      </w:pPr>
      <w:r>
        <w:t xml:space="preserve">The GP Memo (§X) and the Checklist (item 30) state that</w:t>
      </w:r>
      <w:r>
        <w:t xml:space="preserve"> </w:t>
      </w:r>
      <w:r>
        <w:rPr>
          <w:b/>
          <w:bCs/>
        </w:rPr>
        <w:t xml:space="preserve">fourteen (14) side letters</w:t>
      </w:r>
      <w:r>
        <w:t xml:space="preserve"> </w:t>
      </w:r>
      <w:r>
        <w:t xml:space="preserve">have been executed across all closings. However, the Checklist’s Commitment Schedule marks only</w:t>
      </w:r>
      <w:r>
        <w:t xml:space="preserve"> </w:t>
      </w:r>
      <w:r>
        <w:rPr>
          <w:b/>
          <w:bCs/>
        </w:rPr>
        <w:t xml:space="preserve">thirteen (13) LPs</w:t>
      </w:r>
      <w:r>
        <w:t xml:space="preserve"> </w:t>
      </w:r>
      <w:r>
        <w:t xml:space="preserve">with</w:t>
      </w:r>
      <w:r>
        <w:t xml:space="preserve"> </w:t>
      </w:r>
      <w:r>
        <w:t xml:space="preserve">“</w:t>
      </w:r>
      <w:r>
        <w:t xml:space="preserve">Y</w:t>
      </w:r>
      <w:r>
        <w:t xml:space="preserve">”</w:t>
      </w:r>
      <w:r>
        <w:t xml:space="preserve"> </w:t>
      </w:r>
      <w:r>
        <w:t xml:space="preserve">in the Side Letter column. Additionally, the GP Memo states that Meridian’s and Sentry’s side letters are</w:t>
      </w:r>
      <w:r>
        <w:t xml:space="preserve"> </w:t>
      </w:r>
      <w:r>
        <w:t xml:space="preserve">“</w:t>
      </w:r>
      <w:r>
        <w:t xml:space="preserve">Expected</w:t>
      </w:r>
      <w:r>
        <w:t xml:space="preserve">”</w:t>
      </w:r>
      <w:r>
        <w:t xml:space="preserve"> </w:t>
      </w:r>
      <w:r>
        <w:t xml:space="preserve">(not yet executed), while the Checklist marks Meridian as</w:t>
      </w:r>
      <w:r>
        <w:t xml:space="preserve"> </w:t>
      </w:r>
      <w:r>
        <w:t xml:space="preserve">“</w:t>
      </w:r>
      <w:r>
        <w:t xml:space="preserve">Y</w:t>
      </w:r>
      <w:r>
        <w:t xml:space="preserve">”</w:t>
      </w:r>
      <w:r>
        <w:t xml:space="preserve"> </w:t>
      </w:r>
      <w:r>
        <w:t xml:space="preserve">(executed) and Sentry as</w:t>
      </w:r>
      <w:r>
        <w:t xml:space="preserve"> </w:t>
      </w:r>
      <w:r>
        <w:t xml:space="preserve">“</w:t>
      </w:r>
      <w:r>
        <w:t xml:space="preserve">N.</w:t>
      </w:r>
      <w:r>
        <w:t xml:space="preserve">”</w:t>
      </w:r>
      <w:r>
        <w:t xml:space="preserve"> </w:t>
      </w:r>
      <w:r>
        <w:t xml:space="preserve">Fund Counsel recommends reconciling the side letter count and confirming which side letters are executed versus pending.</w:t>
      </w:r>
    </w:p>
    <w:bookmarkEnd w:id="39"/>
    <w:bookmarkStart w:id="40" w:name="X3566d8e0315599917d7d5ab6fbf931764a6367a"/>
    <w:p>
      <w:pPr>
        <w:pStyle w:val="Heading3"/>
      </w:pPr>
      <w:r>
        <w:t xml:space="preserve">G. Limited Partner Jurisdiction Inconsistencies</w:t>
      </w:r>
    </w:p>
    <w:p>
      <w:pPr>
        <w:pStyle w:val="FirstParagraph"/>
      </w:pPr>
      <w:r>
        <w:t xml:space="preserve">The Checklist and the Sub Agreement (Schedule I) state different jurisdictions of organization for two Final Closing Limited Partners:</w:t>
      </w:r>
    </w:p>
    <w:tbl>
      <w:tblPr>
        <w:tblStyle w:val="Table"/>
        <w:tblW w:type="pct" w:w="5000"/>
        <w:jc w:val="left"/>
        <w:tblLayout w:type="fixed"/>
        <w:tblLook w:firstRow="1" w:lastRow="0" w:firstColumn="0" w:lastColumn="0" w:noHBand="0" w:noVBand="0" w:val="0020"/>
      </w:tblPr>
      <w:tblGrid>
        <w:gridCol w:w="736"/>
        <w:gridCol w:w="2026"/>
        <w:gridCol w:w="5157"/>
      </w:tblGrid>
      <w:tr>
        <w:trPr>
          <w:tblHeader w:val="on"/>
        </w:trPr>
        <w:tc>
          <w:tcPr/>
          <w:p>
            <w:pPr>
              <w:pStyle w:val="Compact"/>
              <w:jc w:val="left"/>
            </w:pPr>
            <w:r>
              <w:t xml:space="preserve">LP</w:t>
            </w:r>
          </w:p>
        </w:tc>
        <w:tc>
          <w:tcPr/>
          <w:p>
            <w:pPr>
              <w:pStyle w:val="Compact"/>
              <w:jc w:val="left"/>
            </w:pPr>
            <w:r>
              <w:t xml:space="preserve">Checklist</w:t>
            </w:r>
          </w:p>
        </w:tc>
        <w:tc>
          <w:tcPr/>
          <w:p>
            <w:pPr>
              <w:pStyle w:val="Compact"/>
              <w:jc w:val="left"/>
            </w:pPr>
            <w:r>
              <w:t xml:space="preserve">Sub Agreement (Schedule I)</w:t>
            </w:r>
          </w:p>
        </w:tc>
      </w:tr>
      <w:tr>
        <w:tc>
          <w:tcPr/>
          <w:p>
            <w:pPr>
              <w:pStyle w:val="Compact"/>
              <w:jc w:val="left"/>
            </w:pPr>
            <w:r>
              <w:t xml:space="preserve">Meridian State Teachers’ Retirement System</w:t>
            </w:r>
          </w:p>
        </w:tc>
        <w:tc>
          <w:tcPr/>
          <w:p>
            <w:pPr>
              <w:pStyle w:val="Compact"/>
              <w:jc w:val="left"/>
            </w:pPr>
            <w:r>
              <w:t xml:space="preserve">State pension fund —</w:t>
            </w:r>
            <w:r>
              <w:t xml:space="preserve"> </w:t>
            </w:r>
            <w:r>
              <w:rPr>
                <w:b/>
                <w:bCs/>
              </w:rPr>
              <w:t xml:space="preserve">Indiana</w:t>
            </w:r>
          </w:p>
        </w:tc>
        <w:tc>
          <w:tcPr/>
          <w:p>
            <w:pPr>
              <w:pStyle w:val="Compact"/>
              <w:jc w:val="left"/>
            </w:pPr>
            <w:r>
              <w:t xml:space="preserve">State of</w:t>
            </w:r>
            <w:r>
              <w:t xml:space="preserve"> </w:t>
            </w:r>
            <w:r>
              <w:rPr>
                <w:b/>
                <w:bCs/>
              </w:rPr>
              <w:t xml:space="preserve">Illinois</w:t>
            </w:r>
            <w:r>
              <w:t xml:space="preserve"> </w:t>
            </w:r>
            <w:r>
              <w:t xml:space="preserve">(Illinois Pension Code)</w:t>
            </w:r>
          </w:p>
        </w:tc>
      </w:tr>
      <w:tr>
        <w:tc>
          <w:tcPr/>
          <w:p>
            <w:pPr>
              <w:pStyle w:val="Compact"/>
              <w:jc w:val="left"/>
            </w:pPr>
            <w:r>
              <w:t xml:space="preserve">Northbridge Endowment Fund</w:t>
            </w:r>
          </w:p>
        </w:tc>
        <w:tc>
          <w:tcPr/>
          <w:p>
            <w:pPr>
              <w:pStyle w:val="Compact"/>
              <w:jc w:val="left"/>
            </w:pPr>
            <w:r>
              <w:rPr>
                <w:b/>
                <w:bCs/>
              </w:rPr>
              <w:t xml:space="preserve">Connecticut</w:t>
            </w:r>
            <w:r>
              <w:t xml:space="preserve"> </w:t>
            </w:r>
            <w:r>
              <w:t xml:space="preserve">nonprofit corporation</w:t>
            </w:r>
          </w:p>
        </w:tc>
        <w:tc>
          <w:tcPr/>
          <w:p>
            <w:pPr>
              <w:pStyle w:val="Compact"/>
              <w:jc w:val="left"/>
            </w:pPr>
            <w:r>
              <w:t xml:space="preserve">Commonwealth of</w:t>
            </w:r>
            <w:r>
              <w:t xml:space="preserve"> </w:t>
            </w:r>
            <w:r>
              <w:rPr>
                <w:b/>
                <w:bCs/>
              </w:rPr>
              <w:t xml:space="preserve">Massachusetts</w:t>
            </w:r>
          </w:p>
        </w:tc>
      </w:tr>
    </w:tbl>
    <w:p>
      <w:pPr>
        <w:pStyle w:val="BodyText"/>
      </w:pPr>
      <w:r>
        <w:t xml:space="preserve">Fund Counsel recommends confirming the correct jurisdictions and correcting the inconsistent references, as the jurisdiction of organization is relevant to the organizational representations in the Subscription Agreements (Section 2.1) and to blue-sky filing obligations.</w:t>
      </w:r>
    </w:p>
    <w:bookmarkEnd w:id="40"/>
    <w:bookmarkStart w:id="41" w:name="h.-contact-information-inconsistencies"/>
    <w:p>
      <w:pPr>
        <w:pStyle w:val="Heading3"/>
      </w:pPr>
      <w:r>
        <w:t xml:space="preserve">H. Contact Information Inconsistencies</w:t>
      </w:r>
    </w:p>
    <w:p>
      <w:pPr>
        <w:pStyle w:val="FirstParagraph"/>
      </w:pPr>
      <w:r>
        <w:t xml:space="preserve">Several contact details (telephone numbers and email address formats) vary across the Source Documents. While these are unlikely to affect the validity of the closing, they should be standardized:</w:t>
      </w:r>
    </w:p>
    <w:p>
      <w:pPr>
        <w:pStyle w:val="Compact"/>
        <w:numPr>
          <w:ilvl w:val="0"/>
          <w:numId w:val="1010"/>
        </w:numPr>
      </w:pPr>
      <w:r>
        <w:rPr>
          <w:b/>
          <w:bCs/>
        </w:rPr>
        <w:t xml:space="preserve">Sandra K. Liu telephone:</w:t>
      </w:r>
      <w:r>
        <w:t xml:space="preserve"> </w:t>
      </w:r>
      <w:r>
        <w:t xml:space="preserve">GP Memo lists (312) 555-4718 (direct); CC#2 lists (312) 555-7200; Sub Agreement lists (312) 555-0184.</w:t>
      </w:r>
    </w:p>
    <w:p>
      <w:pPr>
        <w:pStyle w:val="Compact"/>
        <w:numPr>
          <w:ilvl w:val="0"/>
          <w:numId w:val="1010"/>
        </w:numPr>
      </w:pPr>
      <w:r>
        <w:rPr>
          <w:b/>
          <w:bCs/>
        </w:rPr>
        <w:t xml:space="preserve">Jonathan C. Prewitt telephone:</w:t>
      </w:r>
      <w:r>
        <w:t xml:space="preserve"> </w:t>
      </w:r>
      <w:r>
        <w:t xml:space="preserve">LPA Exhibit C lists (203) 555-4100; CC#2 lists (203) 555-4180; Sub Agreement lists (203) 555-0163; AML Email lists (203) 541-2280.</w:t>
      </w:r>
    </w:p>
    <w:p>
      <w:pPr>
        <w:pStyle w:val="Compact"/>
        <w:numPr>
          <w:ilvl w:val="0"/>
          <w:numId w:val="1010"/>
        </w:numPr>
      </w:pPr>
      <w:r>
        <w:rPr>
          <w:b/>
          <w:bCs/>
        </w:rPr>
        <w:t xml:space="preserve">Email format:</w:t>
      </w:r>
      <w:r>
        <w:t xml:space="preserve"> </w:t>
      </w:r>
      <w:r>
        <w:t xml:space="preserve">The LPA and GP Memo use</w:t>
      </w:r>
      <w:r>
        <w:t xml:space="preserve"> </w:t>
      </w:r>
      <w:r>
        <w:t xml:space="preserve">“</w:t>
      </w:r>
      <w:r>
        <w:t xml:space="preserve">j.prewitt@oakmerefundservices.com</w:t>
      </w:r>
      <w:r>
        <w:t xml:space="preserve">”</w:t>
      </w:r>
      <w:r>
        <w:t xml:space="preserve"> </w:t>
      </w:r>
      <w:r>
        <w:t xml:space="preserve">and</w:t>
      </w:r>
      <w:r>
        <w:t xml:space="preserve"> </w:t>
      </w:r>
      <w:r>
        <w:t xml:space="preserve">“</w:t>
      </w:r>
      <w:r>
        <w:t xml:space="preserve">s.liu@whitmorecapital.com,</w:t>
      </w:r>
      <w:r>
        <w:t xml:space="preserve">”</w:t>
      </w:r>
      <w:r>
        <w:t xml:space="preserve"> </w:t>
      </w:r>
      <w:r>
        <w:t xml:space="preserve">while CC#1, CC#2, the Sub Agreement, and the AML Email use</w:t>
      </w:r>
      <w:r>
        <w:t xml:space="preserve"> </w:t>
      </w:r>
      <w:r>
        <w:t xml:space="preserve">“</w:t>
      </w:r>
      <w:r>
        <w:t xml:space="preserve">jprewitt@oakmerefundservices.com</w:t>
      </w:r>
      <w:r>
        <w:t xml:space="preserve">”</w:t>
      </w:r>
      <w:r>
        <w:t xml:space="preserve"> </w:t>
      </w:r>
      <w:r>
        <w:t xml:space="preserve">and</w:t>
      </w:r>
      <w:r>
        <w:t xml:space="preserve"> </w:t>
      </w:r>
      <w:r>
        <w:t xml:space="preserve">“</w:t>
      </w:r>
      <w:r>
        <w:t xml:space="preserve">sliu@whitmorecapital.com</w:t>
      </w:r>
      <w:r>
        <w:t xml:space="preserve">”</w:t>
      </w:r>
      <w:r>
        <w:t xml:space="preserve"> </w:t>
      </w:r>
      <w:r>
        <w:t xml:space="preserve">(no period in the local part).</w:t>
      </w:r>
    </w:p>
    <w:bookmarkEnd w:id="41"/>
    <w:bookmarkStart w:id="42" w:name="i.-gp-memo-date-in-checklist"/>
    <w:p>
      <w:pPr>
        <w:pStyle w:val="Heading3"/>
      </w:pPr>
      <w:r>
        <w:t xml:space="preserve">I. GP Memo Date in Checklist</w:t>
      </w:r>
    </w:p>
    <w:p>
      <w:pPr>
        <w:pStyle w:val="FirstParagraph"/>
      </w:pPr>
      <w:r>
        <w:t xml:space="preserve">Checklist item 24 references the</w:t>
      </w:r>
      <w:r>
        <w:t xml:space="preserve"> </w:t>
      </w:r>
      <w:r>
        <w:t xml:space="preserve">“</w:t>
      </w:r>
      <w:r>
        <w:t xml:space="preserve">GP Internal Closing Memorandum dated</w:t>
      </w:r>
      <w:r>
        <w:t xml:space="preserve"> </w:t>
      </w:r>
      <w:r>
        <w:rPr>
          <w:b/>
          <w:bCs/>
        </w:rPr>
        <w:t xml:space="preserve">January 30, 2025</w:t>
      </w:r>
      <w:r>
        <w:t xml:space="preserve">,</w:t>
      </w:r>
      <w:r>
        <w:t xml:space="preserve">”</w:t>
      </w:r>
      <w:r>
        <w:t xml:space="preserve"> </w:t>
      </w:r>
      <w:r>
        <w:t xml:space="preserve">but the GP Memo is dated</w:t>
      </w:r>
      <w:r>
        <w:t xml:space="preserve"> </w:t>
      </w:r>
      <w:r>
        <w:rPr>
          <w:b/>
          <w:bCs/>
        </w:rPr>
        <w:t xml:space="preserve">January 28, 2025</w:t>
      </w:r>
      <w:r>
        <w:t xml:space="preserve">. This is a minor citation error in the Checklist.</w:t>
      </w:r>
    </w:p>
    <w:p>
      <w:r>
        <w:pict>
          <v:rect style="width:0;height:1.5pt" o:hralign="center" o:hrstd="t" o:hr="t"/>
        </w:pict>
      </w:r>
    </w:p>
    <w:bookmarkEnd w:id="42"/>
    <w:bookmarkEnd w:id="43"/>
    <w:bookmarkStart w:id="44" w:name="vii.-summary-of-recommended-action-items"/>
    <w:p>
      <w:pPr>
        <w:pStyle w:val="Heading2"/>
      </w:pPr>
      <w:r>
        <w:t xml:space="preserve">VII. Summary of Recommended Action Items</w:t>
      </w:r>
    </w:p>
    <w:p>
      <w:pPr>
        <w:pStyle w:val="FirstParagraph"/>
      </w:pPr>
      <w:r>
        <w:t xml:space="preserve">The following action items are recommended before or promptly after the Final Closing:</w:t>
      </w:r>
    </w:p>
    <w:p>
      <w:pPr>
        <w:pStyle w:val="BodyText"/>
      </w:pPr>
      <w:r>
        <w:rPr>
          <w:b/>
          <w:bCs/>
        </w:rPr>
        <w:t xml:space="preserve">Before Closing (must be resolved to support the Final Closing Certificate):</w:t>
      </w:r>
    </w:p>
    <w:p>
      <w:pPr>
        <w:pStyle w:val="Compact"/>
        <w:numPr>
          <w:ilvl w:val="0"/>
          <w:numId w:val="1011"/>
        </w:numPr>
      </w:pPr>
      <w:r>
        <w:rPr>
          <w:b/>
          <w:bCs/>
        </w:rPr>
        <w:t xml:space="preserve">ERISA reconciliation (Critical).</w:t>
      </w:r>
      <w:r>
        <w:t xml:space="preserve"> </w:t>
      </w:r>
      <w:r>
        <w:t xml:space="preserve">Reconcile the BPI calculation across all documents; confirm whether governmental plans are counted; document a single internally consistent figure; confirm the 24.99% cap is not exceeded.</w:t>
      </w:r>
      <w:r>
        <w:t xml:space="preserve"> </w:t>
      </w:r>
      <w:r>
        <w:rPr>
          <w:i/>
          <w:iCs/>
        </w:rPr>
        <w:t xml:space="preserve">(GP, ERISA counsel, Oakmere)</w:t>
      </w:r>
    </w:p>
    <w:p>
      <w:pPr>
        <w:pStyle w:val="Compact"/>
        <w:numPr>
          <w:ilvl w:val="0"/>
          <w:numId w:val="1011"/>
        </w:numPr>
      </w:pPr>
      <w:r>
        <w:rPr>
          <w:b/>
          <w:bCs/>
        </w:rPr>
        <w:t xml:space="preserve">AML/KYC for Cascade Re (Critical).</w:t>
      </w:r>
      <w:r>
        <w:t xml:space="preserve"> </w:t>
      </w:r>
      <w:r>
        <w:t xml:space="preserve">Obtain supplemental AML/KYC completion confirmation from Oakmere expressly covering Cascade Re Insurance Ltd., including EDD.</w:t>
      </w:r>
      <w:r>
        <w:t xml:space="preserve"> </w:t>
      </w:r>
      <w:r>
        <w:rPr>
          <w:i/>
          <w:iCs/>
        </w:rPr>
        <w:t xml:space="preserve">(Oakmere)</w:t>
      </w:r>
    </w:p>
    <w:p>
      <w:pPr>
        <w:pStyle w:val="Compact"/>
        <w:numPr>
          <w:ilvl w:val="0"/>
          <w:numId w:val="1011"/>
        </w:numPr>
      </w:pPr>
      <w:r>
        <w:rPr>
          <w:b/>
          <w:bCs/>
        </w:rPr>
        <w:t xml:space="preserve">Amendment §8.3(b)/8.3(c) correction (Critical).</w:t>
      </w:r>
      <w:r>
        <w:t xml:space="preserve"> </w:t>
      </w:r>
      <w:r>
        <w:t xml:space="preserve">Confirm the catch-up correction targets the correct section (8.3(c)) and that the preferred return (8.3(b)) is preserved; document any corrective action.</w:t>
      </w:r>
      <w:r>
        <w:t xml:space="preserve"> </w:t>
      </w:r>
      <w:r>
        <w:rPr>
          <w:i/>
          <w:iCs/>
        </w:rPr>
        <w:t xml:space="preserve">(Fund Counsel)</w:t>
      </w:r>
    </w:p>
    <w:p>
      <w:pPr>
        <w:pStyle w:val="Compact"/>
        <w:numPr>
          <w:ilvl w:val="0"/>
          <w:numId w:val="1011"/>
        </w:numPr>
      </w:pPr>
      <w:r>
        <w:rPr>
          <w:b/>
          <w:bCs/>
        </w:rPr>
        <w:t xml:space="preserve">Escrow funding confirmation.</w:t>
      </w:r>
      <w:r>
        <w:t xml:space="preserve"> </w:t>
      </w:r>
      <w:r>
        <w:t xml:space="preserve">Confirm receipt of all Final Closing capital contributions in escrow.</w:t>
      </w:r>
      <w:r>
        <w:t xml:space="preserve"> </w:t>
      </w:r>
      <w:r>
        <w:rPr>
          <w:i/>
          <w:iCs/>
        </w:rPr>
        <w:t xml:space="preserve">(Oakmere / Pinnacle National Bank)</w:t>
      </w:r>
    </w:p>
    <w:p>
      <w:pPr>
        <w:pStyle w:val="Compact"/>
        <w:numPr>
          <w:ilvl w:val="0"/>
          <w:numId w:val="1011"/>
        </w:numPr>
      </w:pPr>
      <w:r>
        <w:rPr>
          <w:b/>
          <w:bCs/>
        </w:rPr>
        <w:t xml:space="preserve">Legal opinions.</w:t>
      </w:r>
      <w:r>
        <w:t xml:space="preserve"> </w:t>
      </w:r>
      <w:r>
        <w:t xml:space="preserve">Finalize and execute the formation, enforceability, and securities law opinions.</w:t>
      </w:r>
      <w:r>
        <w:t xml:space="preserve"> </w:t>
      </w:r>
      <w:r>
        <w:rPr>
          <w:i/>
          <w:iCs/>
        </w:rPr>
        <w:t xml:space="preserve">(Fund Counsel)</w:t>
      </w:r>
    </w:p>
    <w:p>
      <w:pPr>
        <w:pStyle w:val="Compact"/>
        <w:numPr>
          <w:ilvl w:val="0"/>
          <w:numId w:val="1011"/>
        </w:numPr>
      </w:pPr>
      <w:r>
        <w:rPr>
          <w:b/>
          <w:bCs/>
        </w:rPr>
        <w:t xml:space="preserve">Updated Schedule A.</w:t>
      </w:r>
      <w:r>
        <w:t xml:space="preserve"> </w:t>
      </w:r>
      <w:r>
        <w:t xml:space="preserve">Finalize and approve the updated Schedule A reflecting all three closings.</w:t>
      </w:r>
      <w:r>
        <w:t xml:space="preserve"> </w:t>
      </w:r>
      <w:r>
        <w:rPr>
          <w:i/>
          <w:iCs/>
        </w:rPr>
        <w:t xml:space="preserve">(Oakmere / Fund Counsel)</w:t>
      </w:r>
    </w:p>
    <w:p>
      <w:pPr>
        <w:pStyle w:val="Compact"/>
        <w:numPr>
          <w:ilvl w:val="0"/>
          <w:numId w:val="1011"/>
        </w:numPr>
      </w:pPr>
      <w:r>
        <w:rPr>
          <w:b/>
          <w:bCs/>
        </w:rPr>
        <w:t xml:space="preserve">Key Person certification.</w:t>
      </w:r>
      <w:r>
        <w:t xml:space="preserve"> </w:t>
      </w:r>
      <w:r>
        <w:t xml:space="preserve">Confirm the factual basis to certify both Marcus J. Whitmore and Priya S. Mehta.</w:t>
      </w:r>
      <w:r>
        <w:t xml:space="preserve"> </w:t>
      </w:r>
      <w:r>
        <w:rPr>
          <w:i/>
          <w:iCs/>
        </w:rPr>
        <w:t xml:space="preserve">(GP)</w:t>
      </w:r>
    </w:p>
    <w:p>
      <w:pPr>
        <w:pStyle w:val="Compact"/>
        <w:numPr>
          <w:ilvl w:val="0"/>
          <w:numId w:val="1011"/>
        </w:numPr>
      </w:pPr>
      <w:r>
        <w:rPr>
          <w:b/>
          <w:bCs/>
        </w:rPr>
        <w:t xml:space="preserve">GP representations.</w:t>
      </w:r>
      <w:r>
        <w:t xml:space="preserve"> </w:t>
      </w:r>
      <w:r>
        <w:t xml:space="preserve">Identify the specific LPA provisions supporting the Condition 10 certification.</w:t>
      </w:r>
      <w:r>
        <w:t xml:space="preserve"> </w:t>
      </w:r>
      <w:r>
        <w:rPr>
          <w:i/>
          <w:iCs/>
        </w:rPr>
        <w:t xml:space="preserve">(GP / Fund Counsel)</w:t>
      </w:r>
    </w:p>
    <w:p>
      <w:pPr>
        <w:pStyle w:val="FirstParagraph"/>
      </w:pPr>
      <w:r>
        <w:rPr>
          <w:b/>
          <w:bCs/>
        </w:rPr>
        <w:t xml:space="preserve">At or Promptly After Closing:</w:t>
      </w:r>
    </w:p>
    <w:p>
      <w:pPr>
        <w:pStyle w:val="Compact"/>
        <w:numPr>
          <w:ilvl w:val="0"/>
          <w:numId w:val="1012"/>
        </w:numPr>
      </w:pPr>
      <w:r>
        <w:rPr>
          <w:b/>
          <w:bCs/>
        </w:rPr>
        <w:t xml:space="preserve">Birchwood commitment.</w:t>
      </w:r>
      <w:r>
        <w:t xml:space="preserve"> </w:t>
      </w:r>
      <w:r>
        <w:t xml:space="preserve">Correct the $75,000,000 figure in the Amendment to $60,000,000 (or confirm the correct amount).</w:t>
      </w:r>
      <w:r>
        <w:t xml:space="preserve"> </w:t>
      </w:r>
      <w:r>
        <w:rPr>
          <w:i/>
          <w:iCs/>
        </w:rPr>
        <w:t xml:space="preserve">(Fund Counsel)</w:t>
      </w:r>
    </w:p>
    <w:p>
      <w:pPr>
        <w:pStyle w:val="Compact"/>
        <w:numPr>
          <w:ilvl w:val="0"/>
          <w:numId w:val="1012"/>
        </w:numPr>
      </w:pPr>
      <w:r>
        <w:rPr>
          <w:b/>
          <w:bCs/>
        </w:rPr>
        <w:t xml:space="preserve">Default interest rate.</w:t>
      </w:r>
      <w:r>
        <w:t xml:space="preserve"> </w:t>
      </w:r>
      <w:r>
        <w:t xml:space="preserve">Conform the Sub Agreement and capital call notices to the LPA’s 12% simple-interest default rate.</w:t>
      </w:r>
      <w:r>
        <w:t xml:space="preserve"> </w:t>
      </w:r>
      <w:r>
        <w:rPr>
          <w:i/>
          <w:iCs/>
        </w:rPr>
        <w:t xml:space="preserve">(Fund Counsel)</w:t>
      </w:r>
    </w:p>
    <w:p>
      <w:pPr>
        <w:pStyle w:val="Compact"/>
        <w:numPr>
          <w:ilvl w:val="0"/>
          <w:numId w:val="1012"/>
        </w:numPr>
      </w:pPr>
      <w:r>
        <w:rPr>
          <w:b/>
          <w:bCs/>
        </w:rPr>
        <w:t xml:space="preserve">Equalization day count.</w:t>
      </w:r>
      <w:r>
        <w:t xml:space="preserve"> </w:t>
      </w:r>
      <w:r>
        <w:t xml:space="preserve">Reconcile the day-count convention (CC#2: 46 vs. 47 vs. 48 days) and confirm the controlling total.</w:t>
      </w:r>
      <w:r>
        <w:t xml:space="preserve"> </w:t>
      </w:r>
      <w:r>
        <w:rPr>
          <w:i/>
          <w:iCs/>
        </w:rPr>
        <w:t xml:space="preserve">(Oakmere)</w:t>
      </w:r>
    </w:p>
    <w:p>
      <w:pPr>
        <w:pStyle w:val="Compact"/>
        <w:numPr>
          <w:ilvl w:val="0"/>
          <w:numId w:val="1012"/>
        </w:numPr>
      </w:pPr>
      <w:r>
        <w:rPr>
          <w:b/>
          <w:bCs/>
        </w:rPr>
        <w:t xml:space="preserve">Advisory Committee notification.</w:t>
      </w:r>
      <w:r>
        <w:t xml:space="preserve"> </w:t>
      </w:r>
      <w:r>
        <w:t xml:space="preserve">Deliver the Target Fund Size excess notification within 5 Business Days of the Final Closing.</w:t>
      </w:r>
      <w:r>
        <w:t xml:space="preserve"> </w:t>
      </w:r>
      <w:r>
        <w:rPr>
          <w:i/>
          <w:iCs/>
        </w:rPr>
        <w:t xml:space="preserve">(GP)</w:t>
      </w:r>
    </w:p>
    <w:p>
      <w:pPr>
        <w:pStyle w:val="Compact"/>
        <w:numPr>
          <w:ilvl w:val="0"/>
          <w:numId w:val="1012"/>
        </w:numPr>
      </w:pPr>
      <w:r>
        <w:rPr>
          <w:b/>
          <w:bCs/>
        </w:rPr>
        <w:t xml:space="preserve">Form D amendment.</w:t>
      </w:r>
      <w:r>
        <w:t xml:space="preserve"> </w:t>
      </w:r>
      <w:r>
        <w:t xml:space="preserve">File by February 15, 2025.</w:t>
      </w:r>
      <w:r>
        <w:t xml:space="preserve"> </w:t>
      </w:r>
      <w:r>
        <w:rPr>
          <w:i/>
          <w:iCs/>
        </w:rPr>
        <w:t xml:space="preserve">(Sandra K. Liu / Fund Counsel)</w:t>
      </w:r>
    </w:p>
    <w:p>
      <w:pPr>
        <w:pStyle w:val="Compact"/>
        <w:numPr>
          <w:ilvl w:val="0"/>
          <w:numId w:val="1012"/>
        </w:numPr>
      </w:pPr>
      <w:r>
        <w:rPr>
          <w:b/>
          <w:bCs/>
        </w:rPr>
        <w:t xml:space="preserve">MFN notices.</w:t>
      </w:r>
      <w:r>
        <w:t xml:space="preserve"> </w:t>
      </w:r>
      <w:r>
        <w:t xml:space="preserve">Circulate to eligible LPs within 30 days of the Final Closing.</w:t>
      </w:r>
      <w:r>
        <w:t xml:space="preserve"> </w:t>
      </w:r>
      <w:r>
        <w:rPr>
          <w:i/>
          <w:iCs/>
        </w:rPr>
        <w:t xml:space="preserve">(Fund Counsel)</w:t>
      </w:r>
    </w:p>
    <w:p>
      <w:pPr>
        <w:pStyle w:val="Compact"/>
        <w:numPr>
          <w:ilvl w:val="0"/>
          <w:numId w:val="1012"/>
        </w:numPr>
      </w:pPr>
      <w:r>
        <w:rPr>
          <w:b/>
          <w:bCs/>
        </w:rPr>
        <w:t xml:space="preserve">Advisory Committee fifth seat.</w:t>
      </w:r>
      <w:r>
        <w:t xml:space="preserve"> </w:t>
      </w:r>
      <w:r>
        <w:t xml:space="preserve">Fill the vacant seat from a Final Closing LP.</w:t>
      </w:r>
      <w:r>
        <w:t xml:space="preserve"> </w:t>
      </w:r>
      <w:r>
        <w:rPr>
          <w:i/>
          <w:iCs/>
        </w:rPr>
        <w:t xml:space="preserve">(GP)</w:t>
      </w:r>
    </w:p>
    <w:p>
      <w:pPr>
        <w:pStyle w:val="Compact"/>
        <w:numPr>
          <w:ilvl w:val="0"/>
          <w:numId w:val="1012"/>
        </w:numPr>
      </w:pPr>
      <w:r>
        <w:rPr>
          <w:b/>
          <w:bCs/>
        </w:rPr>
        <w:t xml:space="preserve">Cross-reference corrections.</w:t>
      </w:r>
      <w:r>
        <w:t xml:space="preserve"> </w:t>
      </w:r>
      <w:r>
        <w:t xml:space="preserve">Correct the incorrect LPA section/article citations in the Amendment, CC#1, CC#2, and the Sub Agreement.</w:t>
      </w:r>
      <w:r>
        <w:t xml:space="preserve"> </w:t>
      </w:r>
      <w:r>
        <w:rPr>
          <w:i/>
          <w:iCs/>
        </w:rPr>
        <w:t xml:space="preserve">(Fund Counsel)</w:t>
      </w:r>
    </w:p>
    <w:p>
      <w:pPr>
        <w:pStyle w:val="Compact"/>
        <w:numPr>
          <w:ilvl w:val="0"/>
          <w:numId w:val="1012"/>
        </w:numPr>
      </w:pPr>
      <w:r>
        <w:rPr>
          <w:b/>
          <w:bCs/>
        </w:rPr>
        <w:t xml:space="preserve">CC#2 individual commitments.</w:t>
      </w:r>
      <w:r>
        <w:t xml:space="preserve"> </w:t>
      </w:r>
      <w:r>
        <w:t xml:space="preserve">Reconcile the individual LP commitment amounts in CC#2 Exhibit A with the Checklist.</w:t>
      </w:r>
      <w:r>
        <w:t xml:space="preserve"> </w:t>
      </w:r>
      <w:r>
        <w:rPr>
          <w:i/>
          <w:iCs/>
        </w:rPr>
        <w:t xml:space="preserve">(Oakmere)</w:t>
      </w:r>
    </w:p>
    <w:p>
      <w:pPr>
        <w:pStyle w:val="Compact"/>
        <w:numPr>
          <w:ilvl w:val="0"/>
          <w:numId w:val="1012"/>
        </w:numPr>
      </w:pPr>
      <w:r>
        <w:rPr>
          <w:b/>
          <w:bCs/>
        </w:rPr>
        <w:t xml:space="preserve">PPM date.</w:t>
      </w:r>
      <w:r>
        <w:t xml:space="preserve"> </w:t>
      </w:r>
      <w:r>
        <w:t xml:space="preserve">Confirm the correct PPM date and correct CC#2.</w:t>
      </w:r>
      <w:r>
        <w:t xml:space="preserve"> </w:t>
      </w:r>
      <w:r>
        <w:rPr>
          <w:i/>
          <w:iCs/>
        </w:rPr>
        <w:t xml:space="preserve">(GP)</w:t>
      </w:r>
    </w:p>
    <w:p>
      <w:pPr>
        <w:pStyle w:val="Compact"/>
        <w:numPr>
          <w:ilvl w:val="0"/>
          <w:numId w:val="1012"/>
        </w:numPr>
      </w:pPr>
      <w:r>
        <w:rPr>
          <w:b/>
          <w:bCs/>
        </w:rPr>
        <w:t xml:space="preserve">LP jurisdictions.</w:t>
      </w:r>
      <w:r>
        <w:t xml:space="preserve"> </w:t>
      </w:r>
      <w:r>
        <w:t xml:space="preserve">Confirm Meridian and Northbridge jurisdictions and correct inconsistent references.</w:t>
      </w:r>
      <w:r>
        <w:t xml:space="preserve"> </w:t>
      </w:r>
      <w:r>
        <w:rPr>
          <w:i/>
          <w:iCs/>
        </w:rPr>
        <w:t xml:space="preserve">(Oakmere)</w:t>
      </w:r>
    </w:p>
    <w:p>
      <w:pPr>
        <w:pStyle w:val="Compact"/>
        <w:numPr>
          <w:ilvl w:val="0"/>
          <w:numId w:val="1012"/>
        </w:numPr>
      </w:pPr>
      <w:r>
        <w:rPr>
          <w:b/>
          <w:bCs/>
        </w:rPr>
        <w:t xml:space="preserve">Side letter count.</w:t>
      </w:r>
      <w:r>
        <w:t xml:space="preserve"> </w:t>
      </w:r>
      <w:r>
        <w:t xml:space="preserve">Reconcile the 13 vs. 14 side letter count and confirm executed vs. pending.</w:t>
      </w:r>
      <w:r>
        <w:t xml:space="preserve"> </w:t>
      </w:r>
      <w:r>
        <w:rPr>
          <w:i/>
          <w:iCs/>
        </w:rPr>
        <w:t xml:space="preserve">(Fund Counsel)</w:t>
      </w:r>
    </w:p>
    <w:p>
      <w:r>
        <w:pict>
          <v:rect style="width:0;height:1.5pt" o:hralign="center" o:hrstd="t" o:hr="t"/>
        </w:pict>
      </w:r>
    </w:p>
    <w:bookmarkEnd w:id="44"/>
    <w:bookmarkStart w:id="45" w:name="viii.-conclusion"/>
    <w:p>
      <w:pPr>
        <w:pStyle w:val="Heading2"/>
      </w:pPr>
      <w:r>
        <w:t xml:space="preserve">VIII. Conclusion</w:t>
      </w:r>
    </w:p>
    <w:p>
      <w:pPr>
        <w:pStyle w:val="FirstParagraph"/>
      </w:pPr>
      <w:r>
        <w:t xml:space="preserve">The Fund is substantially prepared to proceed with the Final Closing on January 31, 2025. However,</w:t>
      </w:r>
      <w:r>
        <w:t xml:space="preserve"> </w:t>
      </w:r>
      <w:r>
        <w:rPr>
          <w:b/>
          <w:bCs/>
        </w:rPr>
        <w:t xml:space="preserve">three critical issues</w:t>
      </w:r>
      <w:r>
        <w:t xml:space="preserve"> </w:t>
      </w:r>
      <w:r>
        <w:t xml:space="preserve">— the ERISA/BPI calculation discrepancy (which, under one methodology, suggests the non-waivable 24.99% cap may be exceeded), the omission of Cascade Re Insurance Ltd. from the AML/KYC completion email (a non-waivable condition), and the mislabeled catch-up correction in Amendment No. 1 — must be resolved before the Final Closing Certificate can be executed with confidence. Several additional significant discrepancies (the Birchwood commitment amount, the default interest rate, the equalization day count, and the Key Person certification gap) should also be addressed.</w:t>
      </w:r>
    </w:p>
    <w:p>
      <w:pPr>
        <w:pStyle w:val="BodyText"/>
      </w:pPr>
      <w:r>
        <w:t xml:space="preserve">Fund Counsel has prepared the accompanying Final Closing Certificate in the form it will take once the pending deliverables are completed and the critical issues are resolved. We are available to assist with each of the action items identified above and recommend a brief call with the General Partner, Oakmere, and ERISA counsel to resolve the ERISA and AML/KYC items as a priority.</w:t>
      </w:r>
    </w:p>
    <w:p>
      <w:pPr>
        <w:pStyle w:val="BodyText"/>
      </w:pPr>
      <w:r>
        <w:t xml:space="preserve">Please do not hesitate to contact David R. Kasten or Emily T. Naraghi with any questions.</w:t>
      </w:r>
    </w:p>
    <w:p>
      <w:pPr>
        <w:pStyle w:val="BodyText"/>
      </w:pPr>
      <w:r>
        <w:rPr>
          <w:b/>
          <w:bCs/>
        </w:rPr>
        <w:t xml:space="preserve">Bridgeford Hollis LLP</w:t>
      </w:r>
    </w:p>
    <w:p>
      <w:pPr>
        <w:pStyle w:val="BodyText"/>
      </w:pPr>
      <w:r>
        <w:rPr>
          <w:i/>
          <w:iCs/>
        </w:rPr>
        <w:t xml:space="preserve">Fund Counsel to Whitmore Capital Partners VII, LP and Whitmore Capital Management LLC</w:t>
      </w:r>
    </w:p>
    <w:p>
      <w:pPr>
        <w:pStyle w:val="BodyText"/>
      </w:pPr>
      <w:r>
        <w:t xml:space="preserve">77 West Monroe Street, Suite 4400</w:t>
      </w:r>
      <w:r>
        <w:t xml:space="preserve"> </w:t>
      </w:r>
      <w:r>
        <w:t xml:space="preserve">Chicago, Illinois 60603</w:t>
      </w:r>
    </w:p>
    <w:p>
      <w:r>
        <w:pict>
          <v:rect style="width:0;height:1.5pt" o:hralign="center" o:hrstd="t" o:hr="t"/>
        </w:pict>
      </w:r>
    </w:p>
    <w:p>
      <w:pPr>
        <w:pStyle w:val="FirstParagraph"/>
      </w:pPr>
      <w:r>
        <w:rPr>
          <w:i/>
          <w:iCs/>
        </w:rPr>
        <w:t xml:space="preserve">This memorandum constitutes attorney-client privileged communication and attorney work product prepared by Bridgeford Hollis LLP in its capacity as Fund Counsel. It is intended solely for the use of Whitmore Capital Management LLC (as General Partner) and its principals and should not be distributed, reproduced, or disclosed to any Limited Partner, prospective investor, or other third party without the prior written consent of Fund Counsel.</w:t>
      </w:r>
    </w:p>
    <w:p>
      <w:pPr>
        <w:pStyle w:val="BodyText"/>
      </w:pPr>
      <w:r>
        <w:rPr>
          <w:i/>
          <w:iCs/>
        </w:rPr>
        <w:t xml:space="preserve">[End of Memorandum]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2026-06-23T05:40:11Z</dcterms:created>
  <dcterms:modified xsi:type="dcterms:W3CDTF">2026-06-23T05:40:11Z</dcterms:modified>
</cp:coreProperties>
</file>

<file path=docProps/custom.xml><?xml version="1.0" encoding="utf-8"?>
<Properties xmlns="http://schemas.openxmlformats.org/officeDocument/2006/custom-properties" xmlns:vt="http://schemas.openxmlformats.org/officeDocument/2006/docPropsVTypes"/>
</file>