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20"/>
          <w:u w:val="none"/>
        </w:rPr>
        <w:t>PRIVILEGED AND CONFIDENTIAL</w:t>
      </w:r>
    </w:p>
    <w:p>
      <w:pPr>
        <w:spacing w:before="0" w:after="160"/>
        <w:jc w:val="center"/>
      </w:pPr>
      <w:r>
        <w:rPr>
          <w:rFonts w:ascii="Times New Roman" w:hAnsi="Times New Roman" w:cs="Times New Roman"/>
          <w:b/>
          <w:i w:val="0"/>
          <w:sz w:val="20"/>
          <w:u w:val="none"/>
        </w:rPr>
        <w:t>ATTORNEY-CLIENT COMMUNICATION / ATTORNEY WORK PRODUCT</w:t>
      </w:r>
    </w:p>
    <w:p>
      <w:pPr>
        <w:spacing w:before="0" w:after="200"/>
        <w:jc w:val="center"/>
      </w:pPr>
      <w:r>
        <w:rPr>
          <w:rFonts w:ascii="Times New Roman" w:hAnsi="Times New Roman" w:cs="Times New Roman"/>
          <w:b/>
          <w:i w:val="0"/>
          <w:sz w:val="28"/>
          <w:u w:val="single"/>
        </w:rPr>
        <w:t>MEMORANDUM</w:t>
      </w:r>
    </w:p>
    <w:p>
      <w:pPr>
        <w:spacing w:before="40" w:after="120"/>
        <w:pBdr>
          <w:bottom w:val="single" w:sz="6" w:space="1" w:color="808080"/>
        </w:pBdr>
      </w:pPr>
    </w:p>
    <w:tbl>
      <w:tblPr>
        <w:tblW w:type="auto" w:w="0"/>
        <w:tblLayout w:type="fixed"/>
        <w:tblLook w:firstColumn="1" w:firstRow="1" w:lastColumn="0" w:lastRow="0" w:noHBand="0" w:noVBand="1" w:val="04A0"/>
      </w:tblPr>
      <w:tblGrid>
        <w:gridCol w:w="4680"/>
        <w:gridCol w:w="4680"/>
      </w:tblGrid>
      <w:tr>
        <w:tc>
          <w:tcPr>
            <w:tcW w:type="dxa" w:w="1296"/>
            <w:tcBorders>
              <w:top w:val="nil"/>
              <w:left w:val="nil"/>
              <w:bottom w:val="nil"/>
              <w:right w:val="nil"/>
            </w:tcBorders>
          </w:tcPr>
          <w:p>
            <w:pPr>
              <w:spacing w:after="40" w:before="40"/>
            </w:pPr>
            <w:r/>
            <w:r>
              <w:rPr>
                <w:rFonts w:ascii="Times New Roman" w:hAnsi="Times New Roman" w:cs="Times New Roman"/>
                <w:b/>
                <w:i w:val="0"/>
                <w:sz w:val="20"/>
                <w:u w:val="none"/>
              </w:rPr>
              <w:t>TO:</w:t>
            </w:r>
          </w:p>
        </w:tc>
        <w:tc>
          <w:tcPr>
            <w:tcW w:type="dxa" w:w="8064"/>
            <w:tcBorders>
              <w:top w:val="nil"/>
              <w:left w:val="nil"/>
              <w:bottom w:val="nil"/>
              <w:right w:val="nil"/>
            </w:tcBorders>
          </w:tcPr>
          <w:p>
            <w:pPr>
              <w:spacing w:after="40" w:before="40"/>
            </w:pPr>
            <w:r/>
            <w:r>
              <w:rPr>
                <w:rFonts w:ascii="Times New Roman" w:hAnsi="Times New Roman" w:cs="Times New Roman"/>
                <w:b w:val="0"/>
                <w:i w:val="0"/>
                <w:sz w:val="20"/>
                <w:u w:val="none"/>
              </w:rPr>
              <w:t>Sandra K. Liu, Chief Compliance Officer and General Counsel</w:t>
              <w:br/>
              <w:t>Marcus J. Whitmore, Managing Member and Chief Investment Officer</w:t>
              <w:br/>
              <w:t>Whitmore Capital Management LLC, General Partner of Whitmore Capital Partners VII, LP</w:t>
            </w:r>
          </w:p>
        </w:tc>
      </w:tr>
      <w:tr>
        <w:tc>
          <w:tcPr>
            <w:tcW w:type="dxa" w:w="1296"/>
            <w:tcBorders>
              <w:top w:val="nil"/>
              <w:left w:val="nil"/>
              <w:bottom w:val="nil"/>
              <w:right w:val="nil"/>
            </w:tcBorders>
          </w:tcPr>
          <w:p>
            <w:pPr>
              <w:spacing w:after="40" w:before="40"/>
            </w:pPr>
            <w:r/>
            <w:r>
              <w:rPr>
                <w:rFonts w:ascii="Times New Roman" w:hAnsi="Times New Roman" w:cs="Times New Roman"/>
                <w:b/>
                <w:i w:val="0"/>
                <w:sz w:val="20"/>
                <w:u w:val="none"/>
              </w:rPr>
              <w:t>FROM:</w:t>
            </w:r>
          </w:p>
        </w:tc>
        <w:tc>
          <w:tcPr>
            <w:tcW w:type="dxa" w:w="8064"/>
            <w:tcBorders>
              <w:top w:val="nil"/>
              <w:left w:val="nil"/>
              <w:bottom w:val="nil"/>
              <w:right w:val="nil"/>
            </w:tcBorders>
          </w:tcPr>
          <w:p>
            <w:pPr>
              <w:spacing w:after="40" w:before="40"/>
            </w:pPr>
            <w:r/>
            <w:r>
              <w:rPr>
                <w:rFonts w:ascii="Times New Roman" w:hAnsi="Times New Roman" w:cs="Times New Roman"/>
                <w:b w:val="0"/>
                <w:i w:val="0"/>
                <w:sz w:val="20"/>
                <w:u w:val="none"/>
              </w:rPr>
              <w:t>Bridgeford Hollis LLP, Fund Counsel</w:t>
              <w:br/>
              <w:t>David R. Kasten, Partner</w:t>
              <w:br/>
              <w:t>Emily T. Naraghi, Associate</w:t>
            </w:r>
          </w:p>
        </w:tc>
      </w:tr>
      <w:tr>
        <w:tc>
          <w:tcPr>
            <w:tcW w:type="dxa" w:w="1296"/>
            <w:tcBorders>
              <w:top w:val="nil"/>
              <w:left w:val="nil"/>
              <w:bottom w:val="nil"/>
              <w:right w:val="nil"/>
            </w:tcBorders>
          </w:tcPr>
          <w:p>
            <w:pPr>
              <w:spacing w:after="40" w:before="40"/>
            </w:pPr>
            <w:r/>
            <w:r>
              <w:rPr>
                <w:rFonts w:ascii="Times New Roman" w:hAnsi="Times New Roman" w:cs="Times New Roman"/>
                <w:b/>
                <w:i w:val="0"/>
                <w:sz w:val="20"/>
                <w:u w:val="none"/>
              </w:rPr>
              <w:t>DATE:</w:t>
            </w:r>
          </w:p>
        </w:tc>
        <w:tc>
          <w:tcPr>
            <w:tcW w:type="dxa" w:w="8064"/>
            <w:tcBorders>
              <w:top w:val="nil"/>
              <w:left w:val="nil"/>
              <w:bottom w:val="nil"/>
              <w:right w:val="nil"/>
            </w:tcBorders>
          </w:tcPr>
          <w:p>
            <w:pPr>
              <w:spacing w:after="40" w:before="40"/>
            </w:pPr>
            <w:r/>
            <w:r>
              <w:rPr>
                <w:rFonts w:ascii="Times New Roman" w:hAnsi="Times New Roman" w:cs="Times New Roman"/>
                <w:b w:val="0"/>
                <w:i w:val="0"/>
                <w:sz w:val="20"/>
                <w:u w:val="none"/>
              </w:rPr>
              <w:t>January 30, 2025</w:t>
            </w:r>
          </w:p>
        </w:tc>
      </w:tr>
      <w:tr>
        <w:tc>
          <w:tcPr>
            <w:tcW w:type="dxa" w:w="1296"/>
            <w:tcBorders>
              <w:top w:val="nil"/>
              <w:left w:val="nil"/>
              <w:bottom w:val="nil"/>
              <w:right w:val="nil"/>
            </w:tcBorders>
          </w:tcPr>
          <w:p>
            <w:pPr>
              <w:spacing w:after="40" w:before="40"/>
            </w:pPr>
            <w:r/>
            <w:r>
              <w:rPr>
                <w:rFonts w:ascii="Times New Roman" w:hAnsi="Times New Roman" w:cs="Times New Roman"/>
                <w:b/>
                <w:i w:val="0"/>
                <w:sz w:val="20"/>
                <w:u w:val="none"/>
              </w:rPr>
              <w:t>RE:</w:t>
            </w:r>
          </w:p>
        </w:tc>
        <w:tc>
          <w:tcPr>
            <w:tcW w:type="dxa" w:w="8064"/>
            <w:tcBorders>
              <w:top w:val="nil"/>
              <w:left w:val="nil"/>
              <w:bottom w:val="nil"/>
              <w:right w:val="nil"/>
            </w:tcBorders>
          </w:tcPr>
          <w:p>
            <w:pPr>
              <w:spacing w:after="40" w:before="40"/>
            </w:pPr>
            <w:r/>
            <w:r>
              <w:rPr>
                <w:rFonts w:ascii="Times New Roman" w:hAnsi="Times New Roman" w:cs="Times New Roman"/>
                <w:b w:val="0"/>
                <w:i w:val="0"/>
                <w:sz w:val="20"/>
                <w:u w:val="none"/>
              </w:rPr>
              <w:t>Discrepancies and Unresolved Issues Identified in Connection with the Final Closing of Whitmore Capital Partners VII, LP (Scheduled January 31, 2025)</w:t>
            </w:r>
          </w:p>
        </w:tc>
      </w:tr>
    </w:tbl>
    <w:p>
      <w:pPr>
        <w:spacing w:before="0" w:after="40"/>
      </w:pPr>
    </w:p>
    <w:p>
      <w:pPr>
        <w:spacing w:before="40" w:after="120"/>
        <w:pBdr>
          <w:bottom w:val="single" w:sz="6" w:space="1" w:color="808080"/>
        </w:pBdr>
      </w:pPr>
    </w:p>
    <w:p>
      <w:pPr>
        <w:spacing w:before="240" w:after="80"/>
      </w:pPr>
      <w:r>
        <w:rPr>
          <w:rFonts w:ascii="Times New Roman" w:hAnsi="Times New Roman" w:cs="Times New Roman"/>
          <w:b/>
          <w:i w:val="0"/>
          <w:sz w:val="24"/>
          <w:u w:val="single"/>
        </w:rPr>
        <w:t>I.  Introduction and Purpose</w:t>
      </w:r>
    </w:p>
    <w:p>
      <w:pPr>
        <w:spacing w:before="0" w:after="120"/>
      </w:pPr>
      <w:r>
        <w:rPr>
          <w:rFonts w:ascii="Times New Roman" w:hAnsi="Times New Roman" w:cs="Times New Roman"/>
          <w:b w:val="0"/>
          <w:i w:val="0"/>
          <w:sz w:val="22"/>
          <w:u w:val="none"/>
        </w:rPr>
        <w:t>In connection with the final closing (the “Final Closing”) of Whitmore Capital Partners VII, LP (the “Fund”) scheduled for January 31, 2025, we have prepared the Final Closing Certificate of the General Partner (delivered separately) and have reviewed the source documents made available to us in preparation for closing. Those documents include: (i) the Amended and Restated Agreement of Limited Partnership, dated as of September 15, 2024 (the “LPA”); (ii) Amendment No. 1 to the LPA, dated as of November 30, 2024 (“Amendment No. 1”); (iii) the General Partner’s internal closing memorandum dated January 28, 2025 (the “GP Memo”); (iv) Capital Call Notice No. 1, dated October 10, 2024 (“CC#1”); (v) Capital Call Notice No. 2, dated December 15, 2024 (“CC#2”); (vi) the form of Subscription Agreement for use at the Final Closing (the “Subscription Agreement”); (vii) the AML/KYC completion email from Oakmere Fund Services LLC dated January 24, 2025 (the “AML Email”); and (viii) the administrative closing checklist and commitment schedule (the “Checklist”).</w:t>
      </w:r>
    </w:p>
    <w:p>
      <w:pPr>
        <w:spacing w:before="0" w:after="120"/>
      </w:pPr>
      <w:r>
        <w:rPr>
          <w:rFonts w:ascii="Times New Roman" w:hAnsi="Times New Roman" w:cs="Times New Roman"/>
          <w:b w:val="0"/>
          <w:i w:val="0"/>
          <w:sz w:val="22"/>
          <w:u w:val="none"/>
        </w:rPr>
        <w:t>This memorandum flags the discrepancies, cross-reference errors, and unresolved issues identified during that review. We have classified each finding as follows:</w:t>
      </w:r>
    </w:p>
    <w:p>
      <w:pPr>
        <w:pStyle w:val="ListBullet"/>
        <w:spacing w:before="0" w:after="60"/>
        <w:ind w:left="720"/>
      </w:pPr>
      <w:r>
        <w:rPr>
          <w:rFonts w:ascii="Times New Roman" w:hAnsi="Times New Roman" w:cs="Times New Roman"/>
          <w:b/>
          <w:i w:val="0"/>
          <w:sz w:val="22"/>
          <w:u w:val="none"/>
        </w:rPr>
        <w:t xml:space="preserve">•  Closing-Blocking.  </w:t>
      </w:r>
      <w:r>
        <w:rPr>
          <w:rFonts w:ascii="Times New Roman" w:hAnsi="Times New Roman" w:cs="Times New Roman"/>
          <w:b w:val="0"/>
          <w:i w:val="0"/>
          <w:sz w:val="22"/>
          <w:u w:val="none"/>
        </w:rPr>
        <w:t>Must be resolved before the Final Closing Certificate is executed, because the item relates to a condition precedent under Section 11.2 of the LPA (including the non-waivable conditions) or to the amount of capital due at closing.</w:t>
      </w:r>
    </w:p>
    <w:p>
      <w:pPr>
        <w:pStyle w:val="ListBullet"/>
        <w:spacing w:before="0" w:after="60"/>
        <w:ind w:left="720"/>
      </w:pPr>
      <w:r>
        <w:rPr>
          <w:rFonts w:ascii="Times New Roman" w:hAnsi="Times New Roman" w:cs="Times New Roman"/>
          <w:b/>
          <w:i w:val="0"/>
          <w:sz w:val="22"/>
          <w:u w:val="none"/>
        </w:rPr>
        <w:t xml:space="preserve">•  Material.  </w:t>
      </w:r>
      <w:r>
        <w:rPr>
          <w:rFonts w:ascii="Times New Roman" w:hAnsi="Times New Roman" w:cs="Times New Roman"/>
          <w:b w:val="0"/>
          <w:i w:val="0"/>
          <w:sz w:val="22"/>
          <w:u w:val="none"/>
        </w:rPr>
        <w:t>Should be reconciled before or promptly after closing; affects the accuracy of fund records, capital allocations, or governing documents.</w:t>
      </w:r>
    </w:p>
    <w:p>
      <w:pPr>
        <w:pStyle w:val="ListBullet"/>
        <w:spacing w:before="0" w:after="60"/>
        <w:ind w:left="720"/>
      </w:pPr>
      <w:r>
        <w:rPr>
          <w:rFonts w:ascii="Times New Roman" w:hAnsi="Times New Roman" w:cs="Times New Roman"/>
          <w:b/>
          <w:i w:val="0"/>
          <w:sz w:val="22"/>
          <w:u w:val="none"/>
        </w:rPr>
        <w:t xml:space="preserve">•  Clerical / Record-Keeping.  </w:t>
      </w:r>
      <w:r>
        <w:rPr>
          <w:rFonts w:ascii="Times New Roman" w:hAnsi="Times New Roman" w:cs="Times New Roman"/>
          <w:b w:val="0"/>
          <w:i w:val="0"/>
          <w:sz w:val="22"/>
          <w:u w:val="none"/>
        </w:rPr>
        <w:t>Inconsistencies in citations, contact information, or dates that should be corrected in the fund records but do not affect closing.</w:t>
      </w:r>
    </w:p>
    <w:p>
      <w:pPr>
        <w:spacing w:before="80" w:after="120"/>
      </w:pPr>
      <w:r>
        <w:rPr>
          <w:rFonts w:ascii="Times New Roman" w:hAnsi="Times New Roman" w:cs="Times New Roman"/>
          <w:b w:val="0"/>
          <w:i w:val="0"/>
          <w:sz w:val="22"/>
          <w:u w:val="none"/>
        </w:rPr>
        <w:t>Section VI below identifies the specific items we recommend be resolved before the Final Closing Certificate is executed. The Final Closing Certificate has been prepared using the corrected figures (including a Benefit Plan Investor percentage of 22.00% and total Fund commitments of $1,615,000,000), and the items below should be confirmed against that Certificate.</w:t>
      </w:r>
    </w:p>
    <w:p>
      <w:pPr>
        <w:spacing w:before="240" w:after="80"/>
      </w:pPr>
      <w:r>
        <w:rPr>
          <w:rFonts w:ascii="Times New Roman" w:hAnsi="Times New Roman" w:cs="Times New Roman"/>
          <w:b/>
          <w:i w:val="0"/>
          <w:sz w:val="24"/>
          <w:u w:val="single"/>
        </w:rPr>
        <w:t>II.  Summary of Findings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32"/>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6"/>
                <w:u w:val="none"/>
              </w:rPr>
              <w:t>#</w:t>
            </w:r>
          </w:p>
        </w:tc>
        <w:tc>
          <w:tcPr>
            <w:tcW w:type="dxa" w:w="3888"/>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6"/>
                <w:u w:val="none"/>
              </w:rPr>
              <w:t>Issue</w:t>
            </w:r>
          </w:p>
        </w:tc>
        <w:tc>
          <w:tcPr>
            <w:tcW w:type="dxa" w:w="3744"/>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6"/>
                <w:u w:val="none"/>
              </w:rPr>
              <w:t>Documents in Conflict</w:t>
            </w:r>
          </w:p>
        </w:tc>
        <w:tc>
          <w:tcPr>
            <w:tcW w:type="dxa" w:w="1584"/>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6"/>
                <w:u w:val="none"/>
              </w:rPr>
              <w:t>Severity</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AML/KYC confirmation omits Cascade Re Insurance Ltd.</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AML Email vs. GP Memo / Subscription Agreement / Checklist</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Closing-Blocking</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B</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Equalization interest day-count and totals inconsistent</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Subscription Agreement Schedule I vs. Checklist (Equalization Calc)</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Closing-Blocking</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Birchwood Insurance Co. commitment: $75M vs. $60M</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Amendment No. 1 vs. CC#2 / Checklist</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D</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Initial Closing LP individual commitments differ</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CC#2 Exhibit A vs. Checklist (Commitment Schedule)</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E</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ERISA / BPI percentage error in GP Memo (19.8% vs. 22.00%)</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vs. Subscription Agreement / Checklist</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F</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Amendment No. 1 §8.3(b) “correction” targets wrong section</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Amendment No. 1 vs. LPA §8.3(b)/8.3(c)</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Amendment No. 1 incorrect cross-references</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Amendment No. 1 vs. LPA</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H</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incorrect cross-references (Art. VII; §8.1)</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vs. LPA</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I</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Capital Call Notices incorrect cross-references; default interest</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CC#1 / CC#2 vs. LPA</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J</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Subscription Agreement incorrect cross-references; default rate</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Subscription Agreement vs. LPA</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K</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PPM date inconsistent (Jul 15 / Jul / Aug 1, 2024)</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 Amendment No. 1 / CC#2</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L</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Key Person Priya S. Mehta not addressed in GP Memo</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vs. LPA §9.4(d)</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Target Fund Size exceeded — AC notice omitted from action items</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vs. LPA §3.1(d) / Subscription Agreement</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N</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Advisory Committee fifth seat vacant</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 Checklist vs. LPA §9.1(b)</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Material (post-closing)</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O</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Contact information inconsistencies (phone / email)</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Multiple documents</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P</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CC#1 funding date: Oct 25 vs. Oct 24</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CC#1 vs. CC#2</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Q</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Incoming LP jurisdictions differ (IL/IN; MA/CT)</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Subscription Agreement vs. Checklist</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R</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date: Jan 28 vs. “Jan 30” reference</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GP Memo vs. Checklist</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r>
        <w:tc>
          <w:tcPr>
            <w:tcW w:type="dxa" w:w="432"/>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w:t>
            </w:r>
          </w:p>
        </w:tc>
        <w:tc>
          <w:tcPr>
            <w:tcW w:type="dxa" w:w="3888"/>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Subscription Agreement overstates §3.1(d) as a “condition”</w:t>
            </w:r>
          </w:p>
        </w:tc>
        <w:tc>
          <w:tcPr>
            <w:tcW w:type="dxa" w:w="374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Subscription Agreement vs. LPA §3.1(d)</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jc w:val="left"/>
            </w:pPr>
            <w:r/>
            <w:r>
              <w:rPr>
                <w:rFonts w:ascii="Times New Roman" w:hAnsi="Times New Roman" w:cs="Times New Roman"/>
                <w:b w:val="0"/>
                <w:i w:val="0"/>
                <w:sz w:val="16"/>
                <w:u w:val="none"/>
              </w:rPr>
              <w:t>Clerical</w:t>
            </w:r>
          </w:p>
        </w:tc>
      </w:tr>
    </w:tbl>
    <w:p>
      <w:pPr>
        <w:spacing w:before="0" w:after="80"/>
      </w:pPr>
    </w:p>
    <w:p>
      <w:pPr>
        <w:spacing w:before="240" w:after="80"/>
      </w:pPr>
      <w:r>
        <w:rPr>
          <w:rFonts w:ascii="Times New Roman" w:hAnsi="Times New Roman" w:cs="Times New Roman"/>
          <w:b/>
          <w:i w:val="0"/>
          <w:sz w:val="24"/>
          <w:u w:val="single"/>
        </w:rPr>
        <w:t>III.  Closing-Blocking Items (Resolve Before Executing the Certificate)</w:t>
      </w:r>
    </w:p>
    <w:p>
      <w:pPr>
        <w:spacing w:before="160" w:after="60"/>
      </w:pPr>
      <w:r>
        <w:rPr>
          <w:rFonts w:ascii="Times New Roman" w:hAnsi="Times New Roman" w:cs="Times New Roman"/>
          <w:b/>
          <w:i w:val="0"/>
          <w:sz w:val="22"/>
          <w:u w:val="none"/>
        </w:rPr>
        <w:t>A.  AML/KYC confirmation does not cover Cascade Re Insurance Ltd. (LPA §11.2(3) — non-waivable)</w:t>
      </w:r>
    </w:p>
    <w:p>
      <w:pPr>
        <w:spacing w:before="0" w:after="120"/>
        <w:ind w:left="360"/>
      </w:pPr>
      <w:r>
        <w:rPr>
          <w:rFonts w:ascii="Times New Roman" w:hAnsi="Times New Roman" w:cs="Times New Roman"/>
          <w:b w:val="0"/>
          <w:i w:val="0"/>
          <w:sz w:val="22"/>
          <w:u w:val="none"/>
        </w:rPr>
        <w:t>The AML Email from Oakmere Fund Services LLC, dated January 24, 2025, confirms completion of AML/KYC verification for the Final Closing investors, but lists only five (5) of the six (6) Final Closing Limited Partners: (1) Meridian State Teachers’ Retirement System; (2) Haverfield Family Office LLC; (3) Northbridge Endowment Fund; (4) Sentry Municipal Employees’ Pension Trust; and (5) Kingsgate Ventures Fund-of-Funds III, LP. Cascade Re Insurance Ltd. ($35,000,000; a Bermuda-domiciled Class 3B reinsurer) is omitted from the AML Email.</w:t>
      </w:r>
    </w:p>
    <w:p>
      <w:pPr>
        <w:spacing w:before="0" w:after="120"/>
        <w:ind w:left="360"/>
      </w:pPr>
      <w:r>
        <w:rPr>
          <w:rFonts w:ascii="Times New Roman" w:hAnsi="Times New Roman" w:cs="Times New Roman"/>
          <w:b w:val="0"/>
          <w:i w:val="0"/>
          <w:sz w:val="22"/>
          <w:u w:val="none"/>
        </w:rPr>
        <w:t>AML/KYC compliance is a condition precedent under Section 11.2(3) of the LPA and, pursuant to Section 11.3, may not be waived under any circumstances. The Checklist (item 18) marks AML/KYC as “Complete” for “all Final Closing limited partners” and cites the AML Email as support, but the AML Email on its face does not cover Cascade Re. Because Cascade Re is a non-U.S. entity, it would ordinarily be subject to enhanced due diligence, which makes the omission more significant.</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Obtain a supplemental written confirmation from Oakmere expressly covering Cascade Re Insurance Ltd. (including OFAC/sanctions screening, identity and beneficial ownership verification, and any enhanced due diligence applicable to a Bermuda reinsurer) before the Final Closing Certificate is executed. The Certificate’s certification of Section 11.2(3) should not be relied upon until this confirmation is on file.</w:t>
      </w:r>
    </w:p>
    <w:p>
      <w:pPr>
        <w:spacing w:before="160" w:after="60"/>
      </w:pPr>
      <w:r>
        <w:rPr>
          <w:rFonts w:ascii="Times New Roman" w:hAnsi="Times New Roman" w:cs="Times New Roman"/>
          <w:b/>
          <w:i w:val="0"/>
          <w:sz w:val="22"/>
          <w:u w:val="none"/>
        </w:rPr>
        <w:t>B.  Equalization interest calculations are inconsistent (LPA §11.2(2) / §3.2(c))</w:t>
      </w:r>
    </w:p>
    <w:p>
      <w:pPr>
        <w:spacing w:before="0" w:after="120"/>
        <w:ind w:left="360"/>
      </w:pPr>
      <w:r>
        <w:rPr>
          <w:rFonts w:ascii="Times New Roman" w:hAnsi="Times New Roman" w:cs="Times New Roman"/>
          <w:b w:val="0"/>
          <w:i w:val="0"/>
          <w:sz w:val="22"/>
          <w:u w:val="none"/>
        </w:rPr>
        <w:t>The catch-up (Equalization) Contributions are not in dispute: 15% of the aggregate Final Closing commitments of $285,000,000, or $42,750,000 in the aggregate (10% attributable to CC#1 and 5% attributable to CC#2). The Equalization Interest, however, is calculated inconsistently across the source documents:</w:t>
      </w:r>
    </w:p>
    <w:p>
      <w:pPr>
        <w:pStyle w:val="ListBullet"/>
        <w:spacing w:before="0" w:after="60"/>
        <w:ind w:left="720"/>
      </w:pPr>
      <w:r>
        <w:rPr>
          <w:rFonts w:ascii="Times New Roman" w:hAnsi="Times New Roman" w:cs="Times New Roman"/>
          <w:b w:val="0"/>
          <w:i w:val="0"/>
          <w:sz w:val="22"/>
          <w:u w:val="none"/>
        </w:rPr>
        <w:t>The Subscription Agreement (Schedule I) computes the Capital Call #2 equalization interest using a 47-day period (December 15, 2024 through January 31, 2025), yielding an aggregate equalization interest of $852,661.64, which the Subscription Agreement designates as the “controlling amount.”</w:t>
      </w:r>
    </w:p>
    <w:p>
      <w:pPr>
        <w:pStyle w:val="ListBullet"/>
        <w:spacing w:before="0" w:after="60"/>
        <w:ind w:left="720"/>
      </w:pPr>
      <w:r>
        <w:rPr>
          <w:rFonts w:ascii="Times New Roman" w:hAnsi="Times New Roman" w:cs="Times New Roman"/>
          <w:b w:val="0"/>
          <w:i w:val="0"/>
          <w:sz w:val="22"/>
          <w:u w:val="none"/>
        </w:rPr>
        <w:t>The Checklist (Equalization Calc tab) computes the Capital Call #2 equalization interest using a 46-day period, yielding an aggregate equalization interest of $849,534.24.</w:t>
      </w:r>
    </w:p>
    <w:p>
      <w:pPr>
        <w:pStyle w:val="ListBullet"/>
        <w:spacing w:before="0" w:after="60"/>
        <w:ind w:left="720"/>
      </w:pPr>
      <w:r>
        <w:rPr>
          <w:rFonts w:ascii="Times New Roman" w:hAnsi="Times New Roman" w:cs="Times New Roman"/>
          <w:b w:val="0"/>
          <w:i w:val="0"/>
          <w:sz w:val="22"/>
          <w:u w:val="none"/>
        </w:rPr>
        <w:t>The difference of approximately $3,123 is attributable to the one-day difference in the Capital Call #2 day count (47 vs. 46), not to rounding.</w:t>
      </w:r>
    </w:p>
    <w:p>
      <w:pPr>
        <w:spacing w:before="40" w:after="120"/>
        <w:ind w:left="360"/>
      </w:pPr>
      <w:r>
        <w:rPr>
          <w:rFonts w:ascii="Times New Roman" w:hAnsi="Times New Roman" w:cs="Times New Roman"/>
          <w:b w:val="0"/>
          <w:i w:val="0"/>
          <w:sz w:val="22"/>
          <w:u w:val="none"/>
        </w:rPr>
        <w:t>In addition, both calculations may be one day short of the LPA’s express day-count convention. Section 3.2(c) of the LPA provides that the number of days “shall be determined from and including the date of each prior Capital Call through and including the date of the applicable Subsequent Closing.” Under that inclusive convention, the Capital Call #1 period (October 10, 2024 through January 31, 2025) would be 114 days (both documents use 113), and the Capital Call #2 period (December 15, 2024 through January 31, 2025) would be 48 days (the documents use 46 or 47).</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Confirm the day-count convention against Section 3.2(c) of the LPA, reconcile the Subscription Agreement and the Fund Administrator’s calculations to a single controlling total, and ensure that each Final Closing Limited Partner’s closing statement (and wire amount) matches before funds are due. Because the amount of capital due at closing is a condition precedent under Section 11.2(2), this should be resolved before the Certificate is executed.</w:t>
      </w:r>
    </w:p>
    <w:p>
      <w:pPr>
        <w:spacing w:before="240" w:after="80"/>
      </w:pPr>
      <w:r>
        <w:rPr>
          <w:rFonts w:ascii="Times New Roman" w:hAnsi="Times New Roman" w:cs="Times New Roman"/>
          <w:b/>
          <w:i w:val="0"/>
          <w:sz w:val="24"/>
          <w:u w:val="single"/>
        </w:rPr>
        <w:t>IV.  Material Discrepancies (Reconcile Before or Promptly After Closing)</w:t>
      </w:r>
    </w:p>
    <w:p>
      <w:pPr>
        <w:spacing w:before="160" w:after="60"/>
      </w:pPr>
      <w:r>
        <w:rPr>
          <w:rFonts w:ascii="Times New Roman" w:hAnsi="Times New Roman" w:cs="Times New Roman"/>
          <w:b/>
          <w:i w:val="0"/>
          <w:sz w:val="22"/>
          <w:u w:val="none"/>
        </w:rPr>
        <w:t>C.  Birchwood Insurance Co. commitment: $75,000,000 vs. $60,000,000</w:t>
      </w:r>
    </w:p>
    <w:p>
      <w:pPr>
        <w:spacing w:before="0" w:after="120"/>
        <w:ind w:left="360"/>
      </w:pPr>
      <w:r>
        <w:rPr>
          <w:rFonts w:ascii="Times New Roman" w:hAnsi="Times New Roman" w:cs="Times New Roman"/>
          <w:b w:val="0"/>
          <w:i w:val="0"/>
          <w:sz w:val="22"/>
          <w:u w:val="none"/>
        </w:rPr>
        <w:t>Amendment No. 1 (Section 1.3 and the recitals) states that Birchwood Insurance Co., a Second Closing Limited Partner, has a Capital Commitment of $75,000,000. Capital Call Notice No. 2 (Exhibit A) and the Checklist (Commitment Schedule) both state Birchwood’s commitment as $60,000,000. The aggregate Second Closing total of $375,000,000 is consistent under either figure, but the individual commitment attributed to Birchwood differs by $15,000,000. This affects per-partner capital call allocations, equalization, and the record of the Advisory Committee appointment of Thomas A. Riley (who represents Birchwood).</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Confirm the correct commitment against the executed Subscription Agreement and Schedule A. If $60,000,000 is correct, the $75,000,000 figure in Amendment No. 1 should be corrected (by further amendment or officer’s certificate); if $75,000,000 is correct, the capital call records and Commitment Schedule should be corrected.</w:t>
      </w:r>
    </w:p>
    <w:p>
      <w:pPr>
        <w:spacing w:before="160" w:after="60"/>
      </w:pPr>
      <w:r>
        <w:rPr>
          <w:rFonts w:ascii="Times New Roman" w:hAnsi="Times New Roman" w:cs="Times New Roman"/>
          <w:b/>
          <w:i w:val="0"/>
          <w:sz w:val="22"/>
          <w:u w:val="none"/>
        </w:rPr>
        <w:t>D.  Initial Closing LP individual commitments differ between CC#2 and the Commitment Schedule</w:t>
      </w:r>
    </w:p>
    <w:p>
      <w:pPr>
        <w:spacing w:before="0" w:after="120"/>
        <w:ind w:left="360"/>
      </w:pPr>
      <w:r>
        <w:rPr>
          <w:rFonts w:ascii="Times New Roman" w:hAnsi="Times New Roman" w:cs="Times New Roman"/>
          <w:b w:val="0"/>
          <w:i w:val="0"/>
          <w:sz w:val="22"/>
          <w:u w:val="none"/>
        </w:rPr>
        <w:t>Capital Call Notice No. 2 (Exhibit A) lists the following Initial Closing commitments: Silvermark Capital Advisors $125,000,000; Commonwealth Public Employees’ Retirement Fund $100,000,000; and Graystone Foundation $75,000,000. The Checklist (Commitment Schedule) lists different amounts for the same partners: Silvermark $75,000,000; Commonwealth $85,000,000; and Graystone $50,000,000. Both sets total $940,000,000 in the aggregate, but the individual allocations differ. These three partners are represented on the Advisory Committee (Torres, Park, and Voss, respectively).</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Reconcile the individual Initial Closing commitments to the executed Subscription Agreements and the controlling Schedule A, and correct whichever document is in error. Confirm that the updated Schedule A attached to the Final Closing Certificate reflects the correct individual amounts.</w:t>
      </w:r>
    </w:p>
    <w:p>
      <w:pPr>
        <w:spacing w:before="160" w:after="60"/>
      </w:pPr>
      <w:r>
        <w:rPr>
          <w:rFonts w:ascii="Times New Roman" w:hAnsi="Times New Roman" w:cs="Times New Roman"/>
          <w:b/>
          <w:i w:val="0"/>
          <w:sz w:val="22"/>
          <w:u w:val="none"/>
        </w:rPr>
        <w:t>E.  ERISA / Benefit Plan Investor percentage error in the GP Memo</w:t>
      </w:r>
    </w:p>
    <w:p>
      <w:pPr>
        <w:spacing w:before="0" w:after="120"/>
        <w:ind w:left="360"/>
      </w:pPr>
      <w:r>
        <w:rPr>
          <w:rFonts w:ascii="Times New Roman" w:hAnsi="Times New Roman" w:cs="Times New Roman"/>
          <w:b w:val="0"/>
          <w:i w:val="0"/>
          <w:sz w:val="22"/>
          <w:u w:val="none"/>
        </w:rPr>
        <w:t>The GP Memo (Section V.C) calculates the Benefit Plan Investor (“BPI”) percentage as approximately 19.8%, using a numerator of $225,300,000 and a denominator of $1,140,000,000. Both figures are incorrect. The $225,300,000 figure reflects only the prior-closings BPI commitments and omits the $130,000,000 of Final Closing BPI commitments (Meridian State Teachers’ Retirement System, $100,000,000, and Sentry Municipal Employees’ Pension Trust, $30,000,000). The denominator of $1,140,000,000 does not correspond to any stated total and is inconsistent with the GP Memo’s own Section III, which states total commitments of $1,615,000,000.</w:t>
      </w:r>
    </w:p>
    <w:p>
      <w:pPr>
        <w:spacing w:before="0" w:after="120"/>
        <w:ind w:left="360"/>
      </w:pPr>
      <w:r>
        <w:rPr>
          <w:rFonts w:ascii="Times New Roman" w:hAnsi="Times New Roman" w:cs="Times New Roman"/>
          <w:b w:val="0"/>
          <w:i w:val="0"/>
          <w:sz w:val="22"/>
          <w:u w:val="none"/>
        </w:rPr>
        <w:t>The correct calculation, as reflected in the Subscription Agreement (Schedule I) and the Checklist, is $355,300,000 ÷ $1,615,000,000 = 22.00%, which remains below the 24.99% cap in Section 6.8 of the LPA. The condition precedent in Section 11.2(5) is therefore satisfied, but the GP Memo’s analysis is erroneous and should be corrected. The Final Closing Certificate uses the correct 22.00% figure.</w:t>
      </w:r>
    </w:p>
    <w:p>
      <w:pPr>
        <w:spacing w:before="0" w:after="120"/>
        <w:ind w:left="360"/>
      </w:pPr>
      <w:r>
        <w:rPr>
          <w:rFonts w:ascii="Times New Roman" w:hAnsi="Times New Roman" w:cs="Times New Roman"/>
          <w:b w:val="0"/>
          <w:i w:val="0"/>
          <w:sz w:val="22"/>
          <w:u w:val="none"/>
        </w:rPr>
        <w:t>We also note that the GP Memo labels Meridian and Sentry as “ERISA plan investors.” Both are governmental plans (classified as Box C in the Subscription Agreement), which are generally not subject to Title I of ERISA; they are counted as BPIs for purposes of the Section 6.8 threshold, but the “ERISA plan investor” label is imprecise. The Certificate and closing records should use the precise governmental-plan classification.</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Correct the GP Memo’s ERISA analysis to reflect $355,300,000 ÷ $1,615,000,000 = 22.00%, and use the governmental-plan (Box C) classification for Meridian and Sentry in the closing records.</w:t>
      </w:r>
    </w:p>
    <w:p>
      <w:pPr>
        <w:spacing w:before="160" w:after="60"/>
      </w:pPr>
      <w:r>
        <w:rPr>
          <w:rFonts w:ascii="Times New Roman" w:hAnsi="Times New Roman" w:cs="Times New Roman"/>
          <w:b/>
          <w:i w:val="0"/>
          <w:sz w:val="22"/>
          <w:u w:val="none"/>
        </w:rPr>
        <w:t>F.  Amendment No. 1 — Section 8.3(b) “correction” targets the wrong section / potential waterfall conflict</w:t>
      </w:r>
    </w:p>
    <w:p>
      <w:pPr>
        <w:spacing w:before="0" w:after="120"/>
        <w:ind w:left="360"/>
      </w:pPr>
      <w:r>
        <w:rPr>
          <w:rFonts w:ascii="Times New Roman" w:hAnsi="Times New Roman" w:cs="Times New Roman"/>
          <w:b w:val="0"/>
          <w:i w:val="0"/>
          <w:sz w:val="22"/>
          <w:u w:val="none"/>
        </w:rPr>
        <w:t>Amendment No. 1 (Section 1.2) purports to correct a “technical error” in Section 8.3(b) of the LPA, which it describes as the General Partner’s “catch-up” allocation. In the LPA, however, Section 8.3(b) is the Preferred Return tier (100% to the Partners until an 8% preferred return is achieved), and the GP Catch-Up is Section 8.3(c). Moreover, Section 8.3(c) of the LPA already contains a proper catch-up formulation (100% to the General Partner until it has received 20% of the amounts distributed under Sections 8.3(b) and 8.3(c)). The Amendment’s description of the “original” Section 8.3(b) does not match the actual text of the LPA.</w:t>
      </w:r>
    </w:p>
    <w:p>
      <w:pPr>
        <w:spacing w:before="0" w:after="120"/>
        <w:ind w:left="360"/>
      </w:pPr>
      <w:r>
        <w:rPr>
          <w:rFonts w:ascii="Times New Roman" w:hAnsi="Times New Roman" w:cs="Times New Roman"/>
          <w:b w:val="0"/>
          <w:i w:val="0"/>
          <w:sz w:val="22"/>
          <w:u w:val="none"/>
        </w:rPr>
        <w:t>If the Amendment were applied literally to delete and replace Section 8.3(b), it would overwrite the Preferred Return provision with catch-up language—a serious substantive error. If, instead, the section number in the Amendment is simply mislabeled (and the intended target was Section 8.3(c)), then the LPA’s 8.3(c) already reflects the intended catch-up and no change may be required.</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Confirm the intended target of the Amendment’s waterfall correction. If the catch-up in Section 8.3(c) is already correct, confirm in writing (e.g., by officer’s certificate or clarifying amendment) that no change to the Preferred Return in Section 8.3(b) was intended. Do not rely on Amendment No. 1 as correctly amending the waterfall until this is reconciled.</w:t>
      </w:r>
    </w:p>
    <w:p>
      <w:pPr>
        <w:spacing w:before="160" w:after="60"/>
      </w:pPr>
      <w:r>
        <w:rPr>
          <w:rFonts w:ascii="Times New Roman" w:hAnsi="Times New Roman" w:cs="Times New Roman"/>
          <w:b/>
          <w:i w:val="0"/>
          <w:sz w:val="22"/>
          <w:u w:val="none"/>
        </w:rPr>
        <w:t>G.  Amendment No. 1 — incorrect cross-references</w:t>
      </w:r>
    </w:p>
    <w:p>
      <w:pPr>
        <w:spacing w:before="0" w:after="120"/>
        <w:ind w:left="360"/>
      </w:pPr>
      <w:r>
        <w:rPr>
          <w:rFonts w:ascii="Times New Roman" w:hAnsi="Times New Roman" w:cs="Times New Roman"/>
          <w:b w:val="0"/>
          <w:i w:val="0"/>
          <w:sz w:val="22"/>
          <w:u w:val="none"/>
        </w:rPr>
        <w:t>Amendment No. 1 contains several incorrect cross-references to the LPA:</w:t>
      </w:r>
    </w:p>
    <w:p>
      <w:pPr>
        <w:pStyle w:val="ListBullet"/>
        <w:spacing w:before="0" w:after="60"/>
        <w:ind w:left="720"/>
      </w:pPr>
      <w:r>
        <w:rPr>
          <w:rFonts w:ascii="Times New Roman" w:hAnsi="Times New Roman" w:cs="Times New Roman"/>
          <w:b w:val="0"/>
          <w:i w:val="0"/>
          <w:sz w:val="22"/>
          <w:u w:val="none"/>
        </w:rPr>
        <w:t>“Section 11.1(b)” is cited as the authority for subsequent closings; subsequent closings are authorized under Section 3.1(b). Section 11.1 contains no subsection (b) addressing subsequent closings.</w:t>
      </w:r>
    </w:p>
    <w:p>
      <w:pPr>
        <w:pStyle w:val="ListBullet"/>
        <w:spacing w:before="0" w:after="60"/>
        <w:ind w:left="720"/>
      </w:pPr>
      <w:r>
        <w:rPr>
          <w:rFonts w:ascii="Times New Roman" w:hAnsi="Times New Roman" w:cs="Times New Roman"/>
          <w:b w:val="0"/>
          <w:i w:val="0"/>
          <w:sz w:val="22"/>
          <w:u w:val="none"/>
        </w:rPr>
        <w:t>“Section 14.3” and “Section 14.3(b)” are cited as the authority for the General Partner to amend the LPA without Limited Partner consent; amendment authority is in Section 14.1. Section 14.3 is Governing Law. This is significant because the Amendment’s assertion that Limited Partner consent is not required rests on this citation.</w:t>
      </w:r>
    </w:p>
    <w:p>
      <w:pPr>
        <w:pStyle w:val="ListBullet"/>
        <w:spacing w:before="0" w:after="60"/>
        <w:ind w:left="720"/>
      </w:pPr>
      <w:r>
        <w:rPr>
          <w:rFonts w:ascii="Times New Roman" w:hAnsi="Times New Roman" w:cs="Times New Roman"/>
          <w:b w:val="0"/>
          <w:i w:val="0"/>
          <w:sz w:val="22"/>
          <w:u w:val="none"/>
        </w:rPr>
        <w:t>“Section 3.1(a)” is cited for both the Hard Cap and the Target Fund Size; the Hard Cap is in Section 3.1(c) and the Target Fund Size is in Section 3.1(d). (This error is repeated in the Revised Schedule A’s “Fund Parameters” table.)</w:t>
      </w:r>
    </w:p>
    <w:p>
      <w:pPr>
        <w:pStyle w:val="ListBullet"/>
        <w:spacing w:before="0" w:after="60"/>
        <w:ind w:left="720"/>
      </w:pPr>
      <w:r>
        <w:rPr>
          <w:rFonts w:ascii="Times New Roman" w:hAnsi="Times New Roman" w:cs="Times New Roman"/>
          <w:b w:val="0"/>
          <w:i w:val="0"/>
          <w:sz w:val="22"/>
          <w:u w:val="none"/>
        </w:rPr>
        <w:t>“Article XII” is cited (Section 2.2(a)) as the location of the General Partner’s representations and warranties; Article XII is Confidentiality; Side Letters; MFN and contains no such representations. The LPA does not contain a dedicated article of General Partner representations.</w:t>
      </w:r>
    </w:p>
    <w:p>
      <w:pPr>
        <w:pStyle w:val="ListBullet"/>
        <w:spacing w:before="0" w:after="60"/>
        <w:ind w:left="720"/>
      </w:pPr>
      <w:r>
        <w:rPr>
          <w:rFonts w:ascii="Times New Roman" w:hAnsi="Times New Roman" w:cs="Times New Roman"/>
          <w:b w:val="0"/>
          <w:i w:val="0"/>
          <w:sz w:val="22"/>
          <w:u w:val="none"/>
        </w:rPr>
        <w:t>“Investment Manager” is referenced (Section 2.2(c)) as a distinct entity; the LPA does not define an “Investment Manager” separate from the General Partner.</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Correct the cross-references. In particular, confirm that the no-consent amendment authority is properly grounded in Section 14.1 (not Section 14.3), and correct the Hard Cap / Target Fund Size citations to Sections 3.1(c) and 3.1(d).</w:t>
      </w:r>
    </w:p>
    <w:p>
      <w:pPr>
        <w:spacing w:before="160" w:after="60"/>
      </w:pPr>
      <w:r>
        <w:rPr>
          <w:rFonts w:ascii="Times New Roman" w:hAnsi="Times New Roman" w:cs="Times New Roman"/>
          <w:b/>
          <w:i w:val="0"/>
          <w:sz w:val="22"/>
          <w:u w:val="none"/>
        </w:rPr>
        <w:t>H.  GP Memo — incorrect cross-references</w:t>
      </w:r>
    </w:p>
    <w:p>
      <w:pPr>
        <w:pStyle w:val="ListBullet"/>
        <w:spacing w:before="0" w:after="60"/>
        <w:ind w:left="720"/>
      </w:pPr>
      <w:r>
        <w:rPr>
          <w:rFonts w:ascii="Times New Roman" w:hAnsi="Times New Roman" w:cs="Times New Roman"/>
          <w:b w:val="0"/>
          <w:i w:val="0"/>
          <w:sz w:val="22"/>
          <w:u w:val="none"/>
        </w:rPr>
        <w:t>Condition 10 of the GP Memo cites “Article VII” as the location of the General Partner’s representations and warranties; Article VII is Management Fees and Expenses. (The LPA has no dedicated General Partner representations article; Article VI contains Limited Partner representations.)</w:t>
      </w:r>
    </w:p>
    <w:p>
      <w:pPr>
        <w:pStyle w:val="ListBullet"/>
        <w:spacing w:before="0" w:after="60"/>
        <w:ind w:left="720"/>
      </w:pPr>
      <w:r>
        <w:rPr>
          <w:rFonts w:ascii="Times New Roman" w:hAnsi="Times New Roman" w:cs="Times New Roman"/>
          <w:b w:val="0"/>
          <w:i w:val="0"/>
          <w:sz w:val="22"/>
          <w:u w:val="none"/>
        </w:rPr>
        <w:t>Section VIII of the GP Memo cites “Section 8.1” as the basis for early termination of the Investment Period; the Investment Period is governed by Section 2.7. Section 8.1 addresses the timing and form of distributions.</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Correct these citations in the closing file. The Final Closing Certificate avoids these errors by referring to the General Partner’s representations generally and to Section 2.7 for the Investment Period.</w:t>
      </w:r>
    </w:p>
    <w:p>
      <w:pPr>
        <w:spacing w:before="160" w:after="60"/>
      </w:pPr>
      <w:r>
        <w:rPr>
          <w:rFonts w:ascii="Times New Roman" w:hAnsi="Times New Roman" w:cs="Times New Roman"/>
          <w:b/>
          <w:i w:val="0"/>
          <w:sz w:val="22"/>
          <w:u w:val="none"/>
        </w:rPr>
        <w:t>I.  Capital Call Notices — incorrect cross-references and default-interest inconsistency</w:t>
      </w:r>
    </w:p>
    <w:p>
      <w:pPr>
        <w:pStyle w:val="ListBullet"/>
        <w:spacing w:before="0" w:after="60"/>
        <w:ind w:left="720"/>
      </w:pPr>
      <w:r>
        <w:rPr>
          <w:rFonts w:ascii="Times New Roman" w:hAnsi="Times New Roman" w:cs="Times New Roman"/>
          <w:b w:val="0"/>
          <w:i w:val="0"/>
          <w:sz w:val="22"/>
          <w:u w:val="none"/>
        </w:rPr>
        <w:t>CC#1 cites “Section 3.5” for default provisions (should be Section 3.3; Section 3.5 does not exist) and “Section 14.1 (Notices)” (should be Section 14.2; Section 14.1 is Amendments).</w:t>
      </w:r>
    </w:p>
    <w:p>
      <w:pPr>
        <w:pStyle w:val="ListBullet"/>
        <w:spacing w:before="0" w:after="60"/>
        <w:ind w:left="720"/>
      </w:pPr>
      <w:r>
        <w:rPr>
          <w:rFonts w:ascii="Times New Roman" w:hAnsi="Times New Roman" w:cs="Times New Roman"/>
          <w:b w:val="0"/>
          <w:i w:val="0"/>
          <w:sz w:val="22"/>
          <w:u w:val="none"/>
        </w:rPr>
        <w:t>CC#2 cites “Section 6.1” for management fees (should be Section 7.1; Section 6.1 is Limited Partner representations), “Section 3.5” for default (should be Section 3.3), and “Section 13.1” for notices (should be Section 14.2; Section 13.1 is Restrictions on Transfer).</w:t>
      </w:r>
    </w:p>
    <w:p>
      <w:pPr>
        <w:pStyle w:val="ListBullet"/>
        <w:spacing w:before="0" w:after="60"/>
        <w:ind w:left="720"/>
      </w:pPr>
      <w:r>
        <w:rPr>
          <w:rFonts w:ascii="Times New Roman" w:hAnsi="Times New Roman" w:cs="Times New Roman"/>
          <w:b w:val="0"/>
          <w:i w:val="0"/>
          <w:sz w:val="22"/>
          <w:u w:val="none"/>
        </w:rPr>
        <w:t>CC#2 describes the default interest rate as 12% per annum “compounding quarterly,” whereas Section 3.3(b) of the LPA specifies 12% per annum (simple interest) from the original Contribution Date through the date of payment, with no compounding.</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These notices have already been issued and funded, so no corrective action is required for them, but the errors should be noted in the fund records and the form of notice corrected for future use. The LPA’s 12% simple-interest default rate controls.</w:t>
      </w:r>
    </w:p>
    <w:p>
      <w:pPr>
        <w:spacing w:before="160" w:after="60"/>
      </w:pPr>
      <w:r>
        <w:rPr>
          <w:rFonts w:ascii="Times New Roman" w:hAnsi="Times New Roman" w:cs="Times New Roman"/>
          <w:b/>
          <w:i w:val="0"/>
          <w:sz w:val="22"/>
          <w:u w:val="none"/>
        </w:rPr>
        <w:t>J.  Subscription Agreement — incorrect cross-references and inconsistent default rate</w:t>
      </w:r>
    </w:p>
    <w:p>
      <w:pPr>
        <w:pStyle w:val="ListBullet"/>
        <w:spacing w:before="0" w:after="60"/>
        <w:ind w:left="720"/>
      </w:pPr>
      <w:r>
        <w:rPr>
          <w:rFonts w:ascii="Times New Roman" w:hAnsi="Times New Roman" w:cs="Times New Roman"/>
          <w:b w:val="0"/>
          <w:i w:val="0"/>
          <w:sz w:val="22"/>
          <w:u w:val="none"/>
        </w:rPr>
        <w:t>Section 1.2 cites “Section 3.5” for default remedies (should be Section 3.3) and states the default interest rate as “the lesser of 18% per annum and the maximum rate permitted by applicable law,” which is inconsistent with the LPA’s 12% per annum rate in Section 3.3(b).</w:t>
      </w:r>
    </w:p>
    <w:p>
      <w:pPr>
        <w:pStyle w:val="ListBullet"/>
        <w:spacing w:before="0" w:after="60"/>
        <w:ind w:left="720"/>
      </w:pPr>
      <w:r>
        <w:rPr>
          <w:rFonts w:ascii="Times New Roman" w:hAnsi="Times New Roman" w:cs="Times New Roman"/>
          <w:b w:val="0"/>
          <w:i w:val="0"/>
          <w:sz w:val="22"/>
          <w:u w:val="none"/>
        </w:rPr>
        <w:t>Sections 2.4(c), 3.1, and 8.8 cite “Article X” for transfer restrictions; transfers are governed by Article XIII (Article X is Dissolution and Winding Up).</w:t>
      </w:r>
    </w:p>
    <w:p>
      <w:pPr>
        <w:pStyle w:val="ListBullet"/>
        <w:spacing w:before="0" w:after="60"/>
        <w:ind w:left="720"/>
      </w:pPr>
      <w:r>
        <w:rPr>
          <w:rFonts w:ascii="Times New Roman" w:hAnsi="Times New Roman" w:cs="Times New Roman"/>
          <w:b w:val="0"/>
          <w:i w:val="0"/>
          <w:sz w:val="22"/>
          <w:u w:val="none"/>
        </w:rPr>
        <w:t>Section 8.2 cites “Section 14.6” for dispute resolution (should be Section 14.4; Section 14.6 is Severability).</w:t>
      </w:r>
    </w:p>
    <w:p>
      <w:pPr>
        <w:pStyle w:val="ListBullet"/>
        <w:spacing w:before="0" w:after="60"/>
        <w:ind w:left="720"/>
      </w:pPr>
      <w:r>
        <w:rPr>
          <w:rFonts w:ascii="Times New Roman" w:hAnsi="Times New Roman" w:cs="Times New Roman"/>
          <w:b w:val="0"/>
          <w:i w:val="0"/>
          <w:sz w:val="22"/>
          <w:u w:val="none"/>
        </w:rPr>
        <w:t>Section 8.9 cites “Section 14.2” for the power of attorney (should be Section 14.9; Section 14.2 is Notices).</w:t>
      </w:r>
    </w:p>
    <w:p>
      <w:pPr>
        <w:pStyle w:val="ListBullet"/>
        <w:spacing w:before="0" w:after="60"/>
        <w:ind w:left="720"/>
      </w:pPr>
      <w:r>
        <w:rPr>
          <w:rFonts w:ascii="Times New Roman" w:hAnsi="Times New Roman" w:cs="Times New Roman"/>
          <w:b w:val="0"/>
          <w:i w:val="0"/>
          <w:sz w:val="22"/>
          <w:u w:val="none"/>
        </w:rPr>
        <w:t>Section 1.3 cites “Section 3.2(c)(iii)”; Section 3.2(c) of the LPA has no subsection (iii).</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Correct the form of Subscription Agreement for future use. Confirm that the LPA’s 12% default interest rate governs notwithstanding the 18% figure in the Subscription Agreement. Because the Final Closing Limited Partners have already executed the current form, consider whether a conforming clarification is warranted.</w:t>
      </w:r>
    </w:p>
    <w:p>
      <w:pPr>
        <w:spacing w:before="160" w:after="60"/>
      </w:pPr>
      <w:r>
        <w:rPr>
          <w:rFonts w:ascii="Times New Roman" w:hAnsi="Times New Roman" w:cs="Times New Roman"/>
          <w:b/>
          <w:i w:val="0"/>
          <w:sz w:val="22"/>
          <w:u w:val="none"/>
        </w:rPr>
        <w:t>K.  PPM date inconsistent across documents</w:t>
      </w:r>
    </w:p>
    <w:p>
      <w:pPr>
        <w:spacing w:before="0" w:after="120"/>
        <w:ind w:left="360"/>
      </w:pPr>
      <w:r>
        <w:rPr>
          <w:rFonts w:ascii="Times New Roman" w:hAnsi="Times New Roman" w:cs="Times New Roman"/>
          <w:b w:val="0"/>
          <w:i w:val="0"/>
          <w:sz w:val="22"/>
          <w:u w:val="none"/>
        </w:rPr>
        <w:t>The Private Placement Memorandum is dated differently in three documents: the GP Memo refers to “July 15, 2024”; Amendment No. 1 refers to “July 2024”; and CC#2 refers to “August 1, 2024” (which is the date of formation of the Partnership, suggesting a conflation of the two dates).</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Confirm the correct PPM date and correct the references. This is relevant to the accuracy of the offering record.</w:t>
      </w:r>
    </w:p>
    <w:p>
      <w:pPr>
        <w:spacing w:before="160" w:after="60"/>
      </w:pPr>
      <w:r>
        <w:rPr>
          <w:rFonts w:ascii="Times New Roman" w:hAnsi="Times New Roman" w:cs="Times New Roman"/>
          <w:b/>
          <w:i w:val="0"/>
          <w:sz w:val="22"/>
          <w:u w:val="none"/>
        </w:rPr>
        <w:t>L.  Key Person — Priya S. Mehta not addressed in the GP Memo</w:t>
      </w:r>
    </w:p>
    <w:p>
      <w:pPr>
        <w:spacing w:before="0" w:after="120"/>
        <w:ind w:left="360"/>
      </w:pPr>
      <w:r>
        <w:rPr>
          <w:rFonts w:ascii="Times New Roman" w:hAnsi="Times New Roman" w:cs="Times New Roman"/>
          <w:b w:val="0"/>
          <w:i w:val="0"/>
          <w:sz w:val="22"/>
          <w:u w:val="none"/>
        </w:rPr>
        <w:t>Section 9.4(d) of the LPA requires the General Partner to certify at each Closing that each Key Person—both Marcus J. Whitmore and Priya S. Mehta—continues to devote substantially all of his or her business time to the Partnership and that no Key Person Event has occurred. The GP Memo’s key-person discussion (Section VII and Condition 6) addresses only Marcus J. Whitmore and does not expressly confirm Priya S. Mehta’s status. (Amendment No. 1, Section 2.2(b), did confirm both Key Persons as of the Second Closing.)</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Obtain express confirmation of Priya S. Mehta’s continued full-time involvement before the Certificate is executed. The Final Closing Certificate addresses both Key Persons; that certification should be supported by current confirmation as to each.</w:t>
      </w:r>
    </w:p>
    <w:p>
      <w:pPr>
        <w:spacing w:before="160" w:after="60"/>
      </w:pPr>
      <w:r>
        <w:rPr>
          <w:rFonts w:ascii="Times New Roman" w:hAnsi="Times New Roman" w:cs="Times New Roman"/>
          <w:b/>
          <w:i w:val="0"/>
          <w:sz w:val="22"/>
          <w:u w:val="none"/>
        </w:rPr>
        <w:t>M.  Target Fund Size exceeded — Advisory Committee notification omitted from the GP Memo action items</w:t>
      </w:r>
    </w:p>
    <w:p>
      <w:pPr>
        <w:spacing w:before="0" w:after="120"/>
        <w:ind w:left="360"/>
      </w:pPr>
      <w:r>
        <w:rPr>
          <w:rFonts w:ascii="Times New Roman" w:hAnsi="Times New Roman" w:cs="Times New Roman"/>
          <w:b w:val="0"/>
          <w:i w:val="0"/>
          <w:sz w:val="22"/>
          <w:u w:val="none"/>
        </w:rPr>
        <w:t>After the Final Closing, aggregate commitments of $1,615,000,000 exceed the Target Fund Size of $1,500,000,000 by $115,000,000. The Target Fund Size is first exceeded at the Final Closing (the Second Closing total of $1,330,000,000 was below the Target). Section 3.1(d) of the LPA requires the General Partner to notify the Advisory Committee in writing of such excess not later than five (5) Business Days following the Closing at which the Target Fund Size is first exceeded. The Subscription Agreement and the Checklist both note this requirement, but the GP Memo’s list of outstanding action items (Section XII) omits it.</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Add the Section 3.1(d) Advisory Committee notification to the post-closing action list and deliver it within five (5) Business Days of the Final Closing (i.e., by approximately February 7, 2025). The Final Closing Certificate confirms this obligation.</w:t>
      </w:r>
    </w:p>
    <w:p>
      <w:pPr>
        <w:spacing w:before="160" w:after="60"/>
      </w:pPr>
      <w:r>
        <w:rPr>
          <w:rFonts w:ascii="Times New Roman" w:hAnsi="Times New Roman" w:cs="Times New Roman"/>
          <w:b/>
          <w:i w:val="0"/>
          <w:sz w:val="22"/>
          <w:u w:val="none"/>
        </w:rPr>
        <w:t>N.  Advisory Committee fifth seat vacant</w:t>
      </w:r>
    </w:p>
    <w:p>
      <w:pPr>
        <w:spacing w:before="0" w:after="120"/>
        <w:ind w:left="360"/>
      </w:pPr>
      <w:r>
        <w:rPr>
          <w:rFonts w:ascii="Times New Roman" w:hAnsi="Times New Roman" w:cs="Times New Roman"/>
          <w:b w:val="0"/>
          <w:i w:val="0"/>
          <w:sz w:val="22"/>
          <w:u w:val="none"/>
        </w:rPr>
        <w:t>The Advisory Committee has five (5) seats; four (4) are filled (Torres, Park, Voss, and Riley) and one (1) remains vacant. Filling the vacancy is not a condition precedent to closing; Section 9.1(b) of the LPA requires the General Partner to use commercially reasonable efforts to fill a vacancy from among Limited Partners admitted at the applicable Subsequent Closing within thirty (30) days of the Closing.</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Fill the fifth seat within thirty (30) days after the Final Closing. The GP Memo suggests approaching Meridian State Teachers’ Retirement System; we concur that outreach should begin promptly after closing.</w:t>
      </w:r>
    </w:p>
    <w:p>
      <w:pPr>
        <w:spacing w:before="240" w:after="80"/>
      </w:pPr>
      <w:r>
        <w:rPr>
          <w:rFonts w:ascii="Times New Roman" w:hAnsi="Times New Roman" w:cs="Times New Roman"/>
          <w:b/>
          <w:i w:val="0"/>
          <w:sz w:val="24"/>
          <w:u w:val="single"/>
        </w:rPr>
        <w:t>V.  Clerical / Record-Keeping Inconsistencies</w:t>
      </w:r>
    </w:p>
    <w:p>
      <w:pPr>
        <w:spacing w:before="160" w:after="60"/>
      </w:pPr>
      <w:r>
        <w:rPr>
          <w:rFonts w:ascii="Times New Roman" w:hAnsi="Times New Roman" w:cs="Times New Roman"/>
          <w:b/>
          <w:i w:val="0"/>
          <w:sz w:val="22"/>
          <w:u w:val="none"/>
        </w:rPr>
        <w:t>O.  Contact information inconsistencies</w:t>
      </w:r>
    </w:p>
    <w:p>
      <w:pPr>
        <w:pStyle w:val="ListBullet"/>
        <w:spacing w:before="0" w:after="60"/>
        <w:ind w:left="720"/>
      </w:pPr>
      <w:r>
        <w:rPr>
          <w:rFonts w:ascii="Times New Roman" w:hAnsi="Times New Roman" w:cs="Times New Roman"/>
          <w:b w:val="0"/>
          <w:i w:val="0"/>
          <w:sz w:val="22"/>
          <w:u w:val="none"/>
        </w:rPr>
        <w:t>Sandra K. Liu telephone: (312) 555-4718 (GP Memo signature); (312) 555-7200 (CC#2); (312) 555-0184 (Subscription Agreement).</w:t>
      </w:r>
    </w:p>
    <w:p>
      <w:pPr>
        <w:pStyle w:val="ListBullet"/>
        <w:spacing w:before="0" w:after="60"/>
        <w:ind w:left="720"/>
      </w:pPr>
      <w:r>
        <w:rPr>
          <w:rFonts w:ascii="Times New Roman" w:hAnsi="Times New Roman" w:cs="Times New Roman"/>
          <w:b w:val="0"/>
          <w:i w:val="0"/>
          <w:sz w:val="22"/>
          <w:u w:val="none"/>
        </w:rPr>
        <w:t>Sandra K. Liu email: “sliu@whitmorecapital.com” (GP Memo, Subscription Agreement) vs. “s.liu@whitmorecapital.com” (LPA Section 14.2; AML Email).</w:t>
      </w:r>
    </w:p>
    <w:p>
      <w:pPr>
        <w:pStyle w:val="ListBullet"/>
        <w:spacing w:before="0" w:after="60"/>
        <w:ind w:left="720"/>
      </w:pPr>
      <w:r>
        <w:rPr>
          <w:rFonts w:ascii="Times New Roman" w:hAnsi="Times New Roman" w:cs="Times New Roman"/>
          <w:b w:val="0"/>
          <w:i w:val="0"/>
          <w:sz w:val="22"/>
          <w:u w:val="none"/>
        </w:rPr>
        <w:t>Jonathan C. Prewitt telephone: (203) 555-4100 (GP Memo); (203) 555-4180 (CC#2); (203) 555-0163 (Subscription Agreement); (203) 541-2280 (AML Email signature).</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Standardize the contact information in the closing binder and in the LPA notice provisions (Section 14.2).</w:t>
      </w:r>
    </w:p>
    <w:p>
      <w:pPr>
        <w:spacing w:before="160" w:after="60"/>
      </w:pPr>
      <w:r>
        <w:rPr>
          <w:rFonts w:ascii="Times New Roman" w:hAnsi="Times New Roman" w:cs="Times New Roman"/>
          <w:b/>
          <w:i w:val="0"/>
          <w:sz w:val="22"/>
          <w:u w:val="none"/>
        </w:rPr>
        <w:t>P.  Capital Call #1 funding date</w:t>
      </w:r>
    </w:p>
    <w:p>
      <w:pPr>
        <w:spacing w:before="0" w:after="120"/>
        <w:ind w:left="360"/>
      </w:pPr>
      <w:r>
        <w:rPr>
          <w:rFonts w:ascii="Times New Roman" w:hAnsi="Times New Roman" w:cs="Times New Roman"/>
          <w:b w:val="0"/>
          <w:i w:val="0"/>
          <w:sz w:val="22"/>
          <w:u w:val="none"/>
        </w:rPr>
        <w:t>CC#1 states a Drawdown Date of October 25, 2024, while CC#2 recites that the funding date for CC#1 was October 24, 2024. Because equalization interest is computed from the notice date (October 10, 2024) rather than the funding date, the impact is limited, but the records should be consistent.</w:t>
      </w:r>
    </w:p>
    <w:p>
      <w:pPr>
        <w:spacing w:before="160" w:after="60"/>
      </w:pPr>
      <w:r>
        <w:rPr>
          <w:rFonts w:ascii="Times New Roman" w:hAnsi="Times New Roman" w:cs="Times New Roman"/>
          <w:b/>
          <w:i w:val="0"/>
          <w:sz w:val="22"/>
          <w:u w:val="none"/>
        </w:rPr>
        <w:t>Q.  Incoming LP jurisdictions differ</w:t>
      </w:r>
    </w:p>
    <w:p>
      <w:pPr>
        <w:pStyle w:val="ListBullet"/>
        <w:spacing w:before="0" w:after="60"/>
        <w:ind w:left="720"/>
      </w:pPr>
      <w:r>
        <w:rPr>
          <w:rFonts w:ascii="Times New Roman" w:hAnsi="Times New Roman" w:cs="Times New Roman"/>
          <w:b w:val="0"/>
          <w:i w:val="0"/>
          <w:sz w:val="22"/>
          <w:u w:val="none"/>
        </w:rPr>
        <w:t>Meridian State Teachers’ Retirement System: Illinois (Subscription Agreement Schedule I) vs. Indiana (Checklist Commitment Schedule).</w:t>
      </w:r>
    </w:p>
    <w:p>
      <w:pPr>
        <w:pStyle w:val="ListBullet"/>
        <w:spacing w:before="0" w:after="60"/>
        <w:ind w:left="720"/>
      </w:pPr>
      <w:r>
        <w:rPr>
          <w:rFonts w:ascii="Times New Roman" w:hAnsi="Times New Roman" w:cs="Times New Roman"/>
          <w:b w:val="0"/>
          <w:i w:val="0"/>
          <w:sz w:val="22"/>
          <w:u w:val="none"/>
        </w:rPr>
        <w:t>Northbridge Endowment Fund: Massachusetts (Subscription Agreement Schedule I) vs. Connecticut (Checklist Commitment Schedule).</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Confirm the correct jurisdictions of organization, which are relevant to blue-sky notice filings and FOIA / public-records analysis, and correct the records accordingly.</w:t>
      </w:r>
    </w:p>
    <w:p>
      <w:pPr>
        <w:spacing w:before="160" w:after="60"/>
      </w:pPr>
      <w:r>
        <w:rPr>
          <w:rFonts w:ascii="Times New Roman" w:hAnsi="Times New Roman" w:cs="Times New Roman"/>
          <w:b/>
          <w:i w:val="0"/>
          <w:sz w:val="22"/>
          <w:u w:val="none"/>
        </w:rPr>
        <w:t>R.  GP Memo date</w:t>
      </w:r>
    </w:p>
    <w:p>
      <w:pPr>
        <w:spacing w:before="0" w:after="120"/>
        <w:ind w:left="360"/>
      </w:pPr>
      <w:r>
        <w:rPr>
          <w:rFonts w:ascii="Times New Roman" w:hAnsi="Times New Roman" w:cs="Times New Roman"/>
          <w:b w:val="0"/>
          <w:i w:val="0"/>
          <w:sz w:val="22"/>
          <w:u w:val="none"/>
        </w:rPr>
        <w:t>The GP Memo is dated January 28, 2025, but Checklist item 24 refers to a “GP Internal Closing Memorandum dated January 30, 2025.” Confirm the correct date for the record.</w:t>
      </w:r>
    </w:p>
    <w:p>
      <w:pPr>
        <w:spacing w:before="160" w:after="60"/>
      </w:pPr>
      <w:r>
        <w:rPr>
          <w:rFonts w:ascii="Times New Roman" w:hAnsi="Times New Roman" w:cs="Times New Roman"/>
          <w:b/>
          <w:i w:val="0"/>
          <w:sz w:val="22"/>
          <w:u w:val="none"/>
        </w:rPr>
        <w:t>S.  Subscription Agreement characterization of Section 3.1(d)</w:t>
      </w:r>
    </w:p>
    <w:p>
      <w:pPr>
        <w:spacing w:before="0" w:after="120"/>
        <w:ind w:left="360"/>
      </w:pPr>
      <w:r>
        <w:rPr>
          <w:rFonts w:ascii="Times New Roman" w:hAnsi="Times New Roman" w:cs="Times New Roman"/>
          <w:b w:val="0"/>
          <w:i w:val="0"/>
          <w:sz w:val="22"/>
          <w:u w:val="none"/>
        </w:rPr>
        <w:t>The Subscription Agreement (Section 2.3 and Schedule I) describes the Section 3.1(d) Advisory Committee notification as “a condition to the acceptance of commitments above the Fund Target.” The LPA frames Section 3.1(d) as a notification obligation (not a condition to acceptance), and expressly states that exceeding the Target Fund Size does not require Advisory Committee consent. The Subscription Agreement’s characterization is somewhat stronger than the LPA.</w:t>
      </w:r>
    </w:p>
    <w:p>
      <w:pPr>
        <w:spacing w:before="0" w:after="160"/>
        <w:ind w:left="360"/>
      </w:pPr>
      <w:r>
        <w:rPr>
          <w:rFonts w:ascii="Times New Roman" w:hAnsi="Times New Roman" w:cs="Times New Roman"/>
          <w:b/>
          <w:i w:val="0"/>
          <w:sz w:val="22"/>
          <w:u w:val="none"/>
        </w:rPr>
        <w:t xml:space="preserve">Recommendation:  </w:t>
      </w:r>
      <w:r>
        <w:rPr>
          <w:rFonts w:ascii="Times New Roman" w:hAnsi="Times New Roman" w:cs="Times New Roman"/>
          <w:b w:val="0"/>
          <w:i w:val="0"/>
          <w:sz w:val="22"/>
          <w:u w:val="none"/>
        </w:rPr>
        <w:t>Align the Subscription Agreement language with the LPA in future forms; the notification obligation itself should be satisfied in any event (see Item M).</w:t>
      </w:r>
    </w:p>
    <w:p>
      <w:pPr>
        <w:spacing w:before="240" w:after="80"/>
      </w:pPr>
      <w:r>
        <w:rPr>
          <w:rFonts w:ascii="Times New Roman" w:hAnsi="Times New Roman" w:cs="Times New Roman"/>
          <w:b/>
          <w:i w:val="0"/>
          <w:sz w:val="24"/>
          <w:u w:val="single"/>
        </w:rPr>
        <w:t>VI.  Items to Resolve Before Executing the Final Closing Certificate</w:t>
      </w:r>
    </w:p>
    <w:p>
      <w:pPr>
        <w:spacing w:before="0" w:after="80"/>
      </w:pPr>
      <w:r>
        <w:rPr>
          <w:rFonts w:ascii="Times New Roman" w:hAnsi="Times New Roman" w:cs="Times New Roman"/>
          <w:b w:val="0"/>
          <w:i w:val="0"/>
          <w:sz w:val="22"/>
          <w:u w:val="none"/>
        </w:rPr>
        <w:t>We recommend that the following be completed or confirmed before the Final Closing Certificate is executed on January 31, 2025:</w:t>
      </w:r>
    </w:p>
    <w:p>
      <w:pPr>
        <w:pStyle w:val="ListBullet"/>
        <w:spacing w:before="0" w:after="60"/>
        <w:ind w:left="576"/>
      </w:pPr>
      <w:r>
        <w:rPr>
          <w:rFonts w:ascii="Times New Roman" w:hAnsi="Times New Roman" w:cs="Times New Roman"/>
          <w:b/>
          <w:i w:val="0"/>
          <w:sz w:val="22"/>
          <w:u w:val="none"/>
        </w:rPr>
        <w:t xml:space="preserve">1.  </w:t>
      </w:r>
      <w:r>
        <w:rPr>
          <w:rFonts w:ascii="Times New Roman" w:hAnsi="Times New Roman" w:cs="Times New Roman"/>
          <w:b w:val="0"/>
          <w:i w:val="0"/>
          <w:sz w:val="22"/>
          <w:u w:val="none"/>
        </w:rPr>
        <w:t>Obtain a supplemental AML/KYC written confirmation from Oakmere expressly covering Cascade Re Insurance Ltd. (Item A). Section 11.2(3) is non-waivable.</w:t>
      </w:r>
    </w:p>
    <w:p>
      <w:pPr>
        <w:pStyle w:val="ListBullet"/>
        <w:spacing w:before="0" w:after="60"/>
        <w:ind w:left="576"/>
      </w:pPr>
      <w:r>
        <w:rPr>
          <w:rFonts w:ascii="Times New Roman" w:hAnsi="Times New Roman" w:cs="Times New Roman"/>
          <w:b/>
          <w:i w:val="0"/>
          <w:sz w:val="22"/>
          <w:u w:val="none"/>
        </w:rPr>
        <w:t xml:space="preserve">2.  </w:t>
      </w:r>
      <w:r>
        <w:rPr>
          <w:rFonts w:ascii="Times New Roman" w:hAnsi="Times New Roman" w:cs="Times New Roman"/>
          <w:b w:val="0"/>
          <w:i w:val="0"/>
          <w:sz w:val="22"/>
          <w:u w:val="none"/>
        </w:rPr>
        <w:t>Reconcile the equalization interest day-count and confirm a single controlling total and each Final Closing Limited Partner’s closing statement / wire amount (Item B).</w:t>
      </w:r>
    </w:p>
    <w:p>
      <w:pPr>
        <w:pStyle w:val="ListBullet"/>
        <w:spacing w:before="0" w:after="60"/>
        <w:ind w:left="576"/>
      </w:pPr>
      <w:r>
        <w:rPr>
          <w:rFonts w:ascii="Times New Roman" w:hAnsi="Times New Roman" w:cs="Times New Roman"/>
          <w:b/>
          <w:i w:val="0"/>
          <w:sz w:val="22"/>
          <w:u w:val="none"/>
        </w:rPr>
        <w:t xml:space="preserve">3.  </w:t>
      </w:r>
      <w:r>
        <w:rPr>
          <w:rFonts w:ascii="Times New Roman" w:hAnsi="Times New Roman" w:cs="Times New Roman"/>
          <w:b w:val="0"/>
          <w:i w:val="0"/>
          <w:sz w:val="22"/>
          <w:u w:val="none"/>
        </w:rPr>
        <w:t>Obtain express confirmation of both Key Persons’ continued full-time involvement, including Priya S. Mehta (Item L).</w:t>
      </w:r>
    </w:p>
    <w:p>
      <w:pPr>
        <w:pStyle w:val="ListBullet"/>
        <w:spacing w:before="0" w:after="60"/>
        <w:ind w:left="576"/>
      </w:pPr>
      <w:r>
        <w:rPr>
          <w:rFonts w:ascii="Times New Roman" w:hAnsi="Times New Roman" w:cs="Times New Roman"/>
          <w:b/>
          <w:i w:val="0"/>
          <w:sz w:val="22"/>
          <w:u w:val="none"/>
        </w:rPr>
        <w:t xml:space="preserve">4.  </w:t>
      </w:r>
      <w:r>
        <w:rPr>
          <w:rFonts w:ascii="Times New Roman" w:hAnsi="Times New Roman" w:cs="Times New Roman"/>
          <w:b w:val="0"/>
          <w:i w:val="0"/>
          <w:sz w:val="22"/>
          <w:u w:val="none"/>
        </w:rPr>
        <w:t>Confirm receipt of all Final Closing capital contributions (catch-up contributions and equalization interest) in the Pinnacle National Bank escrow account (Section 11.2(2)).</w:t>
      </w:r>
    </w:p>
    <w:p>
      <w:pPr>
        <w:pStyle w:val="ListBullet"/>
        <w:spacing w:before="0" w:after="60"/>
        <w:ind w:left="576"/>
      </w:pPr>
      <w:r>
        <w:rPr>
          <w:rFonts w:ascii="Times New Roman" w:hAnsi="Times New Roman" w:cs="Times New Roman"/>
          <w:b/>
          <w:i w:val="0"/>
          <w:sz w:val="22"/>
          <w:u w:val="none"/>
        </w:rPr>
        <w:t xml:space="preserve">5.  </w:t>
      </w:r>
      <w:r>
        <w:rPr>
          <w:rFonts w:ascii="Times New Roman" w:hAnsi="Times New Roman" w:cs="Times New Roman"/>
          <w:b w:val="0"/>
          <w:i w:val="0"/>
          <w:sz w:val="22"/>
          <w:u w:val="none"/>
        </w:rPr>
        <w:t>Confirm delivery of the executed legal opinions from Fund Counsel (Section 11.2(7)).</w:t>
      </w:r>
    </w:p>
    <w:p>
      <w:pPr>
        <w:pStyle w:val="ListBullet"/>
        <w:spacing w:before="0" w:after="60"/>
        <w:ind w:left="576"/>
      </w:pPr>
      <w:r>
        <w:rPr>
          <w:rFonts w:ascii="Times New Roman" w:hAnsi="Times New Roman" w:cs="Times New Roman"/>
          <w:b/>
          <w:i w:val="0"/>
          <w:sz w:val="22"/>
          <w:u w:val="none"/>
        </w:rPr>
        <w:t xml:space="preserve">6.  </w:t>
      </w:r>
      <w:r>
        <w:rPr>
          <w:rFonts w:ascii="Times New Roman" w:hAnsi="Times New Roman" w:cs="Times New Roman"/>
          <w:b w:val="0"/>
          <w:i w:val="0"/>
          <w:sz w:val="22"/>
          <w:u w:val="none"/>
        </w:rPr>
        <w:t>Confirm the finalized updated Schedule A and that it is internally consistent as to the Birchwood commitment (Item C) and the Initial Closing individual commitments (Item D).</w:t>
      </w:r>
    </w:p>
    <w:p>
      <w:pPr>
        <w:pStyle w:val="ListBullet"/>
        <w:spacing w:before="0" w:after="60"/>
        <w:ind w:left="576"/>
      </w:pPr>
      <w:r>
        <w:rPr>
          <w:rFonts w:ascii="Times New Roman" w:hAnsi="Times New Roman" w:cs="Times New Roman"/>
          <w:b/>
          <w:i w:val="0"/>
          <w:sz w:val="22"/>
          <w:u w:val="none"/>
        </w:rPr>
        <w:t xml:space="preserve">7.  </w:t>
      </w:r>
      <w:r>
        <w:rPr>
          <w:rFonts w:ascii="Times New Roman" w:hAnsi="Times New Roman" w:cs="Times New Roman"/>
          <w:b w:val="0"/>
          <w:i w:val="0"/>
          <w:sz w:val="22"/>
          <w:u w:val="none"/>
        </w:rPr>
        <w:t>Reconcile the ERISA / BPI calculation to 22.00% (Item E) and confirm the Benefit Plan Investor classification of the governmental-plan investors.</w:t>
      </w:r>
    </w:p>
    <w:p>
      <w:pPr>
        <w:spacing w:before="240" w:after="80"/>
      </w:pPr>
      <w:r>
        <w:rPr>
          <w:rFonts w:ascii="Times New Roman" w:hAnsi="Times New Roman" w:cs="Times New Roman"/>
          <w:b/>
          <w:i w:val="0"/>
          <w:sz w:val="24"/>
          <w:u w:val="single"/>
        </w:rPr>
        <w:t>VII.  Recommendation</w:t>
      </w:r>
    </w:p>
    <w:p>
      <w:pPr>
        <w:spacing w:before="0" w:after="120"/>
      </w:pPr>
      <w:r>
        <w:rPr>
          <w:rFonts w:ascii="Times New Roman" w:hAnsi="Times New Roman" w:cs="Times New Roman"/>
          <w:b w:val="0"/>
          <w:i w:val="0"/>
          <w:sz w:val="22"/>
          <w:u w:val="none"/>
        </w:rPr>
        <w:t>Subject to resolution of the Closing-Blocking items (A and B) and confirmation of the items listed in Section VI, the conditions precedent to the Final Closing under Section 11.2 of the LPA can be certified. The Final Closing Certificate has been prepared using the corrected figures (Benefit Plan Investor percentage of 22.00%; total Fund commitments of $1,615,000,000; Hard Cap of $1,750,000,000 satisfied; 34 beneficial owners within the Section 3(c)(7) limit) and certifies each of the ten conditions precedent together with the Key Person certification required by Section 9.4(d).</w:t>
      </w:r>
    </w:p>
    <w:p>
      <w:pPr>
        <w:spacing w:before="0" w:after="120"/>
      </w:pPr>
      <w:r>
        <w:rPr>
          <w:rFonts w:ascii="Times New Roman" w:hAnsi="Times New Roman" w:cs="Times New Roman"/>
          <w:b w:val="0"/>
          <w:i w:val="0"/>
          <w:sz w:val="22"/>
          <w:u w:val="none"/>
        </w:rPr>
        <w:t>The remaining items (C through S) should be addressed in the fund records and, where appropriate, by corrective amendment, updated documentation, or conforming corrections. None of those items, individually, blocks the closing; however, Items C, D, F, and G warrant prompt attention because they concern the accuracy of the governing documents and the partner commitment records. We are available to assist with any of the foregoing and to update the Final Closing Certificate to reflect any corrections confirmed before execution.</w:t>
      </w:r>
    </w:p>
    <w:p>
      <w:pPr>
        <w:spacing w:before="160" w:after="120"/>
      </w:pPr>
      <w:r>
        <w:rPr>
          <w:rFonts w:ascii="Times New Roman" w:hAnsi="Times New Roman" w:cs="Times New Roman"/>
          <w:b w:val="0"/>
          <w:i w:val="0"/>
          <w:sz w:val="22"/>
          <w:u w:val="none"/>
        </w:rPr>
        <w:t>This memorandum is privileged and confidential, constitutes attorney-client communication and attorney work product of Bridgeford Hollis LLP as Fund Counsel, and is intended solely for the use of the addressees at Whitmore Capital Management LLC. It should not be distributed to any Limited Partner or third party without our prior consent.</w:t>
      </w:r>
    </w:p>
    <w:p>
      <w:pPr>
        <w:spacing w:before="0" w:after="200"/>
      </w:pPr>
    </w:p>
    <w:p>
      <w:pPr>
        <w:spacing w:before="40" w:after="120"/>
        <w:pBdr>
          <w:bottom w:val="single" w:sz="6" w:space="1" w:color="808080"/>
        </w:pBdr>
      </w:pPr>
    </w:p>
    <w:p>
      <w:pPr>
        <w:spacing w:before="0" w:after="200"/>
      </w:pPr>
      <w:r>
        <w:rPr>
          <w:rFonts w:ascii="Times New Roman" w:hAnsi="Times New Roman" w:cs="Times New Roman"/>
          <w:b w:val="0"/>
          <w:i w:val="0"/>
          <w:sz w:val="22"/>
          <w:u w:val="none"/>
        </w:rPr>
        <w:t>Respectfully submitted,</w:t>
      </w:r>
    </w:p>
    <w:p>
      <w:pPr>
        <w:spacing w:before="0" w:after="0"/>
      </w:pPr>
      <w:r>
        <w:rPr>
          <w:rFonts w:ascii="Times New Roman" w:hAnsi="Times New Roman" w:cs="Times New Roman"/>
          <w:b/>
          <w:i w:val="0"/>
          <w:sz w:val="22"/>
          <w:u w:val="none"/>
        </w:rPr>
        <w:t>Bridgeford Hollis LLP</w:t>
      </w:r>
    </w:p>
    <w:p>
      <w:pPr>
        <w:spacing w:before="0" w:after="160"/>
      </w:pPr>
    </w:p>
    <w:p>
      <w:pPr>
        <w:spacing w:before="0" w:after="40"/>
      </w:pPr>
      <w:r>
        <w:rPr>
          <w:rFonts w:ascii="Times New Roman" w:hAnsi="Times New Roman" w:cs="Times New Roman"/>
          <w:b w:val="0"/>
          <w:i w:val="0"/>
          <w:sz w:val="22"/>
          <w:u w:val="none"/>
        </w:rPr>
        <w:t>By: ________________________________</w:t>
      </w:r>
    </w:p>
    <w:p>
      <w:pPr>
        <w:spacing w:before="0" w:after="40"/>
      </w:pPr>
      <w:r>
        <w:rPr>
          <w:rFonts w:ascii="Times New Roman" w:hAnsi="Times New Roman" w:cs="Times New Roman"/>
          <w:b w:val="0"/>
          <w:i w:val="0"/>
          <w:sz w:val="22"/>
          <w:u w:val="none"/>
        </w:rPr>
        <w:t>David R. Kasten, Partner</w:t>
      </w:r>
    </w:p>
    <w:p>
      <w:pPr>
        <w:spacing w:before="0" w:after="40"/>
      </w:pPr>
      <w:r>
        <w:rPr>
          <w:rFonts w:ascii="Times New Roman" w:hAnsi="Times New Roman" w:cs="Times New Roman"/>
          <w:b w:val="0"/>
          <w:i w:val="0"/>
          <w:sz w:val="22"/>
          <w:u w:val="none"/>
        </w:rPr>
        <w:t>Emily T. Naraghi, Associate</w:t>
      </w:r>
    </w:p>
    <w:p>
      <w:pPr>
        <w:spacing w:before="0" w:after="40"/>
      </w:pPr>
      <w:r>
        <w:rPr>
          <w:rFonts w:ascii="Times New Roman" w:hAnsi="Times New Roman" w:cs="Times New Roman"/>
          <w:b w:val="0"/>
          <w:i w:val="0"/>
          <w:sz w:val="22"/>
          <w:u w:val="none"/>
        </w:rPr>
        <w:t>77 West Monroe Street, Suite 4400</w:t>
      </w:r>
    </w:p>
    <w:p>
      <w:pPr>
        <w:spacing w:before="0" w:after="200"/>
      </w:pPr>
      <w:r>
        <w:rPr>
          <w:rFonts w:ascii="Times New Roman" w:hAnsi="Times New Roman" w:cs="Times New Roman"/>
          <w:b w:val="0"/>
          <w:i w:val="0"/>
          <w:sz w:val="22"/>
          <w:u w:val="none"/>
        </w:rPr>
        <w:t>Chicago, Illinois 60603</w:t>
      </w:r>
    </w:p>
    <w:p>
      <w:pPr>
        <w:spacing w:before="160" w:after="120"/>
        <w:jc w:val="center"/>
      </w:pPr>
      <w:r>
        <w:rPr>
          <w:rFonts w:ascii="Times New Roman" w:hAnsi="Times New Roman" w:cs="Times New Roman"/>
          <w:b w:val="0"/>
          <w:i/>
          <w:sz w:val="18"/>
          <w:u w:val="none"/>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