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Marcus J. Whitmore, Managing Member and Chief Investment Officer, Whitmore Capital Management LLC; Sandra K. Liu, Chief Compliance Officer and General Counsel</w:t>
      </w:r>
    </w:p>
    <w:p>
      <w:pPr>
        <w:pStyle w:val="BodyText"/>
      </w:pPr>
      <w:r>
        <w:rPr>
          <w:b/>
          <w:bCs/>
        </w:rPr>
        <w:t xml:space="preserve">FROM:</w:t>
      </w:r>
      <w:r>
        <w:t xml:space="preserve"> </w:t>
      </w:r>
      <w:r>
        <w:t xml:space="preserve">Fund Counsel, Bridgeford Hollis LLP</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Final Closing of Whitmore Capital Partners VII, LP — Discrepancies and Unresolved Issues Identified in Closing Source Documents</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delivered in connection with the final closing (the</w:t>
      </w:r>
      <w:r>
        <w:t xml:space="preserve"> </w:t>
      </w:r>
      <w:r>
        <w:t xml:space="preserve">“</w:t>
      </w:r>
      <w:r>
        <w:rPr>
          <w:b/>
          <w:bCs/>
        </w:rPr>
        <w:t xml:space="preserve">Final Closing</w:t>
      </w:r>
      <w:r>
        <w:t xml:space="preserve">”</w:t>
      </w:r>
      <w:r>
        <w:t xml:space="preserve">) of Whitmore Capital Partners VII, LP (the</w:t>
      </w:r>
      <w:r>
        <w:t xml:space="preserve"> </w:t>
      </w:r>
      <w:r>
        <w:t xml:space="preserve">“</w:t>
      </w:r>
      <w:r>
        <w:rPr>
          <w:b/>
          <w:bCs/>
        </w:rPr>
        <w:t xml:space="preserve">Fund</w:t>
      </w:r>
      <w:r>
        <w:t xml:space="preserve">”</w:t>
      </w:r>
      <w:r>
        <w:t xml:space="preserve">) scheduled for January 31, 2025. It summarizes the discrepancies, cross-reference errors, and unresolved issues identified during our review of the closing source documents, including: (i) the Amended and Restated Agreement of Limited Partnership, dated September 15, 2024 (the</w:t>
      </w:r>
      <w:r>
        <w:t xml:space="preserve"> </w:t>
      </w:r>
      <w:r>
        <w:t xml:space="preserve">“</w:t>
      </w:r>
      <w:r>
        <w:rPr>
          <w:b/>
          <w:bCs/>
        </w:rPr>
        <w:t xml:space="preserve">LPA</w:t>
      </w:r>
      <w:r>
        <w:t xml:space="preserve">”</w:t>
      </w:r>
      <w:r>
        <w:t xml:space="preserve">); (ii) Amendment No. 1 to the LPA, dated November 30, 2024 (the</w:t>
      </w:r>
      <w:r>
        <w:t xml:space="preserve"> </w:t>
      </w:r>
      <w:r>
        <w:t xml:space="preserve">“</w:t>
      </w:r>
      <w:r>
        <w:rPr>
          <w:b/>
          <w:bCs/>
        </w:rPr>
        <w:t xml:space="preserve">Amendment</w:t>
      </w:r>
      <w:r>
        <w:t xml:space="preserve">”</w:t>
      </w:r>
      <w:r>
        <w:t xml:space="preserve">); (iii) the form of Subscription Agreement for the Final Closing; (iv) Capital Call Notice No. 1 (October 10, 2024) and Capital Call Notice No. 2 (December 15, 2024); (v) the General Partner’s internal closing readiness memorandum dated January 28, 2025 (the</w:t>
      </w:r>
      <w:r>
        <w:t xml:space="preserve"> </w:t>
      </w:r>
      <w:r>
        <w:t xml:space="preserve">“</w:t>
      </w:r>
      <w:r>
        <w:rPr>
          <w:b/>
          <w:bCs/>
        </w:rPr>
        <w:t xml:space="preserve">GP Memo</w:t>
      </w:r>
      <w:r>
        <w:t xml:space="preserve">”</w:t>
      </w:r>
      <w:r>
        <w:t xml:space="preserve">); (vi) the administrator’s closing checklist and commitment schedule (the</w:t>
      </w:r>
      <w:r>
        <w:t xml:space="preserve"> </w:t>
      </w:r>
      <w:r>
        <w:t xml:space="preserve">“</w:t>
      </w:r>
      <w:r>
        <w:rPr>
          <w:b/>
          <w:bCs/>
        </w:rPr>
        <w:t xml:space="preserve">Checklist</w:t>
      </w:r>
      <w:r>
        <w:t xml:space="preserve">”</w:t>
      </w:r>
      <w:r>
        <w:t xml:space="preserve">); and (vii) the AML/KYC completion email from Oakmere Fund Services LLC dated January 24, 2025 (the</w:t>
      </w:r>
      <w:r>
        <w:t xml:space="preserve"> </w:t>
      </w:r>
      <w:r>
        <w:t xml:space="preserve">“</w:t>
      </w:r>
      <w:r>
        <w:rPr>
          <w:b/>
          <w:bCs/>
        </w:rPr>
        <w:t xml:space="preserve">AML Email</w:t>
      </w:r>
      <w:r>
        <w:t xml:space="preserve">”</w:t>
      </w:r>
      <w:r>
        <w:t xml:space="preserve">).</w:t>
      </w:r>
    </w:p>
    <w:p>
      <w:pPr>
        <w:pStyle w:val="BodyText"/>
      </w:pPr>
      <w:r>
        <w:t xml:space="preserve">A separate Final Closing Certificate has been prepared certifying each condition precedent under Section 11.2 of the LPA, subject to the exceptions set forth on Schedule 3 to that certificate. This memorandum provides the supporting analysis for those exceptions and identifies additional items requiring attention. Items are organized by priority.</w:t>
      </w:r>
      <w:r>
        <w:t xml:space="preserve"> </w:t>
      </w:r>
      <w:r>
        <w:rPr>
          <w:b/>
          <w:bCs/>
        </w:rPr>
        <w:t xml:space="preserve">Three items (II.A, II.B, II.E) concern conditions precedent that are non-waivable under Section 11.3 of the LPA and must be fully satisfied — not waived — before the Final Closing may be consummated.</w:t>
      </w:r>
    </w:p>
    <w:bookmarkEnd w:id="20"/>
    <w:bookmarkStart w:id="26" w:name="X1fe4d6ca3031b43fe130a2a38b1a137230e0525"/>
    <w:p>
      <w:pPr>
        <w:pStyle w:val="Heading2"/>
      </w:pPr>
      <w:r>
        <w:t xml:space="preserve">II. Critical Issues Requiring Resolution Before Closing</w:t>
      </w:r>
    </w:p>
    <w:bookmarkStart w:id="21" w:name="X599dcac26c44de6d9bd7d5354c9e670db43a771"/>
    <w:p>
      <w:pPr>
        <w:pStyle w:val="Heading3"/>
      </w:pPr>
      <w:r>
        <w:t xml:space="preserve">A. AML/KYC Confirmation Does Not Cover All Six Final Closing Limited Partners (Condition 3 — Non-Waivable)</w:t>
      </w:r>
    </w:p>
    <w:p>
      <w:pPr>
        <w:pStyle w:val="FirstParagraph"/>
      </w:pPr>
      <w:r>
        <w:t xml:space="preserve">Section 11.2(3) of the LPA requires the Fund Administrator to confirm</w:t>
      </w:r>
      <w:r>
        <w:t xml:space="preserve"> </w:t>
      </w:r>
      <w:r>
        <w:rPr>
          <w:i/>
          <w:iCs/>
        </w:rPr>
        <w:t xml:space="preserve">in writing</w:t>
      </w:r>
      <w:r>
        <w:t xml:space="preserve"> </w:t>
      </w:r>
      <w:r>
        <w:t xml:space="preserve">that satisfactory AML/KYC documentation has been received and verified for</w:t>
      </w:r>
      <w:r>
        <w:t xml:space="preserve"> </w:t>
      </w:r>
      <w:r>
        <w:rPr>
          <w:i/>
          <w:iCs/>
        </w:rPr>
        <w:t xml:space="preserve">each</w:t>
      </w:r>
      <w:r>
        <w:t xml:space="preserve"> </w:t>
      </w:r>
      <w:r>
        <w:t xml:space="preserve">incoming Limited Partner, including OFAC/sanctions screening, government-issued identification or corporate formation documents, and beneficial ownership certifications. This condition is</w:t>
      </w:r>
      <w:r>
        <w:t xml:space="preserve"> </w:t>
      </w:r>
      <w:r>
        <w:rPr>
          <w:b/>
          <w:bCs/>
        </w:rPr>
        <w:t xml:space="preserve">non-waivable</w:t>
      </w:r>
      <w:r>
        <w:t xml:space="preserve"> </w:t>
      </w:r>
      <w:r>
        <w:t xml:space="preserve">under Section 11.3.</w:t>
      </w:r>
    </w:p>
    <w:p>
      <w:pPr>
        <w:pStyle w:val="BodyText"/>
      </w:pPr>
      <w:r>
        <w:t xml:space="preserve">The AML Email from Jonathan C. Prewitt (Oakmere Fund Services LLC), dated January 24, 2025, enumerates the AML/KYC verification results for only</w:t>
      </w:r>
      <w:r>
        <w:t xml:space="preserve"> </w:t>
      </w:r>
      <w:r>
        <w:rPr>
          <w:b/>
          <w:bCs/>
        </w:rPr>
        <w:t xml:space="preserve">five (5)</w:t>
      </w:r>
      <w:r>
        <w:t xml:space="preserve"> </w:t>
      </w:r>
      <w:r>
        <w:t xml:space="preserve">of the six (6) Final Closing Limited Partners:</w:t>
      </w:r>
    </w:p>
    <w:p>
      <w:pPr>
        <w:pStyle w:val="Compact"/>
        <w:numPr>
          <w:ilvl w:val="0"/>
          <w:numId w:val="1001"/>
        </w:numPr>
      </w:pPr>
      <w:r>
        <w:t xml:space="preserve">Meridian State Teachers’ Retirement System</w:t>
      </w:r>
    </w:p>
    <w:p>
      <w:pPr>
        <w:pStyle w:val="Compact"/>
        <w:numPr>
          <w:ilvl w:val="0"/>
          <w:numId w:val="1001"/>
        </w:numPr>
      </w:pPr>
      <w:r>
        <w:t xml:space="preserve">Haverfield Family Office LLC</w:t>
      </w:r>
    </w:p>
    <w:p>
      <w:pPr>
        <w:pStyle w:val="Compact"/>
        <w:numPr>
          <w:ilvl w:val="0"/>
          <w:numId w:val="1001"/>
        </w:numPr>
      </w:pPr>
      <w:r>
        <w:t xml:space="preserve">Northbridge Endowment Fund</w:t>
      </w:r>
    </w:p>
    <w:p>
      <w:pPr>
        <w:pStyle w:val="Compact"/>
        <w:numPr>
          <w:ilvl w:val="0"/>
          <w:numId w:val="1001"/>
        </w:numPr>
      </w:pPr>
      <w:r>
        <w:t xml:space="preserve">Sentry Municipal Employees’ Pension Trust</w:t>
      </w:r>
    </w:p>
    <w:p>
      <w:pPr>
        <w:pStyle w:val="Compact"/>
        <w:numPr>
          <w:ilvl w:val="0"/>
          <w:numId w:val="1001"/>
        </w:numPr>
      </w:pPr>
      <w:r>
        <w:t xml:space="preserve">Kingsgate Ventures Fund-of-Funds III, LP</w:t>
      </w:r>
    </w:p>
    <w:p>
      <w:pPr>
        <w:pStyle w:val="FirstParagraph"/>
      </w:pPr>
      <w:r>
        <w:rPr>
          <w:b/>
          <w:bCs/>
        </w:rPr>
        <w:t xml:space="preserve">Cascade Re Insurance Ltd.</w:t>
      </w:r>
      <w:r>
        <w:t xml:space="preserve"> </w:t>
      </w:r>
      <w:r>
        <w:t xml:space="preserve">($35,000,000 commitment; Bermuda-domiciled Class 3B reinsurer) is</w:t>
      </w:r>
      <w:r>
        <w:t xml:space="preserve"> </w:t>
      </w:r>
      <w:r>
        <w:rPr>
          <w:b/>
          <w:bCs/>
        </w:rPr>
        <w:t xml:space="preserve">omitted</w:t>
      </w:r>
      <w:r>
        <w:t xml:space="preserve"> </w:t>
      </w:r>
      <w:r>
        <w:t xml:space="preserve">from the AML Email. The Checklist (Item 18) marks AML/KYC as</w:t>
      </w:r>
      <w:r>
        <w:t xml:space="preserve"> </w:t>
      </w:r>
      <w:r>
        <w:t xml:space="preserve">“</w:t>
      </w:r>
      <w:r>
        <w:t xml:space="preserve">Complete</w:t>
      </w:r>
      <w:r>
        <w:t xml:space="preserve">”</w:t>
      </w:r>
      <w:r>
        <w:t xml:space="preserve"> </w:t>
      </w:r>
      <w:r>
        <w:t xml:space="preserve">for</w:t>
      </w:r>
      <w:r>
        <w:t xml:space="preserve"> </w:t>
      </w:r>
      <w:r>
        <w:t xml:space="preserve">“</w:t>
      </w:r>
      <w:r>
        <w:t xml:space="preserve">all Final Closing limited partners</w:t>
      </w:r>
      <w:r>
        <w:t xml:space="preserve">”</w:t>
      </w:r>
      <w:r>
        <w:t xml:space="preserve"> </w:t>
      </w:r>
      <w:r>
        <w:t xml:space="preserve">and cites the AML Email as the supporting document, but the cited email does not in fact address Cascade Re. This is the most significant gap in the closing record, because (a) the condition is non-waivable, and (b) Cascade Re is a non-U.S. entity for which enhanced due diligence (sanctions screening, beneficial ownership, source-of-funds) is particularly important.</w:t>
      </w:r>
    </w:p>
    <w:p>
      <w:pPr>
        <w:pStyle w:val="BodyText"/>
      </w:pPr>
      <w:r>
        <w:rPr>
          <w:b/>
          <w:bCs/>
        </w:rPr>
        <w:t xml:space="preserve">Recommendation:</w:t>
      </w:r>
      <w:r>
        <w:t xml:space="preserve"> </w:t>
      </w:r>
      <w:r>
        <w:t xml:space="preserve">Obtain a supplemental written AML/KYC confirmation from Oakmere expressly covering Cascade Re Insurance Ltd. (including OFAC/sanctions screening, formation documentation, and beneficial ownership certification) before the General Partner executes the Final Closing Certificate or consummates the Final Closing. The Final Closing Certificate should not certify Condition 3 as satisfied until this supplemental confirmation is received.</w:t>
      </w:r>
    </w:p>
    <w:bookmarkEnd w:id="21"/>
    <w:bookmarkStart w:id="22" w:name="Xbf7bb4a09e9dcd4a3619ecb0d3d83cf7ed26608"/>
    <w:p>
      <w:pPr>
        <w:pStyle w:val="Heading3"/>
      </w:pPr>
      <w:r>
        <w:t xml:space="preserve">B. ERISA / Benefit Plan Investor Calculation Is Internally Inconsistent and May Exceed the 24.99% Cap (Condition 5 — Non-Waivable)</w:t>
      </w:r>
    </w:p>
    <w:p>
      <w:pPr>
        <w:pStyle w:val="FirstParagraph"/>
      </w:pPr>
      <w:r>
        <w:t xml:space="preserve">Section 6.8 of the LPA limits aggregate Benefit Plan Investor commitments to 24.99% of total Capital Commitments (including the GP Commitment). Section 11.2(5) requires the General Partner to determine, after giving effect to the Final Closing, that this limit is not exceeded. This condition is</w:t>
      </w:r>
      <w:r>
        <w:t xml:space="preserve"> </w:t>
      </w:r>
      <w:r>
        <w:rPr>
          <w:b/>
          <w:bCs/>
        </w:rPr>
        <w:t xml:space="preserve">non-waivable</w:t>
      </w:r>
      <w:r>
        <w:t xml:space="preserve">.</w:t>
      </w:r>
    </w:p>
    <w:p>
      <w:pPr>
        <w:pStyle w:val="BodyText"/>
      </w:pPr>
      <w:r>
        <w:t xml:space="preserve">The closing deliverables state that Benefit Plan Investor commitments total</w:t>
      </w:r>
      <w:r>
        <w:t xml:space="preserve"> </w:t>
      </w:r>
      <w:r>
        <w:rPr>
          <w:b/>
          <w:bCs/>
        </w:rPr>
        <w:t xml:space="preserve">$355,300,000</w:t>
      </w:r>
      <w:r>
        <w:t xml:space="preserve">, representing</w:t>
      </w:r>
      <w:r>
        <w:t xml:space="preserve"> </w:t>
      </w:r>
      <w:r>
        <w:rPr>
          <w:b/>
          <w:bCs/>
        </w:rPr>
        <w:t xml:space="preserve">22.00%</w:t>
      </w:r>
      <w:r>
        <w:t xml:space="preserve"> </w:t>
      </w:r>
      <w:r>
        <w:t xml:space="preserve">of total Capital Commitments ($1,615,000,000), below the 24.99% cap. This figure is reflected in the Subscription Agreement (Schedule I, ERISA Summary) and in the Checklist (Commitment Schedule tab, ERISA Analysis).</w:t>
      </w:r>
    </w:p>
    <w:p>
      <w:pPr>
        <w:pStyle w:val="BodyText"/>
      </w:pPr>
      <w:r>
        <w:t xml:space="preserve">However, this figure</w:t>
      </w:r>
      <w:r>
        <w:t xml:space="preserve"> </w:t>
      </w:r>
      <w:r>
        <w:rPr>
          <w:b/>
          <w:bCs/>
        </w:rPr>
        <w:t xml:space="preserve">does not reconcile</w:t>
      </w:r>
      <w:r>
        <w:t xml:space="preserve"> </w:t>
      </w:r>
      <w:r>
        <w:t xml:space="preserve">with the per-investor</w:t>
      </w:r>
      <w:r>
        <w:t xml:space="preserve"> </w:t>
      </w:r>
      <w:r>
        <w:t xml:space="preserve">“</w:t>
      </w:r>
      <w:r>
        <w:t xml:space="preserve">ERISA Plan Investor</w:t>
      </w:r>
      <w:r>
        <w:t xml:space="preserve">”</w:t>
      </w:r>
      <w:r>
        <w:t xml:space="preserve"> </w:t>
      </w:r>
      <w:r>
        <w:t xml:space="preserve">designations in the same Checklist. The investors flagged as ERISA/Benefit Plan Investors (</w:t>
      </w:r>
      <w:r>
        <w:t xml:space="preserve">“</w:t>
      </w:r>
      <w:r>
        <w:t xml:space="preserve">Y</w:t>
      </w:r>
      <w:r>
        <w:t xml:space="preserve">”</w:t>
      </w:r>
      <w:r>
        <w:t xml:space="preserve">) across all three closings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Investor</w:t>
            </w:r>
          </w:p>
        </w:tc>
        <w:tc>
          <w:tcPr/>
          <w:p>
            <w:pPr>
              <w:pStyle w:val="Compact"/>
              <w:jc w:val="left"/>
            </w:pPr>
            <w:r>
              <w:t xml:space="preserve">Closing</w:t>
            </w:r>
          </w:p>
        </w:tc>
        <w:tc>
          <w:tcPr/>
          <w:p>
            <w:pPr>
              <w:pStyle w:val="Compact"/>
              <w:jc w:val="left"/>
            </w:pPr>
            <w:r>
              <w:t xml:space="preserve">Commitment</w:t>
            </w:r>
          </w:p>
        </w:tc>
        <w:tc>
          <w:tcPr/>
          <w:p>
            <w:pPr>
              <w:pStyle w:val="Compact"/>
              <w:jc w:val="left"/>
            </w:pPr>
            <w:r>
              <w:t xml:space="preserve">Flagged BPI?</w:t>
            </w:r>
          </w:p>
        </w:tc>
      </w:tr>
      <w:tr>
        <w:tc>
          <w:tcPr/>
          <w:p>
            <w:pPr>
              <w:pStyle w:val="Compact"/>
              <w:jc w:val="left"/>
            </w:pPr>
            <w:r>
              <w:t xml:space="preserve">Commonwealth Public Employees’ Retirement Fund</w:t>
            </w:r>
          </w:p>
        </w:tc>
        <w:tc>
          <w:tcPr/>
          <w:p>
            <w:pPr>
              <w:pStyle w:val="Compact"/>
              <w:jc w:val="left"/>
            </w:pPr>
            <w:r>
              <w:t xml:space="preserve">Initial</w:t>
            </w:r>
          </w:p>
        </w:tc>
        <w:tc>
          <w:tcPr/>
          <w:p>
            <w:pPr>
              <w:pStyle w:val="Compact"/>
              <w:jc w:val="left"/>
            </w:pPr>
            <w:r>
              <w:t xml:space="preserve">$85,000,000</w:t>
            </w:r>
          </w:p>
        </w:tc>
        <w:tc>
          <w:tcPr/>
          <w:p>
            <w:pPr>
              <w:pStyle w:val="Compact"/>
              <w:jc w:val="left"/>
            </w:pPr>
            <w:r>
              <w:t xml:space="preserve">Y</w:t>
            </w:r>
          </w:p>
        </w:tc>
      </w:tr>
      <w:tr>
        <w:tc>
          <w:tcPr/>
          <w:p>
            <w:pPr>
              <w:pStyle w:val="Compact"/>
              <w:jc w:val="left"/>
            </w:pPr>
            <w:r>
              <w:t xml:space="preserve">Lakewood Municipal Pension Fund</w:t>
            </w:r>
          </w:p>
        </w:tc>
        <w:tc>
          <w:tcPr/>
          <w:p>
            <w:pPr>
              <w:pStyle w:val="Compact"/>
              <w:jc w:val="left"/>
            </w:pPr>
            <w:r>
              <w:t xml:space="preserve">Initial</w:t>
            </w:r>
          </w:p>
        </w:tc>
        <w:tc>
          <w:tcPr/>
          <w:p>
            <w:pPr>
              <w:pStyle w:val="Compact"/>
              <w:jc w:val="left"/>
            </w:pPr>
            <w:r>
              <w:t xml:space="preserve">$80,000,000</w:t>
            </w:r>
          </w:p>
        </w:tc>
        <w:tc>
          <w:tcPr/>
          <w:p>
            <w:pPr>
              <w:pStyle w:val="Compact"/>
              <w:jc w:val="left"/>
            </w:pPr>
            <w:r>
              <w:t xml:space="preserve">Y</w:t>
            </w:r>
          </w:p>
        </w:tc>
      </w:tr>
      <w:tr>
        <w:tc>
          <w:tcPr/>
          <w:p>
            <w:pPr>
              <w:pStyle w:val="Compact"/>
              <w:jc w:val="left"/>
            </w:pPr>
            <w:r>
              <w:t xml:space="preserve">Westfield County Employees’ Retirement System</w:t>
            </w:r>
          </w:p>
        </w:tc>
        <w:tc>
          <w:tcPr/>
          <w:p>
            <w:pPr>
              <w:pStyle w:val="Compact"/>
              <w:jc w:val="left"/>
            </w:pPr>
            <w:r>
              <w:t xml:space="preserve">Initial</w:t>
            </w:r>
          </w:p>
        </w:tc>
        <w:tc>
          <w:tcPr/>
          <w:p>
            <w:pPr>
              <w:pStyle w:val="Compact"/>
              <w:jc w:val="left"/>
            </w:pPr>
            <w:r>
              <w:t xml:space="preserve">$40,000,000</w:t>
            </w:r>
          </w:p>
        </w:tc>
        <w:tc>
          <w:tcPr/>
          <w:p>
            <w:pPr>
              <w:pStyle w:val="Compact"/>
              <w:jc w:val="left"/>
            </w:pPr>
            <w:r>
              <w:t xml:space="preserve">Y</w:t>
            </w:r>
          </w:p>
        </w:tc>
      </w:tr>
      <w:tr>
        <w:tc>
          <w:tcPr/>
          <w:p>
            <w:pPr>
              <w:pStyle w:val="Compact"/>
              <w:jc w:val="left"/>
            </w:pPr>
            <w:r>
              <w:t xml:space="preserve">Ashford Healthcare System Retirement Plan</w:t>
            </w:r>
          </w:p>
        </w:tc>
        <w:tc>
          <w:tcPr/>
          <w:p>
            <w:pPr>
              <w:pStyle w:val="Compact"/>
              <w:jc w:val="left"/>
            </w:pPr>
            <w:r>
              <w:t xml:space="preserve">Initial</w:t>
            </w:r>
          </w:p>
        </w:tc>
        <w:tc>
          <w:tcPr/>
          <w:p>
            <w:pPr>
              <w:pStyle w:val="Compact"/>
              <w:jc w:val="left"/>
            </w:pPr>
            <w:r>
              <w:t xml:space="preserve">$25,000,000</w:t>
            </w:r>
          </w:p>
        </w:tc>
        <w:tc>
          <w:tcPr/>
          <w:p>
            <w:pPr>
              <w:pStyle w:val="Compact"/>
              <w:jc w:val="left"/>
            </w:pPr>
            <w:r>
              <w:t xml:space="preserve">Y</w:t>
            </w:r>
          </w:p>
        </w:tc>
      </w:tr>
      <w:tr>
        <w:tc>
          <w:tcPr/>
          <w:p>
            <w:pPr>
              <w:pStyle w:val="Compact"/>
              <w:jc w:val="left"/>
            </w:pPr>
            <w:r>
              <w:t xml:space="preserve">Pemberton Teachers’ Pension Trust</w:t>
            </w:r>
          </w:p>
        </w:tc>
        <w:tc>
          <w:tcPr/>
          <w:p>
            <w:pPr>
              <w:pStyle w:val="Compact"/>
              <w:jc w:val="left"/>
            </w:pPr>
            <w:r>
              <w:t xml:space="preserve">Initial</w:t>
            </w:r>
          </w:p>
        </w:tc>
        <w:tc>
          <w:tcPr/>
          <w:p>
            <w:pPr>
              <w:pStyle w:val="Compact"/>
              <w:jc w:val="left"/>
            </w:pPr>
            <w:r>
              <w:t xml:space="preserve">$35,000,000</w:t>
            </w:r>
          </w:p>
        </w:tc>
        <w:tc>
          <w:tcPr/>
          <w:p>
            <w:pPr>
              <w:pStyle w:val="Compact"/>
              <w:jc w:val="left"/>
            </w:pPr>
            <w:r>
              <w:t xml:space="preserve">Y</w:t>
            </w:r>
          </w:p>
        </w:tc>
      </w:tr>
      <w:tr>
        <w:tc>
          <w:tcPr/>
          <w:p>
            <w:pPr>
              <w:pStyle w:val="Compact"/>
              <w:jc w:val="left"/>
            </w:pPr>
            <w:r>
              <w:t xml:space="preserve">Dalton Firefighters’ Pension Fund</w:t>
            </w:r>
          </w:p>
        </w:tc>
        <w:tc>
          <w:tcPr/>
          <w:p>
            <w:pPr>
              <w:pStyle w:val="Compact"/>
              <w:jc w:val="left"/>
            </w:pPr>
            <w:r>
              <w:t xml:space="preserve">Second</w:t>
            </w:r>
          </w:p>
        </w:tc>
        <w:tc>
          <w:tcPr/>
          <w:p>
            <w:pPr>
              <w:pStyle w:val="Compact"/>
              <w:jc w:val="left"/>
            </w:pPr>
            <w:r>
              <w:t xml:space="preserve">$45,300,000</w:t>
            </w:r>
          </w:p>
        </w:tc>
        <w:tc>
          <w:tcPr/>
          <w:p>
            <w:pPr>
              <w:pStyle w:val="Compact"/>
              <w:jc w:val="left"/>
            </w:pPr>
            <w:r>
              <w:t xml:space="preserve">Y</w:t>
            </w:r>
          </w:p>
        </w:tc>
      </w:tr>
      <w:tr>
        <w:tc>
          <w:tcPr/>
          <w:p>
            <w:pPr>
              <w:pStyle w:val="Compact"/>
              <w:jc w:val="left"/>
            </w:pPr>
            <w:r>
              <w:t xml:space="preserve">Oakdale Police &amp; Fire Retirement Trust</w:t>
            </w:r>
          </w:p>
        </w:tc>
        <w:tc>
          <w:tcPr/>
          <w:p>
            <w:pPr>
              <w:pStyle w:val="Compact"/>
              <w:jc w:val="left"/>
            </w:pPr>
            <w:r>
              <w:t xml:space="preserve">Second</w:t>
            </w:r>
          </w:p>
        </w:tc>
        <w:tc>
          <w:tcPr/>
          <w:p>
            <w:pPr>
              <w:pStyle w:val="Compact"/>
              <w:jc w:val="left"/>
            </w:pPr>
            <w:r>
              <w:t xml:space="preserve">$25,000,000</w:t>
            </w:r>
          </w:p>
        </w:tc>
        <w:tc>
          <w:tcPr/>
          <w:p>
            <w:pPr>
              <w:pStyle w:val="Compact"/>
              <w:jc w:val="left"/>
            </w:pPr>
            <w:r>
              <w:t xml:space="preserve">Y</w:t>
            </w:r>
          </w:p>
        </w:tc>
      </w:tr>
      <w:tr>
        <w:tc>
          <w:tcPr/>
          <w:p>
            <w:pPr>
              <w:pStyle w:val="Compact"/>
              <w:jc w:val="left"/>
            </w:pPr>
            <w:r>
              <w:t xml:space="preserve">Meridian State Teachers’ Retirement System</w:t>
            </w:r>
          </w:p>
        </w:tc>
        <w:tc>
          <w:tcPr/>
          <w:p>
            <w:pPr>
              <w:pStyle w:val="Compact"/>
              <w:jc w:val="left"/>
            </w:pPr>
            <w:r>
              <w:t xml:space="preserve">Final</w:t>
            </w:r>
          </w:p>
        </w:tc>
        <w:tc>
          <w:tcPr/>
          <w:p>
            <w:pPr>
              <w:pStyle w:val="Compact"/>
              <w:jc w:val="left"/>
            </w:pPr>
            <w:r>
              <w:t xml:space="preserve">$100,000,000</w:t>
            </w:r>
          </w:p>
        </w:tc>
        <w:tc>
          <w:tcPr/>
          <w:p>
            <w:pPr>
              <w:pStyle w:val="Compact"/>
              <w:jc w:val="left"/>
            </w:pPr>
            <w:r>
              <w:t xml:space="preserve">Y</w:t>
            </w:r>
          </w:p>
        </w:tc>
      </w:tr>
      <w:tr>
        <w:tc>
          <w:tcPr/>
          <w:p>
            <w:pPr>
              <w:pStyle w:val="Compact"/>
              <w:jc w:val="left"/>
            </w:pPr>
            <w:r>
              <w:t xml:space="preserve">Sentry Municipal Employees’ Pension Trust</w:t>
            </w:r>
          </w:p>
        </w:tc>
        <w:tc>
          <w:tcPr/>
          <w:p>
            <w:pPr>
              <w:pStyle w:val="Compact"/>
              <w:jc w:val="left"/>
            </w:pPr>
            <w:r>
              <w:t xml:space="preserve">Final</w:t>
            </w:r>
          </w:p>
        </w:tc>
        <w:tc>
          <w:tcPr/>
          <w:p>
            <w:pPr>
              <w:pStyle w:val="Compact"/>
              <w:jc w:val="left"/>
            </w:pPr>
            <w:r>
              <w:t xml:space="preserve">$30,000,000</w:t>
            </w:r>
          </w:p>
        </w:tc>
        <w:tc>
          <w:tcPr/>
          <w:p>
            <w:pPr>
              <w:pStyle w:val="Compact"/>
              <w:jc w:val="left"/>
            </w:pPr>
            <w:r>
              <w:t xml:space="preserve">Y</w:t>
            </w:r>
          </w:p>
        </w:tc>
      </w:tr>
      <w:tr>
        <w:tc>
          <w:tcPr/>
          <w:p>
            <w:pPr>
              <w:pStyle w:val="Compact"/>
              <w:jc w:val="left"/>
            </w:pPr>
            <w:r>
              <w:rPr>
                <w:b/>
                <w:bCs/>
              </w:rPr>
              <w:t xml:space="preserve">Total flagged as BPI</w:t>
            </w:r>
          </w:p>
        </w:tc>
        <w:tc>
          <w:tcPr/>
          <w:p>
            <w:pPr>
              <w:pStyle w:val="Compact"/>
            </w:pPr>
          </w:p>
        </w:tc>
        <w:tc>
          <w:tcPr/>
          <w:p>
            <w:pPr>
              <w:pStyle w:val="Compact"/>
              <w:jc w:val="left"/>
            </w:pPr>
            <w:r>
              <w:rPr>
                <w:b/>
                <w:bCs/>
              </w:rPr>
              <w:t xml:space="preserve">$465,300,000</w:t>
            </w:r>
          </w:p>
        </w:tc>
        <w:tc>
          <w:tcPr/>
          <w:p>
            <w:pPr>
              <w:pStyle w:val="Compact"/>
            </w:pPr>
          </w:p>
        </w:tc>
      </w:tr>
    </w:tbl>
    <w:p>
      <w:pPr>
        <w:pStyle w:val="BodyText"/>
      </w:pPr>
      <w:r>
        <w:t xml:space="preserve">$465,300,000 ÷ $1,615,000,000 =</w:t>
      </w:r>
      <w:r>
        <w:t xml:space="preserve"> </w:t>
      </w:r>
      <w:r>
        <w:rPr>
          <w:b/>
          <w:bCs/>
        </w:rPr>
        <w:t xml:space="preserve">28.81%</w:t>
      </w:r>
      <w:r>
        <w:t xml:space="preserve">, which</w:t>
      </w:r>
      <w:r>
        <w:t xml:space="preserve"> </w:t>
      </w:r>
      <w:r>
        <w:rPr>
          <w:b/>
          <w:bCs/>
        </w:rPr>
        <w:t xml:space="preserve">exceeds</w:t>
      </w:r>
      <w:r>
        <w:t xml:space="preserve"> </w:t>
      </w:r>
      <w:r>
        <w:t xml:space="preserve">the 24.99% cap (the cap equates to approximately $403,588,500).</w:t>
      </w:r>
    </w:p>
    <w:p>
      <w:pPr>
        <w:pStyle w:val="BodyText"/>
      </w:pPr>
      <w:r>
        <w:t xml:space="preserve">The stated $355,300,000 figure appears to omit two investors that are nonetheless flagged as Benefit Plan Investors in the Checklist:</w:t>
      </w:r>
      <w:r>
        <w:t xml:space="preserve"> </w:t>
      </w:r>
      <w:r>
        <w:rPr>
          <w:b/>
          <w:bCs/>
        </w:rPr>
        <w:t xml:space="preserve">Commonwealth Public Employees’ Retirement Fund ($85,000,000)</w:t>
      </w:r>
      <w:r>
        <w:t xml:space="preserve"> </w:t>
      </w:r>
      <w:r>
        <w:t xml:space="preserve">and</w:t>
      </w:r>
      <w:r>
        <w:t xml:space="preserve"> </w:t>
      </w:r>
      <w:r>
        <w:rPr>
          <w:b/>
          <w:bCs/>
        </w:rPr>
        <w:t xml:space="preserve">Oakdale Police &amp; Fire Retirement Trust ($25,000,000)</w:t>
      </w:r>
      <w:r>
        <w:t xml:space="preserve">. The difference between the sum of the prior-closings BPI flags ($335,300,000) and the stated prior-closings BPI total ($225,300,000) is exactly $110,000,000 — i.e., Commonwealth ($85,000,000) plus Oakdale ($25,000,000). There is no apparent principled basis for excluding these two governmental plans while including the other governmental plans (Lakewood, Westfield, Pemberton, Dalton) in the BPI count.</w:t>
      </w:r>
    </w:p>
    <w:p>
      <w:pPr>
        <w:pStyle w:val="BodyText"/>
      </w:pPr>
      <w:r>
        <w:t xml:space="preserve">This inconsistency is compounded by an ambiguity in the governing standard. The LPA’s Article I definition of</w:t>
      </w:r>
      <w:r>
        <w:t xml:space="preserve"> </w:t>
      </w:r>
      <w:r>
        <w:t xml:space="preserve">“</w:t>
      </w:r>
      <w:r>
        <w:t xml:space="preserve">Benefit Plan Investor</w:t>
      </w:r>
      <w:r>
        <w:t xml:space="preserve">”</w:t>
      </w:r>
      <w:r>
        <w:t xml:space="preserve"> </w:t>
      </w:r>
      <w:r>
        <w:t xml:space="preserve">tracks the DOL plan-assets regulation (29 C.F.R. § 2510.3-101, as modified by ERISA Section 3(42)), under which governmental plans are generally</w:t>
      </w:r>
      <w:r>
        <w:t xml:space="preserve"> </w:t>
      </w:r>
      <w:r>
        <w:rPr>
          <w:b/>
          <w:bCs/>
        </w:rPr>
        <w:t xml:space="preserve">exempt</w:t>
      </w:r>
      <w:r>
        <w:t xml:space="preserve"> </w:t>
      </w:r>
      <w:r>
        <w:t xml:space="preserve">from Title I of ERISA and Section 4975 of the Code and therefore are not typically</w:t>
      </w:r>
      <w:r>
        <w:t xml:space="preserve"> </w:t>
      </w:r>
      <w:r>
        <w:t xml:space="preserve">“</w:t>
      </w:r>
      <w:r>
        <w:t xml:space="preserve">benefit plan investors.</w:t>
      </w:r>
      <w:r>
        <w:t xml:space="preserve">”</w:t>
      </w:r>
      <w:r>
        <w:t xml:space="preserve"> </w:t>
      </w:r>
      <w:r>
        <w:t xml:space="preserve">The Subscription Agreement (Box C), however, states that governmental plans are</w:t>
      </w:r>
      <w:r>
        <w:t xml:space="preserve"> </w:t>
      </w:r>
      <w:r>
        <w:t xml:space="preserve">“</w:t>
      </w:r>
      <w:r>
        <w:t xml:space="preserve">treated as benefit plan investors for purposes of the LPA Section 6.8 threshold calculation,</w:t>
      </w:r>
      <w:r>
        <w:t xml:space="preserve">”</w:t>
      </w:r>
      <w:r>
        <w:t xml:space="preserve"> </w:t>
      </w:r>
      <w:r>
        <w:t xml:space="preserve">and the Checklist flags the governmental plans as BPIs and counts Meridian and Sentry (both governmental) toward the total. If governmental plans are counted as BPIs (as the documents purport to do), then</w:t>
      </w:r>
      <w:r>
        <w:t xml:space="preserve"> </w:t>
      </w:r>
      <w:r>
        <w:rPr>
          <w:b/>
          <w:bCs/>
        </w:rPr>
        <w:t xml:space="preserve">all</w:t>
      </w:r>
      <w:r>
        <w:t xml:space="preserve"> </w:t>
      </w:r>
      <w:r>
        <w:t xml:space="preserve">governmental plans must be counted, yielding 28.81% — above the cap. If governmental plans are not counted (under the strict DOL regulation), then only the true Title I ERISA plan (Ashford, $25,000,000) would count, yielding approximately 1.55% — well below the cap. The stated 22.00% reflects an inconsistent application of neither approach.</w:t>
      </w:r>
    </w:p>
    <w:p>
      <w:pPr>
        <w:pStyle w:val="BodyText"/>
      </w:pPr>
      <w:r>
        <w:t xml:space="preserve">Separately, the GP Memo (Section V.C) contains an</w:t>
      </w:r>
      <w:r>
        <w:t xml:space="preserve"> </w:t>
      </w:r>
      <w:r>
        <w:rPr>
          <w:b/>
          <w:bCs/>
        </w:rPr>
        <w:t xml:space="preserve">additional, independent error</w:t>
      </w:r>
      <w:r>
        <w:t xml:space="preserve"> </w:t>
      </w:r>
      <w:r>
        <w:t xml:space="preserve">in its ERISA analysis: it states that Benefit Plan Investor commitments are</w:t>
      </w:r>
      <w:r>
        <w:t xml:space="preserve"> </w:t>
      </w:r>
      <w:r>
        <w:t xml:space="preserve">“</w:t>
      </w:r>
      <w:r>
        <w:t xml:space="preserve">approximately $225,300,000</w:t>
      </w:r>
      <w:r>
        <w:t xml:space="preserve">”</w:t>
      </w:r>
      <w:r>
        <w:t xml:space="preserve"> </w:t>
      </w:r>
      <w:r>
        <w:t xml:space="preserve">and total Fund commitments are</w:t>
      </w:r>
      <w:r>
        <w:t xml:space="preserve"> </w:t>
      </w:r>
      <w:r>
        <w:t xml:space="preserve">“</w:t>
      </w:r>
      <w:r>
        <w:t xml:space="preserve">approximately $1,140,000,000,</w:t>
      </w:r>
      <w:r>
        <w:t xml:space="preserve">”</w:t>
      </w:r>
      <w:r>
        <w:t xml:space="preserve"> </w:t>
      </w:r>
      <w:r>
        <w:t xml:space="preserve">yielding</w:t>
      </w:r>
      <w:r>
        <w:t xml:space="preserve"> </w:t>
      </w:r>
      <w:r>
        <w:t xml:space="preserve">“</w:t>
      </w:r>
      <w:r>
        <w:t xml:space="preserve">approximately 19.8%.</w:t>
      </w:r>
      <w:r>
        <w:t xml:space="preserve">”</w:t>
      </w:r>
      <w:r>
        <w:t xml:space="preserve"> </w:t>
      </w:r>
      <w:r>
        <w:t xml:space="preserve">Both figures are wrong — total Fund commitments after the Final Closing are $1,615,000,000 (not $1,140,000,000), and the $225,300,000 figure reflects only the prior-closings BPI amount and omits the $130,000,000 of Final Closing BPI commitments (Meridian and Sentry). The GP Memo’s 19.8% figure should not be relied upon.</w:t>
      </w:r>
    </w:p>
    <w:p>
      <w:pPr>
        <w:pStyle w:val="BodyText"/>
      </w:pPr>
      <w:r>
        <w:rPr>
          <w:b/>
          <w:bCs/>
        </w:rPr>
        <w:t xml:space="preserve">Recommendation:</w:t>
      </w:r>
      <w:r>
        <w:t xml:space="preserve"> </w:t>
      </w:r>
      <w:r>
        <w:t xml:space="preserve">This is a non-waivable condition and the discrepancy could indicate a cap exceedance. Engage ERISA counsel to (i) confirm the correct methodology for counting governmental plans under Section 6.8 and the Article I definition, (ii) reconcile the per-investor BPI designations with the stated aggregate, and (iii) confirm in writing whether the 24.99% limitation is satisfied. If the consistent application of the documents’ stated methodology (counting governmental plans) results in a cap exceedance, the General Partner must, under Section 6.8, reduce or decline the admission of one or more Benefit Plan Investor Limited Partners before the Final Closing may proceed. The Final Closing Certificate should not certify Condition 5 until this reconciliation is complete.</w:t>
      </w:r>
    </w:p>
    <w:bookmarkEnd w:id="22"/>
    <w:bookmarkStart w:id="23" w:name="X0ceee72b17f6cbc4ca4c59fecd7955e62c718a9"/>
    <w:p>
      <w:pPr>
        <w:pStyle w:val="Heading3"/>
      </w:pPr>
      <w:r>
        <w:t xml:space="preserve">C. Capital Contributions Not Yet Confirmed Received (Condition 2)</w:t>
      </w:r>
    </w:p>
    <w:p>
      <w:pPr>
        <w:pStyle w:val="FirstParagraph"/>
      </w:pPr>
      <w:r>
        <w:t xml:space="preserve">Section 11.2(2) requires that all Capital Contributions due at the Final Closing (including equalization contributions and equalization interest) be received in immediately available funds, with the Fund Administrator confirming receipt prior to consummation. The Checklist (Item 21) reflects this item as</w:t>
      </w:r>
      <w:r>
        <w:t xml:space="preserve"> </w:t>
      </w:r>
      <w:r>
        <w:t xml:space="preserve">“</w:t>
      </w:r>
      <w:r>
        <w:rPr>
          <w:b/>
          <w:bCs/>
        </w:rPr>
        <w:t xml:space="preserve">Pending</w:t>
      </w:r>
      <w:r>
        <w:t xml:space="preserve"> </w:t>
      </w:r>
      <w:r>
        <w:t xml:space="preserve">— Awaiting bank confirmation of wire receipts as of January 30, 2025.</w:t>
      </w:r>
      <w:r>
        <w:t xml:space="preserve">”</w:t>
      </w:r>
      <w:r>
        <w:t xml:space="preserve"> </w:t>
      </w:r>
      <w:r>
        <w:t xml:space="preserve">Accordingly, as of the date of the closing readiness materials, Condition 2 had not been satisfied.</w:t>
      </w:r>
    </w:p>
    <w:p>
      <w:pPr>
        <w:pStyle w:val="BodyText"/>
      </w:pPr>
      <w:r>
        <w:rPr>
          <w:b/>
          <w:bCs/>
        </w:rPr>
        <w:t xml:space="preserve">Recommendation:</w:t>
      </w:r>
      <w:r>
        <w:t xml:space="preserve"> </w:t>
      </w:r>
      <w:r>
        <w:t xml:space="preserve">The General Partner should not execute the Final Closing Certificate (or consummate the Final Closing) until the Fund Administrator delivers written confirmation that all Final Closing capital contributions, catch-up capital, and equalization interest have been received in the Pinnacle National Bank escrow account (ending 9213) in immediately available funds. See also Section III.F below regarding a discrepancy in the equalization interest amounts themselves.</w:t>
      </w:r>
    </w:p>
    <w:bookmarkEnd w:id="23"/>
    <w:bookmarkStart w:id="24" w:name="X895bf2fa1608f989a8e1385db4958efc1fc57bf"/>
    <w:p>
      <w:pPr>
        <w:pStyle w:val="Heading3"/>
      </w:pPr>
      <w:r>
        <w:t xml:space="preserve">D. Legal Opinions Not Yet Delivered (Condition 7)</w:t>
      </w:r>
    </w:p>
    <w:p>
      <w:pPr>
        <w:pStyle w:val="FirstParagraph"/>
      </w:pPr>
      <w:r>
        <w:t xml:space="preserve">Section 11.2(7) requires Fund Counsel to deliver legal opinions, dated as of the date of the Final Closing, addressing (i) due formation and valid existence of the Partnership under Delaware law; (ii) enforceability of the LPA against the Partnership and the General Partner; and (iii) such other matters as are customary,</w:t>
      </w:r>
      <w:r>
        <w:t xml:space="preserve"> </w:t>
      </w:r>
      <w:r>
        <w:rPr>
          <w:b/>
          <w:bCs/>
        </w:rPr>
        <w:t xml:space="preserve">including the limited liability of the Limited Partners</w:t>
      </w:r>
      <w:r>
        <w:t xml:space="preserve">. The Checklist (Item 23) reflects this item as</w:t>
      </w:r>
      <w:r>
        <w:t xml:space="preserve"> </w:t>
      </w:r>
      <w:r>
        <w:t xml:space="preserve">“</w:t>
      </w:r>
      <w:r>
        <w:t xml:space="preserve">Draft circulated — awaiting execution,</w:t>
      </w:r>
      <w:r>
        <w:t xml:space="preserve">”</w:t>
      </w:r>
      <w:r>
        <w:t xml:space="preserve"> </w:t>
      </w:r>
      <w:r>
        <w:t xml:space="preserve">and the GP Memo (Section VI, Condition 7) describes the opinions as</w:t>
      </w:r>
      <w:r>
        <w:t xml:space="preserve"> </w:t>
      </w:r>
      <w:r>
        <w:t xml:space="preserve">“</w:t>
      </w:r>
      <w:r>
        <w:t xml:space="preserve">In Process.</w:t>
      </w:r>
      <w:r>
        <w:t xml:space="preserve">”</w:t>
      </w:r>
    </w:p>
    <w:p>
      <w:pPr>
        <w:pStyle w:val="BodyText"/>
      </w:pPr>
      <w:r>
        <w:t xml:space="preserve">Two concerns: (a) the opinions had not been executed or delivered as of the closing readiness date; and (b) the opinion topics described in the GP Memo (formation, enforceability, and a</w:t>
      </w:r>
      <w:r>
        <w:t xml:space="preserve"> </w:t>
      </w:r>
      <w:r>
        <w:t xml:space="preserve">“</w:t>
      </w:r>
      <w:r>
        <w:t xml:space="preserve">securities law opinion regarding the availability of the private placement exemption under Regulation D</w:t>
      </w:r>
      <w:r>
        <w:t xml:space="preserve">”</w:t>
      </w:r>
      <w:r>
        <w:t xml:space="preserve">) do not expressly include an opinion on the</w:t>
      </w:r>
      <w:r>
        <w:t xml:space="preserve"> </w:t>
      </w:r>
      <w:r>
        <w:rPr>
          <w:b/>
          <w:bCs/>
        </w:rPr>
        <w:t xml:space="preserve">limited liability of the Limited Partners</w:t>
      </w:r>
      <w:r>
        <w:t xml:space="preserve">, which Section 11.2(7)(iii) specifically calls out.</w:t>
      </w:r>
    </w:p>
    <w:p>
      <w:pPr>
        <w:pStyle w:val="BodyText"/>
      </w:pPr>
      <w:r>
        <w:rPr>
          <w:b/>
          <w:bCs/>
        </w:rPr>
        <w:t xml:space="preserve">Recommendation:</w:t>
      </w:r>
      <w:r>
        <w:t xml:space="preserve"> </w:t>
      </w:r>
      <w:r>
        <w:t xml:space="preserve">Confirm that final executed opinions are delivered at or prior to the Final Closing and that they expressly address the limited liability of the Limited Partners as required by Section 11.2(7)(iii), in addition to formation, enforceability, and securities-law matters.</w:t>
      </w:r>
    </w:p>
    <w:bookmarkEnd w:id="24"/>
    <w:bookmarkStart w:id="25" w:name="Xbcf09dd04f83e70506f2f5e69934fcdd23772d7"/>
    <w:p>
      <w:pPr>
        <w:pStyle w:val="Heading3"/>
      </w:pPr>
      <w:r>
        <w:t xml:space="preserve">E. Key Person Status of Priya S. Mehta Not Addressed (Condition 6 / Section 9.4(d) — Non-Waivable)</w:t>
      </w:r>
    </w:p>
    <w:p>
      <w:pPr>
        <w:pStyle w:val="FirstParagraph"/>
      </w:pPr>
      <w:r>
        <w:t xml:space="preserve">Section 9.4(d) and Section 11.2(6) require the General Partner to certify at each Closing that</w:t>
      </w:r>
      <w:r>
        <w:t xml:space="preserve"> </w:t>
      </w:r>
      <w:r>
        <w:rPr>
          <w:b/>
          <w:bCs/>
        </w:rPr>
        <w:t xml:space="preserve">each</w:t>
      </w:r>
      <w:r>
        <w:t xml:space="preserve"> </w:t>
      </w:r>
      <w:r>
        <w:t xml:space="preserve">Key Person — Marcus J. Whitmore</w:t>
      </w:r>
      <w:r>
        <w:t xml:space="preserve"> </w:t>
      </w:r>
      <w:r>
        <w:rPr>
          <w:b/>
          <w:bCs/>
        </w:rPr>
        <w:t xml:space="preserve">and</w:t>
      </w:r>
      <w:r>
        <w:t xml:space="preserve"> </w:t>
      </w:r>
      <w:r>
        <w:t xml:space="preserve">Priya S. Mehta — continues to devote substantially all of his or her business time to the Partnership and that no Key Person Event has occurred or is reasonably expected to occur. The GP Memo (Section VII) addresses only Marcus J. Whitmore’s status and is silent as to Priya S. Mehta. By contrast, Amendment No. 1 (Section 2.2(b)) certified the status of both Key Persons as of the second closing. The Checklist (Item 24) marks the Key Person item</w:t>
      </w:r>
      <w:r>
        <w:t xml:space="preserve"> </w:t>
      </w:r>
      <w:r>
        <w:t xml:space="preserve">“</w:t>
      </w:r>
      <w:r>
        <w:t xml:space="preserve">Complete</w:t>
      </w:r>
      <w:r>
        <w:t xml:space="preserve">”</w:t>
      </w:r>
      <w:r>
        <w:t xml:space="preserve"> </w:t>
      </w:r>
      <w:r>
        <w:t xml:space="preserve">by reference to the GP Memo, but the GP Memo does not in fact address Ms. Mehta.</w:t>
      </w:r>
    </w:p>
    <w:p>
      <w:pPr>
        <w:pStyle w:val="BodyText"/>
      </w:pPr>
      <w:r>
        <w:rPr>
          <w:b/>
          <w:bCs/>
        </w:rPr>
        <w:t xml:space="preserve">Recommendation:</w:t>
      </w:r>
      <w:r>
        <w:t xml:space="preserve"> </w:t>
      </w:r>
      <w:r>
        <w:t xml:space="preserve">Obtain an internal confirmation that Priya S. Mehta continues to devote substantially all of her business time to the Partnership and that no Key Person Event has occurred or is reasonably expected to occur with respect to her, and ensure the Final Closing Certificate certifies as to both Key Persons. Because this condition is non-waivable, it must be fully satisfied.</w:t>
      </w:r>
    </w:p>
    <w:bookmarkEnd w:id="25"/>
    <w:bookmarkEnd w:id="26"/>
    <w:bookmarkStart w:id="37" w:name="X18f6ee382e01d2b397ef7e440eb97673421956c"/>
    <w:p>
      <w:pPr>
        <w:pStyle w:val="Heading2"/>
      </w:pPr>
      <w:r>
        <w:t xml:space="preserve">III. Document Discrepancies and Cross-Reference Errors</w:t>
      </w:r>
    </w:p>
    <w:p>
      <w:pPr>
        <w:pStyle w:val="FirstParagraph"/>
      </w:pPr>
      <w:r>
        <w:t xml:space="preserve">The source documents contain numerous internal cross-reference errors and substantive inconsistencies. None individually prevents closing (except as noted in Part II), but they should be corrected or noted to avoid future disputes and to ensure the closing record is internally consistent.</w:t>
      </w:r>
    </w:p>
    <w:bookmarkStart w:id="27" w:name="X332c80e25ff99355e9d373015ac05fe2f322df7"/>
    <w:p>
      <w:pPr>
        <w:pStyle w:val="Heading3"/>
      </w:pPr>
      <w:r>
        <w:t xml:space="preserve">A. LPA Amendment No. 1 — Cross-Reference Errors</w:t>
      </w:r>
    </w:p>
    <w:p>
      <w:pPr>
        <w:pStyle w:val="FirstParagraph"/>
      </w:pPr>
      <w:r>
        <w:t xml:space="preserve">The Amendment contains several incorrect cross-references to the LPA:</w:t>
      </w:r>
    </w:p>
    <w:p>
      <w:pPr>
        <w:pStyle w:val="Compact"/>
        <w:numPr>
          <w:ilvl w:val="0"/>
          <w:numId w:val="1002"/>
        </w:numPr>
      </w:pPr>
      <w:r>
        <w:rPr>
          <w:b/>
          <w:bCs/>
        </w:rPr>
        <w:t xml:space="preserve">Subsequent-closings authority:</w:t>
      </w:r>
      <w:r>
        <w:t xml:space="preserve"> </w:t>
      </w:r>
      <w:r>
        <w:t xml:space="preserve">The Amendment recites that</w:t>
      </w:r>
      <w:r>
        <w:t xml:space="preserve"> </w:t>
      </w:r>
      <w:r>
        <w:t xml:space="preserve">“</w:t>
      </w:r>
      <w:r>
        <w:t xml:space="preserve">Section 11.1(b) of the Original Agreement authorizes the General Partner to hold one or more subsequent closings.</w:t>
      </w:r>
      <w:r>
        <w:t xml:space="preserve">”</w:t>
      </w:r>
      <w:r>
        <w:t xml:space="preserve"> </w:t>
      </w:r>
      <w:r>
        <w:t xml:space="preserve">Section 11.1 of the LPA contains no subsection (b); the subsequent-closings authority is in</w:t>
      </w:r>
      <w:r>
        <w:t xml:space="preserve"> </w:t>
      </w:r>
      <w:r>
        <w:rPr>
          <w:b/>
          <w:bCs/>
        </w:rPr>
        <w:t xml:space="preserve">Section 3.1(b)</w:t>
      </w:r>
      <w:r>
        <w:t xml:space="preserve">.</w:t>
      </w:r>
    </w:p>
    <w:p>
      <w:pPr>
        <w:pStyle w:val="Compact"/>
        <w:numPr>
          <w:ilvl w:val="0"/>
          <w:numId w:val="1002"/>
        </w:numPr>
      </w:pPr>
      <w:r>
        <w:rPr>
          <w:b/>
          <w:bCs/>
        </w:rPr>
        <w:t xml:space="preserve">Amendment authority:</w:t>
      </w:r>
      <w:r>
        <w:t xml:space="preserve"> </w:t>
      </w:r>
      <w:r>
        <w:t xml:space="preserve">The Amendment repeatedly cites</w:t>
      </w:r>
      <w:r>
        <w:t xml:space="preserve"> </w:t>
      </w:r>
      <w:r>
        <w:t xml:space="preserve">“</w:t>
      </w:r>
      <w:r>
        <w:t xml:space="preserve">Section 14.3</w:t>
      </w:r>
      <w:r>
        <w:t xml:space="preserve">”</w:t>
      </w:r>
      <w:r>
        <w:t xml:space="preserve"> </w:t>
      </w:r>
      <w:r>
        <w:t xml:space="preserve">and</w:t>
      </w:r>
      <w:r>
        <w:t xml:space="preserve"> </w:t>
      </w:r>
      <w:r>
        <w:t xml:space="preserve">“</w:t>
      </w:r>
      <w:r>
        <w:t xml:space="preserve">Section 14.3(b)</w:t>
      </w:r>
      <w:r>
        <w:t xml:space="preserve">”</w:t>
      </w:r>
      <w:r>
        <w:t xml:space="preserve"> </w:t>
      </w:r>
      <w:r>
        <w:t xml:space="preserve">of the LPA as the authority for the General Partner to amend without Limited Partner consent. Section 14.3 of the LPA is</w:t>
      </w:r>
      <w:r>
        <w:t xml:space="preserve"> </w:t>
      </w:r>
      <w:r>
        <w:rPr>
          <w:b/>
          <w:bCs/>
        </w:rPr>
        <w:t xml:space="preserve">Governing Law</w:t>
      </w:r>
      <w:r>
        <w:t xml:space="preserve">; the amendments provision is</w:t>
      </w:r>
      <w:r>
        <w:t xml:space="preserve"> </w:t>
      </w:r>
      <w:r>
        <w:rPr>
          <w:b/>
          <w:bCs/>
        </w:rPr>
        <w:t xml:space="preserve">Section 14.1</w:t>
      </w:r>
      <w:r>
        <w:t xml:space="preserve"> </w:t>
      </w:r>
      <w:r>
        <w:t xml:space="preserve">(which contains no subsection (b)). This error appears in the recitals, in Section 1.2(c), and in the</w:t>
      </w:r>
      <w:r>
        <w:t xml:space="preserve"> </w:t>
      </w:r>
      <w:r>
        <w:t xml:space="preserve">“</w:t>
      </w:r>
      <w:r>
        <w:t xml:space="preserve">Acknowledgment Regarding Limited Partner Consent.</w:t>
      </w:r>
      <w:r>
        <w:t xml:space="preserve">”</w:t>
      </w:r>
    </w:p>
    <w:p>
      <w:pPr>
        <w:pStyle w:val="Compact"/>
        <w:numPr>
          <w:ilvl w:val="0"/>
          <w:numId w:val="1002"/>
        </w:numPr>
      </w:pPr>
      <w:r>
        <w:rPr>
          <w:b/>
          <w:bCs/>
        </w:rPr>
        <w:t xml:space="preserve">Hard Cap and Target Fund Size:</w:t>
      </w:r>
      <w:r>
        <w:t xml:space="preserve"> </w:t>
      </w:r>
      <w:r>
        <w:t xml:space="preserve">The Amendment recites the Hard Cap and Target Fund Size as established</w:t>
      </w:r>
      <w:r>
        <w:t xml:space="preserve"> </w:t>
      </w:r>
      <w:r>
        <w:t xml:space="preserve">“</w:t>
      </w:r>
      <w:r>
        <w:t xml:space="preserve">under Section 3.1(a).</w:t>
      </w:r>
      <w:r>
        <w:t xml:space="preserve">”</w:t>
      </w:r>
      <w:r>
        <w:t xml:space="preserve"> </w:t>
      </w:r>
      <w:r>
        <w:t xml:space="preserve">In the LPA, Section 3.1(a) is</w:t>
      </w:r>
      <w:r>
        <w:t xml:space="preserve"> </w:t>
      </w:r>
      <w:r>
        <w:t xml:space="preserve">“</w:t>
      </w:r>
      <w:r>
        <w:t xml:space="preserve">Initial Closing</w:t>
      </w:r>
      <w:r>
        <w:t xml:space="preserve">”</w:t>
      </w:r>
      <w:r>
        <w:t xml:space="preserve">; the Hard Cap is in</w:t>
      </w:r>
      <w:r>
        <w:t xml:space="preserve"> </w:t>
      </w:r>
      <w:r>
        <w:rPr>
          <w:b/>
          <w:bCs/>
        </w:rPr>
        <w:t xml:space="preserve">Section 3.1(c)</w:t>
      </w:r>
      <w:r>
        <w:t xml:space="preserve"> </w:t>
      </w:r>
      <w:r>
        <w:t xml:space="preserve">and the Target Fund Size is in</w:t>
      </w:r>
      <w:r>
        <w:t xml:space="preserve"> </w:t>
      </w:r>
      <w:r>
        <w:rPr>
          <w:b/>
          <w:bCs/>
        </w:rPr>
        <w:t xml:space="preserve">Section 3.1(d)</w:t>
      </w:r>
      <w:r>
        <w:t xml:space="preserve">. The same error appears in the</w:t>
      </w:r>
      <w:r>
        <w:t xml:space="preserve"> </w:t>
      </w:r>
      <w:r>
        <w:t xml:space="preserve">“</w:t>
      </w:r>
      <w:r>
        <w:t xml:space="preserve">Fund Parameters</w:t>
      </w:r>
      <w:r>
        <w:t xml:space="preserve">”</w:t>
      </w:r>
      <w:r>
        <w:t xml:space="preserve"> </w:t>
      </w:r>
      <w:r>
        <w:t xml:space="preserve">table of the Revised Schedule A (Exhibit A to the Amendment).</w:t>
      </w:r>
    </w:p>
    <w:p>
      <w:pPr>
        <w:pStyle w:val="Compact"/>
        <w:numPr>
          <w:ilvl w:val="0"/>
          <w:numId w:val="1002"/>
        </w:numPr>
      </w:pPr>
      <w:r>
        <w:rPr>
          <w:b/>
          <w:bCs/>
        </w:rPr>
        <w:t xml:space="preserve">GP representations:</w:t>
      </w:r>
      <w:r>
        <w:t xml:space="preserve"> </w:t>
      </w:r>
      <w:r>
        <w:t xml:space="preserve">Section 2.2(a) of the Amendment certifies that</w:t>
      </w:r>
      <w:r>
        <w:t xml:space="preserve"> </w:t>
      </w:r>
      <w:r>
        <w:t xml:space="preserve">“</w:t>
      </w:r>
      <w:r>
        <w:t xml:space="preserve">all representations and warranties of the General Partner set forth in</w:t>
      </w:r>
      <w:r>
        <w:t xml:space="preserve"> </w:t>
      </w:r>
      <w:r>
        <w:rPr>
          <w:b/>
          <w:bCs/>
        </w:rPr>
        <w:t xml:space="preserve">Article XII</w:t>
      </w:r>
      <w:r>
        <w:t xml:space="preserve"> </w:t>
      </w:r>
      <w:r>
        <w:t xml:space="preserve">of the Original Agreement</w:t>
      </w:r>
      <w:r>
        <w:t xml:space="preserve">”</w:t>
      </w:r>
      <w:r>
        <w:t xml:space="preserve"> </w:t>
      </w:r>
      <w:r>
        <w:t xml:space="preserve">are true and correct. The LPA contains no GP representations in Article XII (which governs Confidentiality, Side Letters, and MFN). The GP’s representations are principally in Section 9.2 (and the signature block); there is no dedicated GP-representations article.</w:t>
      </w:r>
    </w:p>
    <w:p>
      <w:pPr>
        <w:pStyle w:val="FirstParagraph"/>
      </w:pPr>
      <w:r>
        <w:rPr>
          <w:b/>
          <w:bCs/>
        </w:rPr>
        <w:t xml:space="preserve">Recommendation:</w:t>
      </w:r>
      <w:r>
        <w:t xml:space="preserve"> </w:t>
      </w:r>
      <w:r>
        <w:t xml:space="preserve">Correct these cross-references in a ministerial amendment or conforming instrument, or at minimum document the intended references in the closing record.</w:t>
      </w:r>
    </w:p>
    <w:bookmarkEnd w:id="27"/>
    <w:bookmarkStart w:id="28" w:name="Xbb83c541a5cc0901f55514b6b55a49221a950e5"/>
    <w:p>
      <w:pPr>
        <w:pStyle w:val="Heading3"/>
      </w:pPr>
      <w:r>
        <w:t xml:space="preserve">B. Subscription Agreement — Cross-Reference Errors and Default Interest Rate</w:t>
      </w:r>
    </w:p>
    <w:p>
      <w:pPr>
        <w:pStyle w:val="FirstParagraph"/>
      </w:pPr>
      <w:r>
        <w:t xml:space="preserve">The form of Subscription Agreement contains multiple incorrect cross-references and one substantive economic inconsistency:</w:t>
      </w:r>
    </w:p>
    <w:p>
      <w:pPr>
        <w:pStyle w:val="Compact"/>
        <w:numPr>
          <w:ilvl w:val="0"/>
          <w:numId w:val="1003"/>
        </w:numPr>
      </w:pPr>
      <w:r>
        <w:rPr>
          <w:b/>
          <w:bCs/>
        </w:rPr>
        <w:t xml:space="preserve">Default provisions / default interest:</w:t>
      </w:r>
      <w:r>
        <w:t xml:space="preserve"> </w:t>
      </w:r>
      <w:r>
        <w:t xml:space="preserve">Section 1.2 cites</w:t>
      </w:r>
      <w:r>
        <w:t xml:space="preserve"> </w:t>
      </w:r>
      <w:r>
        <w:t xml:space="preserve">“</w:t>
      </w:r>
      <w:r>
        <w:t xml:space="preserve">Section 3.5 of the LPA</w:t>
      </w:r>
      <w:r>
        <w:t xml:space="preserve">”</w:t>
      </w:r>
      <w:r>
        <w:t xml:space="preserve"> </w:t>
      </w:r>
      <w:r>
        <w:t xml:space="preserve">for default remedies and states that default interest accrues at</w:t>
      </w:r>
      <w:r>
        <w:t xml:space="preserve"> </w:t>
      </w:r>
      <w:r>
        <w:t xml:space="preserve">“</w:t>
      </w:r>
      <w:r>
        <w:t xml:space="preserve">the lesser of</w:t>
      </w:r>
      <w:r>
        <w:t xml:space="preserve"> </w:t>
      </w:r>
      <w:r>
        <w:rPr>
          <w:b/>
          <w:bCs/>
        </w:rPr>
        <w:t xml:space="preserve">18% per annum</w:t>
      </w:r>
      <w:r>
        <w:t xml:space="preserve"> </w:t>
      </w:r>
      <w:r>
        <w:t xml:space="preserve">and the maximum rate permitted by applicable law.</w:t>
      </w:r>
      <w:r>
        <w:t xml:space="preserve">”</w:t>
      </w:r>
      <w:r>
        <w:t xml:space="preserve"> </w:t>
      </w:r>
      <w:r>
        <w:t xml:space="preserve">The LPA contains no Section 3.5; default provisions are in</w:t>
      </w:r>
      <w:r>
        <w:t xml:space="preserve"> </w:t>
      </w:r>
      <w:r>
        <w:rPr>
          <w:b/>
          <w:bCs/>
        </w:rPr>
        <w:t xml:space="preserve">Section 3.3</w:t>
      </w:r>
      <w:r>
        <w:t xml:space="preserve">, which specifies default interest at</w:t>
      </w:r>
      <w:r>
        <w:t xml:space="preserve"> </w:t>
      </w:r>
      <w:r>
        <w:rPr>
          <w:b/>
          <w:bCs/>
        </w:rPr>
        <w:t xml:space="preserve">twelve percent (12%) per annum</w:t>
      </w:r>
      <w:r>
        <w:t xml:space="preserve"> </w:t>
      </w:r>
      <w:r>
        <w:t xml:space="preserve">(Section 3.3(b)). The Subscription Agreement’s 18% rate is inconsistent with the LPA’s 12% rate. The LPA governs, but the Subscription Agreement misstates the rate and the cross-reference.</w:t>
      </w:r>
    </w:p>
    <w:p>
      <w:pPr>
        <w:pStyle w:val="Compact"/>
        <w:numPr>
          <w:ilvl w:val="0"/>
          <w:numId w:val="1003"/>
        </w:numPr>
      </w:pPr>
      <w:r>
        <w:rPr>
          <w:b/>
          <w:bCs/>
        </w:rPr>
        <w:t xml:space="preserve">Transfer restrictions:</w:t>
      </w:r>
      <w:r>
        <w:t xml:space="preserve"> </w:t>
      </w:r>
      <w:r>
        <w:t xml:space="preserve">Sections 2.4(c), 3.1, and 8.8 each refer to transfer restrictions in</w:t>
      </w:r>
      <w:r>
        <w:t xml:space="preserve"> </w:t>
      </w:r>
      <w:r>
        <w:t xml:space="preserve">“</w:t>
      </w:r>
      <w:r>
        <w:rPr>
          <w:b/>
          <w:bCs/>
        </w:rPr>
        <w:t xml:space="preserve">Article X</w:t>
      </w:r>
      <w:r>
        <w:t xml:space="preserve">”</w:t>
      </w:r>
      <w:r>
        <w:t xml:space="preserve"> </w:t>
      </w:r>
      <w:r>
        <w:t xml:space="preserve">of the LPA. Article X governs Dissolution and Winding Up; transfers are governed by</w:t>
      </w:r>
      <w:r>
        <w:t xml:space="preserve"> </w:t>
      </w:r>
      <w:r>
        <w:rPr>
          <w:b/>
          <w:bCs/>
        </w:rPr>
        <w:t xml:space="preserve">Article XIII</w:t>
      </w:r>
      <w:r>
        <w:t xml:space="preserve">.</w:t>
      </w:r>
    </w:p>
    <w:p>
      <w:pPr>
        <w:pStyle w:val="Compact"/>
        <w:numPr>
          <w:ilvl w:val="0"/>
          <w:numId w:val="1003"/>
        </w:numPr>
      </w:pPr>
      <w:r>
        <w:rPr>
          <w:b/>
          <w:bCs/>
        </w:rPr>
        <w:t xml:space="preserve">Dispute resolution:</w:t>
      </w:r>
      <w:r>
        <w:t xml:space="preserve"> </w:t>
      </w:r>
      <w:r>
        <w:t xml:space="preserve">Section 8.2 incorporates</w:t>
      </w:r>
      <w:r>
        <w:t xml:space="preserve"> </w:t>
      </w:r>
      <w:r>
        <w:t xml:space="preserve">“</w:t>
      </w:r>
      <w:r>
        <w:t xml:space="preserve">the dispute resolution provisions set forth in</w:t>
      </w:r>
      <w:r>
        <w:t xml:space="preserve"> </w:t>
      </w:r>
      <w:r>
        <w:rPr>
          <w:b/>
          <w:bCs/>
        </w:rPr>
        <w:t xml:space="preserve">Section 14.6</w:t>
      </w:r>
      <w:r>
        <w:t xml:space="preserve"> </w:t>
      </w:r>
      <w:r>
        <w:t xml:space="preserve">of the LPA.</w:t>
      </w:r>
      <w:r>
        <w:t xml:space="preserve">”</w:t>
      </w:r>
      <w:r>
        <w:t xml:space="preserve"> </w:t>
      </w:r>
      <w:r>
        <w:t xml:space="preserve">Section 14.6 is Severability; dispute resolution (arbitration) is in</w:t>
      </w:r>
      <w:r>
        <w:t xml:space="preserve"> </w:t>
      </w:r>
      <w:r>
        <w:rPr>
          <w:b/>
          <w:bCs/>
        </w:rPr>
        <w:t xml:space="preserve">Section 14.4</w:t>
      </w:r>
      <w:r>
        <w:t xml:space="preserve">.</w:t>
      </w:r>
    </w:p>
    <w:p>
      <w:pPr>
        <w:pStyle w:val="Compact"/>
        <w:numPr>
          <w:ilvl w:val="0"/>
          <w:numId w:val="1003"/>
        </w:numPr>
      </w:pPr>
      <w:r>
        <w:rPr>
          <w:b/>
          <w:bCs/>
        </w:rPr>
        <w:t xml:space="preserve">Power of attorney:</w:t>
      </w:r>
      <w:r>
        <w:t xml:space="preserve"> </w:t>
      </w:r>
      <w:r>
        <w:t xml:space="preserve">Section 8.9 refers to the power of attorney</w:t>
      </w:r>
      <w:r>
        <w:t xml:space="preserve"> </w:t>
      </w:r>
      <w:r>
        <w:t xml:space="preserve">“</w:t>
      </w:r>
      <w:r>
        <w:t xml:space="preserve">as more fully described in</w:t>
      </w:r>
      <w:r>
        <w:t xml:space="preserve"> </w:t>
      </w:r>
      <w:r>
        <w:rPr>
          <w:b/>
          <w:bCs/>
        </w:rPr>
        <w:t xml:space="preserve">Section 14.2</w:t>
      </w:r>
      <w:r>
        <w:t xml:space="preserve"> </w:t>
      </w:r>
      <w:r>
        <w:t xml:space="preserve">of the LPA.</w:t>
      </w:r>
      <w:r>
        <w:t xml:space="preserve">”</w:t>
      </w:r>
      <w:r>
        <w:t xml:space="preserve"> </w:t>
      </w:r>
      <w:r>
        <w:t xml:space="preserve">Section 14.2 is Notices; the power of attorney is in</w:t>
      </w:r>
      <w:r>
        <w:t xml:space="preserve"> </w:t>
      </w:r>
      <w:r>
        <w:rPr>
          <w:b/>
          <w:bCs/>
        </w:rPr>
        <w:t xml:space="preserve">Section 14.9</w:t>
      </w:r>
      <w:r>
        <w:t xml:space="preserve">.</w:t>
      </w:r>
    </w:p>
    <w:p>
      <w:pPr>
        <w:pStyle w:val="Compact"/>
        <w:numPr>
          <w:ilvl w:val="0"/>
          <w:numId w:val="1003"/>
        </w:numPr>
      </w:pPr>
      <w:r>
        <w:rPr>
          <w:b/>
          <w:bCs/>
        </w:rPr>
        <w:t xml:space="preserve">Equalization interest distribution:</w:t>
      </w:r>
      <w:r>
        <w:t xml:space="preserve"> </w:t>
      </w:r>
      <w:r>
        <w:t xml:space="preserve">Section 1.3 refers to</w:t>
      </w:r>
      <w:r>
        <w:t xml:space="preserve"> </w:t>
      </w:r>
      <w:r>
        <w:t xml:space="preserve">“</w:t>
      </w:r>
      <w:r>
        <w:t xml:space="preserve">Section 3.2(c)(iii) of the LPA.</w:t>
      </w:r>
      <w:r>
        <w:t xml:space="preserve">”</w:t>
      </w:r>
      <w:r>
        <w:t xml:space="preserve"> </w:t>
      </w:r>
      <w:r>
        <w:t xml:space="preserve">Section 3.2(c) is not subdivided into numbered subsections in the LPA.</w:t>
      </w:r>
    </w:p>
    <w:p>
      <w:pPr>
        <w:pStyle w:val="Compact"/>
        <w:numPr>
          <w:ilvl w:val="0"/>
          <w:numId w:val="1003"/>
        </w:numPr>
      </w:pPr>
      <w:r>
        <w:rPr>
          <w:b/>
          <w:bCs/>
        </w:rPr>
        <w:t xml:space="preserve">Advisory Committee notification characterization:</w:t>
      </w:r>
      <w:r>
        <w:t xml:space="preserve"> </w:t>
      </w:r>
      <w:r>
        <w:t xml:space="preserve">The Subscription Agreement states that the Advisory Committee notification under Section 3.1(d) (when the Target Fund Size is exceeded)</w:t>
      </w:r>
      <w:r>
        <w:t xml:space="preserve"> </w:t>
      </w:r>
      <w:r>
        <w:t xml:space="preserve">“</w:t>
      </w:r>
      <w:r>
        <w:t xml:space="preserve">is a condition to the acceptance of commitments above the Fund Target.</w:t>
      </w:r>
      <w:r>
        <w:t xml:space="preserve">”</w:t>
      </w:r>
      <w:r>
        <w:t xml:space="preserve"> </w:t>
      </w:r>
      <w:r>
        <w:t xml:space="preserve">The LPA frames this as a</w:t>
      </w:r>
      <w:r>
        <w:t xml:space="preserve"> </w:t>
      </w:r>
      <w:r>
        <w:rPr>
          <w:b/>
          <w:bCs/>
        </w:rPr>
        <w:t xml:space="preserve">notification obligation</w:t>
      </w:r>
      <w:r>
        <w:t xml:space="preserve"> </w:t>
      </w:r>
      <w:r>
        <w:t xml:space="preserve">(within five Business Days), not a condition precedent, and expressly states that exceeding the Target Fund Size</w:t>
      </w:r>
      <w:r>
        <w:t xml:space="preserve"> </w:t>
      </w:r>
      <w:r>
        <w:t xml:space="preserve">“</w:t>
      </w:r>
      <w:r>
        <w:t xml:space="preserve">shall not require Advisory Committee consent.</w:t>
      </w:r>
      <w:r>
        <w:t xml:space="preserve">”</w:t>
      </w:r>
      <w:r>
        <w:t xml:space="preserve"> </w:t>
      </w:r>
      <w:r>
        <w:t xml:space="preserve">The Subscription Agreement’s characterization overstates the LPA.</w:t>
      </w:r>
    </w:p>
    <w:p>
      <w:pPr>
        <w:pStyle w:val="FirstParagraph"/>
      </w:pPr>
      <w:r>
        <w:rPr>
          <w:b/>
          <w:bCs/>
        </w:rPr>
        <w:t xml:space="preserve">Recommendation:</w:t>
      </w:r>
      <w:r>
        <w:t xml:space="preserve"> </w:t>
      </w:r>
      <w:r>
        <w:t xml:space="preserve">Correct the cross-references and the default interest rate in the Subscription Agreement form (and confirm the rate applied to any default will be the LPA’s 12%). Clarify the Section 3.1(d) notification language.</w:t>
      </w:r>
    </w:p>
    <w:bookmarkEnd w:id="28"/>
    <w:bookmarkStart w:id="29" w:name="Xcd85aa2d200dcd89bb28858e2c5226d4beb5ef5"/>
    <w:p>
      <w:pPr>
        <w:pStyle w:val="Heading3"/>
      </w:pPr>
      <w:r>
        <w:t xml:space="preserve">C. Capital Call Notices — Cross-Reference Errors and Default Interest Inconsistency</w:t>
      </w:r>
    </w:p>
    <w:p>
      <w:pPr>
        <w:pStyle w:val="Compact"/>
        <w:numPr>
          <w:ilvl w:val="0"/>
          <w:numId w:val="1004"/>
        </w:numPr>
      </w:pPr>
      <w:r>
        <w:rPr>
          <w:b/>
          <w:bCs/>
        </w:rPr>
        <w:t xml:space="preserve">Default cross-reference (both notices):</w:t>
      </w:r>
      <w:r>
        <w:t xml:space="preserve"> </w:t>
      </w:r>
      <w:r>
        <w:t xml:space="preserve">Capital Call Notice No. 1 (Section V) and Capital Call Notice No. 2 (Section V) each cite</w:t>
      </w:r>
      <w:r>
        <w:t xml:space="preserve"> </w:t>
      </w:r>
      <w:r>
        <w:t xml:space="preserve">“</w:t>
      </w:r>
      <w:r>
        <w:rPr>
          <w:b/>
          <w:bCs/>
        </w:rPr>
        <w:t xml:space="preserve">Section 3.5</w:t>
      </w:r>
      <w:r>
        <w:t xml:space="preserve">”</w:t>
      </w:r>
      <w:r>
        <w:t xml:space="preserve"> </w:t>
      </w:r>
      <w:r>
        <w:t xml:space="preserve">of the LPA for default provisions. The correct reference is</w:t>
      </w:r>
      <w:r>
        <w:t xml:space="preserve"> </w:t>
      </w:r>
      <w:r>
        <w:rPr>
          <w:b/>
          <w:bCs/>
        </w:rPr>
        <w:t xml:space="preserve">Section 3.3</w:t>
      </w:r>
      <w:r>
        <w:t xml:space="preserve">.</w:t>
      </w:r>
    </w:p>
    <w:p>
      <w:pPr>
        <w:pStyle w:val="Compact"/>
        <w:numPr>
          <w:ilvl w:val="0"/>
          <w:numId w:val="1004"/>
        </w:numPr>
      </w:pPr>
      <w:r>
        <w:rPr>
          <w:b/>
          <w:bCs/>
        </w:rPr>
        <w:t xml:space="preserve">Default interest — compounding inconsistency:</w:t>
      </w:r>
      <w:r>
        <w:t xml:space="preserve"> </w:t>
      </w:r>
      <w:r>
        <w:t xml:space="preserve">Capital Call Notice No. 1 states default interest at 12% per annum (consistent with the LPA). Capital Call Notice No. 2 states default interest at 12% per annum</w:t>
      </w:r>
      <w:r>
        <w:t xml:space="preserve"> </w:t>
      </w:r>
      <w:r>
        <w:t xml:space="preserve">“</w:t>
      </w:r>
      <w:r>
        <w:rPr>
          <w:b/>
          <w:bCs/>
        </w:rPr>
        <w:t xml:space="preserve">compounding quarterly</w:t>
      </w:r>
      <w:r>
        <w:t xml:space="preserve">.</w:t>
      </w:r>
      <w:r>
        <w:t xml:space="preserve">”</w:t>
      </w:r>
      <w:r>
        <w:t xml:space="preserve"> </w:t>
      </w:r>
      <w:r>
        <w:t xml:space="preserve">The LPA (Section 3.3(b)) specifies 12% per annum and does</w:t>
      </w:r>
      <w:r>
        <w:t xml:space="preserve"> </w:t>
      </w:r>
      <w:r>
        <w:rPr>
          <w:b/>
          <w:bCs/>
        </w:rPr>
        <w:t xml:space="preserve">not</w:t>
      </w:r>
      <w:r>
        <w:t xml:space="preserve"> </w:t>
      </w:r>
      <w:r>
        <w:t xml:space="preserve">provide for quarterly compounding (and the LPA’s equalization interest is expressly simple, non-compounded). The two capital call notices are internally inconsistent with each other and the second is inconsistent with the LPA on compounding.</w:t>
      </w:r>
    </w:p>
    <w:p>
      <w:pPr>
        <w:pStyle w:val="Compact"/>
        <w:numPr>
          <w:ilvl w:val="0"/>
          <w:numId w:val="1004"/>
        </w:numPr>
      </w:pPr>
      <w:r>
        <w:rPr>
          <w:b/>
          <w:bCs/>
        </w:rPr>
        <w:t xml:space="preserve">Notices cross-reference:</w:t>
      </w:r>
      <w:r>
        <w:t xml:space="preserve"> </w:t>
      </w:r>
      <w:r>
        <w:t xml:space="preserve">Capital Call Notice No. 1 cites</w:t>
      </w:r>
      <w:r>
        <w:t xml:space="preserve"> </w:t>
      </w:r>
      <w:r>
        <w:t xml:space="preserve">“</w:t>
      </w:r>
      <w:r>
        <w:t xml:space="preserve">Section 14.1 (Notices)</w:t>
      </w:r>
      <w:r>
        <w:t xml:space="preserve">”</w:t>
      </w:r>
      <w:r>
        <w:t xml:space="preserve"> </w:t>
      </w:r>
      <w:r>
        <w:t xml:space="preserve">and Capital Call Notice No. 2 cites</w:t>
      </w:r>
      <w:r>
        <w:t xml:space="preserve"> </w:t>
      </w:r>
      <w:r>
        <w:t xml:space="preserve">“</w:t>
      </w:r>
      <w:r>
        <w:t xml:space="preserve">Section 13.1</w:t>
      </w:r>
      <w:r>
        <w:t xml:space="preserve">”</w:t>
      </w:r>
      <w:r>
        <w:t xml:space="preserve"> </w:t>
      </w:r>
      <w:r>
        <w:t xml:space="preserve">for the notice-delivery provision. Both are incorrect; notices are governed by</w:t>
      </w:r>
      <w:r>
        <w:t xml:space="preserve"> </w:t>
      </w:r>
      <w:r>
        <w:rPr>
          <w:b/>
          <w:bCs/>
        </w:rPr>
        <w:t xml:space="preserve">Section 14.2</w:t>
      </w:r>
      <w:r>
        <w:t xml:space="preserve">. (Section 13.1 is Restrictions on Transfer; Section 14.1 is Amendments.)</w:t>
      </w:r>
    </w:p>
    <w:p>
      <w:pPr>
        <w:pStyle w:val="Compact"/>
        <w:numPr>
          <w:ilvl w:val="0"/>
          <w:numId w:val="1004"/>
        </w:numPr>
      </w:pPr>
      <w:r>
        <w:rPr>
          <w:b/>
          <w:bCs/>
        </w:rPr>
        <w:t xml:space="preserve">Management fee cross-reference:</w:t>
      </w:r>
      <w:r>
        <w:t xml:space="preserve"> </w:t>
      </w:r>
      <w:r>
        <w:t xml:space="preserve">Capital Call Notice No. 2 (Section III(b)) cites</w:t>
      </w:r>
      <w:r>
        <w:t xml:space="preserve"> </w:t>
      </w:r>
      <w:r>
        <w:t xml:space="preserve">“</w:t>
      </w:r>
      <w:r>
        <w:t xml:space="preserve">Section 6.1</w:t>
      </w:r>
      <w:r>
        <w:t xml:space="preserve">”</w:t>
      </w:r>
      <w:r>
        <w:t xml:space="preserve"> </w:t>
      </w:r>
      <w:r>
        <w:t xml:space="preserve">for management fee obligations. The Management Fee is in</w:t>
      </w:r>
      <w:r>
        <w:t xml:space="preserve"> </w:t>
      </w:r>
      <w:r>
        <w:rPr>
          <w:b/>
          <w:bCs/>
        </w:rPr>
        <w:t xml:space="preserve">Section 7.1</w:t>
      </w:r>
      <w:r>
        <w:t xml:space="preserve"> </w:t>
      </w:r>
      <w:r>
        <w:t xml:space="preserve">(Section 6.1 is Representations of Limited Partners).</w:t>
      </w:r>
    </w:p>
    <w:p>
      <w:pPr>
        <w:pStyle w:val="Compact"/>
        <w:numPr>
          <w:ilvl w:val="0"/>
          <w:numId w:val="1004"/>
        </w:numPr>
      </w:pPr>
      <w:r>
        <w:rPr>
          <w:b/>
          <w:bCs/>
        </w:rPr>
        <w:t xml:space="preserve">Capital Call No. 1 funding date:</w:t>
      </w:r>
      <w:r>
        <w:t xml:space="preserve"> </w:t>
      </w:r>
      <w:r>
        <w:t xml:space="preserve">Capital Call Notice No. 2 (Section I) states that the funding date for Capital Call Notice No. 1</w:t>
      </w:r>
      <w:r>
        <w:t xml:space="preserve"> </w:t>
      </w:r>
      <w:r>
        <w:t xml:space="preserve">“</w:t>
      </w:r>
      <w:r>
        <w:t xml:space="preserve">was October 24, 2024.</w:t>
      </w:r>
      <w:r>
        <w:t xml:space="preserve">”</w:t>
      </w:r>
      <w:r>
        <w:t xml:space="preserve"> </w:t>
      </w:r>
      <w:r>
        <w:t xml:space="preserve">Capital Call Notice No. 1 itself states a Drawdown Date of</w:t>
      </w:r>
      <w:r>
        <w:t xml:space="preserve"> </w:t>
      </w:r>
      <w:r>
        <w:rPr>
          <w:b/>
          <w:bCs/>
        </w:rPr>
        <w:t xml:space="preserve">October 25, 2024</w:t>
      </w:r>
      <w:r>
        <w:t xml:space="preserve"> </w:t>
      </w:r>
      <w:r>
        <w:t xml:space="preserve">(and its Exhibit A states</w:t>
      </w:r>
      <w:r>
        <w:t xml:space="preserve"> </w:t>
      </w:r>
      <w:r>
        <w:t xml:space="preserve">“</w:t>
      </w:r>
      <w:r>
        <w:t xml:space="preserve">Funding Deadline: October 25, 2024</w:t>
      </w:r>
      <w:r>
        <w:t xml:space="preserve">”</w:t>
      </w:r>
      <w:r>
        <w:t xml:space="preserve">). The two notices are inconsistent by one day.</w:t>
      </w:r>
    </w:p>
    <w:p>
      <w:pPr>
        <w:pStyle w:val="Compact"/>
        <w:numPr>
          <w:ilvl w:val="0"/>
          <w:numId w:val="1004"/>
        </w:numPr>
      </w:pPr>
      <w:r>
        <w:rPr>
          <w:b/>
          <w:bCs/>
        </w:rPr>
        <w:t xml:space="preserve">PPM date:</w:t>
      </w:r>
      <w:r>
        <w:t xml:space="preserve"> </w:t>
      </w:r>
      <w:r>
        <w:t xml:space="preserve">Capital Call Notice No. 2 (Section III(a)) refers to</w:t>
      </w:r>
      <w:r>
        <w:t xml:space="preserve"> </w:t>
      </w:r>
      <w:r>
        <w:t xml:space="preserve">“</w:t>
      </w:r>
      <w:r>
        <w:t xml:space="preserve">the Partnership’s Private Placement Memorandum dated</w:t>
      </w:r>
      <w:r>
        <w:t xml:space="preserve"> </w:t>
      </w:r>
      <w:r>
        <w:rPr>
          <w:b/>
          <w:bCs/>
        </w:rPr>
        <w:t xml:space="preserve">August 1, 2024</w:t>
      </w:r>
      <w:r>
        <w:t xml:space="preserve">.</w:t>
      </w:r>
      <w:r>
        <w:t xml:space="preserve">”</w:t>
      </w:r>
      <w:r>
        <w:t xml:space="preserve"> </w:t>
      </w:r>
      <w:r>
        <w:t xml:space="preserve">The GP Memo and the Amendment both refer to the PPM as dated</w:t>
      </w:r>
      <w:r>
        <w:t xml:space="preserve"> </w:t>
      </w:r>
      <w:r>
        <w:rPr>
          <w:b/>
          <w:bCs/>
        </w:rPr>
        <w:t xml:space="preserve">July 15, 2024</w:t>
      </w:r>
      <w:r>
        <w:t xml:space="preserve"> </w:t>
      </w:r>
      <w:r>
        <w:t xml:space="preserve">(or</w:t>
      </w:r>
      <w:r>
        <w:t xml:space="preserve"> </w:t>
      </w:r>
      <w:r>
        <w:t xml:space="preserve">“</w:t>
      </w:r>
      <w:r>
        <w:t xml:space="preserve">July 2024</w:t>
      </w:r>
      <w:r>
        <w:t xml:space="preserve">”</w:t>
      </w:r>
      <w:r>
        <w:t xml:space="preserve">). The PPM date is inconsistent across documents.</w:t>
      </w:r>
    </w:p>
    <w:p>
      <w:pPr>
        <w:pStyle w:val="FirstParagraph"/>
      </w:pPr>
      <w:r>
        <w:rPr>
          <w:b/>
          <w:bCs/>
        </w:rPr>
        <w:t xml:space="preserve">Recommendation:</w:t>
      </w:r>
      <w:r>
        <w:t xml:space="preserve"> </w:t>
      </w:r>
      <w:r>
        <w:t xml:space="preserve">Correct the cross-references; reconcile the default-interest compounding treatment with the LPA; confirm the correct Capital Call No. 1 funding date; and confirm the correct PPM date for disclosure-consistency purposes.</w:t>
      </w:r>
    </w:p>
    <w:bookmarkEnd w:id="29"/>
    <w:bookmarkStart w:id="30" w:name="X60318ba879cd68e8467a580e4757350d1b216da"/>
    <w:p>
      <w:pPr>
        <w:pStyle w:val="Heading3"/>
      </w:pPr>
      <w:r>
        <w:t xml:space="preserve">D. GP Internal Closing Memo — Cross-Reference Errors and ERISA Calculation Error</w:t>
      </w:r>
    </w:p>
    <w:p>
      <w:pPr>
        <w:pStyle w:val="Compact"/>
        <w:numPr>
          <w:ilvl w:val="0"/>
          <w:numId w:val="1005"/>
        </w:numPr>
      </w:pPr>
      <w:r>
        <w:rPr>
          <w:b/>
          <w:bCs/>
        </w:rPr>
        <w:t xml:space="preserve">Investment Period cross-reference:</w:t>
      </w:r>
      <w:r>
        <w:t xml:space="preserve"> </w:t>
      </w:r>
      <w:r>
        <w:t xml:space="preserve">Section VIII of the GP Memo states that the Investment Period continues</w:t>
      </w:r>
      <w:r>
        <w:t xml:space="preserve"> </w:t>
      </w:r>
      <w:r>
        <w:t xml:space="preserve">“</w:t>
      </w:r>
      <w:r>
        <w:t xml:space="preserve">unless earlier terminated in accordance with</w:t>
      </w:r>
      <w:r>
        <w:t xml:space="preserve"> </w:t>
      </w:r>
      <w:r>
        <w:rPr>
          <w:b/>
          <w:bCs/>
        </w:rPr>
        <w:t xml:space="preserve">Section 8.1</w:t>
      </w:r>
      <w:r>
        <w:t xml:space="preserve"> </w:t>
      </w:r>
      <w:r>
        <w:t xml:space="preserve">of the LPA.</w:t>
      </w:r>
      <w:r>
        <w:t xml:space="preserve">”</w:t>
      </w:r>
      <w:r>
        <w:t xml:space="preserve"> </w:t>
      </w:r>
      <w:r>
        <w:t xml:space="preserve">Section 8.1 governs Timing and Form of Distributions; the Investment Period is governed by</w:t>
      </w:r>
      <w:r>
        <w:t xml:space="preserve"> </w:t>
      </w:r>
      <w:r>
        <w:rPr>
          <w:b/>
          <w:bCs/>
        </w:rPr>
        <w:t xml:space="preserve">Section 2.7</w:t>
      </w:r>
      <w:r>
        <w:t xml:space="preserve">.</w:t>
      </w:r>
    </w:p>
    <w:p>
      <w:pPr>
        <w:pStyle w:val="Compact"/>
        <w:numPr>
          <w:ilvl w:val="0"/>
          <w:numId w:val="1005"/>
        </w:numPr>
      </w:pPr>
      <w:r>
        <w:rPr>
          <w:b/>
          <w:bCs/>
        </w:rPr>
        <w:t xml:space="preserve">GP representations cross-reference:</w:t>
      </w:r>
      <w:r>
        <w:t xml:space="preserve"> </w:t>
      </w:r>
      <w:r>
        <w:t xml:space="preserve">Section VI (Condition 10) of the GP Memo certifies GP representations</w:t>
      </w:r>
      <w:r>
        <w:t xml:space="preserve"> </w:t>
      </w:r>
      <w:r>
        <w:t xml:space="preserve">“</w:t>
      </w:r>
      <w:r>
        <w:t xml:space="preserve">set forth in</w:t>
      </w:r>
      <w:r>
        <w:t xml:space="preserve"> </w:t>
      </w:r>
      <w:r>
        <w:rPr>
          <w:b/>
          <w:bCs/>
        </w:rPr>
        <w:t xml:space="preserve">Article VII</w:t>
      </w:r>
      <w:r>
        <w:t xml:space="preserve"> </w:t>
      </w:r>
      <w:r>
        <w:t xml:space="preserve">of the LPA.</w:t>
      </w:r>
      <w:r>
        <w:t xml:space="preserve">”</w:t>
      </w:r>
      <w:r>
        <w:t xml:space="preserve"> </w:t>
      </w:r>
      <w:r>
        <w:t xml:space="preserve">Article VII governs Management Fees and Expenses; it does not contain GP representations. (The Amendment, conversely, cited</w:t>
      </w:r>
      <w:r>
        <w:t xml:space="preserve"> </w:t>
      </w:r>
      <w:r>
        <w:t xml:space="preserve">“</w:t>
      </w:r>
      <w:r>
        <w:t xml:space="preserve">Article XII</w:t>
      </w:r>
      <w:r>
        <w:t xml:space="preserve">”</w:t>
      </w:r>
      <w:r>
        <w:t xml:space="preserve"> </w:t>
      </w:r>
      <w:r>
        <w:t xml:space="preserve">— also incorrect. The two documents cite different, and both incorrect, articles for the same matter.)</w:t>
      </w:r>
    </w:p>
    <w:p>
      <w:pPr>
        <w:pStyle w:val="Compact"/>
        <w:numPr>
          <w:ilvl w:val="0"/>
          <w:numId w:val="1005"/>
        </w:numPr>
      </w:pPr>
      <w:r>
        <w:rPr>
          <w:b/>
          <w:bCs/>
        </w:rPr>
        <w:t xml:space="preserve">ERISA calculation error:</w:t>
      </w:r>
      <w:r>
        <w:t xml:space="preserve"> </w:t>
      </w:r>
      <w:r>
        <w:t xml:space="preserve">As detailed in Part II.B above, the GP Memo’s ERISA analysis uses an incorrect denominator ($1,140,000,000 rather than $1,615,000,000) and omits the Final Closing Benefit Plan Investors, yielding an incorrect 19.8% figure. The correct stated figure (per the Subscription Agreement and Checklist) is 22.00%, although that figure is itself subject to the reconciliation issue in Part II.B.</w:t>
      </w:r>
    </w:p>
    <w:bookmarkEnd w:id="30"/>
    <w:bookmarkStart w:id="31" w:name="e.-commitment-amount-discrepancies"/>
    <w:p>
      <w:pPr>
        <w:pStyle w:val="Heading3"/>
      </w:pPr>
      <w:r>
        <w:t xml:space="preserve">E. Commitment Amount Discrepancies</w:t>
      </w:r>
    </w:p>
    <w:p>
      <w:pPr>
        <w:pStyle w:val="FirstParagraph"/>
      </w:pPr>
      <w:r>
        <w:t xml:space="preserve">Two categories of commitment-amount discrepancies appear across documents:</w:t>
      </w:r>
    </w:p>
    <w:p>
      <w:pPr>
        <w:numPr>
          <w:ilvl w:val="0"/>
          <w:numId w:val="1006"/>
        </w:numPr>
      </w:pPr>
      <w:r>
        <w:rPr>
          <w:b/>
          <w:bCs/>
        </w:rPr>
        <w:t xml:space="preserve">Birchwood Insurance Co. (Second Closing).</w:t>
      </w:r>
      <w:r>
        <w:t xml:space="preserve"> </w:t>
      </w:r>
      <w:r>
        <w:t xml:space="preserve">Amendment No. 1 (Section 1.3(a)) states that Birchwood Insurance Co. has a Capital Commitment of</w:t>
      </w:r>
      <w:r>
        <w:t xml:space="preserve"> </w:t>
      </w:r>
      <w:r>
        <w:rPr>
          <w:b/>
          <w:bCs/>
        </w:rPr>
        <w:t xml:space="preserve">$75,000,000</w:t>
      </w:r>
      <w:r>
        <w:t xml:space="preserve">. Capital Call Notice No. 2 (Exhibit A) and the Checklist (Commitment Schedule) both state Birchwood’s commitment as</w:t>
      </w:r>
      <w:r>
        <w:t xml:space="preserve"> </w:t>
      </w:r>
      <w:r>
        <w:rPr>
          <w:b/>
          <w:bCs/>
        </w:rPr>
        <w:t xml:space="preserve">$60,000,000</w:t>
      </w:r>
      <w:r>
        <w:t xml:space="preserve">. The $60,000,000 figure is consistent with the $375,000,000 Second Closing aggregate (Birchwood $60,000,000 + eight other Second Closing LPs totaling $315,000,000); the Amendment’s $75,000,000 figure appears to be the error. This should be corrected, as it affects the Advisory Committee appointment record (Thomas A. Riley represents Birchwood) and capital account records.</w:t>
      </w:r>
    </w:p>
    <w:p>
      <w:pPr>
        <w:numPr>
          <w:ilvl w:val="0"/>
          <w:numId w:val="1006"/>
        </w:numPr>
      </w:pPr>
      <w:r>
        <w:rPr>
          <w:b/>
          <w:bCs/>
        </w:rPr>
        <w:t xml:space="preserve">Silvermark, Commonwealth, and Graystone (Initial Closing).</w:t>
      </w:r>
      <w:r>
        <w:t xml:space="preserve"> </w:t>
      </w:r>
      <w:r>
        <w:t xml:space="preserve">Capital Call Notice No. 2 (Exhibit A) lists the commitments of three named Initial Closing LPs — Silvermark Capital Advisors ($125,000,000), Commonwealth Public Employees’ Retirement Fund ($100,000,000), and Graystone Foundation ($75,000,000) — that</w:t>
      </w:r>
      <w:r>
        <w:t xml:space="preserve"> </w:t>
      </w:r>
      <w:r>
        <w:rPr>
          <w:b/>
          <w:bCs/>
        </w:rPr>
        <w:t xml:space="preserve">differ</w:t>
      </w:r>
      <w:r>
        <w:t xml:space="preserve"> </w:t>
      </w:r>
      <w:r>
        <w:t xml:space="preserve">from the commitments for the same three LPs in the Checklist Commitment Schedule ($75,000,000, $85,000,000, and $50,000,000, respectively). Both sets reconcile to the $940,000,000 Initial Closing aggregate (the difference is offset in the</w:t>
      </w:r>
      <w:r>
        <w:t xml:space="preserve"> </w:t>
      </w:r>
      <w:r>
        <w:t xml:space="preserve">“</w:t>
      </w:r>
      <w:r>
        <w:t xml:space="preserve">15 additional</w:t>
      </w:r>
      <w:r>
        <w:t xml:space="preserve">”</w:t>
      </w:r>
      <w:r>
        <w:t xml:space="preserve"> </w:t>
      </w:r>
      <w:r>
        <w:t xml:space="preserve">subtotal), but the individual commitments are inconsistent. These three entities are represented on the Advisory Committee (by Rachel M. Torres, Kenneth W. Park, and Diane L. Voss, respectively), making the discrepancy material to the closing record. The correct individual commitments should be confirmed against the executed subscription agreements and Schedule A.</w:t>
      </w:r>
    </w:p>
    <w:p>
      <w:pPr>
        <w:pStyle w:val="FirstParagraph"/>
      </w:pPr>
      <w:r>
        <w:rPr>
          <w:b/>
          <w:bCs/>
        </w:rPr>
        <w:t xml:space="preserve">Recommendation:</w:t>
      </w:r>
      <w:r>
        <w:t xml:space="preserve"> </w:t>
      </w:r>
      <w:r>
        <w:t xml:space="preserve">Reconcile the individual commitment amounts against the executed subscription agreements and the authoritative Schedule A, and correct the Amendment (Birchwood) and Capital Call Notice No. 2 (Silvermark/Commonwealth/Graystone) as appropriate.</w:t>
      </w:r>
    </w:p>
    <w:bookmarkEnd w:id="31"/>
    <w:bookmarkStart w:id="32" w:name="X712863d53b8e1b633359d0fc48cf76edf36140e"/>
    <w:p>
      <w:pPr>
        <w:pStyle w:val="Heading3"/>
      </w:pPr>
      <w:r>
        <w:t xml:space="preserve">F. Equalization Interest and Total Amount Due — Discrepancy Between Subscription Agreement and Administrator Calculations</w:t>
      </w:r>
    </w:p>
    <w:p>
      <w:pPr>
        <w:pStyle w:val="FirstParagraph"/>
      </w:pPr>
      <w:r>
        <w:t xml:space="preserve">The equalization interest calculations differ between the Subscription Agreement (Schedule I) and the Checklist (Equalization Calc tab):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left"/>
            </w:pPr>
            <w:r>
              <w:t xml:space="preserve">CC#1 days</w:t>
            </w:r>
          </w:p>
        </w:tc>
        <w:tc>
          <w:tcPr/>
          <w:p>
            <w:pPr>
              <w:pStyle w:val="Compact"/>
              <w:jc w:val="left"/>
            </w:pPr>
            <w:r>
              <w:t xml:space="preserve">CC#2 days</w:t>
            </w:r>
          </w:p>
        </w:tc>
        <w:tc>
          <w:tcPr/>
          <w:p>
            <w:pPr>
              <w:pStyle w:val="Compact"/>
              <w:jc w:val="left"/>
            </w:pPr>
            <w:r>
              <w:t xml:space="preserve">Aggregate Equalization Interest</w:t>
            </w:r>
          </w:p>
        </w:tc>
        <w:tc>
          <w:tcPr/>
          <w:p>
            <w:pPr>
              <w:pStyle w:val="Compact"/>
              <w:jc w:val="left"/>
            </w:pPr>
            <w:r>
              <w:t xml:space="preserve">Total Due (Catch-Up + Interest)</w:t>
            </w:r>
          </w:p>
        </w:tc>
      </w:tr>
      <w:tr>
        <w:tc>
          <w:tcPr/>
          <w:p>
            <w:pPr>
              <w:pStyle w:val="Compact"/>
              <w:jc w:val="left"/>
            </w:pPr>
            <w:r>
              <w:t xml:space="preserve">Subscription Agreement (Schedule I)</w:t>
            </w:r>
          </w:p>
        </w:tc>
        <w:tc>
          <w:tcPr/>
          <w:p>
            <w:pPr>
              <w:pStyle w:val="Compact"/>
              <w:jc w:val="left"/>
            </w:pPr>
            <w:r>
              <w:t xml:space="preserve">113</w:t>
            </w:r>
          </w:p>
        </w:tc>
        <w:tc>
          <w:tcPr/>
          <w:p>
            <w:pPr>
              <w:pStyle w:val="Compact"/>
              <w:jc w:val="left"/>
            </w:pPr>
            <w:r>
              <w:t xml:space="preserve">47</w:t>
            </w:r>
          </w:p>
        </w:tc>
        <w:tc>
          <w:tcPr/>
          <w:p>
            <w:pPr>
              <w:pStyle w:val="Compact"/>
              <w:jc w:val="left"/>
            </w:pPr>
            <w:r>
              <w:t xml:space="preserve">~$852,658</w:t>
            </w:r>
          </w:p>
        </w:tc>
        <w:tc>
          <w:tcPr/>
          <w:p>
            <w:pPr>
              <w:pStyle w:val="Compact"/>
              <w:jc w:val="left"/>
            </w:pPr>
            <w:r>
              <w:t xml:space="preserve">~$43,602,658</w:t>
            </w:r>
          </w:p>
        </w:tc>
      </w:tr>
      <w:tr>
        <w:tc>
          <w:tcPr/>
          <w:p>
            <w:pPr>
              <w:pStyle w:val="Compact"/>
              <w:jc w:val="left"/>
            </w:pPr>
            <w:r>
              <w:t xml:space="preserve">Checklist (Equalization Calc)</w:t>
            </w:r>
          </w:p>
        </w:tc>
        <w:tc>
          <w:tcPr/>
          <w:p>
            <w:pPr>
              <w:pStyle w:val="Compact"/>
              <w:jc w:val="left"/>
            </w:pPr>
            <w:r>
              <w:t xml:space="preserve">113</w:t>
            </w:r>
          </w:p>
        </w:tc>
        <w:tc>
          <w:tcPr/>
          <w:p>
            <w:pPr>
              <w:pStyle w:val="Compact"/>
              <w:jc w:val="left"/>
            </w:pPr>
            <w:r>
              <w:t xml:space="preserve">46</w:t>
            </w:r>
          </w:p>
        </w:tc>
        <w:tc>
          <w:tcPr/>
          <w:p>
            <w:pPr>
              <w:pStyle w:val="Compact"/>
              <w:jc w:val="left"/>
            </w:pPr>
            <w:r>
              <w:t xml:space="preserve">~$849,534</w:t>
            </w:r>
          </w:p>
        </w:tc>
        <w:tc>
          <w:tcPr/>
          <w:p>
            <w:pPr>
              <w:pStyle w:val="Compact"/>
              <w:jc w:val="left"/>
            </w:pPr>
            <w:r>
              <w:t xml:space="preserve">~$43,599,534</w:t>
            </w:r>
          </w:p>
        </w:tc>
      </w:tr>
      <w:tr>
        <w:tc>
          <w:tcPr/>
          <w:p>
            <w:pPr>
              <w:pStyle w:val="Compact"/>
              <w:jc w:val="left"/>
            </w:pPr>
            <w:r>
              <w:t xml:space="preserve">LPA literal (</w:t>
            </w:r>
            <w:r>
              <w:t xml:space="preserve">“</w:t>
            </w:r>
            <w:r>
              <w:t xml:space="preserve">from and including … through and including</w:t>
            </w:r>
            <w:r>
              <w:t xml:space="preserve">”</w:t>
            </w:r>
            <w:r>
              <w:t xml:space="preserve">)</w:t>
            </w:r>
          </w:p>
        </w:tc>
        <w:tc>
          <w:tcPr/>
          <w:p>
            <w:pPr>
              <w:pStyle w:val="Compact"/>
              <w:jc w:val="left"/>
            </w:pPr>
            <w:r>
              <w:t xml:space="preserve">114</w:t>
            </w:r>
          </w:p>
        </w:tc>
        <w:tc>
          <w:tcPr/>
          <w:p>
            <w:pPr>
              <w:pStyle w:val="Compact"/>
              <w:jc w:val="left"/>
            </w:pPr>
            <w:r>
              <w:t xml:space="preserve">48</w:t>
            </w:r>
          </w:p>
        </w:tc>
        <w:tc>
          <w:tcPr/>
          <w:p>
            <w:pPr>
              <w:pStyle w:val="Compact"/>
              <w:jc w:val="left"/>
            </w:pPr>
            <w:r>
              <w:t xml:space="preserve">~$862,027</w:t>
            </w:r>
          </w:p>
        </w:tc>
        <w:tc>
          <w:tcPr/>
          <w:p>
            <w:pPr>
              <w:pStyle w:val="Compact"/>
              <w:jc w:val="left"/>
            </w:pPr>
            <w:r>
              <w:t xml:space="preserve">~$43,612,027</w:t>
            </w:r>
          </w:p>
        </w:tc>
      </w:tr>
    </w:tbl>
    <w:p>
      <w:pPr>
        <w:pStyle w:val="BodyText"/>
      </w:pPr>
      <w:r>
        <w:t xml:space="preserve">The discrepancy between the Subscription Agreement and the Checklist (approximately $3,123 in aggregate) is driven by the day count for Capital Call No. 2 (47 days vs. 46 days). In addition, neither document uses the day count that the LPA’s express language —</w:t>
      </w:r>
      <w:r>
        <w:t xml:space="preserve"> </w:t>
      </w:r>
      <w:r>
        <w:t xml:space="preserve">“</w:t>
      </w:r>
      <w:r>
        <w:t xml:space="preserve">from and including the date of each prior Capital Call through and including the date of the applicable Subsequent Closing</w:t>
      </w:r>
      <w:r>
        <w:t xml:space="preserve">”</w:t>
      </w:r>
      <w:r>
        <w:t xml:space="preserve"> </w:t>
      </w:r>
      <w:r>
        <w:t xml:space="preserve">(Section 3.2(c)) — would produce (114 days for Capital Call No. 1; 48 days for Capital Call No. 2). The Subscription Agreement also notes an internal $4.11 rounding difference between its per-investor and aggregate figures.</w:t>
      </w:r>
    </w:p>
    <w:p>
      <w:pPr>
        <w:pStyle w:val="BodyText"/>
      </w:pPr>
      <w:r>
        <w:t xml:space="preserve">Because the Subscription Agreement is the document executed by the Final Closing Limited Partners and its Schedule I states specific per-investor amounts due, while the Checklist reflects the administrator’s calculations, the amounts the Limited Partners were asked to wire may differ from the amounts the administrator expects to receive.</w:t>
      </w:r>
    </w:p>
    <w:p>
      <w:pPr>
        <w:pStyle w:val="BodyText"/>
      </w:pPr>
      <w:r>
        <w:rPr>
          <w:b/>
          <w:bCs/>
        </w:rPr>
        <w:t xml:space="preserve">Recommendation:</w:t>
      </w:r>
      <w:r>
        <w:t xml:space="preserve"> </w:t>
      </w:r>
      <w:r>
        <w:t xml:space="preserve">Confirm the governing day-count convention, reconcile the per-investor and aggregate equalization interest amounts, and ensure the amounts stated in the closing statements sent to each Final Closing Limited Partner match the amounts the administrator will confirm as received. If the LPA’s</w:t>
      </w:r>
      <w:r>
        <w:t xml:space="preserve"> </w:t>
      </w:r>
      <w:r>
        <w:t xml:space="preserve">“</w:t>
      </w:r>
      <w:r>
        <w:t xml:space="preserve">from and including … through and including</w:t>
      </w:r>
      <w:r>
        <w:t xml:space="preserve">”</w:t>
      </w:r>
      <w:r>
        <w:t xml:space="preserve"> </w:t>
      </w:r>
      <w:r>
        <w:t xml:space="preserve">convention is intended to govern, the calculations should be revised upward accordingly.</w:t>
      </w:r>
    </w:p>
    <w:bookmarkEnd w:id="32"/>
    <w:bookmarkStart w:id="33" w:name="X3566d8e0315599917d7d5ab6fbf931764a6367a"/>
    <w:p>
      <w:pPr>
        <w:pStyle w:val="Heading3"/>
      </w:pPr>
      <w:r>
        <w:t xml:space="preserve">G. Limited Partner Jurisdiction Inconsistencies</w:t>
      </w:r>
    </w:p>
    <w:p>
      <w:pPr>
        <w:pStyle w:val="FirstParagraph"/>
      </w:pPr>
      <w:r>
        <w:t xml:space="preserve">The jurisdiction of organization for two Final Closing Limited Partners is stated inconsistently:</w:t>
      </w:r>
    </w:p>
    <w:p>
      <w:pPr>
        <w:pStyle w:val="Compact"/>
        <w:numPr>
          <w:ilvl w:val="0"/>
          <w:numId w:val="1007"/>
        </w:numPr>
      </w:pPr>
      <w:r>
        <w:rPr>
          <w:b/>
          <w:bCs/>
        </w:rPr>
        <w:t xml:space="preserve">Meridian State Teachers’ Retirement System:</w:t>
      </w:r>
      <w:r>
        <w:t xml:space="preserve"> </w:t>
      </w:r>
      <w:r>
        <w:t xml:space="preserve">The Subscription Agreement (Schedule I) states</w:t>
      </w:r>
      <w:r>
        <w:t xml:space="preserve"> </w:t>
      </w:r>
      <w:r>
        <w:t xml:space="preserve">“</w:t>
      </w:r>
      <w:r>
        <w:t xml:space="preserve">State of Illinois (U.S. governmental retirement system established pursuant to the Illinois Pension Code).</w:t>
      </w:r>
      <w:r>
        <w:t xml:space="preserve">”</w:t>
      </w:r>
      <w:r>
        <w:t xml:space="preserve"> </w:t>
      </w:r>
      <w:r>
        <w:t xml:space="preserve">The Checklist (Commitment Schedule) states</w:t>
      </w:r>
      <w:r>
        <w:t xml:space="preserve"> </w:t>
      </w:r>
      <w:r>
        <w:t xml:space="preserve">“</w:t>
      </w:r>
      <w:r>
        <w:t xml:space="preserve">State pension fund — Indiana.</w:t>
      </w:r>
      <w:r>
        <w:t xml:space="preserve">”</w:t>
      </w:r>
      <w:r>
        <w:t xml:space="preserve"> </w:t>
      </w:r>
      <w:r>
        <w:t xml:space="preserve">(Illinois vs. Indiana.)</w:t>
      </w:r>
    </w:p>
    <w:p>
      <w:pPr>
        <w:pStyle w:val="Compact"/>
        <w:numPr>
          <w:ilvl w:val="0"/>
          <w:numId w:val="1007"/>
        </w:numPr>
      </w:pPr>
      <w:r>
        <w:rPr>
          <w:b/>
          <w:bCs/>
        </w:rPr>
        <w:t xml:space="preserve">Northbridge Endowment Fund:</w:t>
      </w:r>
      <w:r>
        <w:t xml:space="preserve"> </w:t>
      </w:r>
      <w:r>
        <w:t xml:space="preserve">The Subscription Agreement (Schedule I) states</w:t>
      </w:r>
      <w:r>
        <w:t xml:space="preserve"> </w:t>
      </w:r>
      <w:r>
        <w:t xml:space="preserve">“</w:t>
      </w:r>
      <w:r>
        <w:t xml:space="preserve">Commonwealth of Massachusetts (U.S. endowment / tax-exempt organization under Section 501(c)(3)).</w:t>
      </w:r>
      <w:r>
        <w:t xml:space="preserve">”</w:t>
      </w:r>
      <w:r>
        <w:t xml:space="preserve"> </w:t>
      </w:r>
      <w:r>
        <w:t xml:space="preserve">The Checklist (Commitment Schedule) states</w:t>
      </w:r>
      <w:r>
        <w:t xml:space="preserve"> </w:t>
      </w:r>
      <w:r>
        <w:t xml:space="preserve">“</w:t>
      </w:r>
      <w:r>
        <w:t xml:space="preserve">Connecticut nonprofit corporation.</w:t>
      </w:r>
      <w:r>
        <w:t xml:space="preserve">”</w:t>
      </w:r>
      <w:r>
        <w:t xml:space="preserve"> </w:t>
      </w:r>
      <w:r>
        <w:t xml:space="preserve">(Massachusetts vs. Connecticut.)</w:t>
      </w:r>
    </w:p>
    <w:p>
      <w:pPr>
        <w:pStyle w:val="FirstParagraph"/>
      </w:pPr>
      <w:r>
        <w:rPr>
          <w:b/>
          <w:bCs/>
        </w:rPr>
        <w:t xml:space="preserve">Recommendation:</w:t>
      </w:r>
      <w:r>
        <w:t xml:space="preserve"> </w:t>
      </w:r>
      <w:r>
        <w:t xml:space="preserve">Confirm the correct jurisdictions from the organizational/formation documentation (relevant to AML/KYC, blue sky filings, and ERISA/governmental-plan classification) and conform the documents.</w:t>
      </w:r>
    </w:p>
    <w:bookmarkEnd w:id="33"/>
    <w:bookmarkStart w:id="34" w:name="h.-side-letter-status-inconsistencies"/>
    <w:p>
      <w:pPr>
        <w:pStyle w:val="Heading3"/>
      </w:pPr>
      <w:r>
        <w:t xml:space="preserve">H. Side Letter Status Inconsistencies</w:t>
      </w:r>
    </w:p>
    <w:p>
      <w:pPr>
        <w:pStyle w:val="FirstParagraph"/>
      </w:pPr>
      <w:r>
        <w:t xml:space="preserve">The Checklist marks side letters as executed (</w:t>
      </w:r>
      <w:r>
        <w:t xml:space="preserve">“</w:t>
      </w:r>
      <w:r>
        <w:t xml:space="preserve">Y</w:t>
      </w:r>
      <w:r>
        <w:t xml:space="preserve">”</w:t>
      </w:r>
      <w:r>
        <w:t xml:space="preserve">) for Meridian State Teachers’ Retirement System and Northbridge Endowment Fund, but the Subscription Agreement (Schedule I) describes the Meridian side letter as</w:t>
      </w:r>
      <w:r>
        <w:t xml:space="preserve"> </w:t>
      </w:r>
      <w:r>
        <w:t xml:space="preserve">“</w:t>
      </w:r>
      <w:r>
        <w:t xml:space="preserve">Expected (public pension fund — FOIA carve-out and transparency provisions anticipated)</w:t>
      </w:r>
      <w:r>
        <w:t xml:space="preserve">”</w:t>
      </w:r>
      <w:r>
        <w:t xml:space="preserve"> </w:t>
      </w:r>
      <w:r>
        <w:t xml:space="preserve">and the Northbridge side letter as</w:t>
      </w:r>
      <w:r>
        <w:t xml:space="preserve"> </w:t>
      </w:r>
      <w:r>
        <w:t xml:space="preserve">“</w:t>
      </w:r>
      <w:r>
        <w:t xml:space="preserve">To be determined.</w:t>
      </w:r>
      <w:r>
        <w:t xml:space="preserve">”</w:t>
      </w:r>
      <w:r>
        <w:t xml:space="preserve"> </w:t>
      </w:r>
      <w:r>
        <w:t xml:space="preserve">Conversely, the Subscription Agreement describes a Sentry side letter as</w:t>
      </w:r>
      <w:r>
        <w:t xml:space="preserve"> </w:t>
      </w:r>
      <w:r>
        <w:t xml:space="preserve">“</w:t>
      </w:r>
      <w:r>
        <w:t xml:space="preserve">Expected (public pension — FOIA carve-out anticipated),</w:t>
      </w:r>
      <w:r>
        <w:t xml:space="preserve">”</w:t>
      </w:r>
      <w:r>
        <w:t xml:space="preserve"> </w:t>
      </w:r>
      <w:r>
        <w:t xml:space="preserve">while the Checklist marks Sentry’s side letter as</w:t>
      </w:r>
      <w:r>
        <w:t xml:space="preserve"> </w:t>
      </w:r>
      <w:r>
        <w:t xml:space="preserve">“</w:t>
      </w:r>
      <w:r>
        <w:t xml:space="preserve">N.</w:t>
      </w:r>
      <w:r>
        <w:t xml:space="preserve">”</w:t>
      </w:r>
      <w:r>
        <w:t xml:space="preserve"> </w:t>
      </w:r>
      <w:r>
        <w:t xml:space="preserve">The Checklist also reflects 14 total side letters across all closings (Item 30), but the per-investor</w:t>
      </w:r>
      <w:r>
        <w:t xml:space="preserve"> </w:t>
      </w:r>
      <w:r>
        <w:t xml:space="preserve">“</w:t>
      </w:r>
      <w:r>
        <w:t xml:space="preserve">Side Letter</w:t>
      </w:r>
      <w:r>
        <w:t xml:space="preserve">”</w:t>
      </w:r>
      <w:r>
        <w:t xml:space="preserve"> </w:t>
      </w:r>
      <w:r>
        <w:t xml:space="preserve">flags in the Commitment Schedule aggregate to 13.</w:t>
      </w:r>
    </w:p>
    <w:p>
      <w:pPr>
        <w:pStyle w:val="BodyText"/>
      </w:pPr>
      <w:r>
        <w:rPr>
          <w:b/>
          <w:bCs/>
        </w:rPr>
        <w:t xml:space="preserve">Recommendation:</w:t>
      </w:r>
      <w:r>
        <w:t xml:space="preserve"> </w:t>
      </w:r>
      <w:r>
        <w:t xml:space="preserve">Confirm which side letters have in fact been executed for the Final Closing Limited Partners, update the records consistently, and ensure the MFN notice (due within 30 days after the Final Closing under Section 12.3(b)) reflects the final, executed side letters.</w:t>
      </w:r>
    </w:p>
    <w:bookmarkEnd w:id="34"/>
    <w:bookmarkStart w:id="35" w:name="i.-contact-information-inconsistencies"/>
    <w:p>
      <w:pPr>
        <w:pStyle w:val="Heading3"/>
      </w:pPr>
      <w:r>
        <w:t xml:space="preserve">I. Contact Information Inconsistencies</w:t>
      </w:r>
    </w:p>
    <w:p>
      <w:pPr>
        <w:pStyle w:val="FirstParagraph"/>
      </w:pPr>
      <w:r>
        <w:t xml:space="preserve">Telephone numbers for key contacts are stated inconsistently across documents:</w:t>
      </w:r>
    </w:p>
    <w:p>
      <w:pPr>
        <w:pStyle w:val="Compact"/>
        <w:numPr>
          <w:ilvl w:val="0"/>
          <w:numId w:val="1008"/>
        </w:numPr>
      </w:pPr>
      <w:r>
        <w:rPr>
          <w:b/>
          <w:bCs/>
        </w:rPr>
        <w:t xml:space="preserve">Jonathan C. Prewitt (Oakmere):</w:t>
      </w:r>
      <w:r>
        <w:t xml:space="preserve"> </w:t>
      </w:r>
      <w:r>
        <w:t xml:space="preserve">(203) 555-4100 (LPA, Exhibit C); (203) 555-0163 (Subscription Agreement); (203) 555-4180 (Capital Call Notice No. 2); (203) 541-2280 (AML Email).</w:t>
      </w:r>
    </w:p>
    <w:p>
      <w:pPr>
        <w:pStyle w:val="Compact"/>
        <w:numPr>
          <w:ilvl w:val="0"/>
          <w:numId w:val="1008"/>
        </w:numPr>
      </w:pPr>
      <w:r>
        <w:rPr>
          <w:b/>
          <w:bCs/>
        </w:rPr>
        <w:t xml:space="preserve">Sandra K. Liu (GP):</w:t>
      </w:r>
      <w:r>
        <w:t xml:space="preserve"> </w:t>
      </w:r>
      <w:r>
        <w:t xml:space="preserve">(312) 555-4718 (GP Memo); (312) 555-0184 (Subscription Agreement); (312) 555-7200 (Capital Call Notice No. 2).</w:t>
      </w:r>
    </w:p>
    <w:p>
      <w:pPr>
        <w:pStyle w:val="FirstParagraph"/>
      </w:pPr>
      <w:r>
        <w:rPr>
          <w:b/>
          <w:bCs/>
        </w:rPr>
        <w:t xml:space="preserve">Recommendation:</w:t>
      </w:r>
      <w:r>
        <w:t xml:space="preserve"> </w:t>
      </w:r>
      <w:r>
        <w:t xml:space="preserve">Conform the contact information across the LPA, subscription agreements, capital call notices, and closing checklist.</w:t>
      </w:r>
    </w:p>
    <w:bookmarkEnd w:id="35"/>
    <w:bookmarkStart w:id="36" w:name="X49181613053c9ec2f6fc5d9152d7ce7d7bdd4d5"/>
    <w:p>
      <w:pPr>
        <w:pStyle w:val="Heading3"/>
      </w:pPr>
      <w:r>
        <w:t xml:space="preserve">J. Minor Internal Date and Status Discrepancies</w:t>
      </w:r>
    </w:p>
    <w:p>
      <w:pPr>
        <w:pStyle w:val="Compact"/>
        <w:numPr>
          <w:ilvl w:val="0"/>
          <w:numId w:val="1009"/>
        </w:numPr>
      </w:pPr>
      <w:r>
        <w:t xml:space="preserve">The Checklist (Item 24) references a</w:t>
      </w:r>
      <w:r>
        <w:t xml:space="preserve"> </w:t>
      </w:r>
      <w:r>
        <w:t xml:space="preserve">“</w:t>
      </w:r>
      <w:r>
        <w:t xml:space="preserve">GP Internal Closing Memorandum dated</w:t>
      </w:r>
      <w:r>
        <w:t xml:space="preserve"> </w:t>
      </w:r>
      <w:r>
        <w:rPr>
          <w:b/>
          <w:bCs/>
        </w:rPr>
        <w:t xml:space="preserve">January 30, 2025</w:t>
      </w:r>
      <w:r>
        <w:t xml:space="preserve">,</w:t>
      </w:r>
      <w:r>
        <w:t xml:space="preserve">”</w:t>
      </w:r>
      <w:r>
        <w:t xml:space="preserve"> </w:t>
      </w:r>
      <w:r>
        <w:t xml:space="preserve">but the GP Memo is dated</w:t>
      </w:r>
      <w:r>
        <w:t xml:space="preserve"> </w:t>
      </w:r>
      <w:r>
        <w:rPr>
          <w:b/>
          <w:bCs/>
        </w:rPr>
        <w:t xml:space="preserve">January 28, 2025</w:t>
      </w:r>
      <w:r>
        <w:t xml:space="preserve">.</w:t>
      </w:r>
    </w:p>
    <w:p>
      <w:pPr>
        <w:pStyle w:val="Compact"/>
        <w:numPr>
          <w:ilvl w:val="0"/>
          <w:numId w:val="1009"/>
        </w:numPr>
      </w:pPr>
      <w:r>
        <w:t xml:space="preserve">The Checklist (Item 26) marks the updated Schedule A</w:t>
      </w:r>
      <w:r>
        <w:t xml:space="preserve"> </w:t>
      </w:r>
      <w:r>
        <w:t xml:space="preserve">“</w:t>
      </w:r>
      <w:r>
        <w:t xml:space="preserve">Complete</w:t>
      </w:r>
      <w:r>
        <w:t xml:space="preserve">”</w:t>
      </w:r>
      <w:r>
        <w:t xml:space="preserve"> </w:t>
      </w:r>
      <w:r>
        <w:t xml:space="preserve">as of January 30, 2025, while the GP Memo (dated January 28, 2025) described Schedule A as</w:t>
      </w:r>
      <w:r>
        <w:t xml:space="preserve"> </w:t>
      </w:r>
      <w:r>
        <w:t xml:space="preserve">“</w:t>
      </w:r>
      <w:r>
        <w:t xml:space="preserve">In Process.</w:t>
      </w:r>
      <w:r>
        <w:t xml:space="preserve">”</w:t>
      </w:r>
      <w:r>
        <w:t xml:space="preserve"> </w:t>
      </w:r>
      <w:r>
        <w:t xml:space="preserve">This likely reflects progress between the two dates, but the General Partner should confirm the final Schedule A is complete and approved.</w:t>
      </w:r>
    </w:p>
    <w:p>
      <w:pPr>
        <w:pStyle w:val="Compact"/>
        <w:numPr>
          <w:ilvl w:val="0"/>
          <w:numId w:val="1009"/>
        </w:numPr>
      </w:pPr>
      <w:r>
        <w:t xml:space="preserve">The Checklist (Items 12–17) cites</w:t>
      </w:r>
      <w:r>
        <w:t xml:space="preserve"> </w:t>
      </w:r>
      <w:r>
        <w:t xml:space="preserve">“</w:t>
      </w:r>
      <w:r>
        <w:t xml:space="preserve">Subscription Agreement,</w:t>
      </w:r>
      <w:r>
        <w:t xml:space="preserve"> </w:t>
      </w:r>
      <w:r>
        <w:rPr>
          <w:b/>
          <w:bCs/>
        </w:rPr>
        <w:t xml:space="preserve">Section 4(f)</w:t>
      </w:r>
      <w:r>
        <w:t xml:space="preserve">”</w:t>
      </w:r>
      <w:r>
        <w:t xml:space="preserve"> </w:t>
      </w:r>
      <w:r>
        <w:t xml:space="preserve">as the location of the qualified purchaser representations. The qualified purchaser representation in the Subscription Agreement is in</w:t>
      </w:r>
      <w:r>
        <w:t xml:space="preserve"> </w:t>
      </w:r>
      <w:r>
        <w:rPr>
          <w:b/>
          <w:bCs/>
        </w:rPr>
        <w:t xml:space="preserve">Section 2.2</w:t>
      </w:r>
      <w:r>
        <w:t xml:space="preserve">; Section 4 contains covenants and has no subsection (f).</w:t>
      </w:r>
    </w:p>
    <w:bookmarkEnd w:id="36"/>
    <w:bookmarkEnd w:id="37"/>
    <w:bookmarkStart w:id="43" w:name="X8b47001e92bf1e6209a01e43d9d8fcfe765f02e"/>
    <w:p>
      <w:pPr>
        <w:pStyle w:val="Heading2"/>
      </w:pPr>
      <w:r>
        <w:t xml:space="preserve">IV. Outstanding Post-Closing and Other Obligations</w:t>
      </w:r>
    </w:p>
    <w:p>
      <w:pPr>
        <w:pStyle w:val="FirstParagraph"/>
      </w:pPr>
      <w:r>
        <w:t xml:space="preserve">The following items are not conditions precedent but are obligations that should be calendared and completed in connection with the Final Closing:</w:t>
      </w:r>
    </w:p>
    <w:bookmarkStart w:id="38" w:name="X5f70c784fa7a5163b32afd0d03d657000431f37"/>
    <w:p>
      <w:pPr>
        <w:pStyle w:val="Heading3"/>
      </w:pPr>
      <w:r>
        <w:t xml:space="preserve">A. Advisory Committee Notification — Target Fund Size Exceeded (Section 3.1(d))</w:t>
      </w:r>
    </w:p>
    <w:p>
      <w:pPr>
        <w:pStyle w:val="FirstParagraph"/>
      </w:pPr>
      <w:r>
        <w:t xml:space="preserve">After the Final Closing, aggregate Capital Commitments ($1,615,000,000) exceed the Target Fund Size ($1,500,000,000) by $115,000,000. Section 3.1(d) requires the General Partner to notify the Advisory Committee in writing of such excess, including the amount of the excess and the identities and Capital Commitments of the Partners admitted at the applicable Closing,</w:t>
      </w:r>
      <w:r>
        <w:t xml:space="preserve"> </w:t>
      </w:r>
      <w:r>
        <w:rPr>
          <w:b/>
          <w:bCs/>
        </w:rPr>
        <w:t xml:space="preserve">not later than five (5) Business Days following the Closing</w:t>
      </w:r>
      <w:r>
        <w:t xml:space="preserve"> </w:t>
      </w:r>
      <w:r>
        <w:t xml:space="preserve">at which the Target Fund Size is first exceeded (i.e., by approximately February 7, 2025).</w:t>
      </w:r>
      <w:r>
        <w:t xml:space="preserve"> </w:t>
      </w:r>
      <w:r>
        <w:rPr>
          <w:b/>
          <w:bCs/>
        </w:rPr>
        <w:t xml:space="preserve">This obligation was not identified in the GP Memo or the Checklist</w:t>
      </w:r>
      <w:r>
        <w:t xml:space="preserve"> </w:t>
      </w:r>
      <w:r>
        <w:t xml:space="preserve">and should be calendared and completed promptly. (The Subscription Agreement flagged this obligation, albeit characterizing it imprecisely as a</w:t>
      </w:r>
      <w:r>
        <w:t xml:space="preserve"> </w:t>
      </w:r>
      <w:r>
        <w:t xml:space="preserve">“</w:t>
      </w:r>
      <w:r>
        <w:t xml:space="preserve">condition.</w:t>
      </w:r>
      <w:r>
        <w:t xml:space="preserve">”</w:t>
      </w:r>
      <w:r>
        <w:t xml:space="preserve">)</w:t>
      </w:r>
    </w:p>
    <w:bookmarkEnd w:id="38"/>
    <w:bookmarkStart w:id="39" w:name="X619022167ecbbdefb45d8635f1d61ba8d377d61"/>
    <w:p>
      <w:pPr>
        <w:pStyle w:val="Heading3"/>
      </w:pPr>
      <w:r>
        <w:t xml:space="preserve">B. Form D Amendment (Due by February 15, 2025)</w:t>
      </w:r>
    </w:p>
    <w:p>
      <w:pPr>
        <w:pStyle w:val="FirstParagraph"/>
      </w:pPr>
      <w:r>
        <w:t xml:space="preserve">An amended Form D must be filed with the SEC within 15 days following the Final Closing to reflect the six additional investors and the updated aggregate offering amount (i.e., by February 15, 2025). Prior Form D filings: September 20, 2024 (initial) and December 5, 2024 (amended). This item is reflected in the Checklist (Item 28) and GP Memo (Section XII, Item 5).</w:t>
      </w:r>
    </w:p>
    <w:bookmarkEnd w:id="39"/>
    <w:bookmarkStart w:id="40" w:name="X89a7c50bd1e56eb4e3d692a9652960c505f8cac"/>
    <w:p>
      <w:pPr>
        <w:pStyle w:val="Heading3"/>
      </w:pPr>
      <w:r>
        <w:t xml:space="preserve">C. MFN Notices (Within 30 Days After Final Closing)</w:t>
      </w:r>
    </w:p>
    <w:p>
      <w:pPr>
        <w:pStyle w:val="FirstParagraph"/>
      </w:pPr>
      <w:r>
        <w:t xml:space="preserve">Under Section 12.3(b), the General Partner must provide each MFN Eligible Partner (Capital Commitment ≥ $50,000,000) with a written MFN Notice summarizing electable side letter provisions within 30 days following the Final Closing. Among the Final Closing Limited Partners, Meridian State Teachers’ Retirement System ($100,000,000) and Northbridge Endowment Fund ($60,000,000) are MFN eligible. The MFN Notice must also be delivered to any other eligible LPs who have not received an updated notice reflecting side letters executed at or after the second closing. Fourteen (14) side letters have been executed across all closings. This item is reflected in the Checklist (Item 31) and GP Memo (Section XII, Item 6), but depends on the side letter reconciliation in Section III.H above.</w:t>
      </w:r>
    </w:p>
    <w:bookmarkEnd w:id="40"/>
    <w:bookmarkStart w:id="41" w:name="X9f7b5394e4c6eb9080e9328b9e3a2936254ea16"/>
    <w:p>
      <w:pPr>
        <w:pStyle w:val="Heading3"/>
      </w:pPr>
      <w:r>
        <w:t xml:space="preserve">D. Advisory Committee — Vacant Fifth Seat (Section 9.1(b))</w:t>
      </w:r>
    </w:p>
    <w:p>
      <w:pPr>
        <w:pStyle w:val="FirstParagraph"/>
      </w:pPr>
      <w:r>
        <w:t xml:space="preserve">One seat on the five-member Advisory Committee remains vacant. Section 9.1(b) provides that the General Partner shall use commercially reasonable efforts to appoint a representative of a Limited Partner admitted at a Subsequent Closing to fill a vacancy within 30 days of the applicable Closing. The GP Memo recommends approaching Meridian State Teachers’ Retirement System. This is not a condition precedent, but should be addressed promptly after the Final Closing. (Checklist Item 32.)</w:t>
      </w:r>
    </w:p>
    <w:bookmarkEnd w:id="41"/>
    <w:bookmarkStart w:id="42" w:name="e.-blue-sky-state-notice-filings"/>
    <w:p>
      <w:pPr>
        <w:pStyle w:val="Heading3"/>
      </w:pPr>
      <w:r>
        <w:t xml:space="preserve">E. Blue Sky / State Notice Filings</w:t>
      </w:r>
    </w:p>
    <w:p>
      <w:pPr>
        <w:pStyle w:val="FirstParagraph"/>
      </w:pPr>
      <w:r>
        <w:t xml:space="preserve">The GP Memo (Section XII, Item 8) notes that state notice filings, if any, required in connection with the admission of the Final Closing Limited Partners should be confirmed and completed. The jurisdiction inconsistencies in Section III.G above should be resolved before these filings are made.</w:t>
      </w:r>
    </w:p>
    <w:bookmarkEnd w:id="42"/>
    <w:bookmarkEnd w:id="43"/>
    <w:bookmarkStart w:id="44" w:name="X0d5c2035fc652e3b51fe4d87bc55cbd684e6220"/>
    <w:p>
      <w:pPr>
        <w:pStyle w:val="Heading2"/>
      </w:pPr>
      <w:r>
        <w:t xml:space="preserve">V. Summary of Conditions Precedent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Condition (LPA § 11.2)</w:t>
            </w:r>
          </w:p>
        </w:tc>
        <w:tc>
          <w:tcPr/>
          <w:p>
            <w:pPr>
              <w:pStyle w:val="Compact"/>
              <w:jc w:val="left"/>
            </w:pPr>
            <w:r>
              <w:t xml:space="preserve">Waivable?</w:t>
            </w:r>
          </w:p>
        </w:tc>
        <w:tc>
          <w:tcPr/>
          <w:p>
            <w:pPr>
              <w:pStyle w:val="Compact"/>
              <w:jc w:val="left"/>
            </w:pPr>
            <w:r>
              <w:t xml:space="preserve">Status</w:t>
            </w:r>
          </w:p>
        </w:tc>
        <w:tc>
          <w:tcPr/>
          <w:p>
            <w:pPr>
              <w:pStyle w:val="Compact"/>
              <w:jc w:val="left"/>
            </w:pPr>
            <w:r>
              <w:t xml:space="preserve">Issue</w:t>
            </w:r>
          </w:p>
        </w:tc>
      </w:tr>
      <w:tr>
        <w:tc>
          <w:tcPr/>
          <w:p>
            <w:pPr>
              <w:pStyle w:val="Compact"/>
              <w:jc w:val="left"/>
            </w:pPr>
            <w:r>
              <w:t xml:space="preserve">1</w:t>
            </w:r>
          </w:p>
        </w:tc>
        <w:tc>
          <w:tcPr/>
          <w:p>
            <w:pPr>
              <w:pStyle w:val="Compact"/>
              <w:jc w:val="left"/>
            </w:pPr>
            <w:r>
              <w:t xml:space="preserve">Subscription Agreements &amp; LPA signature pages</w:t>
            </w:r>
          </w:p>
        </w:tc>
        <w:tc>
          <w:tcPr/>
          <w:p>
            <w:pPr>
              <w:pStyle w:val="Compact"/>
              <w:jc w:val="left"/>
            </w:pPr>
            <w:r>
              <w:t xml:space="preserve">Yes</w:t>
            </w:r>
          </w:p>
        </w:tc>
        <w:tc>
          <w:tcPr/>
          <w:p>
            <w:pPr>
              <w:pStyle w:val="Compact"/>
              <w:jc w:val="left"/>
            </w:pPr>
            <w:r>
              <w:t xml:space="preserve">Satisfied</w:t>
            </w:r>
          </w:p>
        </w:tc>
        <w:tc>
          <w:tcPr/>
          <w:p>
            <w:pPr>
              <w:pStyle w:val="Compact"/>
              <w:jc w:val="left"/>
            </w:pPr>
            <w:r>
              <w:t xml:space="preserve">Subscription agreement form has cross-ref errors (III.B)</w:t>
            </w:r>
          </w:p>
        </w:tc>
      </w:tr>
      <w:tr>
        <w:tc>
          <w:tcPr/>
          <w:p>
            <w:pPr>
              <w:pStyle w:val="Compact"/>
              <w:jc w:val="left"/>
            </w:pPr>
            <w:r>
              <w:t xml:space="preserve">2</w:t>
            </w:r>
          </w:p>
        </w:tc>
        <w:tc>
          <w:tcPr/>
          <w:p>
            <w:pPr>
              <w:pStyle w:val="Compact"/>
              <w:jc w:val="left"/>
            </w:pPr>
            <w:r>
              <w:t xml:space="preserve">Capital Contributions received</w:t>
            </w:r>
          </w:p>
        </w:tc>
        <w:tc>
          <w:tcPr/>
          <w:p>
            <w:pPr>
              <w:pStyle w:val="Compact"/>
              <w:jc w:val="left"/>
            </w:pPr>
            <w:r>
              <w:t xml:space="preserve">Yes</w:t>
            </w:r>
          </w:p>
        </w:tc>
        <w:tc>
          <w:tcPr/>
          <w:p>
            <w:pPr>
              <w:pStyle w:val="Compact"/>
              <w:jc w:val="left"/>
            </w:pPr>
            <w:r>
              <w:rPr>
                <w:b/>
                <w:bCs/>
              </w:rPr>
              <w:t xml:space="preserve">Pending</w:t>
            </w:r>
          </w:p>
        </w:tc>
        <w:tc>
          <w:tcPr/>
          <w:p>
            <w:pPr>
              <w:pStyle w:val="Compact"/>
              <w:jc w:val="left"/>
            </w:pPr>
            <w:r>
              <w:t xml:space="preserve">Funds not yet confirmed received (II.C); equalization interest discrepancy (III.F)</w:t>
            </w:r>
          </w:p>
        </w:tc>
      </w:tr>
      <w:tr>
        <w:tc>
          <w:tcPr/>
          <w:p>
            <w:pPr>
              <w:pStyle w:val="Compact"/>
              <w:jc w:val="left"/>
            </w:pPr>
            <w:r>
              <w:t xml:space="preserve">3</w:t>
            </w:r>
          </w:p>
        </w:tc>
        <w:tc>
          <w:tcPr/>
          <w:p>
            <w:pPr>
              <w:pStyle w:val="Compact"/>
              <w:jc w:val="left"/>
            </w:pPr>
            <w:r>
              <w:t xml:space="preserve">AML/KYC Compliance</w:t>
            </w:r>
          </w:p>
        </w:tc>
        <w:tc>
          <w:tcPr/>
          <w:p>
            <w:pPr>
              <w:pStyle w:val="Compact"/>
              <w:jc w:val="left"/>
            </w:pPr>
            <w:r>
              <w:rPr>
                <w:b/>
                <w:bCs/>
              </w:rPr>
              <w:t xml:space="preserve">No</w:t>
            </w:r>
          </w:p>
        </w:tc>
        <w:tc>
          <w:tcPr/>
          <w:p>
            <w:pPr>
              <w:pStyle w:val="Compact"/>
              <w:jc w:val="left"/>
            </w:pPr>
            <w:r>
              <w:rPr>
                <w:b/>
                <w:bCs/>
              </w:rPr>
              <w:t xml:space="preserve">Not fully documented</w:t>
            </w:r>
          </w:p>
        </w:tc>
        <w:tc>
          <w:tcPr/>
          <w:p>
            <w:pPr>
              <w:pStyle w:val="Compact"/>
              <w:jc w:val="left"/>
            </w:pPr>
            <w:r>
              <w:t xml:space="preserve">Cascade Re omitted from AML Email (II.A)</w:t>
            </w:r>
          </w:p>
        </w:tc>
      </w:tr>
      <w:tr>
        <w:tc>
          <w:tcPr/>
          <w:p>
            <w:pPr>
              <w:pStyle w:val="Compact"/>
              <w:jc w:val="left"/>
            </w:pPr>
            <w:r>
              <w:t xml:space="preserve">4</w:t>
            </w:r>
          </w:p>
        </w:tc>
        <w:tc>
          <w:tcPr/>
          <w:p>
            <w:pPr>
              <w:pStyle w:val="Compact"/>
              <w:jc w:val="left"/>
            </w:pPr>
            <w:r>
              <w:t xml:space="preserve">Qualified Purchaser Status</w:t>
            </w:r>
          </w:p>
        </w:tc>
        <w:tc>
          <w:tcPr/>
          <w:p>
            <w:pPr>
              <w:pStyle w:val="Compact"/>
              <w:jc w:val="left"/>
            </w:pPr>
            <w:r>
              <w:rPr>
                <w:b/>
                <w:bCs/>
              </w:rPr>
              <w:t xml:space="preserve">No</w:t>
            </w:r>
          </w:p>
        </w:tc>
        <w:tc>
          <w:tcPr/>
          <w:p>
            <w:pPr>
              <w:pStyle w:val="Compact"/>
              <w:jc w:val="left"/>
            </w:pPr>
            <w:r>
              <w:t xml:space="preserve">Satisfied</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ERISA Compliance</w:t>
            </w:r>
          </w:p>
        </w:tc>
        <w:tc>
          <w:tcPr/>
          <w:p>
            <w:pPr>
              <w:pStyle w:val="Compact"/>
              <w:jc w:val="left"/>
            </w:pPr>
            <w:r>
              <w:rPr>
                <w:b/>
                <w:bCs/>
              </w:rPr>
              <w:t xml:space="preserve">No</w:t>
            </w:r>
          </w:p>
        </w:tc>
        <w:tc>
          <w:tcPr/>
          <w:p>
            <w:pPr>
              <w:pStyle w:val="Compact"/>
              <w:jc w:val="left"/>
            </w:pPr>
            <w:r>
              <w:rPr>
                <w:b/>
                <w:bCs/>
              </w:rPr>
              <w:t xml:space="preserve">Requires reconciliation</w:t>
            </w:r>
          </w:p>
        </w:tc>
        <w:tc>
          <w:tcPr/>
          <w:p>
            <w:pPr>
              <w:pStyle w:val="Compact"/>
              <w:jc w:val="left"/>
            </w:pPr>
            <w:r>
              <w:t xml:space="preserve">BPI calc inconsistent; potential cap exceedance (II.B)</w:t>
            </w:r>
          </w:p>
        </w:tc>
      </w:tr>
      <w:tr>
        <w:tc>
          <w:tcPr/>
          <w:p>
            <w:pPr>
              <w:pStyle w:val="Compact"/>
              <w:jc w:val="left"/>
            </w:pPr>
            <w:r>
              <w:t xml:space="preserve">6</w:t>
            </w:r>
          </w:p>
        </w:tc>
        <w:tc>
          <w:tcPr/>
          <w:p>
            <w:pPr>
              <w:pStyle w:val="Compact"/>
              <w:jc w:val="left"/>
            </w:pPr>
            <w:r>
              <w:t xml:space="preserve">No MAC; Key Persons</w:t>
            </w:r>
          </w:p>
        </w:tc>
        <w:tc>
          <w:tcPr/>
          <w:p>
            <w:pPr>
              <w:pStyle w:val="Compact"/>
              <w:jc w:val="left"/>
            </w:pPr>
            <w:r>
              <w:t xml:space="preserve">Yes (MAC) /</w:t>
            </w:r>
            <w:r>
              <w:t xml:space="preserve"> </w:t>
            </w:r>
            <w:r>
              <w:rPr>
                <w:b/>
                <w:bCs/>
              </w:rPr>
              <w:t xml:space="preserve">No</w:t>
            </w:r>
            <w:r>
              <w:t xml:space="preserve"> </w:t>
            </w:r>
            <w:r>
              <w:t xml:space="preserve">(Key Person)</w:t>
            </w:r>
          </w:p>
        </w:tc>
        <w:tc>
          <w:tcPr/>
          <w:p>
            <w:pPr>
              <w:pStyle w:val="Compact"/>
              <w:jc w:val="left"/>
            </w:pPr>
            <w:r>
              <w:rPr>
                <w:b/>
                <w:bCs/>
              </w:rPr>
              <w:t xml:space="preserve">Partial</w:t>
            </w:r>
          </w:p>
        </w:tc>
        <w:tc>
          <w:tcPr/>
          <w:p>
            <w:pPr>
              <w:pStyle w:val="Compact"/>
              <w:jc w:val="left"/>
            </w:pPr>
            <w:r>
              <w:t xml:space="preserve">Mehta status not addressed (II.E)</w:t>
            </w:r>
          </w:p>
        </w:tc>
      </w:tr>
      <w:tr>
        <w:tc>
          <w:tcPr/>
          <w:p>
            <w:pPr>
              <w:pStyle w:val="Compact"/>
              <w:jc w:val="left"/>
            </w:pPr>
            <w:r>
              <w:t xml:space="preserve">7</w:t>
            </w:r>
          </w:p>
        </w:tc>
        <w:tc>
          <w:tcPr/>
          <w:p>
            <w:pPr>
              <w:pStyle w:val="Compact"/>
              <w:jc w:val="left"/>
            </w:pPr>
            <w:r>
              <w:t xml:space="preserve">Legal Opinions</w:t>
            </w:r>
          </w:p>
        </w:tc>
        <w:tc>
          <w:tcPr/>
          <w:p>
            <w:pPr>
              <w:pStyle w:val="Compact"/>
              <w:jc w:val="left"/>
            </w:pPr>
            <w:r>
              <w:t xml:space="preserve">Yes</w:t>
            </w:r>
          </w:p>
        </w:tc>
        <w:tc>
          <w:tcPr/>
          <w:p>
            <w:pPr>
              <w:pStyle w:val="Compact"/>
              <w:jc w:val="left"/>
            </w:pPr>
            <w:r>
              <w:rPr>
                <w:b/>
                <w:bCs/>
              </w:rPr>
              <w:t xml:space="preserve">Pending</w:t>
            </w:r>
          </w:p>
        </w:tc>
        <w:tc>
          <w:tcPr/>
          <w:p>
            <w:pPr>
              <w:pStyle w:val="Compact"/>
              <w:jc w:val="left"/>
            </w:pPr>
            <w:r>
              <w:t xml:space="preserve">Not yet delivered; confirm LP limited-liability opinion (II.D)</w:t>
            </w:r>
          </w:p>
        </w:tc>
      </w:tr>
      <w:tr>
        <w:tc>
          <w:tcPr/>
          <w:p>
            <w:pPr>
              <w:pStyle w:val="Compact"/>
              <w:jc w:val="left"/>
            </w:pPr>
            <w:r>
              <w:t xml:space="preserve">8</w:t>
            </w:r>
          </w:p>
        </w:tc>
        <w:tc>
          <w:tcPr/>
          <w:p>
            <w:pPr>
              <w:pStyle w:val="Compact"/>
              <w:jc w:val="left"/>
            </w:pPr>
            <w:r>
              <w:t xml:space="preserve">Updated Schedule A</w:t>
            </w:r>
          </w:p>
        </w:tc>
        <w:tc>
          <w:tcPr/>
          <w:p>
            <w:pPr>
              <w:pStyle w:val="Compact"/>
              <w:jc w:val="left"/>
            </w:pPr>
            <w:r>
              <w:t xml:space="preserve">Yes</w:t>
            </w:r>
          </w:p>
        </w:tc>
        <w:tc>
          <w:tcPr/>
          <w:p>
            <w:pPr>
              <w:pStyle w:val="Compact"/>
              <w:jc w:val="left"/>
            </w:pPr>
            <w:r>
              <w:t xml:space="preserve">Satisfied (per Checklist 1/30)</w:t>
            </w:r>
          </w:p>
        </w:tc>
        <w:tc>
          <w:tcPr/>
          <w:p>
            <w:pPr>
              <w:pStyle w:val="Compact"/>
              <w:jc w:val="left"/>
            </w:pPr>
            <w:r>
              <w:t xml:space="preserve">Confirm finalization (III.J)</w:t>
            </w:r>
          </w:p>
        </w:tc>
      </w:tr>
      <w:tr>
        <w:tc>
          <w:tcPr/>
          <w:p>
            <w:pPr>
              <w:pStyle w:val="Compact"/>
              <w:jc w:val="left"/>
            </w:pPr>
            <w:r>
              <w:t xml:space="preserve">9</w:t>
            </w:r>
          </w:p>
        </w:tc>
        <w:tc>
          <w:tcPr/>
          <w:p>
            <w:pPr>
              <w:pStyle w:val="Compact"/>
              <w:jc w:val="left"/>
            </w:pPr>
            <w:r>
              <w:t xml:space="preserve">Hard Cap Compliance</w:t>
            </w:r>
          </w:p>
        </w:tc>
        <w:tc>
          <w:tcPr/>
          <w:p>
            <w:pPr>
              <w:pStyle w:val="Compact"/>
              <w:jc w:val="left"/>
            </w:pPr>
            <w:r>
              <w:t xml:space="preserve">Yes</w:t>
            </w:r>
          </w:p>
        </w:tc>
        <w:tc>
          <w:tcPr/>
          <w:p>
            <w:pPr>
              <w:pStyle w:val="Compact"/>
              <w:jc w:val="left"/>
            </w:pPr>
            <w:r>
              <w:t xml:space="preserve">Satisfied</w:t>
            </w:r>
          </w:p>
        </w:tc>
        <w:tc>
          <w:tcPr/>
          <w:p>
            <w:pPr>
              <w:pStyle w:val="Compact"/>
              <w:jc w:val="left"/>
            </w:pPr>
            <w:r>
              <w:t xml:space="preserve">$1,615M &lt; $1,750M</w:t>
            </w:r>
          </w:p>
        </w:tc>
      </w:tr>
      <w:tr>
        <w:tc>
          <w:tcPr/>
          <w:p>
            <w:pPr>
              <w:pStyle w:val="Compact"/>
              <w:jc w:val="left"/>
            </w:pPr>
            <w:r>
              <w:t xml:space="preserve">10</w:t>
            </w:r>
          </w:p>
        </w:tc>
        <w:tc>
          <w:tcPr/>
          <w:p>
            <w:pPr>
              <w:pStyle w:val="Compact"/>
              <w:jc w:val="left"/>
            </w:pPr>
            <w:r>
              <w:t xml:space="preserve">GP Representations &amp; Warranties</w:t>
            </w:r>
          </w:p>
        </w:tc>
        <w:tc>
          <w:tcPr/>
          <w:p>
            <w:pPr>
              <w:pStyle w:val="Compact"/>
              <w:jc w:val="left"/>
            </w:pPr>
            <w:r>
              <w:t xml:space="preserve">Yes</w:t>
            </w:r>
          </w:p>
        </w:tc>
        <w:tc>
          <w:tcPr/>
          <w:p>
            <w:pPr>
              <w:pStyle w:val="Compact"/>
              <w:jc w:val="left"/>
            </w:pPr>
            <w:r>
              <w:t xml:space="preserve">Satisfied</w:t>
            </w:r>
          </w:p>
        </w:tc>
        <w:tc>
          <w:tcPr/>
          <w:p>
            <w:pPr>
              <w:pStyle w:val="Compact"/>
              <w:jc w:val="left"/>
            </w:pPr>
            <w:r>
              <w:t xml:space="preserve">Cross-ref errors in source docs (III.A, III.D)</w:t>
            </w:r>
          </w:p>
        </w:tc>
      </w:tr>
    </w:tbl>
    <w:bookmarkEnd w:id="44"/>
    <w:bookmarkStart w:id="45" w:name="vi.-recommendation"/>
    <w:p>
      <w:pPr>
        <w:pStyle w:val="Heading2"/>
      </w:pPr>
      <w:r>
        <w:t xml:space="preserve">VI. Recommendation</w:t>
      </w:r>
    </w:p>
    <w:p>
      <w:pPr>
        <w:pStyle w:val="FirstParagraph"/>
      </w:pPr>
      <w:r>
        <w:t xml:space="preserve">The Fund is substantially prepared to proceed with the Final Closing; however,</w:t>
      </w:r>
      <w:r>
        <w:t xml:space="preserve"> </w:t>
      </w:r>
      <w:r>
        <w:rPr>
          <w:b/>
          <w:bCs/>
        </w:rPr>
        <w:t xml:space="preserve">three non-waivable conditions (AML/KYC, ERISA compliance, and Key Person certification) require resolution before the General Partner may consummate the Final Closing or execute the Final Closing Certificate without qualification.</w:t>
      </w:r>
      <w:r>
        <w:t xml:space="preserve"> </w:t>
      </w:r>
      <w:r>
        <w:t xml:space="preserve">Specifically:</w:t>
      </w:r>
    </w:p>
    <w:p>
      <w:pPr>
        <w:pStyle w:val="Compact"/>
        <w:numPr>
          <w:ilvl w:val="0"/>
          <w:numId w:val="1010"/>
        </w:numPr>
      </w:pPr>
      <w:r>
        <w:t xml:space="preserve">Obtain a supplemental written AML/KYC confirmation covering Cascade Re Insurance Ltd. (Condition 3).</w:t>
      </w:r>
    </w:p>
    <w:p>
      <w:pPr>
        <w:pStyle w:val="Compact"/>
        <w:numPr>
          <w:ilvl w:val="0"/>
          <w:numId w:val="1010"/>
        </w:numPr>
      </w:pPr>
      <w:r>
        <w:t xml:space="preserve">Reconcile the Benefit Plan Investor calculation with ERISA counsel and confirm compliance with the 24.99% limitation (Condition 5).</w:t>
      </w:r>
    </w:p>
    <w:p>
      <w:pPr>
        <w:pStyle w:val="Compact"/>
        <w:numPr>
          <w:ilvl w:val="0"/>
          <w:numId w:val="1010"/>
        </w:numPr>
      </w:pPr>
      <w:r>
        <w:t xml:space="preserve">Confirm Priya S. Mehta’s Key Person status and certify as to both Key Persons (Condition 6 / Section 9.4(d)).</w:t>
      </w:r>
    </w:p>
    <w:p>
      <w:pPr>
        <w:pStyle w:val="FirstParagraph"/>
      </w:pPr>
      <w:r>
        <w:t xml:space="preserve">In addition, the General Partner should (i) obtain the Fund Administrator’s written confirmation of receipt of all Final Closing capital contributions and reconcile the equalization interest amounts (Condition 2), and (ii) confirm delivery of the final executed legal opinions, including the limited-liability opinion (Condition 7). The cross-reference errors and data discrepancies in Part III should be corrected or documented in the closing record to ensure internal consistency, and the post-closing obligations in Part IV should be calendared.</w:t>
      </w:r>
    </w:p>
    <w:p>
      <w:pPr>
        <w:pStyle w:val="BodyText"/>
      </w:pPr>
      <w:r>
        <w:t xml:space="preserve">We are available to assist with the reconciliation of any of the foregoing items.</w:t>
      </w:r>
    </w:p>
    <w:p>
      <w:pPr>
        <w:pStyle w:val="BodyText"/>
      </w:pPr>
      <w:r>
        <w:t xml:space="preserve">Respectfully,</w:t>
      </w:r>
    </w:p>
    <w:p>
      <w:pPr>
        <w:pStyle w:val="BodyText"/>
      </w:pPr>
      <w:r>
        <w:rPr>
          <w:b/>
          <w:bCs/>
        </w:rPr>
        <w:t xml:space="preserve">Bridgeford Hollis LLP</w:t>
      </w:r>
    </w:p>
    <w:p>
      <w:pPr>
        <w:pStyle w:val="BodyText"/>
      </w:pPr>
      <w:r>
        <w:t xml:space="preserve">By: _______________________</w:t>
      </w:r>
    </w:p>
    <w:p>
      <w:pPr>
        <w:pStyle w:val="BodyText"/>
      </w:pPr>
      <w:r>
        <w:t xml:space="preserve">David R. Kasten</w:t>
      </w:r>
      <w:r>
        <w:br/>
      </w:r>
      <w:r>
        <w:t xml:space="preserve">Partner</w:t>
      </w:r>
    </w:p>
    <w:p>
      <w:pPr>
        <w:pStyle w:val="BodyText"/>
      </w:pPr>
      <w:r>
        <w:t xml:space="preserve">cc: Emily T. Naraghi, Bridgeford Hollis LLP; Jonathan C. Prewitt, Oakmere Fund Services LLC</w:t>
      </w:r>
    </w:p>
    <w:p>
      <w:r>
        <w:pict>
          <v:rect style="width:0;height:1.5pt" o:hralign="center" o:hrstd="t" o:hr="t"/>
        </w:pict>
      </w:r>
    </w:p>
    <w:p>
      <w:pPr>
        <w:pStyle w:val="FirstParagraph"/>
      </w:pPr>
      <w:r>
        <w:rPr>
          <w:i/>
          <w:iCs/>
        </w:rPr>
        <w:t xml:space="preserve">CONFIDENTIAL — ATTORNEY-CLIENT PRIVILEGED / ATTORNEY WORK PRODUCT. This memorandum is prepared by Fund Counsel for Whitmore Capital Management LLC in its capacity as General Partner of Whitmore Capital Partners VII, LP. It is intended solely for the use of the addressees and should not be distributed, reproduced, or disclosed to any third party without the prior written consent of Bridgeford Hollis LLP.</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2026-06-28T18:33:24Z</dcterms:created>
  <dcterms:modified xsi:type="dcterms:W3CDTF">2026-06-28T18:33:24Z</dcterms:modified>
</cp:coreProperties>
</file>

<file path=docProps/custom.xml><?xml version="1.0" encoding="utf-8"?>
<Properties xmlns="http://schemas.openxmlformats.org/officeDocument/2006/custom-properties" xmlns:vt="http://schemas.openxmlformats.org/officeDocument/2006/docPropsVTypes"/>
</file>