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Marcus J. Whitmore, Chief Investment Officer and Managing Member, Whitmore Capital Management LLC; Sandra K. Liu, Chief Compliance Officer and General Counsel, Whitmore Capital Management LLC</w:t>
      </w:r>
    </w:p>
    <w:p>
      <w:pPr>
        <w:pStyle w:val="BodyText"/>
      </w:pPr>
      <w:r>
        <w:rPr>
          <w:b/>
          <w:bCs/>
        </w:rPr>
        <w:t xml:space="preserve">FROM:</w:t>
      </w:r>
      <w:r>
        <w:t xml:space="preserve"> </w:t>
      </w:r>
      <w:r>
        <w:t xml:space="preserve">Bridgeford Hollis LLP, Fund Counsel</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Discrepancies and Unresolved Issues Identified in Connection with the Final Closing of Whitmore Capital Partners VII, LP (January 31, 2025)</w:t>
      </w:r>
    </w:p>
    <w:p>
      <w:r>
        <w:pict>
          <v:rect style="width:0;height:1.5pt" o:hralign="center" o:hrstd="t" o:hr="t"/>
        </w:pict>
      </w:r>
    </w:p>
    <w:p>
      <w:pPr>
        <w:pStyle w:val="FirstParagraph"/>
      </w:pPr>
      <w:r>
        <w:rPr>
          <w:b/>
          <w:bCs/>
        </w:rPr>
        <w:t xml:space="preserve">PRIVILEGE LEGEND.</w:t>
      </w:r>
      <w:r>
        <w:t xml:space="preserve"> </w:t>
      </w:r>
      <w:r>
        <w:t xml:space="preserve">This memorandum is prepared by Bridgeford Hollis LLP in its capacity as counsel to Whitmore Capital Management LLC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Whitmore Capital Partners VII, LP (the</w:t>
      </w:r>
      <w:r>
        <w:t xml:space="preserve"> </w:t>
      </w:r>
      <w:r>
        <w:t xml:space="preserve">“</w:t>
      </w:r>
      <w:r>
        <w:rPr>
          <w:b/>
          <w:bCs/>
        </w:rPr>
        <w:t xml:space="preserve">Fund</w:t>
      </w:r>
      <w:r>
        <w:t xml:space="preserve">”</w:t>
      </w:r>
      <w:r>
        <w:t xml:space="preserve">). It constitutes attorney-client privileged communication and attorney work product, is intended solely for the use of the addressees, and should not be distributed, reproduced, or disclosed to any limited partner, prospective investor, or third party without the prior written consent of the General Counsel.</w:t>
      </w:r>
    </w:p>
    <w:bookmarkStart w:id="20" w:name="i.-introduction-and-scope"/>
    <w:p>
      <w:pPr>
        <w:pStyle w:val="Heading2"/>
      </w:pPr>
      <w:r>
        <w:t xml:space="preserve">I. Introduction and Scope</w:t>
      </w:r>
    </w:p>
    <w:p>
      <w:pPr>
        <w:pStyle w:val="FirstParagraph"/>
      </w:pPr>
      <w:r>
        <w:t xml:space="preserve">In connection with the Final Closing of the Fund scheduled for January 31, 2025, we have reviewed the following source documents (collectively, the</w:t>
      </w:r>
      <w:r>
        <w:t xml:space="preserve"> </w:t>
      </w:r>
      <w:r>
        <w:t xml:space="preserve">“</w:t>
      </w:r>
      <w:r>
        <w:rPr>
          <w:b/>
          <w:bCs/>
        </w:rPr>
        <w:t xml:space="preserve">Source Documents</w:t>
      </w:r>
      <w:r>
        <w:t xml:space="preserve">”</w:t>
      </w:r>
      <w:r>
        <w:t xml:space="preserve">): (i) the Amended and Restated Agreement of Limited Partnership, dated as of September 15, 2024 (the</w:t>
      </w:r>
      <w:r>
        <w:t xml:space="preserve"> </w:t>
      </w:r>
      <w:r>
        <w:t xml:space="preserve">“</w:t>
      </w:r>
      <w:r>
        <w:rPr>
          <w:b/>
          <w:bCs/>
        </w:rPr>
        <w:t xml:space="preserve">LPA</w:t>
      </w:r>
      <w:r>
        <w:t xml:space="preserve">”</w:t>
      </w:r>
      <w:r>
        <w:t xml:space="preserve">); (ii) Amendment No. 1 to the LPA, dated as of November 30, 2024 (the</w:t>
      </w:r>
      <w:r>
        <w:t xml:space="preserve"> </w:t>
      </w:r>
      <w:r>
        <w:t xml:space="preserve">“</w:t>
      </w:r>
      <w:r>
        <w:rPr>
          <w:b/>
          <w:bCs/>
        </w:rPr>
        <w:t xml:space="preserve">Amendment</w:t>
      </w:r>
      <w:r>
        <w:t xml:space="preserve">”</w:t>
      </w:r>
      <w:r>
        <w:t xml:space="preserve">); (iii) the form of Subscription Agreement for use in connection with the Final Closing (the</w:t>
      </w:r>
      <w:r>
        <w:t xml:space="preserve"> </w:t>
      </w:r>
      <w:r>
        <w:t xml:space="preserve">“</w:t>
      </w:r>
      <w:r>
        <w:rPr>
          <w:b/>
          <w:bCs/>
        </w:rPr>
        <w:t xml:space="preserve">Subscription Agreement</w:t>
      </w:r>
      <w:r>
        <w:t xml:space="preserve">”</w:t>
      </w:r>
      <w:r>
        <w:t xml:space="preserve">); (iv) Capital Call Notice No. 1, dated October 10, 2024 (</w:t>
      </w:r>
      <w:r>
        <w:t xml:space="preserve">“</w:t>
      </w:r>
      <w:r>
        <w:rPr>
          <w:b/>
          <w:bCs/>
        </w:rPr>
        <w:t xml:space="preserve">CC#1</w:t>
      </w:r>
      <w:r>
        <w:t xml:space="preserve">”</w:t>
      </w:r>
      <w:r>
        <w:t xml:space="preserve">); (v) Capital Call Notice No. 2, dated December 15, 2024 (</w:t>
      </w:r>
      <w:r>
        <w:t xml:space="preserve">“</w:t>
      </w:r>
      <w:r>
        <w:rPr>
          <w:b/>
          <w:bCs/>
        </w:rPr>
        <w:t xml:space="preserve">CC#2</w:t>
      </w:r>
      <w:r>
        <w:t xml:space="preserve">”</w:t>
      </w:r>
      <w:r>
        <w:t xml:space="preserve">); (vi) the GP Internal Closing Memorandum dated January 28, 2025 (the</w:t>
      </w:r>
      <w:r>
        <w:t xml:space="preserve"> </w:t>
      </w:r>
      <w:r>
        <w:t xml:space="preserve">“</w:t>
      </w:r>
      <w:r>
        <w:rPr>
          <w:b/>
          <w:bCs/>
        </w:rPr>
        <w:t xml:space="preserve">GP Memo</w:t>
      </w:r>
      <w:r>
        <w:t xml:space="preserve">”</w:t>
      </w:r>
      <w:r>
        <w:t xml:space="preserve">); (vii) the AML/KYC completion email from Oakmere Fund Services LLC dated January 24, 2025 (the</w:t>
      </w:r>
      <w:r>
        <w:t xml:space="preserve"> </w:t>
      </w:r>
      <w:r>
        <w:t xml:space="preserve">“</w:t>
      </w:r>
      <w:r>
        <w:rPr>
          <w:b/>
          <w:bCs/>
        </w:rPr>
        <w:t xml:space="preserve">AML Email</w:t>
      </w:r>
      <w:r>
        <w:t xml:space="preserve">”</w:t>
      </w:r>
      <w:r>
        <w:t xml:space="preserve">); and (viii) the administrative closing checklist and accompanying commitment schedule and equalization calculation tabs (the</w:t>
      </w:r>
      <w:r>
        <w:t xml:space="preserve"> </w:t>
      </w:r>
      <w:r>
        <w:t xml:space="preserve">“</w:t>
      </w:r>
      <w:r>
        <w:rPr>
          <w:b/>
          <w:bCs/>
        </w:rPr>
        <w:t xml:space="preserve">Admin Checklist</w:t>
      </w:r>
      <w:r>
        <w:t xml:space="preserve">”</w:t>
      </w:r>
      <w:r>
        <w:t xml:space="preserve">).</w:t>
      </w:r>
    </w:p>
    <w:p>
      <w:pPr>
        <w:pStyle w:val="BodyText"/>
      </w:pPr>
      <w:r>
        <w:t xml:space="preserve">This memorandum flags the discrepancies, internal inconsistencies, and unresolved items that we identified among the Source Documents. The issues are organized by severity:</w:t>
      </w:r>
      <w:r>
        <w:t xml:space="preserve"> </w:t>
      </w:r>
      <w:r>
        <w:rPr>
          <w:b/>
          <w:bCs/>
        </w:rPr>
        <w:t xml:space="preserve">Part III</w:t>
      </w:r>
      <w:r>
        <w:t xml:space="preserve"> </w:t>
      </w:r>
      <w:r>
        <w:t xml:space="preserve">(material issues that should be resolved before the Final Closing Certificate is executed);</w:t>
      </w:r>
      <w:r>
        <w:t xml:space="preserve"> </w:t>
      </w:r>
      <w:r>
        <w:rPr>
          <w:b/>
          <w:bCs/>
        </w:rPr>
        <w:t xml:space="preserve">Part IV</w:t>
      </w:r>
      <w:r>
        <w:t xml:space="preserve"> </w:t>
      </w:r>
      <w:r>
        <w:t xml:space="preserve">(moderate issues to reconcile);</w:t>
      </w:r>
      <w:r>
        <w:t xml:space="preserve"> </w:t>
      </w:r>
      <w:r>
        <w:rPr>
          <w:b/>
          <w:bCs/>
        </w:rPr>
        <w:t xml:space="preserve">Part V</w:t>
      </w:r>
      <w:r>
        <w:t xml:space="preserve"> </w:t>
      </w:r>
      <w:r>
        <w:t xml:space="preserve">(outstanding closing items); and</w:t>
      </w:r>
      <w:r>
        <w:t xml:space="preserve"> </w:t>
      </w:r>
      <w:r>
        <w:rPr>
          <w:b/>
          <w:bCs/>
        </w:rPr>
        <w:t xml:space="preserve">Part VI</w:t>
      </w:r>
      <w:r>
        <w:t xml:space="preserve"> </w:t>
      </w:r>
      <w:r>
        <w:t xml:space="preserve">(minor or clerical discrepancies). Part VII identifies items we verified as internally consistent. Part VIII sets out recommended action items.</w:t>
      </w:r>
    </w:p>
    <w:p>
      <w:pPr>
        <w:pStyle w:val="BodyText"/>
      </w:pPr>
      <w:r>
        <w:t xml:space="preserve">We have prepared the Final Closing Certificate (the</w:t>
      </w:r>
      <w:r>
        <w:t xml:space="preserve"> </w:t>
      </w:r>
      <w:r>
        <w:t xml:space="preserve">“</w:t>
      </w:r>
      <w:r>
        <w:rPr>
          <w:b/>
          <w:bCs/>
        </w:rPr>
        <w:t xml:space="preserve">Certificate</w:t>
      </w:r>
      <w:r>
        <w:t xml:space="preserve">”</w:t>
      </w:r>
      <w:r>
        <w:t xml:space="preserve">) certifying each of the ten (10) conditions precedent under Section 11.2 of the LPA, together with the Key Person certification required under Section 9.4(d). The Certificate is delivered concurrently with this memorandum. As noted below, certain certifications in the Certificate are made in reliance on deliverables (the AML/KYC confirmation, the legal opinions, and the Fund Administrator’s confirmation of receipt of funds) that, as of the date of the Source Documents, were either incomplete or in draft form, and which must be confirmed or finalized at or prior to the closing.</w:t>
      </w:r>
    </w:p>
    <w:bookmarkEnd w:id="20"/>
    <w:bookmarkStart w:id="21" w:name="ii.-executive-summary"/>
    <w:p>
      <w:pPr>
        <w:pStyle w:val="Heading2"/>
      </w:pPr>
      <w:r>
        <w:t xml:space="preserve">II. Executive Summary</w:t>
      </w:r>
    </w:p>
    <w:p>
      <w:pPr>
        <w:pStyle w:val="FirstParagraph"/>
      </w:pPr>
      <w:r>
        <w:t xml:space="preserve">Based on our review, the Fund is in a position to proceed with the Final Closing, provided that the items in Part III are resolved. We identified</w:t>
      </w:r>
      <w:r>
        <w:t xml:space="preserve"> </w:t>
      </w:r>
      <w:r>
        <w:rPr>
          <w:b/>
          <w:bCs/>
        </w:rPr>
        <w:t xml:space="preserve">four (4) material issues</w:t>
      </w:r>
      <w:r>
        <w:t xml:space="preserve">,</w:t>
      </w:r>
      <w:r>
        <w:t xml:space="preserve"> </w:t>
      </w:r>
      <w:r>
        <w:rPr>
          <w:b/>
          <w:bCs/>
        </w:rPr>
        <w:t xml:space="preserve">four (4) moderate issues</w:t>
      </w:r>
      <w:r>
        <w:t xml:space="preserve">,</w:t>
      </w:r>
      <w:r>
        <w:t xml:space="preserve"> </w:t>
      </w:r>
      <w:r>
        <w:rPr>
          <w:b/>
          <w:bCs/>
        </w:rPr>
        <w:t xml:space="preserve">several outstanding closing items</w:t>
      </w:r>
      <w:r>
        <w:t xml:space="preserve">, and a number of</w:t>
      </w:r>
      <w:r>
        <w:t xml:space="preserve"> </w:t>
      </w:r>
      <w:r>
        <w:rPr>
          <w:b/>
          <w:bCs/>
        </w:rPr>
        <w:t xml:space="preserve">minor/clerical discrepancies</w:t>
      </w:r>
      <w:r>
        <w:t xml:space="preserve">. The most significant items are:</w:t>
      </w:r>
    </w:p>
    <w:p>
      <w:pPr>
        <w:numPr>
          <w:ilvl w:val="0"/>
          <w:numId w:val="1001"/>
        </w:numPr>
      </w:pPr>
      <w:r>
        <w:rPr>
          <w:b/>
          <w:bCs/>
        </w:rPr>
        <w:t xml:space="preserve">AML/KYC confirmation omits one of six Final Closing Limited Partners.</w:t>
      </w:r>
      <w:r>
        <w:t xml:space="preserve"> </w:t>
      </w:r>
      <w:r>
        <w:t xml:space="preserve">The AML Email confirms AML/KYC verification for only five (5) of the six (6) Final Closing Limited Partners and does not mention Cascade Re Insurance Ltd. (the Bermuda-domiciled reinsurer). AML/KYC compliance is a</w:t>
      </w:r>
      <w:r>
        <w:t xml:space="preserve"> </w:t>
      </w:r>
      <w:r>
        <w:rPr>
          <w:b/>
          <w:bCs/>
        </w:rPr>
        <w:t xml:space="preserve">non-waivable</w:t>
      </w:r>
      <w:r>
        <w:t xml:space="preserve"> </w:t>
      </w:r>
      <w:r>
        <w:t xml:space="preserve">condition under Section 11.2(3) of the LPA. Written AML/KYC confirmation for Cascade Re must be obtained before the Certificate is executed.</w:t>
      </w:r>
    </w:p>
    <w:p>
      <w:pPr>
        <w:numPr>
          <w:ilvl w:val="0"/>
          <w:numId w:val="1001"/>
        </w:numPr>
      </w:pPr>
      <w:r>
        <w:rPr>
          <w:b/>
          <w:bCs/>
        </w:rPr>
        <w:t xml:space="preserve">Amendment No. 1’s</w:t>
      </w:r>
      <w:r>
        <w:rPr>
          <w:b/>
          <w:bCs/>
        </w:rPr>
        <w:t xml:space="preserve"> </w:t>
      </w:r>
      <w:r>
        <w:rPr>
          <w:b/>
          <w:bCs/>
        </w:rPr>
        <w:t xml:space="preserve">“</w:t>
      </w:r>
      <w:r>
        <w:rPr>
          <w:b/>
          <w:bCs/>
        </w:rPr>
        <w:t xml:space="preserve">correction</w:t>
      </w:r>
      <w:r>
        <w:rPr>
          <w:b/>
          <w:bCs/>
        </w:rPr>
        <w:t xml:space="preserve">”</w:t>
      </w:r>
      <w:r>
        <w:rPr>
          <w:b/>
          <w:bCs/>
        </w:rPr>
        <w:t xml:space="preserve"> </w:t>
      </w:r>
      <w:r>
        <w:rPr>
          <w:b/>
          <w:bCs/>
        </w:rPr>
        <w:t xml:space="preserve">to the distribution waterfall appears to be misnumbered and, read literally, would overwrite the 8% preferred return.</w:t>
      </w:r>
      <w:r>
        <w:t xml:space="preserve"> </w:t>
      </w:r>
      <w:r>
        <w:t xml:space="preserve">The Amendment purports to correct</w:t>
      </w:r>
      <w:r>
        <w:t xml:space="preserve"> </w:t>
      </w:r>
      <w:r>
        <w:t xml:space="preserve">“</w:t>
      </w:r>
      <w:r>
        <w:t xml:space="preserve">Section 8.3(b)</w:t>
      </w:r>
      <w:r>
        <w:t xml:space="preserve">”</w:t>
      </w:r>
      <w:r>
        <w:t xml:space="preserve"> </w:t>
      </w:r>
      <w:r>
        <w:t xml:space="preserve">as the GP catch-up, but in the LPA, Section 8.3(b) is the</w:t>
      </w:r>
      <w:r>
        <w:t xml:space="preserve"> </w:t>
      </w:r>
      <w:r>
        <w:rPr>
          <w:b/>
          <w:bCs/>
        </w:rPr>
        <w:t xml:space="preserve">Preferred Return</w:t>
      </w:r>
      <w:r>
        <w:t xml:space="preserve"> </w:t>
      </w:r>
      <w:r>
        <w:t xml:space="preserve">(100% to the Limited Partners for an 8% IRR) and the GP catch-up is</w:t>
      </w:r>
      <w:r>
        <w:t xml:space="preserve"> </w:t>
      </w:r>
      <w:r>
        <w:rPr>
          <w:b/>
          <w:bCs/>
        </w:rPr>
        <w:t xml:space="preserve">Section 8.3(c)</w:t>
      </w:r>
      <w:r>
        <w:t xml:space="preserve"> </w:t>
      </w:r>
      <w:r>
        <w:t xml:space="preserve">(the</w:t>
      </w:r>
      <w:r>
        <w:t xml:space="preserve"> </w:t>
      </w:r>
      <w:r>
        <w:t xml:space="preserve">“</w:t>
      </w:r>
      <w:r>
        <w:t xml:space="preserve">Third</w:t>
      </w:r>
      <w:r>
        <w:t xml:space="preserve">”</w:t>
      </w:r>
      <w:r>
        <w:t xml:space="preserve"> </w:t>
      </w:r>
      <w:r>
        <w:t xml:space="preserve">tier). The Amendment’s replacement text is labeled</w:t>
      </w:r>
      <w:r>
        <w:t xml:space="preserve"> </w:t>
      </w:r>
      <w:r>
        <w:t xml:space="preserve">“</w:t>
      </w:r>
      <w:r>
        <w:t xml:space="preserve">Second</w:t>
      </w:r>
      <w:r>
        <w:t xml:space="preserve">”</w:t>
      </w:r>
      <w:r>
        <w:t xml:space="preserve"> </w:t>
      </w:r>
      <w:r>
        <w:t xml:space="preserve">and allocates 100% to the General Partner, which would, if applied to Section 8.3(b), eliminate the preferred return — a material adverse change to the Limited Partners that contradicts the Amendment’s own representation that it does not materially and adversely affect any Limited Partner.</w:t>
      </w:r>
    </w:p>
    <w:p>
      <w:pPr>
        <w:numPr>
          <w:ilvl w:val="0"/>
          <w:numId w:val="1001"/>
        </w:numPr>
      </w:pPr>
      <w:r>
        <w:rPr>
          <w:b/>
          <w:bCs/>
        </w:rPr>
        <w:t xml:space="preserve">Default interest rate conflict between the Subscription Agreement and the LPA.</w:t>
      </w:r>
      <w:r>
        <w:t xml:space="preserve"> </w:t>
      </w:r>
      <w:r>
        <w:t xml:space="preserve">The Subscription Agreement states a default interest rate of</w:t>
      </w:r>
      <w:r>
        <w:t xml:space="preserve"> </w:t>
      </w:r>
      <w:r>
        <w:t xml:space="preserve">“</w:t>
      </w:r>
      <w:r>
        <w:t xml:space="preserve">the lesser of 18% per annum and the maximum rate permitted by applicable law,</w:t>
      </w:r>
      <w:r>
        <w:t xml:space="preserve">”</w:t>
      </w:r>
      <w:r>
        <w:t xml:space="preserve"> </w:t>
      </w:r>
      <w:r>
        <w:t xml:space="preserve">while the LPA (Section 3.3(b)) provides for 12% per annum. CC#2 further describes the 12% rate as</w:t>
      </w:r>
      <w:r>
        <w:t xml:space="preserve"> </w:t>
      </w:r>
      <w:r>
        <w:t xml:space="preserve">“</w:t>
      </w:r>
      <w:r>
        <w:t xml:space="preserve">compounding quarterly,</w:t>
      </w:r>
      <w:r>
        <w:t xml:space="preserve">”</w:t>
      </w:r>
      <w:r>
        <w:t xml:space="preserve"> </w:t>
      </w:r>
      <w:r>
        <w:t xml:space="preserve">a compounding feature not contained in the LPA. The Subscription Agreement delivered to Final Closing Limited Partners should conform to the LPA’s 12% rate.</w:t>
      </w:r>
    </w:p>
    <w:p>
      <w:pPr>
        <w:numPr>
          <w:ilvl w:val="0"/>
          <w:numId w:val="1001"/>
        </w:numPr>
      </w:pPr>
      <w:r>
        <w:rPr>
          <w:b/>
          <w:bCs/>
        </w:rPr>
        <w:t xml:space="preserve">The GP Memo’s ERISA / Benefit Plan Investor calculation is incorrect.</w:t>
      </w:r>
      <w:r>
        <w:t xml:space="preserve"> </w:t>
      </w:r>
      <w:r>
        <w:t xml:space="preserve">The GP Memo computes the Benefit Plan Investor percentage as approximately 19.8% using a numerator of $225,300,000 and a denominator of $1,140,000,000. Both figures are wrong. The correct numerator is $355,300,000 (which includes the Final Closing Benefit Plan Investors) and the correct denominator is $1,615,000,000, yielding</w:t>
      </w:r>
      <w:r>
        <w:t xml:space="preserve"> </w:t>
      </w:r>
      <w:r>
        <w:rPr>
          <w:b/>
          <w:bCs/>
        </w:rPr>
        <w:t xml:space="preserve">22.00%</w:t>
      </w:r>
      <w:r>
        <w:t xml:space="preserve"> </w:t>
      </w:r>
      <w:r>
        <w:t xml:space="preserve">— a figure confirmed by both the Subscription Agreement (Schedule I) and the Admin Checklist. The 22.00% figure remains below the 24.99% cap, so the condition is satisfied, but the GP Memo’s analysis should be corrected so that the closing record is accurate.</w:t>
      </w:r>
    </w:p>
    <w:p>
      <w:pPr>
        <w:pStyle w:val="FirstParagraph"/>
      </w:pPr>
      <w:r>
        <w:t xml:space="preserve">A summary of all issues appears in the table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LPA / Doc Reference</w:t>
            </w:r>
          </w:p>
        </w:tc>
      </w:tr>
      <w:tr>
        <w:tc>
          <w:tcPr/>
          <w:p>
            <w:pPr>
              <w:pStyle w:val="Compact"/>
              <w:jc w:val="left"/>
            </w:pPr>
            <w:r>
              <w:t xml:space="preserve">1</w:t>
            </w:r>
          </w:p>
        </w:tc>
        <w:tc>
          <w:tcPr/>
          <w:p>
            <w:pPr>
              <w:pStyle w:val="Compact"/>
              <w:jc w:val="left"/>
            </w:pPr>
            <w:r>
              <w:t xml:space="preserve">AML/KYC email omits Cascade Re Insurance Ltd. (5 of 6 LPs)</w:t>
            </w:r>
          </w:p>
        </w:tc>
        <w:tc>
          <w:tcPr/>
          <w:p>
            <w:pPr>
              <w:pStyle w:val="Compact"/>
              <w:jc w:val="left"/>
            </w:pPr>
            <w:r>
              <w:t xml:space="preserve">Material</w:t>
            </w:r>
          </w:p>
        </w:tc>
        <w:tc>
          <w:tcPr/>
          <w:p>
            <w:pPr>
              <w:pStyle w:val="Compact"/>
              <w:jc w:val="left"/>
            </w:pPr>
            <w:r>
              <w:t xml:space="preserve">LPA §11.2(3) (non-waivable)</w:t>
            </w:r>
          </w:p>
        </w:tc>
      </w:tr>
      <w:tr>
        <w:tc>
          <w:tcPr/>
          <w:p>
            <w:pPr>
              <w:pStyle w:val="Compact"/>
              <w:jc w:val="left"/>
            </w:pPr>
            <w:r>
              <w:t xml:space="preserve">2</w:t>
            </w:r>
          </w:p>
        </w:tc>
        <w:tc>
          <w:tcPr/>
          <w:p>
            <w:pPr>
              <w:pStyle w:val="Compact"/>
              <w:jc w:val="left"/>
            </w:pPr>
            <w:r>
              <w:t xml:space="preserve">Amendment</w:t>
            </w:r>
            <w:r>
              <w:t xml:space="preserve"> </w:t>
            </w:r>
            <w:r>
              <w:t xml:space="preserve">“</w:t>
            </w:r>
            <w:r>
              <w:t xml:space="preserve">corrects</w:t>
            </w:r>
            <w:r>
              <w:t xml:space="preserve">”</w:t>
            </w:r>
            <w:r>
              <w:t xml:space="preserve"> </w:t>
            </w:r>
            <w:r>
              <w:t xml:space="preserve">§8.3(b) as catch-up; should be §8.3(c); literal reading overwrites preferred return</w:t>
            </w:r>
          </w:p>
        </w:tc>
        <w:tc>
          <w:tcPr/>
          <w:p>
            <w:pPr>
              <w:pStyle w:val="Compact"/>
              <w:jc w:val="left"/>
            </w:pPr>
            <w:r>
              <w:t xml:space="preserve">Material</w:t>
            </w:r>
          </w:p>
        </w:tc>
        <w:tc>
          <w:tcPr/>
          <w:p>
            <w:pPr>
              <w:pStyle w:val="Compact"/>
              <w:jc w:val="left"/>
            </w:pPr>
            <w:r>
              <w:t xml:space="preserve">LPA §8.3(b)/(c); Amendment §1.2</w:t>
            </w:r>
          </w:p>
        </w:tc>
      </w:tr>
      <w:tr>
        <w:tc>
          <w:tcPr/>
          <w:p>
            <w:pPr>
              <w:pStyle w:val="Compact"/>
              <w:jc w:val="left"/>
            </w:pPr>
            <w:r>
              <w:t xml:space="preserve">3</w:t>
            </w:r>
          </w:p>
        </w:tc>
        <w:tc>
          <w:tcPr/>
          <w:p>
            <w:pPr>
              <w:pStyle w:val="Compact"/>
              <w:jc w:val="left"/>
            </w:pPr>
            <w:r>
              <w:t xml:space="preserve">Default interest: SA says 18%; LPA says 12%; CC#2 adds quarterly compounding</w:t>
            </w:r>
          </w:p>
        </w:tc>
        <w:tc>
          <w:tcPr/>
          <w:p>
            <w:pPr>
              <w:pStyle w:val="Compact"/>
              <w:jc w:val="left"/>
            </w:pPr>
            <w:r>
              <w:t xml:space="preserve">Material</w:t>
            </w:r>
          </w:p>
        </w:tc>
        <w:tc>
          <w:tcPr/>
          <w:p>
            <w:pPr>
              <w:pStyle w:val="Compact"/>
              <w:jc w:val="left"/>
            </w:pPr>
            <w:r>
              <w:t xml:space="preserve">LPA §3.3(b); SA §1.2; CC#2 §V</w:t>
            </w:r>
          </w:p>
        </w:tc>
      </w:tr>
      <w:tr>
        <w:tc>
          <w:tcPr/>
          <w:p>
            <w:pPr>
              <w:pStyle w:val="Compact"/>
              <w:jc w:val="left"/>
            </w:pPr>
            <w:r>
              <w:t xml:space="preserve">4</w:t>
            </w:r>
          </w:p>
        </w:tc>
        <w:tc>
          <w:tcPr/>
          <w:p>
            <w:pPr>
              <w:pStyle w:val="Compact"/>
              <w:jc w:val="left"/>
            </w:pPr>
            <w:r>
              <w:t xml:space="preserve">GP Memo ERISA calc wrong (19.8%); correct is 22.00%</w:t>
            </w:r>
          </w:p>
        </w:tc>
        <w:tc>
          <w:tcPr/>
          <w:p>
            <w:pPr>
              <w:pStyle w:val="Compact"/>
              <w:jc w:val="left"/>
            </w:pPr>
            <w:r>
              <w:t xml:space="preserve">Material</w:t>
            </w:r>
          </w:p>
        </w:tc>
        <w:tc>
          <w:tcPr/>
          <w:p>
            <w:pPr>
              <w:pStyle w:val="Compact"/>
              <w:jc w:val="left"/>
            </w:pPr>
            <w:r>
              <w:t xml:space="preserve">LPA §6.8; GP Memo §V.C</w:t>
            </w:r>
          </w:p>
        </w:tc>
      </w:tr>
      <w:tr>
        <w:tc>
          <w:tcPr/>
          <w:p>
            <w:pPr>
              <w:pStyle w:val="Compact"/>
              <w:jc w:val="left"/>
            </w:pPr>
            <w:r>
              <w:t xml:space="preserve">5</w:t>
            </w:r>
          </w:p>
        </w:tc>
        <w:tc>
          <w:tcPr/>
          <w:p>
            <w:pPr>
              <w:pStyle w:val="Compact"/>
              <w:jc w:val="left"/>
            </w:pPr>
            <w:r>
              <w:t xml:space="preserve">Equalization interest day-count: CC#2 = 47 days (SA) vs 46 days (Admin Checklist); $3,127.40 difference</w:t>
            </w:r>
          </w:p>
        </w:tc>
        <w:tc>
          <w:tcPr/>
          <w:p>
            <w:pPr>
              <w:pStyle w:val="Compact"/>
              <w:jc w:val="left"/>
            </w:pPr>
            <w:r>
              <w:t xml:space="preserve">Moderate</w:t>
            </w:r>
          </w:p>
        </w:tc>
        <w:tc>
          <w:tcPr/>
          <w:p>
            <w:pPr>
              <w:pStyle w:val="Compact"/>
              <w:jc w:val="left"/>
            </w:pPr>
            <w:r>
              <w:t xml:space="preserve">LPA §3.2(c); SA §1.3; Admin Checklist</w:t>
            </w:r>
          </w:p>
        </w:tc>
      </w:tr>
      <w:tr>
        <w:tc>
          <w:tcPr/>
          <w:p>
            <w:pPr>
              <w:pStyle w:val="Compact"/>
              <w:jc w:val="left"/>
            </w:pPr>
            <w:r>
              <w:t xml:space="preserve">6</w:t>
            </w:r>
          </w:p>
        </w:tc>
        <w:tc>
          <w:tcPr/>
          <w:p>
            <w:pPr>
              <w:pStyle w:val="Compact"/>
              <w:jc w:val="left"/>
            </w:pPr>
            <w:r>
              <w:t xml:space="preserve">Commitment discrepancies: Birchwood $75M (Amendment) vs $60M (CC#2/Admin); Silvermark/Commonwealth/Graystone amounts differ (CC#2 vs Admin)</w:t>
            </w:r>
          </w:p>
        </w:tc>
        <w:tc>
          <w:tcPr/>
          <w:p>
            <w:pPr>
              <w:pStyle w:val="Compact"/>
              <w:jc w:val="left"/>
            </w:pPr>
            <w:r>
              <w:t xml:space="preserve">Moderate</w:t>
            </w:r>
          </w:p>
        </w:tc>
        <w:tc>
          <w:tcPr/>
          <w:p>
            <w:pPr>
              <w:pStyle w:val="Compact"/>
              <w:jc w:val="left"/>
            </w:pPr>
            <w:r>
              <w:t xml:space="preserve">Amendment §1.3; CC#2 Ex. A; Admin Checklist</w:t>
            </w:r>
          </w:p>
        </w:tc>
      </w:tr>
      <w:tr>
        <w:tc>
          <w:tcPr/>
          <w:p>
            <w:pPr>
              <w:pStyle w:val="Compact"/>
              <w:jc w:val="left"/>
            </w:pPr>
            <w:r>
              <w:t xml:space="preserve">7</w:t>
            </w:r>
          </w:p>
        </w:tc>
        <w:tc>
          <w:tcPr/>
          <w:p>
            <w:pPr>
              <w:pStyle w:val="Compact"/>
              <w:jc w:val="left"/>
            </w:pPr>
            <w:r>
              <w:t xml:space="preserve">SA §3.4(b)</w:t>
            </w:r>
            <w:r>
              <w:t xml:space="preserve"> </w:t>
            </w:r>
            <w:r>
              <w:t xml:space="preserve">“</w:t>
            </w:r>
            <w:r>
              <w:t xml:space="preserve">retroactive admission for allocations</w:t>
            </w:r>
            <w:r>
              <w:t xml:space="preserve">”</w:t>
            </w:r>
            <w:r>
              <w:t xml:space="preserve"> </w:t>
            </w:r>
            <w:r>
              <w:t xml:space="preserve">vs LPA §4.1 book-up / §3.2(c) equalization</w:t>
            </w:r>
          </w:p>
        </w:tc>
        <w:tc>
          <w:tcPr/>
          <w:p>
            <w:pPr>
              <w:pStyle w:val="Compact"/>
              <w:jc w:val="left"/>
            </w:pPr>
            <w:r>
              <w:t xml:space="preserve">Moderate</w:t>
            </w:r>
          </w:p>
        </w:tc>
        <w:tc>
          <w:tcPr/>
          <w:p>
            <w:pPr>
              <w:pStyle w:val="Compact"/>
              <w:jc w:val="left"/>
            </w:pPr>
            <w:r>
              <w:t xml:space="preserve">LPA §4.1, §3.2(c); SA §3.4(b)</w:t>
            </w:r>
          </w:p>
        </w:tc>
      </w:tr>
      <w:tr>
        <w:tc>
          <w:tcPr/>
          <w:p>
            <w:pPr>
              <w:pStyle w:val="Compact"/>
              <w:jc w:val="left"/>
            </w:pPr>
            <w:r>
              <w:t xml:space="preserve">8</w:t>
            </w:r>
          </w:p>
        </w:tc>
        <w:tc>
          <w:tcPr/>
          <w:p>
            <w:pPr>
              <w:pStyle w:val="Compact"/>
              <w:jc w:val="left"/>
            </w:pPr>
            <w:r>
              <w:t xml:space="preserve">Outstanding items: escrow funding confirmation; legal opinions execution; AC 5th seat; Form D; MFN notices; AC target notice</w:t>
            </w:r>
          </w:p>
        </w:tc>
        <w:tc>
          <w:tcPr/>
          <w:p>
            <w:pPr>
              <w:pStyle w:val="Compact"/>
              <w:jc w:val="left"/>
            </w:pPr>
            <w:r>
              <w:t xml:space="preserve">Moderate</w:t>
            </w:r>
          </w:p>
        </w:tc>
        <w:tc>
          <w:tcPr/>
          <w:p>
            <w:pPr>
              <w:pStyle w:val="Compact"/>
              <w:jc w:val="left"/>
            </w:pPr>
            <w:r>
              <w:t xml:space="preserve">LPA §11.2(2), (7), §9.1(b), §3.1(d), §12.3</w:t>
            </w:r>
          </w:p>
        </w:tc>
      </w:tr>
      <w:tr>
        <w:tc>
          <w:tcPr/>
          <w:p>
            <w:pPr>
              <w:pStyle w:val="Compact"/>
              <w:jc w:val="left"/>
            </w:pPr>
            <w:r>
              <w:t xml:space="preserve">9</w:t>
            </w:r>
          </w:p>
        </w:tc>
        <w:tc>
          <w:tcPr/>
          <w:p>
            <w:pPr>
              <w:pStyle w:val="Compact"/>
              <w:jc w:val="left"/>
            </w:pPr>
            <w:r>
              <w:t xml:space="preserve">Numerous incorrect section cross-references across CC#1, CC#2, SA, Amendment, GP Memo</w:t>
            </w:r>
          </w:p>
        </w:tc>
        <w:tc>
          <w:tcPr/>
          <w:p>
            <w:pPr>
              <w:pStyle w:val="Compact"/>
              <w:jc w:val="left"/>
            </w:pPr>
            <w:r>
              <w:t xml:space="preserve">Minor</w:t>
            </w:r>
          </w:p>
        </w:tc>
        <w:tc>
          <w:tcPr/>
          <w:p>
            <w:pPr>
              <w:pStyle w:val="Compact"/>
              <w:jc w:val="left"/>
            </w:pPr>
            <w:r>
              <w:t xml:space="preserve">See Part VI</w:t>
            </w:r>
          </w:p>
        </w:tc>
      </w:tr>
      <w:tr>
        <w:tc>
          <w:tcPr/>
          <w:p>
            <w:pPr>
              <w:pStyle w:val="Compact"/>
              <w:jc w:val="left"/>
            </w:pPr>
            <w:r>
              <w:t xml:space="preserve">10</w:t>
            </w:r>
          </w:p>
        </w:tc>
        <w:tc>
          <w:tcPr/>
          <w:p>
            <w:pPr>
              <w:pStyle w:val="Compact"/>
              <w:jc w:val="left"/>
            </w:pPr>
            <w:r>
              <w:t xml:space="preserve">PPM date inconsistent: July 15, 2024 / Aug 1, 2024 / July 2024</w:t>
            </w:r>
          </w:p>
        </w:tc>
        <w:tc>
          <w:tcPr/>
          <w:p>
            <w:pPr>
              <w:pStyle w:val="Compact"/>
              <w:jc w:val="left"/>
            </w:pPr>
            <w:r>
              <w:t xml:space="preserve">Minor</w:t>
            </w:r>
          </w:p>
        </w:tc>
        <w:tc>
          <w:tcPr/>
          <w:p>
            <w:pPr>
              <w:pStyle w:val="Compact"/>
              <w:jc w:val="left"/>
            </w:pPr>
            <w:r>
              <w:t xml:space="preserve">GP Memo §I; CC#2 §III; Amendment §1.2(c)</w:t>
            </w:r>
          </w:p>
        </w:tc>
      </w:tr>
      <w:tr>
        <w:tc>
          <w:tcPr/>
          <w:p>
            <w:pPr>
              <w:pStyle w:val="Compact"/>
              <w:jc w:val="left"/>
            </w:pPr>
            <w:r>
              <w:t xml:space="preserve">11</w:t>
            </w:r>
          </w:p>
        </w:tc>
        <w:tc>
          <w:tcPr/>
          <w:p>
            <w:pPr>
              <w:pStyle w:val="Compact"/>
              <w:jc w:val="left"/>
            </w:pPr>
            <w:r>
              <w:t xml:space="preserve">Investor jurisdiction inconsistent: Meridian (IL vs IN); Northbridge (MA vs CT)</w:t>
            </w:r>
          </w:p>
        </w:tc>
        <w:tc>
          <w:tcPr/>
          <w:p>
            <w:pPr>
              <w:pStyle w:val="Compact"/>
              <w:jc w:val="left"/>
            </w:pPr>
            <w:r>
              <w:t xml:space="preserve">Minor</w:t>
            </w:r>
          </w:p>
        </w:tc>
        <w:tc>
          <w:tcPr/>
          <w:p>
            <w:pPr>
              <w:pStyle w:val="Compact"/>
              <w:jc w:val="left"/>
            </w:pPr>
            <w:r>
              <w:t xml:space="preserve">SA Sch. I; Admin Checklist</w:t>
            </w:r>
          </w:p>
        </w:tc>
      </w:tr>
      <w:tr>
        <w:tc>
          <w:tcPr/>
          <w:p>
            <w:pPr>
              <w:pStyle w:val="Compact"/>
              <w:jc w:val="left"/>
            </w:pPr>
            <w:r>
              <w:t xml:space="preserve">12</w:t>
            </w:r>
          </w:p>
        </w:tc>
        <w:tc>
          <w:tcPr/>
          <w:p>
            <w:pPr>
              <w:pStyle w:val="Compact"/>
              <w:jc w:val="left"/>
            </w:pPr>
            <w:r>
              <w:t xml:space="preserve">CC#1 funding date: Oct 25, 2024 (CC#1) vs Oct 24, 2024 (CC#2)</w:t>
            </w:r>
          </w:p>
        </w:tc>
        <w:tc>
          <w:tcPr/>
          <w:p>
            <w:pPr>
              <w:pStyle w:val="Compact"/>
              <w:jc w:val="left"/>
            </w:pPr>
            <w:r>
              <w:t xml:space="preserve">Minor</w:t>
            </w:r>
          </w:p>
        </w:tc>
        <w:tc>
          <w:tcPr/>
          <w:p>
            <w:pPr>
              <w:pStyle w:val="Compact"/>
              <w:jc w:val="left"/>
            </w:pPr>
            <w:r>
              <w:t xml:space="preserve">CC#1; CC#2 §I</w:t>
            </w:r>
          </w:p>
        </w:tc>
      </w:tr>
      <w:tr>
        <w:tc>
          <w:tcPr/>
          <w:p>
            <w:pPr>
              <w:pStyle w:val="Compact"/>
              <w:jc w:val="left"/>
            </w:pPr>
            <w:r>
              <w:t xml:space="preserve">13</w:t>
            </w:r>
          </w:p>
        </w:tc>
        <w:tc>
          <w:tcPr/>
          <w:p>
            <w:pPr>
              <w:pStyle w:val="Compact"/>
              <w:jc w:val="left"/>
            </w:pPr>
            <w:r>
              <w:t xml:space="preserve">Contact information inconsistencies (phone numbers; email address format)</w:t>
            </w:r>
          </w:p>
        </w:tc>
        <w:tc>
          <w:tcPr/>
          <w:p>
            <w:pPr>
              <w:pStyle w:val="Compact"/>
              <w:jc w:val="left"/>
            </w:pPr>
            <w:r>
              <w:t xml:space="preserve">Minor</w:t>
            </w:r>
          </w:p>
        </w:tc>
        <w:tc>
          <w:tcPr/>
          <w:p>
            <w:pPr>
              <w:pStyle w:val="Compact"/>
              <w:jc w:val="left"/>
            </w:pPr>
            <w:r>
              <w:t xml:space="preserve">Various</w:t>
            </w:r>
          </w:p>
        </w:tc>
      </w:tr>
      <w:tr>
        <w:tc>
          <w:tcPr/>
          <w:p>
            <w:pPr>
              <w:pStyle w:val="Compact"/>
              <w:jc w:val="left"/>
            </w:pPr>
            <w:r>
              <w:t xml:space="preserve">14</w:t>
            </w:r>
          </w:p>
        </w:tc>
        <w:tc>
          <w:tcPr/>
          <w:p>
            <w:pPr>
              <w:pStyle w:val="Compact"/>
              <w:jc w:val="left"/>
            </w:pPr>
            <w:r>
              <w:t xml:space="preserve">Admin Checklist cites GP Memo as dated Jan 30, 2025; memo is dated Jan 28, 2025</w:t>
            </w:r>
          </w:p>
        </w:tc>
        <w:tc>
          <w:tcPr/>
          <w:p>
            <w:pPr>
              <w:pStyle w:val="Compact"/>
              <w:jc w:val="left"/>
            </w:pPr>
            <w:r>
              <w:t xml:space="preserve">Minor</w:t>
            </w:r>
          </w:p>
        </w:tc>
        <w:tc>
          <w:tcPr/>
          <w:p>
            <w:pPr>
              <w:pStyle w:val="Compact"/>
              <w:jc w:val="left"/>
            </w:pPr>
            <w:r>
              <w:t xml:space="preserve">Admin Checklist item 24</w:t>
            </w:r>
          </w:p>
        </w:tc>
      </w:tr>
      <w:tr>
        <w:tc>
          <w:tcPr/>
          <w:p>
            <w:pPr>
              <w:pStyle w:val="Compact"/>
              <w:jc w:val="left"/>
            </w:pPr>
            <w:r>
              <w:t xml:space="preserve">15</w:t>
            </w:r>
          </w:p>
        </w:tc>
        <w:tc>
          <w:tcPr/>
          <w:p>
            <w:pPr>
              <w:pStyle w:val="Compact"/>
              <w:jc w:val="left"/>
            </w:pPr>
            <w:r>
              <w:t xml:space="preserve">SA characterizes AC target-exceedance notice as a</w:t>
            </w:r>
            <w:r>
              <w:t xml:space="preserve"> </w:t>
            </w:r>
            <w:r>
              <w:t xml:space="preserve">“</w:t>
            </w:r>
            <w:r>
              <w:t xml:space="preserve">condition to acceptance</w:t>
            </w:r>
            <w:r>
              <w:t xml:space="preserve">”</w:t>
            </w:r>
            <w:r>
              <w:t xml:space="preserve">; LPA does not</w:t>
            </w:r>
          </w:p>
        </w:tc>
        <w:tc>
          <w:tcPr/>
          <w:p>
            <w:pPr>
              <w:pStyle w:val="Compact"/>
              <w:jc w:val="left"/>
            </w:pPr>
            <w:r>
              <w:t xml:space="preserve">Minor</w:t>
            </w:r>
          </w:p>
        </w:tc>
        <w:tc>
          <w:tcPr/>
          <w:p>
            <w:pPr>
              <w:pStyle w:val="Compact"/>
              <w:jc w:val="left"/>
            </w:pPr>
            <w:r>
              <w:t xml:space="preserve">LPA §3.1(d); SA preamble</w:t>
            </w:r>
          </w:p>
        </w:tc>
      </w:tr>
    </w:tbl>
    <w:bookmarkEnd w:id="21"/>
    <w:bookmarkStart w:id="26" w:name="X4c00ae20487c2e778b7e2c3d76a62f70ad96c32"/>
    <w:p>
      <w:pPr>
        <w:pStyle w:val="Heading2"/>
      </w:pPr>
      <w:r>
        <w:t xml:space="preserve">III. Material Issues Requiring Resolution Before Closing</w:t>
      </w:r>
    </w:p>
    <w:bookmarkStart w:id="22" w:name="X10688ccae7fbfce289ee5d7dfc084935dbb851a"/>
    <w:p>
      <w:pPr>
        <w:pStyle w:val="Heading3"/>
      </w:pPr>
      <w:r>
        <w:t xml:space="preserve">A. AML/KYC Confirmation Omits Cascade Re Insurance Ltd. (Non-Waivable Condition)</w:t>
      </w:r>
    </w:p>
    <w:p>
      <w:pPr>
        <w:pStyle w:val="FirstParagraph"/>
      </w:pPr>
      <w:r>
        <w:t xml:space="preserve">Section 11.2(3) of the LPA requires the Fund Administrator to confirm</w:t>
      </w:r>
      <w:r>
        <w:t xml:space="preserve"> </w:t>
      </w:r>
      <w:r>
        <w:rPr>
          <w:b/>
          <w:bCs/>
        </w:rPr>
        <w:t xml:space="preserve">in writing</w:t>
      </w:r>
      <w:r>
        <w:t xml:space="preserve"> </w:t>
      </w:r>
      <w:r>
        <w:t xml:space="preserve">that satisfactory AML/KYC documentation has been received and verified</w:t>
      </w:r>
      <w:r>
        <w:t xml:space="preserve"> </w:t>
      </w:r>
      <w:r>
        <w:rPr>
          <w:b/>
          <w:bCs/>
        </w:rPr>
        <w:t xml:space="preserve">for each incoming Limited Partner</w:t>
      </w:r>
      <w:r>
        <w:t xml:space="preserve">, and to deliver a written AML/KYC completion certificate to the General Partner prior to each Closing. Section 11.3 of the LPA provides that the AML/KYC condition (Section 11.2(3))</w:t>
      </w:r>
      <w:r>
        <w:t xml:space="preserve"> </w:t>
      </w:r>
      <w:r>
        <w:rPr>
          <w:b/>
          <w:bCs/>
        </w:rPr>
        <w:t xml:space="preserve">may not be waived under any circumstances</w:t>
      </w:r>
      <w:r>
        <w:t xml:space="preserve">.</w:t>
      </w:r>
    </w:p>
    <w:p>
      <w:pPr>
        <w:pStyle w:val="BodyText"/>
      </w:pPr>
      <w:r>
        <w:t xml:space="preserve">The AML Email from Jonathan C. Prewitt of Oakmere Fund Services LLC, dated January 24, 2025, states that</w:t>
      </w:r>
      <w:r>
        <w:t xml:space="preserve"> </w:t>
      </w:r>
      <w:r>
        <w:t xml:space="preserve">“</w:t>
      </w:r>
      <w:r>
        <w:t xml:space="preserve">Oakmere Fund Services LLC has completed its anti-money laundering (AML) and know-your-customer (KYC) verification procedures for the investors being admitted at the final closing,</w:t>
      </w:r>
      <w:r>
        <w:t xml:space="preserve">”</w:t>
      </w:r>
      <w:r>
        <w:t xml:space="preserve"> </w:t>
      </w:r>
      <w:r>
        <w:t xml:space="preserve">and then lists the results for</w:t>
      </w:r>
      <w:r>
        <w:t xml:space="preserve"> </w:t>
      </w:r>
      <w:r>
        <w:rPr>
          <w:b/>
          <w:bCs/>
        </w:rPr>
        <w:t xml:space="preserve">only five (5) investors</w:t>
      </w:r>
      <w:r>
        <w:t xml:space="preserve">: (1) Meridian State Teachers’ Retirement System; (2) Haverfield Family Office LLC; (3) Northbridge Endowment Fund; (4) Sentry Municipal Employees’ Pension Trust; and (5) Kingsgate Ventures Fund-of-Funds III, LP.</w:t>
      </w:r>
      <w:r>
        <w:t xml:space="preserve"> </w:t>
      </w:r>
      <w:r>
        <w:rPr>
          <w:b/>
          <w:bCs/>
        </w:rPr>
        <w:t xml:space="preserve">Cascade Re Insurance Ltd.</w:t>
      </w:r>
      <w:r>
        <w:t xml:space="preserve"> </w:t>
      </w:r>
      <w:r>
        <w:t xml:space="preserve">(a $35,000,000 commitment, domiciled in Bermuda as a Class 3B insurer) is</w:t>
      </w:r>
      <w:r>
        <w:t xml:space="preserve"> </w:t>
      </w:r>
      <w:r>
        <w:rPr>
          <w:b/>
          <w:bCs/>
        </w:rPr>
        <w:t xml:space="preserve">not listed</w:t>
      </w:r>
      <w:r>
        <w:t xml:space="preserve"> </w:t>
      </w:r>
      <w:r>
        <w:t xml:space="preserve">in the AML Email.</w:t>
      </w:r>
    </w:p>
    <w:p>
      <w:pPr>
        <w:pStyle w:val="BodyText"/>
      </w:pPr>
      <w:r>
        <w:t xml:space="preserve">This is significant for two reasons. First, AML/KYC is a non-waivable condition, so the condition cannot be satisfied as to Cascade Re in the absence of written confirmation. Second, Cascade Re is a non-U.S. (Bermuda) insurance entity — precisely the type of investor for which enhanced AML/KYC due diligence (including sanctions screening, beneficial ownership, and source-of-funds verification) is most important. The Admin Checklist (item 18) marks AML/KYC as</w:t>
      </w:r>
      <w:r>
        <w:t xml:space="preserve"> </w:t>
      </w:r>
      <w:r>
        <w:t xml:space="preserve">“</w:t>
      </w:r>
      <w:r>
        <w:t xml:space="preserve">Complete</w:t>
      </w:r>
      <w:r>
        <w:t xml:space="preserve">”</w:t>
      </w:r>
      <w:r>
        <w:t xml:space="preserve"> </w:t>
      </w:r>
      <w:r>
        <w:t xml:space="preserve">for</w:t>
      </w:r>
      <w:r>
        <w:t xml:space="preserve"> </w:t>
      </w:r>
      <w:r>
        <w:t xml:space="preserve">“</w:t>
      </w:r>
      <w:r>
        <w:t xml:space="preserve">all Final Closing limited partners</w:t>
      </w:r>
      <w:r>
        <w:t xml:space="preserve">”</w:t>
      </w:r>
      <w:r>
        <w:t xml:space="preserve"> </w:t>
      </w:r>
      <w:r>
        <w:t xml:space="preserve">and cites the AML Email as the supporting document, but the AML Email on its face does not cover Cascade Re.</w:t>
      </w:r>
    </w:p>
    <w:p>
      <w:pPr>
        <w:pStyle w:val="BodyText"/>
      </w:pPr>
      <w:r>
        <w:rPr>
          <w:b/>
          <w:bCs/>
        </w:rPr>
        <w:t xml:space="preserve">Recommendation.</w:t>
      </w:r>
      <w:r>
        <w:t xml:space="preserve"> </w:t>
      </w:r>
      <w:r>
        <w:t xml:space="preserve">Before the Certificate is executed, obtain from Oakmere a written AML/KYC completion confirmation that expressly covers Cascade Re Insurance Ltd. (or a supplemented email correcting the omission). The Certificate’s certification of Condition 3 is made in reliance on the Fund Administrator’s written AML/KYC confirmation; that reliance is not presently supported as to Cascade Re by the AML Email in the file.</w:t>
      </w:r>
    </w:p>
    <w:bookmarkEnd w:id="22"/>
    <w:bookmarkStart w:id="23" w:name="X8d2b7abb94bf53420f18a30ad313bf9bf04fcea"/>
    <w:p>
      <w:pPr>
        <w:pStyle w:val="Heading3"/>
      </w:pPr>
      <w:r>
        <w:t xml:space="preserve">B. Amendment No. 1 — Section 8.3(b) Catch-Up Correction Appears Misnumbered; Literal Reading Would Overwrite the Preferred Return</w:t>
      </w:r>
    </w:p>
    <w:p>
      <w:pPr>
        <w:pStyle w:val="FirstParagraph"/>
      </w:pPr>
      <w:r>
        <w:t xml:space="preserve">Section 1.2 of the Amendment states that the General Partner</w:t>
      </w:r>
      <w:r>
        <w:t xml:space="preserve"> </w:t>
      </w:r>
      <w:r>
        <w:t xml:space="preserve">“</w:t>
      </w:r>
      <w:r>
        <w:t xml:space="preserve">identified a technical error in Section 8.3(b) of the Original Agreement relating to the distribution waterfall (the General Partner’s</w:t>
      </w:r>
      <w:r>
        <w:t xml:space="preserve"> </w:t>
      </w:r>
      <w:r>
        <w:t xml:space="preserve">‘</w:t>
      </w:r>
      <w:r>
        <w:t xml:space="preserve">catch-up</w:t>
      </w:r>
      <w:r>
        <w:t xml:space="preserve">’</w:t>
      </w:r>
      <w:r>
        <w:t xml:space="preserve"> </w:t>
      </w:r>
      <w:r>
        <w:t xml:space="preserve">allocation),</w:t>
      </w:r>
      <w:r>
        <w:t xml:space="preserve">”</w:t>
      </w:r>
      <w:r>
        <w:t xml:space="preserve"> </w:t>
      </w:r>
      <w:r>
        <w:t xml:space="preserve">and replaces Section 8.3(b) in its entirety with text allocating</w:t>
      </w:r>
      <w:r>
        <w:t xml:space="preserve"> </w:t>
      </w:r>
      <w:r>
        <w:t xml:space="preserve">“</w:t>
      </w:r>
      <w:r>
        <w:t xml:space="preserve">100% to the General Partner until the cumulative amount distributed to the General Partner pursuant to this Section 8.3(b) equals twenty percent (20%) of the sum of (x) the cumulative amounts distributed to the Limited Partners pursuant to Section 8.3(a) and (y) the cumulative amounts distributed to the General Partner pursuant to this Section 8.3(b).</w:t>
      </w:r>
      <w:r>
        <w:t xml:space="preserve">”</w:t>
      </w:r>
    </w:p>
    <w:p>
      <w:pPr>
        <w:pStyle w:val="BodyText"/>
      </w:pPr>
      <w:r>
        <w:t xml:space="preserve">This does not correspond to the LPA as executed. In the LPA, the distribution waterfall in Section 8.3 is structured as follows:</w:t>
      </w:r>
    </w:p>
    <w:p>
      <w:pPr>
        <w:pStyle w:val="Compact"/>
        <w:numPr>
          <w:ilvl w:val="0"/>
          <w:numId w:val="1002"/>
        </w:numPr>
      </w:pPr>
      <w:r>
        <w:rPr>
          <w:b/>
          <w:bCs/>
        </w:rPr>
        <w:t xml:space="preserve">Section 8.3(a) — Return of Capital</w:t>
      </w:r>
      <w:r>
        <w:t xml:space="preserve"> </w:t>
      </w:r>
      <w:r>
        <w:t xml:space="preserve">(</w:t>
      </w:r>
      <w:r>
        <w:t xml:space="preserve">“</w:t>
      </w:r>
      <w:r>
        <w:t xml:space="preserve">First</w:t>
      </w:r>
      <w:r>
        <w:t xml:space="preserve">”</w:t>
      </w:r>
      <w:r>
        <w:t xml:space="preserve"> </w:t>
      </w:r>
      <w:r>
        <w:t xml:space="preserve">tier): 100% to the Partners until return of Capital Contributions;</w:t>
      </w:r>
    </w:p>
    <w:p>
      <w:pPr>
        <w:pStyle w:val="Compact"/>
        <w:numPr>
          <w:ilvl w:val="0"/>
          <w:numId w:val="1002"/>
        </w:numPr>
      </w:pPr>
      <w:r>
        <w:rPr>
          <w:b/>
          <w:bCs/>
        </w:rPr>
        <w:t xml:space="preserve">Section 8.3(b) — Preferred Return</w:t>
      </w:r>
      <w:r>
        <w:t xml:space="preserve"> </w:t>
      </w:r>
      <w:r>
        <w:t xml:space="preserve">(</w:t>
      </w:r>
      <w:r>
        <w:t xml:space="preserve">“</w:t>
      </w:r>
      <w:r>
        <w:t xml:space="preserve">Second</w:t>
      </w:r>
      <w:r>
        <w:t xml:space="preserve">”</w:t>
      </w:r>
      <w:r>
        <w:t xml:space="preserve"> </w:t>
      </w:r>
      <w:r>
        <w:t xml:space="preserve">tier): 100% to the Partners until each Partner has received an 8% per annum IRR;</w:t>
      </w:r>
    </w:p>
    <w:p>
      <w:pPr>
        <w:pStyle w:val="Compact"/>
        <w:numPr>
          <w:ilvl w:val="0"/>
          <w:numId w:val="1002"/>
        </w:numPr>
      </w:pPr>
      <w:r>
        <w:rPr>
          <w:b/>
          <w:bCs/>
        </w:rPr>
        <w:t xml:space="preserve">Section 8.3(c) — GP Catch-Up</w:t>
      </w:r>
      <w:r>
        <w:t xml:space="preserve"> </w:t>
      </w:r>
      <w:r>
        <w:t xml:space="preserve">(</w:t>
      </w:r>
      <w:r>
        <w:t xml:space="preserve">“</w:t>
      </w:r>
      <w:r>
        <w:t xml:space="preserve">Third</w:t>
      </w:r>
      <w:r>
        <w:t xml:space="preserve">”</w:t>
      </w:r>
      <w:r>
        <w:t xml:space="preserve"> </w:t>
      </w:r>
      <w:r>
        <w:t xml:space="preserve">tier): 100% to the General Partner until the GP has received 20% of the sum of amounts distributed under Sections 8.3(b) and 8.3(c); and</w:t>
      </w:r>
    </w:p>
    <w:p>
      <w:pPr>
        <w:pStyle w:val="Compact"/>
        <w:numPr>
          <w:ilvl w:val="0"/>
          <w:numId w:val="1002"/>
        </w:numPr>
      </w:pPr>
      <w:r>
        <w:rPr>
          <w:b/>
          <w:bCs/>
        </w:rPr>
        <w:t xml:space="preserve">Section 8.3(d) — Carried Interest Split</w:t>
      </w:r>
      <w:r>
        <w:t xml:space="preserve"> </w:t>
      </w:r>
      <w:r>
        <w:t xml:space="preserve">(</w:t>
      </w:r>
      <w:r>
        <w:t xml:space="preserve">“</w:t>
      </w:r>
      <w:r>
        <w:t xml:space="preserve">Fourth</w:t>
      </w:r>
      <w:r>
        <w:t xml:space="preserve">”</w:t>
      </w:r>
      <w:r>
        <w:t xml:space="preserve"> </w:t>
      </w:r>
      <w:r>
        <w:t xml:space="preserve">tier): 80% to the Partners / 20% to the GP.</w:t>
      </w:r>
    </w:p>
    <w:p>
      <w:pPr>
        <w:pStyle w:val="FirstParagraph"/>
      </w:pPr>
      <w:r>
        <w:t xml:space="preserve">The GP catch-up is therefore located in</w:t>
      </w:r>
      <w:r>
        <w:t xml:space="preserve"> </w:t>
      </w:r>
      <w:r>
        <w:rPr>
          <w:b/>
          <w:bCs/>
        </w:rPr>
        <w:t xml:space="preserve">Section 8.3(c)</w:t>
      </w:r>
      <w:r>
        <w:t xml:space="preserve"> </w:t>
      </w:r>
      <w:r>
        <w:t xml:space="preserve">(the</w:t>
      </w:r>
      <w:r>
        <w:t xml:space="preserve"> </w:t>
      </w:r>
      <w:r>
        <w:t xml:space="preserve">“</w:t>
      </w:r>
      <w:r>
        <w:t xml:space="preserve">Third</w:t>
      </w:r>
      <w:r>
        <w:t xml:space="preserve">”</w:t>
      </w:r>
      <w:r>
        <w:t xml:space="preserve"> </w:t>
      </w:r>
      <w:r>
        <w:t xml:space="preserve">tier), not Section 8.3(b). Section 8.3(b) is the</w:t>
      </w:r>
      <w:r>
        <w:t xml:space="preserve"> </w:t>
      </w:r>
      <w:r>
        <w:rPr>
          <w:b/>
          <w:bCs/>
        </w:rPr>
        <w:t xml:space="preserve">Preferred Return</w:t>
      </w:r>
      <w:r>
        <w:t xml:space="preserve"> </w:t>
      </w:r>
      <w:r>
        <w:t xml:space="preserve">(100% to the Limited Partners). Moreover, the</w:t>
      </w:r>
      <w:r>
        <w:t xml:space="preserve"> </w:t>
      </w:r>
      <w:r>
        <w:t xml:space="preserve">“</w:t>
      </w:r>
      <w:r>
        <w:t xml:space="preserve">original</w:t>
      </w:r>
      <w:r>
        <w:t xml:space="preserve">”</w:t>
      </w:r>
      <w:r>
        <w:t xml:space="preserve"> </w:t>
      </w:r>
      <w:r>
        <w:t xml:space="preserve">language that the Amendment quotes as the purported error —</w:t>
      </w:r>
      <w:r>
        <w:t xml:space="preserve"> </w:t>
      </w:r>
      <w:r>
        <w:t xml:space="preserve">“</w:t>
      </w:r>
      <w:r>
        <w:t xml:space="preserve">20% of the aggregate amount distributed pursuant to Section 8.3(a) and this Section 8.3(b)</w:t>
      </w:r>
      <w:r>
        <w:t xml:space="preserve">”</w:t>
      </w:r>
      <w:r>
        <w:t xml:space="preserve"> </w:t>
      </w:r>
      <w:r>
        <w:t xml:space="preserve">— does not appear in the LPA’s Section 8.3(b) (or in Section 8.3(c)); the LPA’s actual catch-up (Section 8.3(c)) already contains a proper catch-up formulation (</w:t>
      </w:r>
      <w:r>
        <w:t xml:space="preserve">“</w:t>
      </w:r>
      <w:r>
        <w:t xml:space="preserve">100% to the General Partner until the General Partner has received, in the aggregate under this Section 8.3(c) and Section 8.3(d), an amount equal to twenty percent (20%) of the sum of all amounts distributed under Sections 8.3(b) and 8.3(c)</w:t>
      </w:r>
      <w:r>
        <w:t xml:space="preserve">”</w:t>
      </w:r>
      <w:r>
        <w:t xml:space="preserve">).</w:t>
      </w:r>
    </w:p>
    <w:p>
      <w:pPr>
        <w:pStyle w:val="BodyText"/>
      </w:pPr>
      <w:r>
        <w:t xml:space="preserve">Two concerns follow:</w:t>
      </w:r>
    </w:p>
    <w:p>
      <w:pPr>
        <w:numPr>
          <w:ilvl w:val="0"/>
          <w:numId w:val="1003"/>
        </w:numPr>
      </w:pPr>
      <w:r>
        <w:rPr>
          <w:b/>
          <w:bCs/>
        </w:rPr>
        <w:t xml:space="preserve">Misnumbering.</w:t>
      </w:r>
      <w:r>
        <w:t xml:space="preserve"> </w:t>
      </w:r>
      <w:r>
        <w:t xml:space="preserve">The Amendment appears to have misidentified the provision being corrected. The catch-up is Section 8.3(c); the Amendment references Section 8.3(b) and labels its replacement text</w:t>
      </w:r>
      <w:r>
        <w:t xml:space="preserve"> </w:t>
      </w:r>
      <w:r>
        <w:t xml:space="preserve">“</w:t>
      </w:r>
      <w:r>
        <w:t xml:space="preserve">Second</w:t>
      </w:r>
      <w:r>
        <w:t xml:space="preserve">”</w:t>
      </w:r>
      <w:r>
        <w:t xml:space="preserve"> </w:t>
      </w:r>
      <w:r>
        <w:t xml:space="preserve">(the Preferred Return’s tier). The correction should have been directed to Section 8.3(c).</w:t>
      </w:r>
    </w:p>
    <w:p>
      <w:pPr>
        <w:numPr>
          <w:ilvl w:val="0"/>
          <w:numId w:val="1003"/>
        </w:numPr>
      </w:pPr>
      <w:r>
        <w:rPr>
          <w:b/>
          <w:bCs/>
        </w:rPr>
        <w:t xml:space="preserve">Economic consequence if read literally.</w:t>
      </w:r>
      <w:r>
        <w:t xml:space="preserve"> </w:t>
      </w:r>
      <w:r>
        <w:t xml:space="preserve">Because the Amendment’s replacement text is labeled</w:t>
      </w:r>
      <w:r>
        <w:t xml:space="preserve"> </w:t>
      </w:r>
      <w:r>
        <w:t xml:space="preserve">“</w:t>
      </w:r>
      <w:r>
        <w:t xml:space="preserve">Second</w:t>
      </w:r>
      <w:r>
        <w:t xml:space="preserve">”</w:t>
      </w:r>
      <w:r>
        <w:t xml:space="preserve"> </w:t>
      </w:r>
      <w:r>
        <w:t xml:space="preserve">and allocates 100% to the General Partner, a literal application to Section 8.3(b) would</w:t>
      </w:r>
      <w:r>
        <w:t xml:space="preserve"> </w:t>
      </w:r>
      <w:r>
        <w:rPr>
          <w:b/>
          <w:bCs/>
        </w:rPr>
        <w:t xml:space="preserve">delete the 8% Preferred Return</w:t>
      </w:r>
      <w:r>
        <w:t xml:space="preserve"> </w:t>
      </w:r>
      <w:r>
        <w:t xml:space="preserve">and substitute a GP catch-up in its place. That would be a material adverse change to the Limited Partners and is inconsistent with the Amendment’s own representation (in Section 1.2(c) and the acknowledgment regarding Limited Partner consent) that the correction</w:t>
      </w:r>
      <w:r>
        <w:t xml:space="preserve"> </w:t>
      </w:r>
      <w:r>
        <w:t xml:space="preserve">“</w:t>
      </w:r>
      <w:r>
        <w:t xml:space="preserve">does not materially and adversely affect any Limited Partner</w:t>
      </w:r>
      <w:r>
        <w:t xml:space="preserve">”</w:t>
      </w:r>
      <w:r>
        <w:t xml:space="preserve"> </w:t>
      </w:r>
      <w:r>
        <w:t xml:space="preserve">and is consistent with the terms presented to investors.</w:t>
      </w:r>
    </w:p>
    <w:p>
      <w:pPr>
        <w:pStyle w:val="FirstParagraph"/>
      </w:pPr>
      <w:r>
        <w:rPr>
          <w:b/>
          <w:bCs/>
        </w:rPr>
        <w:t xml:space="preserve">Recommendation.</w:t>
      </w:r>
      <w:r>
        <w:t xml:space="preserve"> </w:t>
      </w:r>
      <w:r>
        <w:t xml:space="preserve">This should be reconciled and corrected before the Final Closing (or promptly thereafter by a further amendment). The most likely intent was to correct the catch-up in Section 8.3(c); however, because the LPA’s Section 8.3(c) already reads as a proper catch-up, the Amendment may be unnecessary as to the catch-up, or it may reflect a version mismatch that should be confirmed against the LPA actually executed by the Initial Closing Limited Partners. In any event, the Amendment should not be relied upon in its current form as modifying Section 8.3(b), and the closing record should reflect that the 8% Preferred Return remains in full force and effect. We recommend confirming with the General Partner and the Advisory Committee that the Preferred Return is preserved and, if a correction is required, issuing a conforming amendment directed to the correct section.</w:t>
      </w:r>
    </w:p>
    <w:bookmarkEnd w:id="23"/>
    <w:bookmarkStart w:id="24" w:name="X81c3a60c329fb071511d36fcd1efd4006bf1630"/>
    <w:p>
      <w:pPr>
        <w:pStyle w:val="Heading3"/>
      </w:pPr>
      <w:r>
        <w:t xml:space="preserve">C. Default Interest Rate Conflict Between the Subscription Agreement and the LPA</w:t>
      </w:r>
    </w:p>
    <w:p>
      <w:pPr>
        <w:pStyle w:val="FirstParagraph"/>
      </w:pPr>
      <w:r>
        <w:t xml:space="preserve">The governing documents contain three different statements of the default interest rate and compounding convention:</w:t>
      </w:r>
    </w:p>
    <w:p>
      <w:pPr>
        <w:pStyle w:val="Compact"/>
        <w:numPr>
          <w:ilvl w:val="0"/>
          <w:numId w:val="1004"/>
        </w:numPr>
      </w:pPr>
      <w:r>
        <w:rPr>
          <w:b/>
          <w:bCs/>
        </w:rPr>
        <w:t xml:space="preserve">LPA Section 3.3(b):</w:t>
      </w:r>
      <w:r>
        <w:t xml:space="preserve"> </w:t>
      </w:r>
      <w:r>
        <w:t xml:space="preserve">interest on the delinquent amount at</w:t>
      </w:r>
      <w:r>
        <w:t xml:space="preserve"> </w:t>
      </w:r>
      <w:r>
        <w:t xml:space="preserve">“</w:t>
      </w:r>
      <w:r>
        <w:t xml:space="preserve">twelve percent (12%) per annum from the original Contribution Date through the date of payment</w:t>
      </w:r>
      <w:r>
        <w:t xml:space="preserve">”</w:t>
      </w:r>
      <w:r>
        <w:t xml:space="preserve"> </w:t>
      </w:r>
      <w:r>
        <w:t xml:space="preserve">(no compounding specified).</w:t>
      </w:r>
    </w:p>
    <w:p>
      <w:pPr>
        <w:pStyle w:val="Compact"/>
        <w:numPr>
          <w:ilvl w:val="0"/>
          <w:numId w:val="1004"/>
        </w:numPr>
      </w:pPr>
      <w:r>
        <w:rPr>
          <w:b/>
          <w:bCs/>
        </w:rPr>
        <w:t xml:space="preserve">CC#1 (Section V):</w:t>
      </w:r>
      <w:r>
        <w:t xml:space="preserve"> </w:t>
      </w:r>
      <w:r>
        <w:t xml:space="preserve">“</w:t>
      </w:r>
      <w:r>
        <w:t xml:space="preserve">an interest charge on the delinquent amount at a rate of twelve percent (12%) per annum (or the maximum rate permitted by applicable law, if lower).</w:t>
      </w:r>
      <w:r>
        <w:t xml:space="preserve">”</w:t>
      </w:r>
    </w:p>
    <w:p>
      <w:pPr>
        <w:pStyle w:val="Compact"/>
        <w:numPr>
          <w:ilvl w:val="0"/>
          <w:numId w:val="1004"/>
        </w:numPr>
      </w:pPr>
      <w:r>
        <w:rPr>
          <w:b/>
          <w:bCs/>
        </w:rPr>
        <w:t xml:space="preserve">CC#2 (Section V):</w:t>
      </w:r>
      <w:r>
        <w:t xml:space="preserve"> </w:t>
      </w:r>
      <w:r>
        <w:t xml:space="preserve">“</w:t>
      </w:r>
      <w:r>
        <w:t xml:space="preserve">a default interest charge on the unpaid amount at a rate of twelve percent (12%) per annum,</w:t>
      </w:r>
      <w:r>
        <w:t xml:space="preserve"> </w:t>
      </w:r>
      <w:r>
        <w:rPr>
          <w:b/>
          <w:bCs/>
        </w:rPr>
        <w:t xml:space="preserve">compounding quarterly</w:t>
      </w:r>
      <w:r>
        <w:t xml:space="preserve">, from the Funding Date until the date of payment.</w:t>
      </w:r>
      <w:r>
        <w:t xml:space="preserve">”</w:t>
      </w:r>
    </w:p>
    <w:p>
      <w:pPr>
        <w:pStyle w:val="Compact"/>
        <w:numPr>
          <w:ilvl w:val="0"/>
          <w:numId w:val="1004"/>
        </w:numPr>
      </w:pPr>
      <w:r>
        <w:rPr>
          <w:b/>
          <w:bCs/>
        </w:rPr>
        <w:t xml:space="preserve">Subscription Agreement (Section 1.2):</w:t>
      </w:r>
      <w:r>
        <w:t xml:space="preserve"> </w:t>
      </w:r>
      <w:r>
        <w:t xml:space="preserve">“</w:t>
      </w:r>
      <w:r>
        <w:t xml:space="preserve">the charging of default interest at a rate of</w:t>
      </w:r>
      <w:r>
        <w:t xml:space="preserve"> </w:t>
      </w:r>
      <w:r>
        <w:rPr>
          <w:b/>
          <w:bCs/>
        </w:rPr>
        <w:t xml:space="preserve">the lesser of 18% per annum and the maximum rate permitted by applicable law</w:t>
      </w:r>
      <w:r>
        <w:t xml:space="preserve">.</w:t>
      </w:r>
      <w:r>
        <w:t xml:space="preserve">”</w:t>
      </w:r>
    </w:p>
    <w:p>
      <w:pPr>
        <w:pStyle w:val="FirstParagraph"/>
      </w:pPr>
      <w:r>
        <w:t xml:space="preserve">The Subscription Agreement’s 18% rate is inconsistent with the LPA’s 12% rate. The Subscription Agreement is the document executed by the Final Closing Limited Partners and is incorporated into the LPA by reference; a default interest rate of 18% would exceed the rate authorized by the LPA and could expose the Fund to a claim that the default charge exceeds the contractual rate. Separately, CC#2’s</w:t>
      </w:r>
      <w:r>
        <w:t xml:space="preserve"> </w:t>
      </w:r>
      <w:r>
        <w:t xml:space="preserve">“</w:t>
      </w:r>
      <w:r>
        <w:t xml:space="preserve">compounding quarterly</w:t>
      </w:r>
      <w:r>
        <w:t xml:space="preserve">”</w:t>
      </w:r>
      <w:r>
        <w:t xml:space="preserve"> </w:t>
      </w:r>
      <w:r>
        <w:t xml:space="preserve">characterization is not supported by the LPA (which does not provide for compounding; the Equalization Interest Rate is expressly</w:t>
      </w:r>
      <w:r>
        <w:t xml:space="preserve"> </w:t>
      </w:r>
      <w:r>
        <w:t xml:space="preserve">“</w:t>
      </w:r>
      <w:r>
        <w:t xml:space="preserve">simple (non-compounded)</w:t>
      </w:r>
      <w:r>
        <w:t xml:space="preserve">”</w:t>
      </w:r>
      <w:r>
        <w:t xml:space="preserve">).</w:t>
      </w:r>
    </w:p>
    <w:p>
      <w:pPr>
        <w:pStyle w:val="BodyText"/>
      </w:pPr>
      <w:r>
        <w:rPr>
          <w:b/>
          <w:bCs/>
        </w:rPr>
        <w:t xml:space="preserve">Recommendation.</w:t>
      </w:r>
      <w:r>
        <w:t xml:space="preserve"> </w:t>
      </w:r>
      <w:r>
        <w:t xml:space="preserve">The Subscription Agreement should be conformed to the LPA’s 12% per annum default interest rate (and should not state 18%). If a</w:t>
      </w:r>
      <w:r>
        <w:t xml:space="preserve"> </w:t>
      </w:r>
      <w:r>
        <w:t xml:space="preserve">“</w:t>
      </w:r>
      <w:r>
        <w:t xml:space="preserve">lesser of X and the maximum legal rate</w:t>
      </w:r>
      <w:r>
        <w:t xml:space="preserve">”</w:t>
      </w:r>
      <w:r>
        <w:t xml:space="preserve"> </w:t>
      </w:r>
      <w:r>
        <w:t xml:space="preserve">formulation is desired, X should be 12%. CC#2’s</w:t>
      </w:r>
      <w:r>
        <w:t xml:space="preserve"> </w:t>
      </w:r>
      <w:r>
        <w:t xml:space="preserve">“</w:t>
      </w:r>
      <w:r>
        <w:t xml:space="preserve">compounding quarterly</w:t>
      </w:r>
      <w:r>
        <w:t xml:space="preserve">”</w:t>
      </w:r>
      <w:r>
        <w:t xml:space="preserve"> </w:t>
      </w:r>
      <w:r>
        <w:t xml:space="preserve">language should be corrected to conform to the LPA (simple interest). Because the Subscription Agreements have already been executed by the Final Closing Limited Partners, the General Partner should consider whether a clarifying side letter or conforming amendment is required to avoid a conflict in the governing documents.</w:t>
      </w:r>
    </w:p>
    <w:bookmarkEnd w:id="24"/>
    <w:bookmarkStart w:id="25" w:name="Xcc35930ac0bf35a3d710e682a7068b14eab098e"/>
    <w:p>
      <w:pPr>
        <w:pStyle w:val="Heading3"/>
      </w:pPr>
      <w:r>
        <w:t xml:space="preserve">D. GP Memo ERISA / Benefit Plan Investor Calculation Is Incorrect</w:t>
      </w:r>
    </w:p>
    <w:p>
      <w:pPr>
        <w:pStyle w:val="FirstParagraph"/>
      </w:pPr>
      <w:r>
        <w:t xml:space="preserve">Section V.C of the GP Memo states:</w:t>
      </w:r>
      <w:r>
        <w:t xml:space="preserve"> </w:t>
      </w:r>
      <w:r>
        <w:t xml:space="preserve">“</w:t>
      </w:r>
      <w:r>
        <w:t xml:space="preserve">benefit plan investors (as defined under ERISA) currently represent approximately $225,300,000 in aggregate commitments. Following the final closing, total Fund commitments will be approximately $1,140,000,000. Accordingly, the benefit plan investor percentage is approximately 19.8% ($225,300,000 / $1,140,000,000).</w:t>
      </w:r>
      <w:r>
        <w:t xml:space="preserve">”</w:t>
      </w:r>
    </w:p>
    <w:p>
      <w:pPr>
        <w:pStyle w:val="BodyText"/>
      </w:pPr>
      <w:r>
        <w:t xml:space="preserve">Both inputs are incorrect:</w:t>
      </w:r>
    </w:p>
    <w:p>
      <w:pPr>
        <w:numPr>
          <w:ilvl w:val="0"/>
          <w:numId w:val="1005"/>
        </w:numPr>
      </w:pPr>
      <w:r>
        <w:rPr>
          <w:b/>
          <w:bCs/>
        </w:rPr>
        <w:t xml:space="preserve">Numerator.</w:t>
      </w:r>
      <w:r>
        <w:t xml:space="preserve"> </w:t>
      </w:r>
      <w:r>
        <w:t xml:space="preserve">The $225,300,000 figure represents only the Benefit Plan Investor commitments from the Initial and Second Closings. It omits the $130,000,000 of Benefit Plan Investor commitments being admitted at the Final Closing (Meridian State Teachers’ Retirement System, $100,000,000, and Sentry Municipal Employees’ Pension Trust, $30,000,000). The correct numerator is</w:t>
      </w:r>
      <w:r>
        <w:t xml:space="preserve"> </w:t>
      </w:r>
      <w:r>
        <w:rPr>
          <w:b/>
          <w:bCs/>
        </w:rPr>
        <w:t xml:space="preserve">$355,300,000</w:t>
      </w:r>
      <w:r>
        <w:t xml:space="preserve">, as confirmed by the Subscription Agreement (Schedule I,</w:t>
      </w:r>
      <w:r>
        <w:t xml:space="preserve"> </w:t>
      </w:r>
      <w:r>
        <w:t xml:space="preserve">“</w:t>
      </w:r>
      <w:r>
        <w:t xml:space="preserve">ERISA / Benefit Plan Investor Summary</w:t>
      </w:r>
      <w:r>
        <w:t xml:space="preserve">”</w:t>
      </w:r>
      <w:r>
        <w:t xml:space="preserve">) and the Admin Checklist (Commitment Schedule,</w:t>
      </w:r>
      <w:r>
        <w:t xml:space="preserve"> </w:t>
      </w:r>
      <w:r>
        <w:t xml:space="preserve">“</w:t>
      </w:r>
      <w:r>
        <w:t xml:space="preserve">ERISA ANALYSIS</w:t>
      </w:r>
      <w:r>
        <w:t xml:space="preserve">”</w:t>
      </w:r>
      <w:r>
        <w:t xml:space="preserve">).</w:t>
      </w:r>
    </w:p>
    <w:p>
      <w:pPr>
        <w:numPr>
          <w:ilvl w:val="0"/>
          <w:numId w:val="1005"/>
        </w:numPr>
      </w:pPr>
      <w:r>
        <w:rPr>
          <w:b/>
          <w:bCs/>
        </w:rPr>
        <w:t xml:space="preserve">Denominator.</w:t>
      </w:r>
      <w:r>
        <w:t xml:space="preserve"> </w:t>
      </w:r>
      <w:r>
        <w:t xml:space="preserve">The $1,140,000,000 figure does not correspond to any aggregate commitment total in the Source Documents. The correct total Fund commitments after the Final Closing are</w:t>
      </w:r>
      <w:r>
        <w:t xml:space="preserve"> </w:t>
      </w:r>
      <w:r>
        <w:rPr>
          <w:b/>
          <w:bCs/>
        </w:rPr>
        <w:t xml:space="preserve">$1,615,000,000</w:t>
      </w:r>
      <w:r>
        <w:t xml:space="preserve"> </w:t>
      </w:r>
      <w:r>
        <w:t xml:space="preserve">(as stated in GP Memo Section III, the Subscription Agreement, and the Admin Checklist).</w:t>
      </w:r>
    </w:p>
    <w:p>
      <w:pPr>
        <w:pStyle w:val="FirstParagraph"/>
      </w:pPr>
      <w:r>
        <w:t xml:space="preserve">The correct calculation is</w:t>
      </w:r>
      <w:r>
        <w:t xml:space="preserve"> </w:t>
      </w:r>
      <w:r>
        <w:rPr>
          <w:b/>
          <w:bCs/>
        </w:rPr>
        <w:t xml:space="preserve">$355,300,000 / $1,615,000,000 = 22.00%</w:t>
      </w:r>
      <w:r>
        <w:t xml:space="preserve">, which is below the 24.99% limitation under Section 6.8 of the LPA. The condition is therefore satisfied, and the Certificate certifies Condition 5 using the correct 22.00% figure. However, the GP Memo’s 19.8% analysis is wrong and should be corrected so that the internal closing record is accurate and consistent with the closing deliverables.</w:t>
      </w:r>
    </w:p>
    <w:p>
      <w:pPr>
        <w:pStyle w:val="BodyText"/>
      </w:pPr>
      <w:r>
        <w:rPr>
          <w:b/>
          <w:bCs/>
        </w:rPr>
        <w:t xml:space="preserve">Related methodology note.</w:t>
      </w:r>
      <w:r>
        <w:t xml:space="preserve"> </w:t>
      </w:r>
      <w:r>
        <w:t xml:space="preserve">The Subscription Agreement (Box C) and the Admin Checklist treat governmental plans (Meridian and Sentry) as Benefit Plan Investors for purposes of the Section 6.8 threshold. Under the DOL plan-assets regulation (29 C.F.R. § 2510.3-101(d)(2)), governmental plans are generally</w:t>
      </w:r>
      <w:r>
        <w:t xml:space="preserve"> </w:t>
      </w:r>
      <w:r>
        <w:rPr>
          <w:b/>
          <w:bCs/>
        </w:rPr>
        <w:t xml:space="preserve">excluded</w:t>
      </w:r>
      <w:r>
        <w:t xml:space="preserve"> </w:t>
      </w:r>
      <w:r>
        <w:t xml:space="preserve">from the definition of</w:t>
      </w:r>
      <w:r>
        <w:t xml:space="preserve"> </w:t>
      </w:r>
      <w:r>
        <w:t xml:space="preserve">“</w:t>
      </w:r>
      <w:r>
        <w:t xml:space="preserve">benefit plan investor.</w:t>
      </w:r>
      <w:r>
        <w:t xml:space="preserve">”</w:t>
      </w:r>
      <w:r>
        <w:t xml:space="preserve"> </w:t>
      </w:r>
      <w:r>
        <w:t xml:space="preserve">Counting them is therefore a conservative over-inclusion; if governmental plans were excluded, the Benefit Plan Investor percentage would be approximately 13.95% ($225,300,000 / $1,615,000,000), still well below the cap. We recommend confirming that the conservative methodology (counting governmental plans) is the intended approach and is applied consistently across closings.</w:t>
      </w:r>
    </w:p>
    <w:bookmarkEnd w:id="25"/>
    <w:bookmarkEnd w:id="26"/>
    <w:bookmarkStart w:id="31" w:name="iv.-moderate-issues-to-reconcile"/>
    <w:p>
      <w:pPr>
        <w:pStyle w:val="Heading2"/>
      </w:pPr>
      <w:r>
        <w:t xml:space="preserve">IV. Moderate Issues to Reconcile</w:t>
      </w:r>
    </w:p>
    <w:bookmarkStart w:id="27" w:name="X26f4345b62dfc85cdc3901b6078b507c7a1bcef"/>
    <w:p>
      <w:pPr>
        <w:pStyle w:val="Heading3"/>
      </w:pPr>
      <w:r>
        <w:t xml:space="preserve">E. Equalization Interest Day-Count Discrepancy (Capital Call No. 2: 47 vs. 46 Days)</w:t>
      </w:r>
    </w:p>
    <w:p>
      <w:pPr>
        <w:pStyle w:val="FirstParagraph"/>
      </w:pPr>
      <w:r>
        <w:t xml:space="preserve">The Subscription Agreement (Section 1.3 and Schedule I) calculates Equalization Interest for Capital Call No. 2 using a period of</w:t>
      </w:r>
      <w:r>
        <w:t xml:space="preserve"> </w:t>
      </w:r>
      <w:r>
        <w:rPr>
          <w:b/>
          <w:bCs/>
        </w:rPr>
        <w:t xml:space="preserve">47 days</w:t>
      </w:r>
      <w:r>
        <w:t xml:space="preserve"> </w:t>
      </w:r>
      <w:r>
        <w:t xml:space="preserve">(December 15, 2024 through January 31, 2025), yielding aggregate Equalization Interest of</w:t>
      </w:r>
      <w:r>
        <w:t xml:space="preserve"> </w:t>
      </w:r>
      <w:r>
        <w:rPr>
          <w:b/>
          <w:bCs/>
        </w:rPr>
        <w:t xml:space="preserve">$852,661.64</w:t>
      </w:r>
      <w:r>
        <w:t xml:space="preserve"> </w:t>
      </w:r>
      <w:r>
        <w:t xml:space="preserve">(the</w:t>
      </w:r>
      <w:r>
        <w:t xml:space="preserve"> </w:t>
      </w:r>
      <w:r>
        <w:t xml:space="preserve">“</w:t>
      </w:r>
      <w:r>
        <w:t xml:space="preserve">controlling</w:t>
      </w:r>
      <w:r>
        <w:t xml:space="preserve">”</w:t>
      </w:r>
      <w:r>
        <w:t xml:space="preserve"> </w:t>
      </w:r>
      <w:r>
        <w:t xml:space="preserve">aggregate figure per Schedule I) and a total amount due from the Final Closing Limited Partners of</w:t>
      </w:r>
      <w:r>
        <w:t xml:space="preserve"> </w:t>
      </w:r>
      <w:r>
        <w:rPr>
          <w:b/>
          <w:bCs/>
        </w:rPr>
        <w:t xml:space="preserve">$43,602,661.64</w:t>
      </w:r>
      <w:r>
        <w:t xml:space="preserve">.</w:t>
      </w:r>
    </w:p>
    <w:p>
      <w:pPr>
        <w:pStyle w:val="BodyText"/>
      </w:pPr>
      <w:r>
        <w:t xml:space="preserve">The Admin Checklist’s</w:t>
      </w:r>
      <w:r>
        <w:t xml:space="preserve"> </w:t>
      </w:r>
      <w:r>
        <w:t xml:space="preserve">“</w:t>
      </w:r>
      <w:r>
        <w:t xml:space="preserve">Equalization Calc</w:t>
      </w:r>
      <w:r>
        <w:t xml:space="preserve">”</w:t>
      </w:r>
      <w:r>
        <w:t xml:space="preserve"> </w:t>
      </w:r>
      <w:r>
        <w:t xml:space="preserve">tab calculates Equalization Interest for Capital Call No. 2 using a period of</w:t>
      </w:r>
      <w:r>
        <w:t xml:space="preserve"> </w:t>
      </w:r>
      <w:r>
        <w:rPr>
          <w:b/>
          <w:bCs/>
        </w:rPr>
        <w:t xml:space="preserve">46 days</w:t>
      </w:r>
      <w:r>
        <w:t xml:space="preserve">, yielding aggregate Equalization Interest of</w:t>
      </w:r>
      <w:r>
        <w:t xml:space="preserve"> </w:t>
      </w:r>
      <w:r>
        <w:rPr>
          <w:b/>
          <w:bCs/>
        </w:rPr>
        <w:t xml:space="preserve">$849,534.24</w:t>
      </w:r>
      <w:r>
        <w:t xml:space="preserve"> </w:t>
      </w:r>
      <w:r>
        <w:t xml:space="preserve">and a total amount due of</w:t>
      </w:r>
      <w:r>
        <w:t xml:space="preserve"> </w:t>
      </w:r>
      <w:r>
        <w:rPr>
          <w:b/>
          <w:bCs/>
        </w:rPr>
        <w:t xml:space="preserve">$43,599,534.24</w:t>
      </w:r>
      <w:r>
        <w:t xml:space="preserve">.</w:t>
      </w:r>
    </w:p>
    <w:p>
      <w:pPr>
        <w:pStyle w:val="BodyText"/>
      </w:pPr>
      <w:r>
        <w:t xml:space="preserve">The difference is</w:t>
      </w:r>
      <w:r>
        <w:t xml:space="preserve"> </w:t>
      </w:r>
      <w:r>
        <w:rPr>
          <w:b/>
          <w:bCs/>
        </w:rPr>
        <w:t xml:space="preserve">$3,127.40</w:t>
      </w:r>
      <w:r>
        <w:t xml:space="preserve">, which equals approximately one day’s interest on the $14,250,000 Capital Call No. 2 catch-up amount. The 47-day figure in the Subscription Agreement is consistent with the 113-day figure used for Capital Call No. 1 in both documents (i.e., a start-date-exclusive, end-date-inclusive</w:t>
      </w:r>
      <w:r>
        <w:t xml:space="preserve"> </w:t>
      </w:r>
      <w:r>
        <w:t xml:space="preserve">“</w:t>
      </w:r>
      <w:r>
        <w:t xml:space="preserve">days elapsed</w:t>
      </w:r>
      <w:r>
        <w:t xml:space="preserve">”</w:t>
      </w:r>
      <w:r>
        <w:t xml:space="preserve"> </w:t>
      </w:r>
      <w:r>
        <w:t xml:space="preserve">convention, consistent with Section 3.2(c) of the LPA, which accrues interest</w:t>
      </w:r>
      <w:r>
        <w:t xml:space="preserve"> </w:t>
      </w:r>
      <w:r>
        <w:t xml:space="preserve">“</w:t>
      </w:r>
      <w:r>
        <w:t xml:space="preserve">from the date of each prior Capital Call through and including the date of the applicable Subsequent Closing</w:t>
      </w:r>
      <w:r>
        <w:t xml:space="preserve">”</w:t>
      </w:r>
      <w:r>
        <w:t xml:space="preserve">). The 46-day figure in the Admin Checklist appears to be off by one day relative to that convention.</w:t>
      </w:r>
    </w:p>
    <w:p>
      <w:pPr>
        <w:pStyle w:val="BodyText"/>
      </w:pPr>
      <w:r>
        <w:rPr>
          <w:b/>
          <w:bCs/>
        </w:rPr>
        <w:t xml:space="preserve">Recommendation.</w:t>
      </w:r>
      <w:r>
        <w:t xml:space="preserve"> </w:t>
      </w:r>
      <w:r>
        <w:t xml:space="preserve">Reconcile the day count before the closing statements are finalized. The Subscription Agreement’s 47-day figure (and aggregate Equalization Interest of $852,661.64) appears correct; the Admin Checklist’s Equalization Calc tab should be corrected to 47 days, and the per-investor Equalization Interest amounts should be reconciled to the aggregate. (We also note that the Subscription Agreement’s Schedule I itself discloses a $4.11 rounding difference between its per-investor sum ($852,657.53) and its aggregate ($852,661.64), which it states will be reconciled by the Fund Administrator.)</w:t>
      </w:r>
    </w:p>
    <w:bookmarkEnd w:id="27"/>
    <w:bookmarkStart w:id="28" w:name="f.-capital-commitment-discrepancies"/>
    <w:p>
      <w:pPr>
        <w:pStyle w:val="Heading3"/>
      </w:pPr>
      <w:r>
        <w:t xml:space="preserve">F. Capital Commitment Discrepancies</w:t>
      </w:r>
    </w:p>
    <w:p>
      <w:pPr>
        <w:pStyle w:val="FirstParagraph"/>
      </w:pPr>
      <w:r>
        <w:t xml:space="preserve">Two sets of commitment figures conflict across the Source Documents:</w:t>
      </w:r>
    </w:p>
    <w:p>
      <w:pPr>
        <w:numPr>
          <w:ilvl w:val="0"/>
          <w:numId w:val="1006"/>
        </w:numPr>
      </w:pPr>
      <w:r>
        <w:rPr>
          <w:b/>
          <w:bCs/>
        </w:rPr>
        <w:t xml:space="preserve">Birchwood Insurance Co. (Second Closing Limited Partner).</w:t>
      </w:r>
      <w:r>
        <w:t xml:space="preserve"> </w:t>
      </w:r>
      <w:r>
        <w:t xml:space="preserve">The Amendment (Section 1.3(a)) describes Birchwood Insurance Co. as</w:t>
      </w:r>
      <w:r>
        <w:t xml:space="preserve"> </w:t>
      </w:r>
      <w:r>
        <w:t xml:space="preserve">“</w:t>
      </w:r>
      <w:r>
        <w:t xml:space="preserve">a Second Closing Limited Partner with a Capital Commitment of Seventy-Five Million Dollars ($75,000,000).</w:t>
      </w:r>
      <w:r>
        <w:t xml:space="preserve">”</w:t>
      </w:r>
      <w:r>
        <w:t xml:space="preserve"> </w:t>
      </w:r>
      <w:r>
        <w:t xml:space="preserve">However, CC#2 (Exhibit A) and the Admin Checklist (Commitment Schedule) both list Birchwood Insurance Co. with a Capital Commitment of</w:t>
      </w:r>
      <w:r>
        <w:t xml:space="preserve"> </w:t>
      </w:r>
      <w:r>
        <w:rPr>
          <w:b/>
          <w:bCs/>
        </w:rPr>
        <w:t xml:space="preserve">$60,000,000</w:t>
      </w:r>
      <w:r>
        <w:t xml:space="preserve">. The $75,000,000 figure in the Amendment appears to be an error (notably, $75,000,000 is the commitment of Fieldstone Capital Advisors, LP, another Second Closing Limited Partner, which may have been confused with Birchwood). The Second Closing LP subtotal of $375,000,000 is consistent in all documents, so the error is in the individual allocation, not the aggregate.</w:t>
      </w:r>
    </w:p>
    <w:p>
      <w:pPr>
        <w:numPr>
          <w:ilvl w:val="0"/>
          <w:numId w:val="1006"/>
        </w:numPr>
      </w:pPr>
      <w:r>
        <w:rPr>
          <w:b/>
          <w:bCs/>
        </w:rPr>
        <w:t xml:space="preserve">Silvermark Capital Advisors, Commonwealth Public Employees’ Retirement Fund, and Graystone Foundation (Initial Closing Limited Partners).</w:t>
      </w:r>
      <w:r>
        <w:t xml:space="preserve"> </w:t>
      </w:r>
      <w:r>
        <w:t xml:space="preserve">CC#2 (Exhibit A) lists these three Initial Closing Limited Partners with commitments of $125,000,000, $100,000,000, and $75,000,000, respectively. The Admin Checklist (Commitment Schedule) lists the same three Limited Partners with commitments of</w:t>
      </w:r>
      <w:r>
        <w:t xml:space="preserve"> </w:t>
      </w:r>
      <w:r>
        <w:rPr>
          <w:b/>
          <w:bCs/>
        </w:rPr>
        <w:t xml:space="preserve">$75,000,000, $85,000,000, and $50,000,000</w:t>
      </w:r>
      <w:r>
        <w:t xml:space="preserve">, respectively. Both sets sum (together with the remaining Initial Closing Limited Partners) to the $940,000,000 Initial Closing LP aggregate, but the individual allocations differ. These three Limited Partners are the Initial Closing representatives on the Advisory Committee (Torres/Silvermark, Park/Commonwealth, Voss/Graystone).</w:t>
      </w:r>
    </w:p>
    <w:p>
      <w:pPr>
        <w:pStyle w:val="FirstParagraph"/>
      </w:pPr>
      <w:r>
        <w:rPr>
          <w:b/>
          <w:bCs/>
        </w:rPr>
        <w:t xml:space="preserve">Recommendation.</w:t>
      </w:r>
      <w:r>
        <w:t xml:space="preserve"> </w:t>
      </w:r>
      <w:r>
        <w:t xml:space="preserve">Reconcile all individual Capital Commitments to the controlling updated Schedule A (Exhibit A to the Certificate), which is maintained by the Fund Administrator and reviewed by Fund Counsel. The Amendment’s $75,000,000 reference to Birchwood should be corrected in any subsequent amendment or closing record. The Advisory Committee members’ commitment amounts should be confirmed.</w:t>
      </w:r>
    </w:p>
    <w:bookmarkEnd w:id="28"/>
    <w:bookmarkStart w:id="29" w:name="X77e7ed925335c7e7f0616ea285eba5c1af31b09"/>
    <w:p>
      <w:pPr>
        <w:pStyle w:val="Heading3"/>
      </w:pPr>
      <w:r>
        <w:t xml:space="preserve">G. Subscription Agreement</w:t>
      </w:r>
      <w:r>
        <w:t xml:space="preserve"> </w:t>
      </w:r>
      <w:r>
        <w:t xml:space="preserve">“</w:t>
      </w:r>
      <w:r>
        <w:t xml:space="preserve">Retroactive Admission for Allocation Purposes</w:t>
      </w:r>
      <w:r>
        <w:t xml:space="preserve">”</w:t>
      </w:r>
      <w:r>
        <w:t xml:space="preserve"> </w:t>
      </w:r>
      <w:r>
        <w:t xml:space="preserve">vs. LPA Book-Up / Equalization Framework</w:t>
      </w:r>
    </w:p>
    <w:p>
      <w:pPr>
        <w:pStyle w:val="FirstParagraph"/>
      </w:pPr>
      <w:r>
        <w:t xml:space="preserve">Section 3.4(b) of the Subscription Agreement states that each Final Closing Limited Partner</w:t>
      </w:r>
      <w:r>
        <w:t xml:space="preserve"> </w:t>
      </w:r>
      <w:r>
        <w:t xml:space="preserve">“</w:t>
      </w:r>
      <w:r>
        <w:t xml:space="preserve">will be treated, retroactively, as having been admitted as a Limited Partner from and after the date of the Initial Closing (September 15, 2024) for purposes of allocations of profits and losses and distributions under Articles IV and V of the LPA,</w:t>
      </w:r>
      <w:r>
        <w:t xml:space="preserve">”</w:t>
      </w:r>
      <w:r>
        <w:t xml:space="preserve"> </w:t>
      </w:r>
      <w:r>
        <w:t xml:space="preserve">and Section 3.4(c) states that the Limited Partner</w:t>
      </w:r>
      <w:r>
        <w:t xml:space="preserve"> </w:t>
      </w:r>
      <w:r>
        <w:t xml:space="preserve">“</w:t>
      </w:r>
      <w:r>
        <w:t xml:space="preserve">will share in the gains and losses attributable to such [pre-closing] investments on a pro rata basis … as if the Subscriber had been admitted at the Initial Closing.</w:t>
      </w:r>
      <w:r>
        <w:t xml:space="preserve">”</w:t>
      </w:r>
    </w:p>
    <w:p>
      <w:pPr>
        <w:pStyle w:val="BodyText"/>
      </w:pPr>
      <w:r>
        <w:t xml:space="preserve">This language is in tension with the LPA’s mechanics for admitting Subsequent Closing Partners. Section 4.1 of the LPA provides that, upon the admission of a new Partner (including at a Subsequent Closing), the Capital Accounts of</w:t>
      </w:r>
      <w:r>
        <w:t xml:space="preserve"> </w:t>
      </w:r>
      <w:r>
        <w:rPr>
          <w:b/>
          <w:bCs/>
        </w:rPr>
        <w:t xml:space="preserve">existing</w:t>
      </w:r>
      <w:r>
        <w:t xml:space="preserve"> </w:t>
      </w:r>
      <w:r>
        <w:t xml:space="preserve">Partners are adjusted to reflect a revaluation (</w:t>
      </w:r>
      <w:r>
        <w:t xml:space="preserve">“</w:t>
      </w:r>
      <w:r>
        <w:t xml:space="preserve">book-up</w:t>
      </w:r>
      <w:r>
        <w:t xml:space="preserve">”</w:t>
      </w:r>
      <w:r>
        <w:t xml:space="preserve">) of Partnership assets to fair market value, with the resulting unrealized gain or loss allocated among the</w:t>
      </w:r>
      <w:r>
        <w:t xml:space="preserve"> </w:t>
      </w:r>
      <w:r>
        <w:rPr>
          <w:b/>
          <w:bCs/>
        </w:rPr>
        <w:t xml:space="preserve">existing</w:t>
      </w:r>
      <w:r>
        <w:t xml:space="preserve"> </w:t>
      </w:r>
      <w:r>
        <w:t xml:space="preserve">Partners. Section 3.2(c) provides the equalization mechanism (Equalization Contributions and Equalization Interest) by which Subsequent Closing Partners</w:t>
      </w:r>
      <w:r>
        <w:t xml:space="preserve"> </w:t>
      </w:r>
      <w:r>
        <w:t xml:space="preserve">“</w:t>
      </w:r>
      <w:r>
        <w:t xml:space="preserve">buy in</w:t>
      </w:r>
      <w:r>
        <w:t xml:space="preserve">”</w:t>
      </w:r>
      <w:r>
        <w:t xml:space="preserve"> </w:t>
      </w:r>
      <w:r>
        <w:t xml:space="preserve">to prior investments at current value rather than receiving retroactive allocations of pre-admission gains and losses. Read together, these provisions do not treat a Subsequent Closing Partner as having been admitted retroactively for allocation purposes; rather, the Partner participates going forward at fair market value, with pre-admission unrealized gains retained by the existing Partners.</w:t>
      </w:r>
    </w:p>
    <w:p>
      <w:pPr>
        <w:pStyle w:val="BodyText"/>
      </w:pPr>
      <w:r>
        <w:t xml:space="preserve">The Subscription Agreement’s</w:t>
      </w:r>
      <w:r>
        <w:t xml:space="preserve"> </w:t>
      </w:r>
      <w:r>
        <w:t xml:space="preserve">“</w:t>
      </w:r>
      <w:r>
        <w:t xml:space="preserve">retroactive admission for allocations</w:t>
      </w:r>
      <w:r>
        <w:t xml:space="preserve">”</w:t>
      </w:r>
      <w:r>
        <w:t xml:space="preserve"> </w:t>
      </w:r>
      <w:r>
        <w:t xml:space="preserve">language could be read to conflict with the LPA’s book-up and equalization framework, and could affect how gains and losses on the two pre-closing portfolio investments (MedBridge Health Systems, Inc. and Altius Digital Solutions, LLC) are allocated to the Final Closing Limited Partners.</w:t>
      </w:r>
    </w:p>
    <w:p>
      <w:pPr>
        <w:pStyle w:val="BodyText"/>
      </w:pPr>
      <w:r>
        <w:rPr>
          <w:b/>
          <w:bCs/>
        </w:rPr>
        <w:t xml:space="preserve">Recommendation.</w:t>
      </w:r>
      <w:r>
        <w:t xml:space="preserve"> </w:t>
      </w:r>
      <w:r>
        <w:t xml:space="preserve">Confirm the intended allocation treatment. If the intent is the standard equalization/book-up approach (which we understand to be the case), the Subscription Agreement’s Section 3.4(b) and (c) should be clarified by side letter or conforming amendment to avoid an arguable conflict with Sections 3.2(c) and 4.1 of the LPA. (We also note that Section 3.4(b) refers to</w:t>
      </w:r>
      <w:r>
        <w:t xml:space="preserve"> </w:t>
      </w:r>
      <w:r>
        <w:t xml:space="preserve">“</w:t>
      </w:r>
      <w:r>
        <w:t xml:space="preserve">allocations … under Articles IV and V of the LPA,</w:t>
      </w:r>
      <w:r>
        <w:t xml:space="preserve">”</w:t>
      </w:r>
      <w:r>
        <w:t xml:space="preserve"> </w:t>
      </w:r>
      <w:r>
        <w:t xml:space="preserve">but Article V of the LPA governs Partnership Investments, not allocations or distributions; allocations are in Article IV and distributions are in Article VIII.)</w:t>
      </w:r>
    </w:p>
    <w:bookmarkEnd w:id="29"/>
    <w:bookmarkStart w:id="30" w:name="h.-outstanding-closing-items"/>
    <w:p>
      <w:pPr>
        <w:pStyle w:val="Heading3"/>
      </w:pPr>
      <w:r>
        <w:t xml:space="preserve">H. Outstanding Closing Items</w:t>
      </w:r>
    </w:p>
    <w:p>
      <w:pPr>
        <w:pStyle w:val="FirstParagraph"/>
      </w:pPr>
      <w:r>
        <w:t xml:space="preserve">The following items were not yet completed as of the date of the Source Documents and should be confirmed or completed at or promptly after the Final Closing:</w:t>
      </w:r>
    </w:p>
    <w:p>
      <w:pPr>
        <w:numPr>
          <w:ilvl w:val="0"/>
          <w:numId w:val="1007"/>
        </w:numPr>
      </w:pPr>
      <w:r>
        <w:rPr>
          <w:b/>
          <w:bCs/>
        </w:rPr>
        <w:t xml:space="preserve">Receipt of Final Closing funds (Condition 2).</w:t>
      </w:r>
      <w:r>
        <w:t xml:space="preserve"> </w:t>
      </w:r>
      <w:r>
        <w:t xml:space="preserve">The Admin Checklist (item 21) marks escrow funding confirmation as</w:t>
      </w:r>
      <w:r>
        <w:t xml:space="preserve"> </w:t>
      </w:r>
      <w:r>
        <w:t xml:space="preserve">“</w:t>
      </w:r>
      <w:r>
        <w:rPr>
          <w:b/>
          <w:bCs/>
        </w:rPr>
        <w:t xml:space="preserve">Pending</w:t>
      </w:r>
      <w:r>
        <w:t xml:space="preserve"> </w:t>
      </w:r>
      <w:r>
        <w:t xml:space="preserve">— Awaiting bank confirmation of wire receipts as of January 30, 2025.</w:t>
      </w:r>
      <w:r>
        <w:t xml:space="preserve">”</w:t>
      </w:r>
      <w:r>
        <w:t xml:space="preserve"> </w:t>
      </w:r>
      <w:r>
        <w:t xml:space="preserve">The Certificate certifies receipt of funds as of the Final Closing date in reliance on the Fund Administrator’s confirmation; the Fund Administrator’s written confirmation of receipt of all Final Closing wires (catch-up capital plus Equalization Interest) in the Pinnacle National Bank escrow account (ending in 9213) must be obtained on the closing date.</w:t>
      </w:r>
    </w:p>
    <w:p>
      <w:pPr>
        <w:numPr>
          <w:ilvl w:val="0"/>
          <w:numId w:val="1007"/>
        </w:numPr>
      </w:pPr>
      <w:r>
        <w:rPr>
          <w:b/>
          <w:bCs/>
        </w:rPr>
        <w:t xml:space="preserve">Legal opinions (Condition 7).</w:t>
      </w:r>
      <w:r>
        <w:t xml:space="preserve"> </w:t>
      </w:r>
      <w:r>
        <w:t xml:space="preserve">The Admin Checklist (item 23) and the GP Memo (Condition 7) both indicate that the legal opinions were in draft (</w:t>
      </w:r>
      <w:r>
        <w:t xml:space="preserve">“</w:t>
      </w:r>
      <w:r>
        <w:t xml:space="preserve">Draft circulated — awaiting execution</w:t>
      </w:r>
      <w:r>
        <w:t xml:space="preserve">”</w:t>
      </w:r>
      <w:r>
        <w:t xml:space="preserve">) as of the Source Documents. The Certificate certifies delivery of the opinions as of the closing date; the final executed opinions of Fund Counsel (formation, enforceability, and securities/limited-liability opinions) must be delivered at or prior to the closing.</w:t>
      </w:r>
    </w:p>
    <w:p>
      <w:pPr>
        <w:numPr>
          <w:ilvl w:val="0"/>
          <w:numId w:val="1007"/>
        </w:numPr>
      </w:pPr>
      <w:r>
        <w:rPr>
          <w:b/>
          <w:bCs/>
        </w:rPr>
        <w:t xml:space="preserve">Advisory Committee — fifth seat.</w:t>
      </w:r>
      <w:r>
        <w:t xml:space="preserve"> </w:t>
      </w:r>
      <w:r>
        <w:t xml:space="preserve">One (1) seat on the Advisory Committee remains vacant (Section 9.1(b) of the LPA). The GP Memo recommends approaching Meridian State Teachers’ Retirement System. This is a post-closing item but should be addressed promptly; the Certificate notes the vacancy.</w:t>
      </w:r>
    </w:p>
    <w:p>
      <w:pPr>
        <w:numPr>
          <w:ilvl w:val="0"/>
          <w:numId w:val="1007"/>
        </w:numPr>
      </w:pPr>
      <w:r>
        <w:rPr>
          <w:b/>
          <w:bCs/>
        </w:rPr>
        <w:t xml:space="preserve">Form D amendment.</w:t>
      </w:r>
      <w:r>
        <w:t xml:space="preserve"> </w:t>
      </w:r>
      <w:r>
        <w:t xml:space="preserve">An amended Form D must be filed with the SEC within fifteen (15) days following the Final Closing (i.e., by February 15, 2025) to reflect the six additional investors and the updated aggregate offering amount (Admin Checklist item 28).</w:t>
      </w:r>
    </w:p>
    <w:p>
      <w:pPr>
        <w:numPr>
          <w:ilvl w:val="0"/>
          <w:numId w:val="1007"/>
        </w:numPr>
      </w:pPr>
      <w:r>
        <w:rPr>
          <w:b/>
          <w:bCs/>
        </w:rPr>
        <w:t xml:space="preserve">MFN Notices.</w:t>
      </w:r>
      <w:r>
        <w:t xml:space="preserve"> </w:t>
      </w:r>
      <w:r>
        <w:t xml:space="preserve">Pursuant to Section 12.3 of the LPA, MFN Notices must be circulated to all MFN Eligible Partners (including Meridian State Teachers’ Retirement System and Northbridge Endowment Fund) within thirty (30) days following the Final Closing (Admin Checklist item 31).</w:t>
      </w:r>
    </w:p>
    <w:p>
      <w:pPr>
        <w:numPr>
          <w:ilvl w:val="0"/>
          <w:numId w:val="1007"/>
        </w:numPr>
      </w:pPr>
      <w:r>
        <w:rPr>
          <w:b/>
          <w:bCs/>
        </w:rPr>
        <w:t xml:space="preserve">Advisory Committee notification of Target Fund Size exceedance.</w:t>
      </w:r>
      <w:r>
        <w:t xml:space="preserve"> </w:t>
      </w:r>
      <w:r>
        <w:t xml:space="preserve">Aggregate Capital Commitments ($1,615,000,000) exceed the Target Fund Size ($1,500,000,000) by $115,000,000. Section 3.1(d) of the LPA requires the General Partner to notify the Advisory Committee in writing not later than five (5) Business Days following the Closing at which the Target Fund Size is first exceeded. This notification should be delivered by approximately February 7, 2025. (We note that the Subscription Agreement describes this notification as</w:t>
      </w:r>
      <w:r>
        <w:t xml:space="preserve"> </w:t>
      </w:r>
      <w:r>
        <w:t xml:space="preserve">“</w:t>
      </w:r>
      <w:r>
        <w:t xml:space="preserve">a condition to the acceptance of commitments above the Fund Target,</w:t>
      </w:r>
      <w:r>
        <w:t xml:space="preserve">”</w:t>
      </w:r>
      <w:r>
        <w:t xml:space="preserve"> </w:t>
      </w:r>
      <w:r>
        <w:t xml:space="preserve">which overstates the LPA — Section 3.1(d) requires the notification but does not condition acceptance on it, and exceeding the Target Fund Size does not require Advisory Committee consent so long as the Hard Cap is not exceeded.)</w:t>
      </w:r>
    </w:p>
    <w:bookmarkEnd w:id="30"/>
    <w:bookmarkEnd w:id="31"/>
    <w:bookmarkStart w:id="38" w:name="v.-minor-clerical-discrepancies"/>
    <w:p>
      <w:pPr>
        <w:pStyle w:val="Heading2"/>
      </w:pPr>
      <w:r>
        <w:t xml:space="preserve">V. Minor / Clerical Discrepancies</w:t>
      </w:r>
    </w:p>
    <w:bookmarkStart w:id="32" w:name="i.-incorrect-section-cross-references"/>
    <w:p>
      <w:pPr>
        <w:pStyle w:val="Heading3"/>
      </w:pPr>
      <w:r>
        <w:t xml:space="preserve">I. Incorrect Section Cross-References</w:t>
      </w:r>
    </w:p>
    <w:p>
      <w:pPr>
        <w:pStyle w:val="FirstParagraph"/>
      </w:pPr>
      <w:r>
        <w:t xml:space="preserve">Several Source Documents contain incorrect cross-references to LPA sections. While these are unlikely to affect the validity of the transactions, they should be corrected to avoid confusion and to ensure that the closing record is accurate:</w:t>
      </w:r>
    </w:p>
    <w:p>
      <w:pPr>
        <w:pStyle w:val="Compact"/>
        <w:numPr>
          <w:ilvl w:val="0"/>
          <w:numId w:val="1008"/>
        </w:numPr>
      </w:pPr>
      <w:r>
        <w:rPr>
          <w:b/>
          <w:bCs/>
        </w:rPr>
        <w:t xml:space="preserve">CC#1:</w:t>
      </w:r>
      <w:r>
        <w:t xml:space="preserve"> </w:t>
      </w:r>
      <w:r>
        <w:t xml:space="preserve">references</w:t>
      </w:r>
      <w:r>
        <w:t xml:space="preserve"> </w:t>
      </w:r>
      <w:r>
        <w:t xml:space="preserve">“</w:t>
      </w:r>
      <w:r>
        <w:t xml:space="preserve">Section 3.5</w:t>
      </w:r>
      <w:r>
        <w:t xml:space="preserve">”</w:t>
      </w:r>
      <w:r>
        <w:t xml:space="preserve"> </w:t>
      </w:r>
      <w:r>
        <w:t xml:space="preserve">for default provisions (the LPA’s default provisions are in</w:t>
      </w:r>
      <w:r>
        <w:t xml:space="preserve"> </w:t>
      </w:r>
      <w:r>
        <w:rPr>
          <w:b/>
          <w:bCs/>
        </w:rPr>
        <w:t xml:space="preserve">Section 3.3</w:t>
      </w:r>
      <w:r>
        <w:t xml:space="preserve">; there is no Section 3.5); references</w:t>
      </w:r>
      <w:r>
        <w:t xml:space="preserve"> </w:t>
      </w:r>
      <w:r>
        <w:t xml:space="preserve">“</w:t>
      </w:r>
      <w:r>
        <w:t xml:space="preserve">Section 14.1 (Notices)</w:t>
      </w:r>
      <w:r>
        <w:t xml:space="preserve">”</w:t>
      </w:r>
      <w:r>
        <w:t xml:space="preserve"> </w:t>
      </w:r>
      <w:r>
        <w:t xml:space="preserve">(Notices are in</w:t>
      </w:r>
      <w:r>
        <w:t xml:space="preserve"> </w:t>
      </w:r>
      <w:r>
        <w:rPr>
          <w:b/>
          <w:bCs/>
        </w:rPr>
        <w:t xml:space="preserve">Section 14.2</w:t>
      </w:r>
      <w:r>
        <w:t xml:space="preserve">; Section 14.1 governs Amendments).</w:t>
      </w:r>
    </w:p>
    <w:p>
      <w:pPr>
        <w:pStyle w:val="Compact"/>
        <w:numPr>
          <w:ilvl w:val="0"/>
          <w:numId w:val="1008"/>
        </w:numPr>
      </w:pPr>
      <w:r>
        <w:rPr>
          <w:b/>
          <w:bCs/>
        </w:rPr>
        <w:t xml:space="preserve">CC#2:</w:t>
      </w:r>
      <w:r>
        <w:t xml:space="preserve"> </w:t>
      </w:r>
      <w:r>
        <w:t xml:space="preserve">references</w:t>
      </w:r>
      <w:r>
        <w:t xml:space="preserve"> </w:t>
      </w:r>
      <w:r>
        <w:t xml:space="preserve">“</w:t>
      </w:r>
      <w:r>
        <w:t xml:space="preserve">Section 3.5</w:t>
      </w:r>
      <w:r>
        <w:t xml:space="preserve">”</w:t>
      </w:r>
      <w:r>
        <w:t xml:space="preserve"> </w:t>
      </w:r>
      <w:r>
        <w:t xml:space="preserve">for default provisions (should be</w:t>
      </w:r>
      <w:r>
        <w:t xml:space="preserve"> </w:t>
      </w:r>
      <w:r>
        <w:rPr>
          <w:b/>
          <w:bCs/>
        </w:rPr>
        <w:t xml:space="preserve">Section 3.3</w:t>
      </w:r>
      <w:r>
        <w:t xml:space="preserve">); references</w:t>
      </w:r>
      <w:r>
        <w:t xml:space="preserve"> </w:t>
      </w:r>
      <w:r>
        <w:t xml:space="preserve">“</w:t>
      </w:r>
      <w:r>
        <w:t xml:space="preserve">Section 6.1</w:t>
      </w:r>
      <w:r>
        <w:t xml:space="preserve">”</w:t>
      </w:r>
      <w:r>
        <w:t xml:space="preserve"> </w:t>
      </w:r>
      <w:r>
        <w:t xml:space="preserve">for management fees (management fees are in</w:t>
      </w:r>
      <w:r>
        <w:t xml:space="preserve"> </w:t>
      </w:r>
      <w:r>
        <w:rPr>
          <w:b/>
          <w:bCs/>
        </w:rPr>
        <w:t xml:space="preserve">Section 7.1</w:t>
      </w:r>
      <w:r>
        <w:t xml:space="preserve">; Section 6.1 governs Limited Partner representations); references</w:t>
      </w:r>
      <w:r>
        <w:t xml:space="preserve"> </w:t>
      </w:r>
      <w:r>
        <w:t xml:space="preserve">“</w:t>
      </w:r>
      <w:r>
        <w:t xml:space="preserve">Section 13.1</w:t>
      </w:r>
      <w:r>
        <w:t xml:space="preserve">”</w:t>
      </w:r>
      <w:r>
        <w:t xml:space="preserve"> </w:t>
      </w:r>
      <w:r>
        <w:t xml:space="preserve">for notice provisions (should be</w:t>
      </w:r>
      <w:r>
        <w:t xml:space="preserve"> </w:t>
      </w:r>
      <w:r>
        <w:rPr>
          <w:b/>
          <w:bCs/>
        </w:rPr>
        <w:t xml:space="preserve">Section 14.2</w:t>
      </w:r>
      <w:r>
        <w:t xml:space="preserve">; Section 13.1 governs Restrictions on Transfer).</w:t>
      </w:r>
    </w:p>
    <w:p>
      <w:pPr>
        <w:pStyle w:val="Compact"/>
        <w:numPr>
          <w:ilvl w:val="0"/>
          <w:numId w:val="1008"/>
        </w:numPr>
      </w:pPr>
      <w:r>
        <w:rPr>
          <w:b/>
          <w:bCs/>
        </w:rPr>
        <w:t xml:space="preserve">Subscription Agreement:</w:t>
      </w:r>
      <w:r>
        <w:t xml:space="preserve"> </w:t>
      </w:r>
      <w:r>
        <w:t xml:space="preserve">references</w:t>
      </w:r>
      <w:r>
        <w:t xml:space="preserve"> </w:t>
      </w:r>
      <w:r>
        <w:t xml:space="preserve">“</w:t>
      </w:r>
      <w:r>
        <w:t xml:space="preserve">Section 3.5</w:t>
      </w:r>
      <w:r>
        <w:t xml:space="preserve">”</w:t>
      </w:r>
      <w:r>
        <w:t xml:space="preserve"> </w:t>
      </w:r>
      <w:r>
        <w:t xml:space="preserve">for default remedies (should be</w:t>
      </w:r>
      <w:r>
        <w:t xml:space="preserve"> </w:t>
      </w:r>
      <w:r>
        <w:rPr>
          <w:b/>
          <w:bCs/>
        </w:rPr>
        <w:t xml:space="preserve">Section 3.3</w:t>
      </w:r>
      <w:r>
        <w:t xml:space="preserve">); refers to transfer restrictions in</w:t>
      </w:r>
      <w:r>
        <w:t xml:space="preserve"> </w:t>
      </w:r>
      <w:r>
        <w:t xml:space="preserve">“</w:t>
      </w:r>
      <w:r>
        <w:t xml:space="preserve">Article X</w:t>
      </w:r>
      <w:r>
        <w:t xml:space="preserve">”</w:t>
      </w:r>
      <w:r>
        <w:t xml:space="preserve"> </w:t>
      </w:r>
      <w:r>
        <w:t xml:space="preserve">of the LPA in three places (Sections 2.4(c), 3.1, and 8.8) (transfers are governed by</w:t>
      </w:r>
      <w:r>
        <w:t xml:space="preserve"> </w:t>
      </w:r>
      <w:r>
        <w:rPr>
          <w:b/>
          <w:bCs/>
        </w:rPr>
        <w:t xml:space="preserve">Article XIII</w:t>
      </w:r>
      <w:r>
        <w:t xml:space="preserve">; Article X governs Dissolution and Winding Up); references</w:t>
      </w:r>
      <w:r>
        <w:t xml:space="preserve"> </w:t>
      </w:r>
      <w:r>
        <w:t xml:space="preserve">“</w:t>
      </w:r>
      <w:r>
        <w:t xml:space="preserve">Section 14.6</w:t>
      </w:r>
      <w:r>
        <w:t xml:space="preserve">”</w:t>
      </w:r>
      <w:r>
        <w:t xml:space="preserve"> </w:t>
      </w:r>
      <w:r>
        <w:t xml:space="preserve">for dispute resolution (should be</w:t>
      </w:r>
      <w:r>
        <w:t xml:space="preserve"> </w:t>
      </w:r>
      <w:r>
        <w:rPr>
          <w:b/>
          <w:bCs/>
        </w:rPr>
        <w:t xml:space="preserve">Section 14.4</w:t>
      </w:r>
      <w:r>
        <w:t xml:space="preserve">; Section 14.6 governs Severability); references</w:t>
      </w:r>
      <w:r>
        <w:t xml:space="preserve"> </w:t>
      </w:r>
      <w:r>
        <w:t xml:space="preserve">“</w:t>
      </w:r>
      <w:r>
        <w:t xml:space="preserve">Section 14.2</w:t>
      </w:r>
      <w:r>
        <w:t xml:space="preserve">”</w:t>
      </w:r>
      <w:r>
        <w:t xml:space="preserve"> </w:t>
      </w:r>
      <w:r>
        <w:t xml:space="preserve">for the power of attorney (should be</w:t>
      </w:r>
      <w:r>
        <w:t xml:space="preserve"> </w:t>
      </w:r>
      <w:r>
        <w:rPr>
          <w:b/>
          <w:bCs/>
        </w:rPr>
        <w:t xml:space="preserve">Section 14.9</w:t>
      </w:r>
      <w:r>
        <w:t xml:space="preserve">; Section 14.2 governs Notices); references</w:t>
      </w:r>
      <w:r>
        <w:t xml:space="preserve"> </w:t>
      </w:r>
      <w:r>
        <w:t xml:space="preserve">“</w:t>
      </w:r>
      <w:r>
        <w:t xml:space="preserve">Section 3.2(c)(iii)</w:t>
      </w:r>
      <w:r>
        <w:t xml:space="preserve">”</w:t>
      </w:r>
      <w:r>
        <w:t xml:space="preserve"> </w:t>
      </w:r>
      <w:r>
        <w:t xml:space="preserve">(Section 3.2(c) is not subdivided into numbered subsections in the LPA).</w:t>
      </w:r>
    </w:p>
    <w:p>
      <w:pPr>
        <w:pStyle w:val="Compact"/>
        <w:numPr>
          <w:ilvl w:val="0"/>
          <w:numId w:val="1008"/>
        </w:numPr>
      </w:pPr>
      <w:r>
        <w:rPr>
          <w:b/>
          <w:bCs/>
        </w:rPr>
        <w:t xml:space="preserve">Amendment:</w:t>
      </w:r>
      <w:r>
        <w:t xml:space="preserve"> </w:t>
      </w:r>
      <w:r>
        <w:t xml:space="preserve">references</w:t>
      </w:r>
      <w:r>
        <w:t xml:space="preserve"> </w:t>
      </w:r>
      <w:r>
        <w:t xml:space="preserve">“</w:t>
      </w:r>
      <w:r>
        <w:t xml:space="preserve">Section 11.1(b)</w:t>
      </w:r>
      <w:r>
        <w:t xml:space="preserve">”</w:t>
      </w:r>
      <w:r>
        <w:t xml:space="preserve"> </w:t>
      </w:r>
      <w:r>
        <w:t xml:space="preserve">for subsequent closings (should be</w:t>
      </w:r>
      <w:r>
        <w:t xml:space="preserve"> </w:t>
      </w:r>
      <w:r>
        <w:rPr>
          <w:b/>
          <w:bCs/>
        </w:rPr>
        <w:t xml:space="preserve">Section 3.1(b)</w:t>
      </w:r>
      <w:r>
        <w:t xml:space="preserve">; Section 11.1 is not subdivided); references</w:t>
      </w:r>
      <w:r>
        <w:t xml:space="preserve"> </w:t>
      </w:r>
      <w:r>
        <w:t xml:space="preserve">“</w:t>
      </w:r>
      <w:r>
        <w:t xml:space="preserve">Section 14.3</w:t>
      </w:r>
      <w:r>
        <w:t xml:space="preserve">”</w:t>
      </w:r>
      <w:r>
        <w:t xml:space="preserve"> </w:t>
      </w:r>
      <w:r>
        <w:t xml:space="preserve">and</w:t>
      </w:r>
      <w:r>
        <w:t xml:space="preserve"> </w:t>
      </w:r>
      <w:r>
        <w:t xml:space="preserve">“</w:t>
      </w:r>
      <w:r>
        <w:t xml:space="preserve">Section 14.3(b)</w:t>
      </w:r>
      <w:r>
        <w:t xml:space="preserve">”</w:t>
      </w:r>
      <w:r>
        <w:t xml:space="preserve"> </w:t>
      </w:r>
      <w:r>
        <w:t xml:space="preserve">for the General Partner’s amendment authority (should be</w:t>
      </w:r>
      <w:r>
        <w:t xml:space="preserve"> </w:t>
      </w:r>
      <w:r>
        <w:rPr>
          <w:b/>
          <w:bCs/>
        </w:rPr>
        <w:t xml:space="preserve">Section 14.1</w:t>
      </w:r>
      <w:r>
        <w:t xml:space="preserve">; Section 14.3 governs Governing Law and is not subdivided); references</w:t>
      </w:r>
      <w:r>
        <w:t xml:space="preserve"> </w:t>
      </w:r>
      <w:r>
        <w:t xml:space="preserve">“</w:t>
      </w:r>
      <w:r>
        <w:t xml:space="preserve">Section 3.1(a)</w:t>
      </w:r>
      <w:r>
        <w:t xml:space="preserve">”</w:t>
      </w:r>
      <w:r>
        <w:t xml:space="preserve"> </w:t>
      </w:r>
      <w:r>
        <w:t xml:space="preserve">for the Hard Cap and Target Fund Size (the Hard Cap is in</w:t>
      </w:r>
      <w:r>
        <w:t xml:space="preserve"> </w:t>
      </w:r>
      <w:r>
        <w:rPr>
          <w:b/>
          <w:bCs/>
        </w:rPr>
        <w:t xml:space="preserve">Section 3.1(c)</w:t>
      </w:r>
      <w:r>
        <w:t xml:space="preserve"> </w:t>
      </w:r>
      <w:r>
        <w:t xml:space="preserve">and the Target Fund Size is in</w:t>
      </w:r>
      <w:r>
        <w:t xml:space="preserve"> </w:t>
      </w:r>
      <w:r>
        <w:rPr>
          <w:b/>
          <w:bCs/>
        </w:rPr>
        <w:t xml:space="preserve">Section 3.1(d)</w:t>
      </w:r>
      <w:r>
        <w:t xml:space="preserve">; Section 3.1(a) governs the Initial Closing); references</w:t>
      </w:r>
      <w:r>
        <w:t xml:space="preserve"> </w:t>
      </w:r>
      <w:r>
        <w:t xml:space="preserve">“</w:t>
      </w:r>
      <w:r>
        <w:t xml:space="preserve">Article XII</w:t>
      </w:r>
      <w:r>
        <w:t xml:space="preserve">”</w:t>
      </w:r>
      <w:r>
        <w:t xml:space="preserve"> </w:t>
      </w:r>
      <w:r>
        <w:t xml:space="preserve">for the General Partner’s representations and warranties (Article XII governs Confidentiality, Side Letters, and MFN; the LPA does not contain a dedicated article of General Partner representations and warranties); and introduces the undefined term</w:t>
      </w:r>
      <w:r>
        <w:t xml:space="preserve"> </w:t>
      </w:r>
      <w:r>
        <w:t xml:space="preserve">“</w:t>
      </w:r>
      <w:r>
        <w:t xml:space="preserve">Investment Manager</w:t>
      </w:r>
      <w:r>
        <w:t xml:space="preserve">”</w:t>
      </w:r>
      <w:r>
        <w:t xml:space="preserve"> </w:t>
      </w:r>
      <w:r>
        <w:t xml:space="preserve">in Section 2.2(c) (the LPA does not define an</w:t>
      </w:r>
      <w:r>
        <w:t xml:space="preserve"> </w:t>
      </w:r>
      <w:r>
        <w:t xml:space="preserve">“</w:t>
      </w:r>
      <w:r>
        <w:t xml:space="preserve">Investment Manager</w:t>
      </w:r>
      <w:r>
        <w:t xml:space="preserve">”</w:t>
      </w:r>
      <w:r>
        <w:t xml:space="preserve"> </w:t>
      </w:r>
      <w:r>
        <w:t xml:space="preserve">separate from the General Partner).</w:t>
      </w:r>
    </w:p>
    <w:p>
      <w:pPr>
        <w:pStyle w:val="Compact"/>
        <w:numPr>
          <w:ilvl w:val="0"/>
          <w:numId w:val="1008"/>
        </w:numPr>
      </w:pPr>
      <w:r>
        <w:rPr>
          <w:b/>
          <w:bCs/>
        </w:rPr>
        <w:t xml:space="preserve">GP Memo:</w:t>
      </w:r>
      <w:r>
        <w:t xml:space="preserve"> </w:t>
      </w:r>
      <w:r>
        <w:t xml:space="preserve">references</w:t>
      </w:r>
      <w:r>
        <w:t xml:space="preserve"> </w:t>
      </w:r>
      <w:r>
        <w:t xml:space="preserve">“</w:t>
      </w:r>
      <w:r>
        <w:t xml:space="preserve">Section 8.1</w:t>
      </w:r>
      <w:r>
        <w:t xml:space="preserve">”</w:t>
      </w:r>
      <w:r>
        <w:t xml:space="preserve"> </w:t>
      </w:r>
      <w:r>
        <w:t xml:space="preserve">for termination of the Investment Period (should be</w:t>
      </w:r>
      <w:r>
        <w:t xml:space="preserve"> </w:t>
      </w:r>
      <w:r>
        <w:rPr>
          <w:b/>
          <w:bCs/>
        </w:rPr>
        <w:t xml:space="preserve">Section 2.7</w:t>
      </w:r>
      <w:r>
        <w:t xml:space="preserve">; Section 8.1 governs Distributions); references</w:t>
      </w:r>
      <w:r>
        <w:t xml:space="preserve"> </w:t>
      </w:r>
      <w:r>
        <w:t xml:space="preserve">“</w:t>
      </w:r>
      <w:r>
        <w:t xml:space="preserve">Article VII</w:t>
      </w:r>
      <w:r>
        <w:t xml:space="preserve">”</w:t>
      </w:r>
      <w:r>
        <w:t xml:space="preserve"> </w:t>
      </w:r>
      <w:r>
        <w:t xml:space="preserve">for the General Partner’s representations and warranties (Article VII governs Management Fees and Expenses; the LPA does not contain a dedicated article of General Partner representations and warranties).</w:t>
      </w:r>
    </w:p>
    <w:bookmarkEnd w:id="32"/>
    <w:bookmarkStart w:id="33" w:name="j.-ppm-date-inconsistency"/>
    <w:p>
      <w:pPr>
        <w:pStyle w:val="Heading3"/>
      </w:pPr>
      <w:r>
        <w:t xml:space="preserve">J. PPM Date Inconsistency</w:t>
      </w:r>
    </w:p>
    <w:p>
      <w:pPr>
        <w:pStyle w:val="FirstParagraph"/>
      </w:pPr>
      <w:r>
        <w:t xml:space="preserve">The date of the Fund’s Confidential Private Placement Memorandum is stated differently across the Source Documents:</w:t>
      </w:r>
      <w:r>
        <w:t xml:space="preserve"> </w:t>
      </w:r>
      <w:r>
        <w:rPr>
          <w:b/>
          <w:bCs/>
        </w:rPr>
        <w:t xml:space="preserve">July 15, 2024</w:t>
      </w:r>
      <w:r>
        <w:t xml:space="preserve"> </w:t>
      </w:r>
      <w:r>
        <w:t xml:space="preserve">(GP Memo, Section I);</w:t>
      </w:r>
      <w:r>
        <w:t xml:space="preserve"> </w:t>
      </w:r>
      <w:r>
        <w:rPr>
          <w:b/>
          <w:bCs/>
        </w:rPr>
        <w:t xml:space="preserve">August 1, 2024</w:t>
      </w:r>
      <w:r>
        <w:t xml:space="preserve"> </w:t>
      </w:r>
      <w:r>
        <w:t xml:space="preserve">(CC#2, Section III(a)); and</w:t>
      </w:r>
      <w:r>
        <w:t xml:space="preserve"> </w:t>
      </w:r>
      <w:r>
        <w:rPr>
          <w:b/>
          <w:bCs/>
        </w:rPr>
        <w:t xml:space="preserve">July 2024</w:t>
      </w:r>
      <w:r>
        <w:t xml:space="preserve"> </w:t>
      </w:r>
      <w:r>
        <w:t xml:space="preserve">(Amendment, Section 1.2(c)). The Subscription Agreement refers to the PPM without a date. The correct PPM date should be confirmed and used consistently. (August 1, 2024 is the date of formation of the Partnership, which may have been confused with the PPM date.)</w:t>
      </w:r>
    </w:p>
    <w:bookmarkEnd w:id="33"/>
    <w:bookmarkStart w:id="34" w:name="k.-investor-jurisdiction-inconsistencies"/>
    <w:p>
      <w:pPr>
        <w:pStyle w:val="Heading3"/>
      </w:pPr>
      <w:r>
        <w:t xml:space="preserve">K. Investor Jurisdiction Inconsistencies</w:t>
      </w:r>
    </w:p>
    <w:p>
      <w:pPr>
        <w:pStyle w:val="FirstParagraph"/>
      </w:pPr>
      <w:r>
        <w:t xml:space="preserve">The jurisdiction of organization of two Final Closing Limited Partners is stated inconsistently:</w:t>
      </w:r>
    </w:p>
    <w:p>
      <w:pPr>
        <w:pStyle w:val="Compact"/>
        <w:numPr>
          <w:ilvl w:val="0"/>
          <w:numId w:val="1009"/>
        </w:numPr>
      </w:pPr>
      <w:r>
        <w:rPr>
          <w:b/>
          <w:bCs/>
        </w:rPr>
        <w:t xml:space="preserve">Meridian State Teachers’ Retirement System:</w:t>
      </w:r>
      <w:r>
        <w:t xml:space="preserve"> </w:t>
      </w:r>
      <w:r>
        <w:t xml:space="preserve">the Subscription Agreement (Schedule I) states</w:t>
      </w:r>
      <w:r>
        <w:t xml:space="preserve"> </w:t>
      </w:r>
      <w:r>
        <w:t xml:space="preserve">“</w:t>
      </w:r>
      <w:r>
        <w:t xml:space="preserve">State of Illinois (U.S. governmental retirement system established pursuant to the Illinois Pension Code),</w:t>
      </w:r>
      <w:r>
        <w:t xml:space="preserve">”</w:t>
      </w:r>
      <w:r>
        <w:t xml:space="preserve"> </w:t>
      </w:r>
      <w:r>
        <w:t xml:space="preserve">while the Admin Checklist (Commitment Schedule) states</w:t>
      </w:r>
      <w:r>
        <w:t xml:space="preserve"> </w:t>
      </w:r>
      <w:r>
        <w:t xml:space="preserve">“</w:t>
      </w:r>
      <w:r>
        <w:t xml:space="preserve">State pension fund — Indiana.</w:t>
      </w:r>
      <w:r>
        <w:t xml:space="preserve">”</w:t>
      </w:r>
      <w:r>
        <w:t xml:space="preserve"> </w:t>
      </w:r>
      <w:r>
        <w:t xml:space="preserve">The AML Email describes it only as a</w:t>
      </w:r>
      <w:r>
        <w:t xml:space="preserve"> </w:t>
      </w:r>
      <w:r>
        <w:t xml:space="preserve">“</w:t>
      </w:r>
      <w:r>
        <w:t xml:space="preserve">U.S. public pension plan.</w:t>
      </w:r>
      <w:r>
        <w:t xml:space="preserve">”</w:t>
      </w:r>
    </w:p>
    <w:p>
      <w:pPr>
        <w:pStyle w:val="Compact"/>
        <w:numPr>
          <w:ilvl w:val="0"/>
          <w:numId w:val="1009"/>
        </w:numPr>
      </w:pPr>
      <w:r>
        <w:rPr>
          <w:b/>
          <w:bCs/>
        </w:rPr>
        <w:t xml:space="preserve">Northbridge Endowment Fund:</w:t>
      </w:r>
      <w:r>
        <w:t xml:space="preserve"> </w:t>
      </w:r>
      <w:r>
        <w:t xml:space="preserve">the Subscription Agreement (Schedule I) states</w:t>
      </w:r>
      <w:r>
        <w:t xml:space="preserve"> </w:t>
      </w:r>
      <w:r>
        <w:t xml:space="preserve">“</w:t>
      </w:r>
      <w:r>
        <w:t xml:space="preserve">Commonwealth of Massachusetts (U.S. endowment / tax-exempt organization under Section 501(c)(3) of the Code),</w:t>
      </w:r>
      <w:r>
        <w:t xml:space="preserve">”</w:t>
      </w:r>
      <w:r>
        <w:t xml:space="preserve"> </w:t>
      </w:r>
      <w:r>
        <w:t xml:space="preserve">while the Admin Checklist (Commitment Schedule) states</w:t>
      </w:r>
      <w:r>
        <w:t xml:space="preserve"> </w:t>
      </w:r>
      <w:r>
        <w:t xml:space="preserve">“</w:t>
      </w:r>
      <w:r>
        <w:t xml:space="preserve">Connecticut nonprofit corporation.</w:t>
      </w:r>
      <w:r>
        <w:t xml:space="preserve">”</w:t>
      </w:r>
    </w:p>
    <w:p>
      <w:pPr>
        <w:pStyle w:val="FirstParagraph"/>
      </w:pPr>
      <w:r>
        <w:t xml:space="preserve">The correct jurisdictions should be confirmed against the investors’ organizational documents (which were reviewed as part of AML/KYC) and reflected consistently in the updated Schedule A.</w:t>
      </w:r>
    </w:p>
    <w:bookmarkEnd w:id="34"/>
    <w:bookmarkStart w:id="35" w:name="X6d4a63e6132abbd2f753f25df66a1212482661e"/>
    <w:p>
      <w:pPr>
        <w:pStyle w:val="Heading3"/>
      </w:pPr>
      <w:r>
        <w:t xml:space="preserve">L. Capital Call No. 1 Funding Date Inconsistency</w:t>
      </w:r>
    </w:p>
    <w:p>
      <w:pPr>
        <w:pStyle w:val="FirstParagraph"/>
      </w:pPr>
      <w:r>
        <w:t xml:space="preserve">CC#1 states that the Drawdown Date for Capital Call No. 1 is</w:t>
      </w:r>
      <w:r>
        <w:t xml:space="preserve"> </w:t>
      </w:r>
      <w:r>
        <w:rPr>
          <w:b/>
          <w:bCs/>
        </w:rPr>
        <w:t xml:space="preserve">October 25, 2024</w:t>
      </w:r>
      <w:r>
        <w:t xml:space="preserve"> </w:t>
      </w:r>
      <w:r>
        <w:t xml:space="preserve">(described as</w:t>
      </w:r>
      <w:r>
        <w:t xml:space="preserve"> </w:t>
      </w:r>
      <w:r>
        <w:t xml:space="preserve">“</w:t>
      </w:r>
      <w:r>
        <w:t xml:space="preserve">ten (10) business days from the date of this Notice</w:t>
      </w:r>
      <w:r>
        <w:t xml:space="preserve">”</w:t>
      </w:r>
      <w:r>
        <w:t xml:space="preserve">). CC#2 (Section I) states that</w:t>
      </w:r>
      <w:r>
        <w:t xml:space="preserve"> </w:t>
      </w:r>
      <w:r>
        <w:t xml:space="preserve">“</w:t>
      </w:r>
      <w:r>
        <w:t xml:space="preserve">The Funding Date for Capital Call Notice No. 1 was</w:t>
      </w:r>
      <w:r>
        <w:t xml:space="preserve"> </w:t>
      </w:r>
      <w:r>
        <w:rPr>
          <w:b/>
          <w:bCs/>
        </w:rPr>
        <w:t xml:space="preserve">October 24, 2024</w:t>
      </w:r>
      <w:r>
        <w:t xml:space="preserve">, and all amounts due thereunder were timely funded.</w:t>
      </w:r>
      <w:r>
        <w:t xml:space="preserve">”</w:t>
      </w:r>
      <w:r>
        <w:t xml:space="preserve"> </w:t>
      </w:r>
      <w:r>
        <w:t xml:space="preserve">The two notices therefore disagree on the funding date for Capital Call No. 1 by one day. (Counting ten business days from October 10, 2024 yields October 24, 2024, suggesting that CC#1’s October 25 date may be the error.) This is historical and does not affect the Final Closing, but the discrepancy should be noted for record-keeping accuracy.</w:t>
      </w:r>
    </w:p>
    <w:bookmarkEnd w:id="35"/>
    <w:bookmarkStart w:id="36" w:name="m.-contact-information-inconsistencies"/>
    <w:p>
      <w:pPr>
        <w:pStyle w:val="Heading3"/>
      </w:pPr>
      <w:r>
        <w:t xml:space="preserve">M. Contact Information Inconsistencies</w:t>
      </w:r>
    </w:p>
    <w:p>
      <w:pPr>
        <w:pStyle w:val="FirstParagraph"/>
      </w:pPr>
      <w:r>
        <w:t xml:space="preserve">Contact information for the same individuals varies across the Source Documents:</w:t>
      </w:r>
    </w:p>
    <w:p>
      <w:pPr>
        <w:pStyle w:val="Compact"/>
        <w:numPr>
          <w:ilvl w:val="0"/>
          <w:numId w:val="1010"/>
        </w:numPr>
      </w:pPr>
      <w:r>
        <w:rPr>
          <w:b/>
          <w:bCs/>
        </w:rPr>
        <w:t xml:space="preserve">Sandra K. Liu (General Counsel):</w:t>
      </w:r>
      <w:r>
        <w:t xml:space="preserve"> </w:t>
      </w:r>
      <w:r>
        <w:t xml:space="preserve">telephone numbers of (312) 555-4718 (GP Memo), (312) 555-7200 (CC#2), and (312) 555-0184 (Subscription Agreement).</w:t>
      </w:r>
    </w:p>
    <w:p>
      <w:pPr>
        <w:pStyle w:val="Compact"/>
        <w:numPr>
          <w:ilvl w:val="0"/>
          <w:numId w:val="1010"/>
        </w:numPr>
      </w:pPr>
      <w:r>
        <w:rPr>
          <w:b/>
          <w:bCs/>
        </w:rPr>
        <w:t xml:space="preserve">Jonathan C. Prewitt (Fund Administrator):</w:t>
      </w:r>
      <w:r>
        <w:t xml:space="preserve"> </w:t>
      </w:r>
      <w:r>
        <w:t xml:space="preserve">telephone numbers of (203) 555-4100 (CC#1), (203) 555-4180 (CC#2), (203) 555-0163 (Subscription Agreement), and (203) 541-2280 (AML Email signature); and an email address of</w:t>
      </w:r>
      <w:r>
        <w:t xml:space="preserve"> </w:t>
      </w:r>
      <w:r>
        <w:t xml:space="preserve">“</w:t>
      </w:r>
      <w:r>
        <w:t xml:space="preserve">j.prewitt@oakmerefundservices.com</w:t>
      </w:r>
      <w:r>
        <w:t xml:space="preserve">”</w:t>
      </w:r>
      <w:r>
        <w:t xml:space="preserve"> </w:t>
      </w:r>
      <w:r>
        <w:t xml:space="preserve">(LPA Section 14.2 and GP Memo) versus</w:t>
      </w:r>
      <w:r>
        <w:t xml:space="preserve"> </w:t>
      </w:r>
      <w:r>
        <w:t xml:space="preserve">“</w:t>
      </w:r>
      <w:r>
        <w:t xml:space="preserve">jprewitt@oakmerefundservices.com</w:t>
      </w:r>
      <w:r>
        <w:t xml:space="preserve">”</w:t>
      </w:r>
      <w:r>
        <w:t xml:space="preserve"> </w:t>
      </w:r>
      <w:r>
        <w:t xml:space="preserve">(CC#1, CC#2, Subscription Agreement, and the AML Email</w:t>
      </w:r>
      <w:r>
        <w:t xml:space="preserve"> </w:t>
      </w:r>
      <w:r>
        <w:t xml:space="preserve">“</w:t>
      </w:r>
      <w:r>
        <w:t xml:space="preserve">From</w:t>
      </w:r>
      <w:r>
        <w:t xml:space="preserve">”</w:t>
      </w:r>
      <w:r>
        <w:t xml:space="preserve"> </w:t>
      </w:r>
      <w:r>
        <w:t xml:space="preserve">header).</w:t>
      </w:r>
    </w:p>
    <w:p>
      <w:pPr>
        <w:pStyle w:val="FirstParagraph"/>
      </w:pPr>
      <w:r>
        <w:t xml:space="preserve">These should be standardized, particularly the Fund Administrator’s email address in the LPA’s notice provisions (Section 14.2), which is the operative notice address.</w:t>
      </w:r>
    </w:p>
    <w:bookmarkEnd w:id="36"/>
    <w:bookmarkStart w:id="37" w:name="Xdff3ffd9aa53074ebde716edc1b83dbd2c5a361"/>
    <w:p>
      <w:pPr>
        <w:pStyle w:val="Heading3"/>
      </w:pPr>
      <w:r>
        <w:t xml:space="preserve">N. Admin Checklist Reference to GP Memo Date</w:t>
      </w:r>
    </w:p>
    <w:p>
      <w:pPr>
        <w:pStyle w:val="FirstParagraph"/>
      </w:pPr>
      <w:r>
        <w:t xml:space="preserve">Admin Checklist item 24 cites the</w:t>
      </w:r>
      <w:r>
        <w:t xml:space="preserve"> </w:t>
      </w:r>
      <w:r>
        <w:t xml:space="preserve">“</w:t>
      </w:r>
      <w:r>
        <w:t xml:space="preserve">GP Internal Closing Memorandum dated January 30, 2025</w:t>
      </w:r>
      <w:r>
        <w:t xml:space="preserve">”</w:t>
      </w:r>
      <w:r>
        <w:t xml:space="preserve"> </w:t>
      </w:r>
      <w:r>
        <w:t xml:space="preserve">as the supporting document for the no-material-adverse-change / Key Person confirmation. The GP Memo is dated</w:t>
      </w:r>
      <w:r>
        <w:t xml:space="preserve"> </w:t>
      </w:r>
      <w:r>
        <w:rPr>
          <w:b/>
          <w:bCs/>
        </w:rPr>
        <w:t xml:space="preserve">January 28, 2025</w:t>
      </w:r>
      <w:r>
        <w:t xml:space="preserve">, not January 30, 2025. This is a clerical error in the checklist and should be corrected.</w:t>
      </w:r>
    </w:p>
    <w:bookmarkEnd w:id="37"/>
    <w:bookmarkEnd w:id="38"/>
    <w:bookmarkStart w:id="39" w:name="X2f05847537bcbccb8fa7a8abd9bffe00da38f17"/>
    <w:p>
      <w:pPr>
        <w:pStyle w:val="Heading2"/>
      </w:pPr>
      <w:r>
        <w:t xml:space="preserve">VI. Items Verified as Consistent / Satisfied</w:t>
      </w:r>
    </w:p>
    <w:p>
      <w:pPr>
        <w:pStyle w:val="FirstParagraph"/>
      </w:pPr>
      <w:r>
        <w:t xml:space="preserve">For completeness, we note the following items that we verified as internally consistent across the Source Documents and that support the certifications in the Certificate:</w:t>
      </w:r>
    </w:p>
    <w:p>
      <w:pPr>
        <w:pStyle w:val="Compact"/>
        <w:numPr>
          <w:ilvl w:val="0"/>
          <w:numId w:val="1011"/>
        </w:numPr>
      </w:pPr>
      <w:r>
        <w:rPr>
          <w:b/>
          <w:bCs/>
        </w:rPr>
        <w:t xml:space="preserve">Aggregate commitment reconciliation.</w:t>
      </w:r>
      <w:r>
        <w:t xml:space="preserve"> </w:t>
      </w:r>
      <w:r>
        <w:t xml:space="preserve">The Initial Closing ($955,000,000), Second Closing ($1,330,000,000 cumulative), and Final Closing ($1,615,000,000 total) figures are consistent across the GP Memo, the Subscription Agreement, and the Admin Checklist. The Final Closing LP commitments ($100M + $40M + $60M + $35M + $30M + $20M = $285,000,000) are consistent.</w:t>
      </w:r>
    </w:p>
    <w:p>
      <w:pPr>
        <w:pStyle w:val="Compact"/>
        <w:numPr>
          <w:ilvl w:val="0"/>
          <w:numId w:val="1011"/>
        </w:numPr>
      </w:pPr>
      <w:r>
        <w:rPr>
          <w:b/>
          <w:bCs/>
        </w:rPr>
        <w:t xml:space="preserve">Hard Cap compliance.</w:t>
      </w:r>
      <w:r>
        <w:t xml:space="preserve"> </w:t>
      </w:r>
      <w:r>
        <w:t xml:space="preserve">Total commitments of $1,615,000,000 are $135,000,000 below the $1,750,000,000 Hard Cap (Section 3.1(c)), consistently reflected across documents.</w:t>
      </w:r>
    </w:p>
    <w:p>
      <w:pPr>
        <w:pStyle w:val="Compact"/>
        <w:numPr>
          <w:ilvl w:val="0"/>
          <w:numId w:val="1011"/>
        </w:numPr>
      </w:pPr>
      <w:r>
        <w:rPr>
          <w:b/>
          <w:bCs/>
        </w:rPr>
        <w:t xml:space="preserve">Capital call amounts.</w:t>
      </w:r>
      <w:r>
        <w:t xml:space="preserve"> </w:t>
      </w:r>
      <w:r>
        <w:t xml:space="preserve">CC#1 (10% of $955,000,000 = $95,500,000) and CC#2 (5% of $1,330,000,000 = $66,500,000) are consistent with the GP Memo and the Admin Checklist. The aggregate catch-up capital for the Final Closing Limited Partners (15% of $285,000,000 = $42,750,000) is consistent.</w:t>
      </w:r>
    </w:p>
    <w:p>
      <w:pPr>
        <w:pStyle w:val="Compact"/>
        <w:numPr>
          <w:ilvl w:val="0"/>
          <w:numId w:val="1011"/>
        </w:numPr>
      </w:pPr>
      <w:r>
        <w:rPr>
          <w:b/>
          <w:bCs/>
        </w:rPr>
        <w:t xml:space="preserve">Qualified purchaser representations.</w:t>
      </w:r>
      <w:r>
        <w:t xml:space="preserve"> </w:t>
      </w:r>
      <w:r>
        <w:t xml:space="preserve">All six Final Closing Limited Partners have made qualified purchaser representations in their Subscription Agreements, consistent with the AML Email and the Admin Checklist.</w:t>
      </w:r>
    </w:p>
    <w:p>
      <w:pPr>
        <w:pStyle w:val="Compact"/>
        <w:numPr>
          <w:ilvl w:val="0"/>
          <w:numId w:val="1011"/>
        </w:numPr>
      </w:pPr>
      <w:r>
        <w:rPr>
          <w:b/>
          <w:bCs/>
        </w:rPr>
        <w:t xml:space="preserve">Key Person status.</w:t>
      </w:r>
      <w:r>
        <w:t xml:space="preserve"> </w:t>
      </w:r>
      <w:r>
        <w:t xml:space="preserve">The GP Memo, the Admin Checklist, and the Amendment consistently confirm that no Key Person Event has occurred and that both Key Persons continue to devote substantially all of their business time to the Fund.</w:t>
      </w:r>
    </w:p>
    <w:p>
      <w:pPr>
        <w:pStyle w:val="Compact"/>
        <w:numPr>
          <w:ilvl w:val="0"/>
          <w:numId w:val="1011"/>
        </w:numPr>
      </w:pPr>
      <w:r>
        <w:rPr>
          <w:b/>
          <w:bCs/>
        </w:rPr>
        <w:t xml:space="preserve">Side letter count and MFN eligibility.</w:t>
      </w:r>
      <w:r>
        <w:t xml:space="preserve"> </w:t>
      </w:r>
      <w:r>
        <w:t xml:space="preserve">Fourteen (14) side letters across all closings, and MFN eligibility for Meridian State Teachers’ Retirement System ($100M) and Northbridge Endowment Fund ($60M), are consistently reflected in the GP Memo, the Subscription Agreement, and the Admin Checklist.</w:t>
      </w:r>
    </w:p>
    <w:p>
      <w:pPr>
        <w:pStyle w:val="Compact"/>
        <w:numPr>
          <w:ilvl w:val="0"/>
          <w:numId w:val="1011"/>
        </w:numPr>
      </w:pPr>
      <w:r>
        <w:rPr>
          <w:b/>
          <w:bCs/>
        </w:rPr>
        <w:t xml:space="preserve">Service providers.</w:t>
      </w:r>
      <w:r>
        <w:t xml:space="preserve"> </w:t>
      </w:r>
      <w:r>
        <w:t xml:space="preserve">Fund Counsel (Bridgeford Hollis LLP), Fund Administrator (Oakmere Fund Services LLC), Custodian (Clearstone Trust Company, custody agreement dated August 20, 2024), registered agent (Statehouse Registered Agents, Inc.), and depository (Pinnacle National Bank) are consistently identified.</w:t>
      </w:r>
    </w:p>
    <w:p>
      <w:pPr>
        <w:pStyle w:val="Compact"/>
        <w:numPr>
          <w:ilvl w:val="0"/>
          <w:numId w:val="1011"/>
        </w:numPr>
      </w:pPr>
      <w:r>
        <w:rPr>
          <w:b/>
          <w:bCs/>
        </w:rPr>
        <w:t xml:space="preserve">SEC registration.</w:t>
      </w:r>
      <w:r>
        <w:t xml:space="preserve"> </w:t>
      </w:r>
      <w:r>
        <w:t xml:space="preserve">The General Partner’s SEC investment adviser registration (CRD No. 298417; SEC File No. 801-79834) is consistently reflected, and prior Form D filings (September 20, 2024 initial; December 5, 2024 amended) are consistently noted.</w:t>
      </w:r>
    </w:p>
    <w:bookmarkEnd w:id="39"/>
    <w:bookmarkStart w:id="40" w:name="vii.-recommended-action-items"/>
    <w:p>
      <w:pPr>
        <w:pStyle w:val="Heading2"/>
      </w:pPr>
      <w:r>
        <w:t xml:space="preserve">VII. Recommended Action Items</w:t>
      </w:r>
    </w:p>
    <w:p>
      <w:pPr>
        <w:pStyle w:val="FirstParagraph"/>
      </w:pPr>
      <w:r>
        <w:t xml:space="preserve">We recommend the following actions, in order of priority, before or promptly after the Final Closing:</w:t>
      </w:r>
    </w:p>
    <w:p>
      <w:pPr>
        <w:pStyle w:val="Compact"/>
        <w:numPr>
          <w:ilvl w:val="0"/>
          <w:numId w:val="1012"/>
        </w:numPr>
      </w:pPr>
      <w:r>
        <w:rPr>
          <w:b/>
          <w:bCs/>
        </w:rPr>
        <w:t xml:space="preserve">Obtain written AML/KYC confirmation for Cascade Re Insurance Ltd.</w:t>
      </w:r>
      <w:r>
        <w:t xml:space="preserve"> </w:t>
      </w:r>
      <w:r>
        <w:t xml:space="preserve">from Oakmere (supplementing the January 24, 2025 email) before the Certificate is executed.</w:t>
      </w:r>
      <w:r>
        <w:t xml:space="preserve"> </w:t>
      </w:r>
      <w:r>
        <w:rPr>
          <w:i/>
          <w:iCs/>
        </w:rPr>
        <w:t xml:space="preserve">(Material; non-waivable condition.)</w:t>
      </w:r>
    </w:p>
    <w:p>
      <w:pPr>
        <w:pStyle w:val="Compact"/>
        <w:numPr>
          <w:ilvl w:val="0"/>
          <w:numId w:val="1012"/>
        </w:numPr>
      </w:pPr>
      <w:r>
        <w:rPr>
          <w:b/>
          <w:bCs/>
        </w:rPr>
        <w:t xml:space="preserve">Reconcile and correct Amendment No. 1’s Section 8.3(b) catch-up correction</w:t>
      </w:r>
      <w:r>
        <w:t xml:space="preserve"> </w:t>
      </w:r>
      <w:r>
        <w:t xml:space="preserve">— confirm that the 8% Preferred Return is preserved and that any catch-up correction is directed to Section 8.3(c); issue a conforming amendment if necessary.</w:t>
      </w:r>
      <w:r>
        <w:t xml:space="preserve"> </w:t>
      </w:r>
      <w:r>
        <w:rPr>
          <w:i/>
          <w:iCs/>
        </w:rPr>
        <w:t xml:space="preserve">(Material.)</w:t>
      </w:r>
    </w:p>
    <w:p>
      <w:pPr>
        <w:pStyle w:val="Compact"/>
        <w:numPr>
          <w:ilvl w:val="0"/>
          <w:numId w:val="1012"/>
        </w:numPr>
      </w:pPr>
      <w:r>
        <w:rPr>
          <w:b/>
          <w:bCs/>
        </w:rPr>
        <w:t xml:space="preserve">Conform the Subscription Agreement’s default interest rate to the LPA’s 12% per annum</w:t>
      </w:r>
      <w:r>
        <w:t xml:space="preserve"> </w:t>
      </w:r>
      <w:r>
        <w:t xml:space="preserve">(and address CC#2’s</w:t>
      </w:r>
      <w:r>
        <w:t xml:space="preserve"> </w:t>
      </w:r>
      <w:r>
        <w:t xml:space="preserve">“</w:t>
      </w:r>
      <w:r>
        <w:t xml:space="preserve">compounding quarterly</w:t>
      </w:r>
      <w:r>
        <w:t xml:space="preserve">”</w:t>
      </w:r>
      <w:r>
        <w:t xml:space="preserve"> </w:t>
      </w:r>
      <w:r>
        <w:t xml:space="preserve">language); consider a clarifying side letter or conforming amendment for already-executed Subscription Agreements.</w:t>
      </w:r>
      <w:r>
        <w:t xml:space="preserve"> </w:t>
      </w:r>
      <w:r>
        <w:rPr>
          <w:i/>
          <w:iCs/>
        </w:rPr>
        <w:t xml:space="preserve">(Material.)</w:t>
      </w:r>
    </w:p>
    <w:p>
      <w:pPr>
        <w:pStyle w:val="Compact"/>
        <w:numPr>
          <w:ilvl w:val="0"/>
          <w:numId w:val="1012"/>
        </w:numPr>
      </w:pPr>
      <w:r>
        <w:rPr>
          <w:b/>
          <w:bCs/>
        </w:rPr>
        <w:t xml:space="preserve">Correct the GP Memo’s ERISA calculation</w:t>
      </w:r>
      <w:r>
        <w:t xml:space="preserve"> </w:t>
      </w:r>
      <w:r>
        <w:t xml:space="preserve">to 22.00% ($355,300,000 / $1,615,000,000) and confirm the governmental-plan counting methodology.</w:t>
      </w:r>
      <w:r>
        <w:t xml:space="preserve"> </w:t>
      </w:r>
      <w:r>
        <w:rPr>
          <w:i/>
          <w:iCs/>
        </w:rPr>
        <w:t xml:space="preserve">(Material to record accuracy.)</w:t>
      </w:r>
    </w:p>
    <w:p>
      <w:pPr>
        <w:pStyle w:val="Compact"/>
        <w:numPr>
          <w:ilvl w:val="0"/>
          <w:numId w:val="1012"/>
        </w:numPr>
      </w:pPr>
      <w:r>
        <w:rPr>
          <w:b/>
          <w:bCs/>
        </w:rPr>
        <w:t xml:space="preserve">Reconcile the Equalization Interest day count</w:t>
      </w:r>
      <w:r>
        <w:t xml:space="preserve"> </w:t>
      </w:r>
      <w:r>
        <w:t xml:space="preserve">for Capital Call No. 2 (47 days) and finalize the closing statements at the $852,661.64 aggregate.</w:t>
      </w:r>
      <w:r>
        <w:t xml:space="preserve"> </w:t>
      </w:r>
      <w:r>
        <w:rPr>
          <w:i/>
          <w:iCs/>
        </w:rPr>
        <w:t xml:space="preserve">(Moderate.)</w:t>
      </w:r>
    </w:p>
    <w:p>
      <w:pPr>
        <w:pStyle w:val="Compact"/>
        <w:numPr>
          <w:ilvl w:val="0"/>
          <w:numId w:val="1012"/>
        </w:numPr>
      </w:pPr>
      <w:r>
        <w:rPr>
          <w:b/>
          <w:bCs/>
        </w:rPr>
        <w:t xml:space="preserve">Reconcile individual Capital Commitments</w:t>
      </w:r>
      <w:r>
        <w:t xml:space="preserve"> </w:t>
      </w:r>
      <w:r>
        <w:t xml:space="preserve">(Birchwood; Silvermark/Commonwealth/Graystone) to the controlling updated Schedule A.</w:t>
      </w:r>
      <w:r>
        <w:t xml:space="preserve"> </w:t>
      </w:r>
      <w:r>
        <w:rPr>
          <w:i/>
          <w:iCs/>
        </w:rPr>
        <w:t xml:space="preserve">(Moderate.)</w:t>
      </w:r>
    </w:p>
    <w:p>
      <w:pPr>
        <w:pStyle w:val="Compact"/>
        <w:numPr>
          <w:ilvl w:val="0"/>
          <w:numId w:val="1012"/>
        </w:numPr>
      </w:pPr>
      <w:r>
        <w:rPr>
          <w:b/>
          <w:bCs/>
        </w:rPr>
        <w:t xml:space="preserve">Clarify the Subscription Agreement’s</w:t>
      </w:r>
      <w:r>
        <w:rPr>
          <w:b/>
          <w:bCs/>
        </w:rPr>
        <w:t xml:space="preserve"> </w:t>
      </w:r>
      <w:r>
        <w:rPr>
          <w:b/>
          <w:bCs/>
        </w:rPr>
        <w:t xml:space="preserve">“</w:t>
      </w:r>
      <w:r>
        <w:rPr>
          <w:b/>
          <w:bCs/>
        </w:rPr>
        <w:t xml:space="preserve">retroactive admission for allocations</w:t>
      </w:r>
      <w:r>
        <w:rPr>
          <w:b/>
          <w:bCs/>
        </w:rPr>
        <w:t xml:space="preserve">”</w:t>
      </w:r>
      <w:r>
        <w:rPr>
          <w:b/>
          <w:bCs/>
        </w:rPr>
        <w:t xml:space="preserve"> </w:t>
      </w:r>
      <w:r>
        <w:rPr>
          <w:b/>
          <w:bCs/>
        </w:rPr>
        <w:t xml:space="preserve">language</w:t>
      </w:r>
      <w:r>
        <w:t xml:space="preserve"> </w:t>
      </w:r>
      <w:r>
        <w:t xml:space="preserve">to align with the LPA’s book-up and equalization framework.</w:t>
      </w:r>
      <w:r>
        <w:t xml:space="preserve"> </w:t>
      </w:r>
      <w:r>
        <w:rPr>
          <w:i/>
          <w:iCs/>
        </w:rPr>
        <w:t xml:space="preserve">(Moderate.)</w:t>
      </w:r>
    </w:p>
    <w:p>
      <w:pPr>
        <w:pStyle w:val="Compact"/>
        <w:numPr>
          <w:ilvl w:val="0"/>
          <w:numId w:val="1012"/>
        </w:numPr>
      </w:pPr>
      <w:r>
        <w:rPr>
          <w:b/>
          <w:bCs/>
        </w:rPr>
        <w:t xml:space="preserve">Confirm receipt of all Final Closing wires</w:t>
      </w:r>
      <w:r>
        <w:t xml:space="preserve"> </w:t>
      </w:r>
      <w:r>
        <w:t xml:space="preserve">(Fund Administrator) and</w:t>
      </w:r>
      <w:r>
        <w:t xml:space="preserve"> </w:t>
      </w:r>
      <w:r>
        <w:rPr>
          <w:b/>
          <w:bCs/>
        </w:rPr>
        <w:t xml:space="preserve">deliver the final executed legal opinions</w:t>
      </w:r>
      <w:r>
        <w:t xml:space="preserve"> </w:t>
      </w:r>
      <w:r>
        <w:t xml:space="preserve">(Fund Counsel) at the closing.</w:t>
      </w:r>
      <w:r>
        <w:t xml:space="preserve"> </w:t>
      </w:r>
      <w:r>
        <w:rPr>
          <w:i/>
          <w:iCs/>
        </w:rPr>
        <w:t xml:space="preserve">(Outstanding closing items.)</w:t>
      </w:r>
    </w:p>
    <w:p>
      <w:pPr>
        <w:pStyle w:val="Compact"/>
        <w:numPr>
          <w:ilvl w:val="0"/>
          <w:numId w:val="1012"/>
        </w:numPr>
      </w:pPr>
      <w:r>
        <w:rPr>
          <w:b/>
          <w:bCs/>
        </w:rPr>
        <w:t xml:space="preserve">Complete post-closing items:</w:t>
      </w:r>
      <w:r>
        <w:t xml:space="preserve"> </w:t>
      </w:r>
      <w:r>
        <w:t xml:space="preserve">Form D amendment (by February 15, 2025); Advisory Committee notification of Target Fund Size exceedance (within 5 Business Days); MFN Notices (within 30 days); fill the vacant Advisory Committee seat.</w:t>
      </w:r>
      <w:r>
        <w:t xml:space="preserve"> </w:t>
      </w:r>
      <w:r>
        <w:rPr>
          <w:i/>
          <w:iCs/>
        </w:rPr>
        <w:t xml:space="preserve">(Post-closing.)</w:t>
      </w:r>
    </w:p>
    <w:p>
      <w:pPr>
        <w:pStyle w:val="Compact"/>
        <w:numPr>
          <w:ilvl w:val="0"/>
          <w:numId w:val="1012"/>
        </w:numPr>
      </w:pPr>
      <w:r>
        <w:rPr>
          <w:b/>
          <w:bCs/>
        </w:rPr>
        <w:t xml:space="preserve">Correct the minor/clerical discrepancies</w:t>
      </w:r>
      <w:r>
        <w:t xml:space="preserve"> </w:t>
      </w:r>
      <w:r>
        <w:t xml:space="preserve">(section cross-references, PPM date, investor jurisdictions, CC#1 funding date, contact information, Admin Checklist GP Memo date) in the next revision of the affected documents.</w:t>
      </w:r>
      <w:r>
        <w:t xml:space="preserve"> </w:t>
      </w:r>
      <w:r>
        <w:rPr>
          <w:i/>
          <w:iCs/>
        </w:rPr>
        <w:t xml:space="preserve">(Minor.)</w:t>
      </w:r>
    </w:p>
    <w:bookmarkEnd w:id="40"/>
    <w:bookmarkStart w:id="41" w:name="viii.-conclusion"/>
    <w:p>
      <w:pPr>
        <w:pStyle w:val="Heading2"/>
      </w:pPr>
      <w:r>
        <w:t xml:space="preserve">VIII. Conclusion</w:t>
      </w:r>
    </w:p>
    <w:p>
      <w:pPr>
        <w:pStyle w:val="FirstParagraph"/>
      </w:pPr>
      <w:r>
        <w:t xml:space="preserve">Subject to resolution of the four material items identified in Part III — most importantly, obtaining written AML/KYC confirmation for Cascade Re Insurance Ltd. (a non-waivable condition) and reconciling the Amendment’s distribution-waterfall correction — the conditions precedent to the Final Closing under Section 11.2 of the LPA are satisfied or can be satisfied at the closing, and the Final Closing Certificate may be executed. The moderate and minor items should be reconciled and corrected as set out above to ensure that the closing record is accurate and internally consistent. We are available to assist with the conforming amendments, the AML/KYC follow-up with Oakmere, and the reconciliation of the commitment schedule and equalization calculations.</w:t>
      </w:r>
    </w:p>
    <w:p>
      <w:pPr>
        <w:pStyle w:val="BodyText"/>
      </w:pPr>
      <w:r>
        <w:t xml:space="preserve">Please do not hesitate to contact us with any questions.</w:t>
      </w:r>
    </w:p>
    <w:p>
      <w:pPr>
        <w:pStyle w:val="BodyText"/>
      </w:pPr>
      <w:r>
        <w:rPr>
          <w:b/>
          <w:bCs/>
        </w:rPr>
        <w:t xml:space="preserve">Bridgeford Hollis LLP</w:t>
      </w:r>
    </w:p>
    <w:p>
      <w:pPr>
        <w:pStyle w:val="BodyText"/>
      </w:pPr>
      <w:r>
        <w:t xml:space="preserve">By: _______________________</w:t>
      </w:r>
    </w:p>
    <w:p>
      <w:pPr>
        <w:pStyle w:val="BodyText"/>
      </w:pPr>
      <w:r>
        <w:t xml:space="preserve">David R. Kasten</w:t>
      </w:r>
    </w:p>
    <w:p>
      <w:pPr>
        <w:pStyle w:val="BodyText"/>
      </w:pPr>
      <w:r>
        <w:t xml:space="preserve">77 West Monroe Street, Suite 4400</w:t>
      </w:r>
    </w:p>
    <w:p>
      <w:pPr>
        <w:pStyle w:val="BodyText"/>
      </w:pPr>
      <w:r>
        <w:t xml:space="preserve">Chicago, Illinois 60603</w:t>
      </w:r>
    </w:p>
    <w:p>
      <w:r>
        <w:pict>
          <v:rect style="width:0;height:1.5pt" o:hralign="center" o:hrstd="t" o:hr="t"/>
        </w:pict>
      </w:r>
    </w:p>
    <w:p>
      <w:pPr>
        <w:pStyle w:val="FirstParagraph"/>
      </w:pPr>
      <w:r>
        <w:rPr>
          <w:i/>
          <w:iCs/>
        </w:rPr>
        <w:t xml:space="preserve">CONFIDENTIAL — ATTORNEY-CLIENT PRIVILEGED — ATTORNEY WORK PRODUCT. This memorandum is prepared by counsel for Whitmore Capital Management LLC in its capacity as General Partner of Whitmore Capital Partners VII, LP. It is intended solely for the use of the addressees and should not be distributed, reproduced, or disclosed to any limited partner, prospective investor, or third party without the prior written consent of the General Counsel.</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2026-06-28T21:50:06Z</dcterms:created>
  <dcterms:modified xsi:type="dcterms:W3CDTF">2026-06-28T21:50:06Z</dcterms:modified>
</cp:coreProperties>
</file>

<file path=docProps/custom.xml><?xml version="1.0" encoding="utf-8"?>
<Properties xmlns="http://schemas.openxmlformats.org/officeDocument/2006/custom-properties" xmlns:vt="http://schemas.openxmlformats.org/officeDocument/2006/docPropsVTypes"/>
</file>