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Marcus J. Whitmore, Chief Investment Officer and Managing Member; Sandra K. Liu, Chief Compliance Officer and General Counsel — Whitmore Capital Management LLC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w:t>
      </w:r>
    </w:p>
    <w:p>
      <w:pPr>
        <w:pStyle w:val="BodyText"/>
      </w:pPr>
      <w:r>
        <w:rPr>
          <w:b/>
          <w:bCs/>
        </w:rPr>
        <w:t xml:space="preserve">FROM:</w:t>
      </w:r>
      <w:r>
        <w:t xml:space="preserve"> </w:t>
      </w:r>
      <w:r>
        <w:t xml:space="preserve">David R. Kasten and Emily T. Naraghi — Bridgeford Hollis LLP, Fund Counsel</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Discrepancies and Unresolved Issues Identified in the Closing File for the Final Closing of Whitmore Capital Partners VII, LP (January 31, 2025)</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is delivered in connection with the final closing (the</w:t>
      </w:r>
      <w:r>
        <w:t xml:space="preserve"> </w:t>
      </w:r>
      <w:r>
        <w:t xml:space="preserve">“</w:t>
      </w:r>
      <w:r>
        <w:t xml:space="preserve">Final Closing</w:t>
      </w:r>
      <w:r>
        <w:t xml:space="preserve">”</w:t>
      </w:r>
      <w:r>
        <w:t xml:space="preserve">) of Whitmore Capital Partners VII, LP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 scheduled for January 31, 2025, and accompanies the Final Closing Certificate of even date (the</w:t>
      </w:r>
      <w:r>
        <w:t xml:space="preserve"> </w:t>
      </w:r>
      <w:r>
        <w:t xml:space="preserve">“</w:t>
      </w:r>
      <w:r>
        <w:t xml:space="preserve">Closing Certificate</w:t>
      </w:r>
      <w:r>
        <w:t xml:space="preserve">”</w:t>
      </w:r>
      <w:r>
        <w:t xml:space="preserve">). In the course of preparing the Closing Certificate and reviewing the conditions precedent to closing under Section 11.2 of the Amended and Restated Agreement of Limited Partnership of the Partnership, dated as of September 15, 2024, as amended by Amendment No. 1, dated as of November 30, 2024 (the</w:t>
      </w:r>
      <w:r>
        <w:t xml:space="preserve"> </w:t>
      </w:r>
      <w:r>
        <w:t xml:space="preserve">“</w:t>
      </w:r>
      <w:r>
        <w:t xml:space="preserve">LPA</w:t>
      </w:r>
      <w:r>
        <w:t xml:space="preserve">”</w:t>
      </w:r>
      <w:r>
        <w:t xml:space="preserve">), we have reviewed the following source documents in the closing file (collectively, the</w:t>
      </w:r>
      <w:r>
        <w:t xml:space="preserve"> </w:t>
      </w:r>
      <w:r>
        <w:t xml:space="preserve">“</w:t>
      </w:r>
      <w:r>
        <w:t xml:space="preserve">Closing Documents</w:t>
      </w:r>
      <w:r>
        <w:t xml:space="preserve">”</w:t>
      </w:r>
      <w:r>
        <w:t xml:space="preserve">):</w:t>
      </w:r>
    </w:p>
    <w:p>
      <w:pPr>
        <w:pStyle w:val="Compact"/>
        <w:numPr>
          <w:ilvl w:val="0"/>
          <w:numId w:val="1001"/>
        </w:numPr>
      </w:pPr>
      <w:r>
        <w:t xml:space="preserve">The LPA (Amended and Restated Agreement of Limited Partnership);</w:t>
      </w:r>
    </w:p>
    <w:p>
      <w:pPr>
        <w:pStyle w:val="Compact"/>
        <w:numPr>
          <w:ilvl w:val="0"/>
          <w:numId w:val="1001"/>
        </w:numPr>
      </w:pPr>
      <w:r>
        <w:t xml:space="preserve">Amendment No. 1 to the LPA, dated November 30, 2024;</w:t>
      </w:r>
    </w:p>
    <w:p>
      <w:pPr>
        <w:pStyle w:val="Compact"/>
        <w:numPr>
          <w:ilvl w:val="0"/>
          <w:numId w:val="1001"/>
        </w:numPr>
      </w:pPr>
      <w:r>
        <w:t xml:space="preserve">The Subscription Agreement template for the Final Closing;</w:t>
      </w:r>
    </w:p>
    <w:p>
      <w:pPr>
        <w:pStyle w:val="Compact"/>
        <w:numPr>
          <w:ilvl w:val="0"/>
          <w:numId w:val="1001"/>
        </w:numPr>
      </w:pPr>
      <w:r>
        <w:t xml:space="preserve">Capital Call Notice No. 1, dated October 10, 2024;</w:t>
      </w:r>
    </w:p>
    <w:p>
      <w:pPr>
        <w:pStyle w:val="Compact"/>
        <w:numPr>
          <w:ilvl w:val="0"/>
          <w:numId w:val="1001"/>
        </w:numPr>
      </w:pPr>
      <w:r>
        <w:t xml:space="preserve">Capital Call Notice No. 2, dated December 15, 2024;</w:t>
      </w:r>
    </w:p>
    <w:p>
      <w:pPr>
        <w:pStyle w:val="Compact"/>
        <w:numPr>
          <w:ilvl w:val="0"/>
          <w:numId w:val="1001"/>
        </w:numPr>
      </w:pPr>
      <w:r>
        <w:t xml:space="preserve">The GP Internal Closing Memorandum of Sandra K. Liu, dated January 28, 2025 (the</w:t>
      </w:r>
      <w:r>
        <w:t xml:space="preserve"> </w:t>
      </w:r>
      <w:r>
        <w:t xml:space="preserve">“</w:t>
      </w:r>
      <w:r>
        <w:t xml:space="preserve">GP Memo</w:t>
      </w:r>
      <w:r>
        <w:t xml:space="preserve">”</w:t>
      </w:r>
      <w:r>
        <w:t xml:space="preserve">);</w:t>
      </w:r>
    </w:p>
    <w:p>
      <w:pPr>
        <w:pStyle w:val="Compact"/>
        <w:numPr>
          <w:ilvl w:val="0"/>
          <w:numId w:val="1001"/>
        </w:numPr>
      </w:pPr>
      <w:r>
        <w:t xml:space="preserve">The Administrative Closing Checklist and commitment schedule prepared by Oakmere Fund Services LLC (the</w:t>
      </w:r>
      <w:r>
        <w:t xml:space="preserve"> </w:t>
      </w:r>
      <w:r>
        <w:t xml:space="preserve">“</w:t>
      </w:r>
      <w:r>
        <w:t xml:space="preserve">Checklist</w:t>
      </w:r>
      <w:r>
        <w:t xml:space="preserve">”</w:t>
      </w:r>
      <w:r>
        <w:t xml:space="preserve">); and</w:t>
      </w:r>
    </w:p>
    <w:p>
      <w:pPr>
        <w:pStyle w:val="Compact"/>
        <w:numPr>
          <w:ilvl w:val="0"/>
          <w:numId w:val="1001"/>
        </w:numPr>
      </w:pPr>
      <w:r>
        <w:t xml:space="preserve">The AML/KYC completion email from Jonathan C. Prewitt of Oakmere Fund Services LLC, dated January 24, 2025 (the</w:t>
      </w:r>
      <w:r>
        <w:t xml:space="preserve"> </w:t>
      </w:r>
      <w:r>
        <w:t xml:space="preserve">“</w:t>
      </w:r>
      <w:r>
        <w:t xml:space="preserve">AML Email</w:t>
      </w:r>
      <w:r>
        <w:t xml:space="preserve">”</w:t>
      </w:r>
      <w:r>
        <w:t xml:space="preserve">).</w:t>
      </w:r>
    </w:p>
    <w:p>
      <w:pPr>
        <w:pStyle w:val="FirstParagraph"/>
      </w:pPr>
      <w:r>
        <w:t xml:space="preserve">This memorandum identifies discrepancies, internal inconsistencies, and unresolved items that we have identified among the Closing Documents. The items are organized by severity.</w:t>
      </w:r>
      <w:r>
        <w:t xml:space="preserve"> </w:t>
      </w:r>
      <w:r>
        <w:rPr>
          <w:b/>
          <w:bCs/>
        </w:rPr>
        <w:t xml:space="preserve">Two items are critical because they implicate non-waivable conditions precedent under Section 11.3 of the LPA and, if not resolved, could prevent the admission of one or more incoming Limited Partners at the Final Closing.</w:t>
      </w:r>
      <w:r>
        <w:t xml:space="preserve"> </w:t>
      </w:r>
      <w:r>
        <w:t xml:space="preserve">We recommend that the General Partner resolve the critical and high-priority items before consummating the Final Closing, and that the remaining items be addressed promptly, as noted below.</w:t>
      </w:r>
    </w:p>
    <w:p>
      <w:pPr>
        <w:pStyle w:val="BodyText"/>
      </w:pPr>
      <w:r>
        <w:t xml:space="preserve">A summary of the findings by priority appears in Section II. The detailed discussion follows in Sections III through IX. Section X contains our recommendations.</w:t>
      </w:r>
    </w:p>
    <w:bookmarkEnd w:id="20"/>
    <w:bookmarkStart w:id="21" w:name="ii.-summary-of-findings-by-priority"/>
    <w:p>
      <w:pPr>
        <w:pStyle w:val="Heading2"/>
      </w:pPr>
      <w:r>
        <w:t xml:space="preserve">II. Summary of Findings by Priority</w:t>
      </w:r>
    </w:p>
    <w:p>
      <w:pPr>
        <w:pStyle w:val="FirstParagraph"/>
      </w:pPr>
      <w:r>
        <w:rPr>
          <w:b/>
          <w:bCs/>
        </w:rPr>
        <w:t xml:space="preserve">Critical (non-waivable condition precedent — potential closing blocker):</w:t>
      </w:r>
    </w:p>
    <w:p>
      <w:pPr>
        <w:pStyle w:val="Compact"/>
        <w:numPr>
          <w:ilvl w:val="0"/>
          <w:numId w:val="1002"/>
        </w:numPr>
      </w:pPr>
      <w:r>
        <w:rPr>
          <w:b/>
          <w:bCs/>
        </w:rPr>
        <w:t xml:space="preserve">Item A — AML/KYC confirmation omits Cascade Re Insurance Ltd.</w:t>
      </w:r>
      <w:r>
        <w:t xml:space="preserve"> </w:t>
      </w:r>
      <w:r>
        <w:t xml:space="preserve">The AML Email confirms AML/KYC verification for only five of the six incoming Final Closing Limited Partners and does not address Cascade Re Insurance Ltd., a Bermuda-domiciled reinsurer. AML/KYC compliance is a non-waivable condition under Section 11.2(3) / Section 11.3. The GP Memo incorrectly states this condition is</w:t>
      </w:r>
      <w:r>
        <w:t xml:space="preserve"> </w:t>
      </w:r>
      <w:r>
        <w:t xml:space="preserve">“</w:t>
      </w:r>
      <w:r>
        <w:t xml:space="preserve">Complete.</w:t>
      </w:r>
      <w:r>
        <w:t xml:space="preserve">”</w:t>
      </w:r>
      <w:r>
        <w:t xml:space="preserve"> </w:t>
      </w:r>
      <w:r>
        <w:rPr>
          <w:i/>
          <w:iCs/>
        </w:rPr>
        <w:t xml:space="preserve">(Section III.A)</w:t>
      </w:r>
    </w:p>
    <w:p>
      <w:pPr>
        <w:pStyle w:val="Compact"/>
        <w:numPr>
          <w:ilvl w:val="0"/>
          <w:numId w:val="1002"/>
        </w:numPr>
      </w:pPr>
      <w:r>
        <w:rPr>
          <w:b/>
          <w:bCs/>
        </w:rPr>
        <w:t xml:space="preserve">Item B — ERISA / Benefit Plan Investor calculation is internally inconsistent.</w:t>
      </w:r>
      <w:r>
        <w:t xml:space="preserve"> </w:t>
      </w:r>
      <w:r>
        <w:t xml:space="preserve">The stated prior-closings Benefit Plan Investor total ($225,300,000) does not reconcile to the investors flagged as Benefit Plan Investors in the commitment schedule ($335,300,000). If all governmental plans are counted as Benefit Plan Investors (as the Subscription Agreement purports to do), the aggregate would be $465,300,000, or 28.81% of total commitments —</w:t>
      </w:r>
      <w:r>
        <w:t xml:space="preserve"> </w:t>
      </w:r>
      <w:r>
        <w:rPr>
          <w:b/>
          <w:bCs/>
        </w:rPr>
        <w:t xml:space="preserve">exceeding the 24.99% cap</w:t>
      </w:r>
      <w:r>
        <w:t xml:space="preserve"> </w:t>
      </w:r>
      <w:r>
        <w:t xml:space="preserve">under Section 6.8. ERISA compliance is a non-waivable condition under Section 11.2(5) / Section 11.3. The GP Memo’s 19.8% figure uses an incorrect denominator and excludes the Final Closing Benefit Plan Investors.</w:t>
      </w:r>
      <w:r>
        <w:t xml:space="preserve"> </w:t>
      </w:r>
      <w:r>
        <w:rPr>
          <w:i/>
          <w:iCs/>
        </w:rPr>
        <w:t xml:space="preserve">(Section III.B)</w:t>
      </w:r>
    </w:p>
    <w:p>
      <w:pPr>
        <w:pStyle w:val="FirstParagraph"/>
      </w:pPr>
      <w:r>
        <w:rPr>
          <w:b/>
          <w:bCs/>
        </w:rPr>
        <w:t xml:space="preserve">High (condition precedent not yet satisfied or incompletely documented):</w:t>
      </w:r>
    </w:p>
    <w:p>
      <w:pPr>
        <w:pStyle w:val="Compact"/>
        <w:numPr>
          <w:ilvl w:val="0"/>
          <w:numId w:val="1003"/>
        </w:numPr>
      </w:pPr>
      <w:r>
        <w:rPr>
          <w:b/>
          <w:bCs/>
        </w:rPr>
        <w:t xml:space="preserve">Item C — Capital Contributions not yet confirmed received.</w:t>
      </w:r>
      <w:r>
        <w:t xml:space="preserve"> </w:t>
      </w:r>
      <w:r>
        <w:t xml:space="preserve">Escrow funding is</w:t>
      </w:r>
      <w:r>
        <w:t xml:space="preserve"> </w:t>
      </w:r>
      <w:r>
        <w:t xml:space="preserve">“</w:t>
      </w:r>
      <w:r>
        <w:t xml:space="preserve">Pending</w:t>
      </w:r>
      <w:r>
        <w:t xml:space="preserve">”</w:t>
      </w:r>
      <w:r>
        <w:t xml:space="preserve"> </w:t>
      </w:r>
      <w:r>
        <w:t xml:space="preserve">as of January 30, 2025.</w:t>
      </w:r>
      <w:r>
        <w:t xml:space="preserve"> </w:t>
      </w:r>
      <w:r>
        <w:rPr>
          <w:i/>
          <w:iCs/>
        </w:rPr>
        <w:t xml:space="preserve">(Section IV.C)</w:t>
      </w:r>
    </w:p>
    <w:p>
      <w:pPr>
        <w:pStyle w:val="Compact"/>
        <w:numPr>
          <w:ilvl w:val="0"/>
          <w:numId w:val="1003"/>
        </w:numPr>
      </w:pPr>
      <w:r>
        <w:rPr>
          <w:b/>
          <w:bCs/>
        </w:rPr>
        <w:t xml:space="preserve">Item D — Legal Opinions not yet delivered.</w:t>
      </w:r>
      <w:r>
        <w:t xml:space="preserve"> </w:t>
      </w:r>
      <w:r>
        <w:t xml:space="preserve">Drafts circulated; final execution pending.</w:t>
      </w:r>
      <w:r>
        <w:t xml:space="preserve"> </w:t>
      </w:r>
      <w:r>
        <w:rPr>
          <w:i/>
          <w:iCs/>
        </w:rPr>
        <w:t xml:space="preserve">(Section IV.D)</w:t>
      </w:r>
    </w:p>
    <w:p>
      <w:pPr>
        <w:pStyle w:val="Compact"/>
        <w:numPr>
          <w:ilvl w:val="0"/>
          <w:numId w:val="1003"/>
        </w:numPr>
      </w:pPr>
      <w:r>
        <w:rPr>
          <w:b/>
          <w:bCs/>
        </w:rPr>
        <w:t xml:space="preserve">Item E — Key Person certification incomplete as to Priya S. Mehta.</w:t>
      </w:r>
      <w:r>
        <w:t xml:space="preserve"> </w:t>
      </w:r>
      <w:r>
        <w:t xml:space="preserve">The GP Memo addresses only Marcus J. Whitmore and is silent on the second Key Person.</w:t>
      </w:r>
      <w:r>
        <w:t xml:space="preserve"> </w:t>
      </w:r>
      <w:r>
        <w:rPr>
          <w:i/>
          <w:iCs/>
        </w:rPr>
        <w:t xml:space="preserve">(Section IV.E)</w:t>
      </w:r>
    </w:p>
    <w:p>
      <w:pPr>
        <w:pStyle w:val="FirstParagraph"/>
      </w:pPr>
      <w:r>
        <w:rPr>
          <w:b/>
          <w:bCs/>
        </w:rPr>
        <w:t xml:space="preserve">Medium (material drafting / cross-reference discrepancies in operative documents):</w:t>
      </w:r>
    </w:p>
    <w:p>
      <w:pPr>
        <w:pStyle w:val="Compact"/>
        <w:numPr>
          <w:ilvl w:val="0"/>
          <w:numId w:val="1004"/>
        </w:numPr>
      </w:pPr>
      <w:r>
        <w:rPr>
          <w:b/>
          <w:bCs/>
        </w:rPr>
        <w:t xml:space="preserve">Item F — Amendment No. 1 misidentifies the distribution waterfall section being corrected.</w:t>
      </w:r>
      <w:r>
        <w:t xml:space="preserve"> </w:t>
      </w:r>
      <w:r>
        <w:t xml:space="preserve">The amendment purports to correct the GP catch-up in</w:t>
      </w:r>
      <w:r>
        <w:t xml:space="preserve"> </w:t>
      </w:r>
      <w:r>
        <w:t xml:space="preserve">“</w:t>
      </w:r>
      <w:r>
        <w:t xml:space="preserve">Section 8.3(b),</w:t>
      </w:r>
      <w:r>
        <w:t xml:space="preserve">”</w:t>
      </w:r>
      <w:r>
        <w:t xml:space="preserve"> </w:t>
      </w:r>
      <w:r>
        <w:t xml:space="preserve">but the catch-up is Section 8.3(c); Section 8.3(b) is the Preferred Return.</w:t>
      </w:r>
      <w:r>
        <w:t xml:space="preserve"> </w:t>
      </w:r>
      <w:r>
        <w:rPr>
          <w:i/>
          <w:iCs/>
        </w:rPr>
        <w:t xml:space="preserve">(Section V.F)</w:t>
      </w:r>
    </w:p>
    <w:p>
      <w:pPr>
        <w:pStyle w:val="Compact"/>
        <w:numPr>
          <w:ilvl w:val="0"/>
          <w:numId w:val="1004"/>
        </w:numPr>
      </w:pPr>
      <w:r>
        <w:rPr>
          <w:b/>
          <w:bCs/>
        </w:rPr>
        <w:t xml:space="preserve">Item G — Capital Call Notice No. 2 lists individual LP commitment amounts that conflict with the commitment schedule.</w:t>
      </w:r>
      <w:r>
        <w:t xml:space="preserve"> </w:t>
      </w:r>
      <w:r>
        <w:rPr>
          <w:i/>
          <w:iCs/>
        </w:rPr>
        <w:t xml:space="preserve">(Section V.G)</w:t>
      </w:r>
    </w:p>
    <w:p>
      <w:pPr>
        <w:pStyle w:val="Compact"/>
        <w:numPr>
          <w:ilvl w:val="0"/>
          <w:numId w:val="1004"/>
        </w:numPr>
      </w:pPr>
      <w:r>
        <w:rPr>
          <w:b/>
          <w:bCs/>
        </w:rPr>
        <w:t xml:space="preserve">Item H — Amendment No. 1 states Birchwood Insurance Co.’s commitment as $75,000,000; the commitment schedule states $60,000,000.</w:t>
      </w:r>
      <w:r>
        <w:t xml:space="preserve"> </w:t>
      </w:r>
      <w:r>
        <w:rPr>
          <w:i/>
          <w:iCs/>
        </w:rPr>
        <w:t xml:space="preserve">(Section V.H)</w:t>
      </w:r>
    </w:p>
    <w:p>
      <w:pPr>
        <w:pStyle w:val="Compact"/>
        <w:numPr>
          <w:ilvl w:val="0"/>
          <w:numId w:val="1004"/>
        </w:numPr>
      </w:pPr>
      <w:r>
        <w:rPr>
          <w:b/>
          <w:bCs/>
        </w:rPr>
        <w:t xml:space="preserve">Item I — GP Representations condition cites incorrect LPA articles.</w:t>
      </w:r>
      <w:r>
        <w:t xml:space="preserve"> </w:t>
      </w:r>
      <w:r>
        <w:rPr>
          <w:i/>
          <w:iCs/>
        </w:rPr>
        <w:t xml:space="preserve">(Section V.I)</w:t>
      </w:r>
    </w:p>
    <w:p>
      <w:pPr>
        <w:pStyle w:val="FirstParagraph"/>
      </w:pPr>
      <w:r>
        <w:rPr>
          <w:b/>
          <w:bCs/>
        </w:rPr>
        <w:t xml:space="preserve">Lower (equalization interest and additional cross-reference errors):</w:t>
      </w:r>
    </w:p>
    <w:p>
      <w:pPr>
        <w:pStyle w:val="Compact"/>
        <w:numPr>
          <w:ilvl w:val="0"/>
          <w:numId w:val="1005"/>
        </w:numPr>
      </w:pPr>
      <w:r>
        <w:rPr>
          <w:b/>
          <w:bCs/>
        </w:rPr>
        <w:t xml:space="preserve">Item J — Equalization interest day-count inconsistent with the LPA and internally inconsistent between the Checklist and the Subscription Agreement.</w:t>
      </w:r>
      <w:r>
        <w:t xml:space="preserve"> </w:t>
      </w:r>
      <w:r>
        <w:rPr>
          <w:i/>
          <w:iCs/>
        </w:rPr>
        <w:t xml:space="preserve">(Section VI)</w:t>
      </w:r>
    </w:p>
    <w:p>
      <w:pPr>
        <w:pStyle w:val="Compact"/>
        <w:numPr>
          <w:ilvl w:val="0"/>
          <w:numId w:val="1005"/>
        </w:numPr>
      </w:pPr>
      <w:r>
        <w:rPr>
          <w:b/>
          <w:bCs/>
        </w:rPr>
        <w:t xml:space="preserve">Item K — Cross-reference errors in the Capital Call Notices and Subscription Agreement.</w:t>
      </w:r>
      <w:r>
        <w:t xml:space="preserve"> </w:t>
      </w:r>
      <w:r>
        <w:rPr>
          <w:i/>
          <w:iCs/>
        </w:rPr>
        <w:t xml:space="preserve">(Section VII)</w:t>
      </w:r>
    </w:p>
    <w:p>
      <w:pPr>
        <w:pStyle w:val="Compact"/>
        <w:numPr>
          <w:ilvl w:val="0"/>
          <w:numId w:val="1005"/>
        </w:numPr>
      </w:pPr>
      <w:r>
        <w:rPr>
          <w:b/>
          <w:bCs/>
        </w:rPr>
        <w:t xml:space="preserve">Item L — Other inconsistencies (PPM date, contact information, LP jurisdictions, GP Memo date).</w:t>
      </w:r>
      <w:r>
        <w:t xml:space="preserve"> </w:t>
      </w:r>
      <w:r>
        <w:rPr>
          <w:i/>
          <w:iCs/>
        </w:rPr>
        <w:t xml:space="preserve">(Section VIII)</w:t>
      </w:r>
    </w:p>
    <w:p>
      <w:pPr>
        <w:pStyle w:val="FirstParagraph"/>
      </w:pPr>
      <w:r>
        <w:rPr>
          <w:b/>
          <w:bCs/>
        </w:rPr>
        <w:t xml:space="preserve">Post-closing action items (not conditions precedent):</w:t>
      </w:r>
    </w:p>
    <w:p>
      <w:pPr>
        <w:pStyle w:val="Compact"/>
        <w:numPr>
          <w:ilvl w:val="0"/>
          <w:numId w:val="1006"/>
        </w:numPr>
      </w:pPr>
      <w:r>
        <w:rPr>
          <w:b/>
          <w:bCs/>
        </w:rPr>
        <w:t xml:space="preserve">Item M — Advisory Committee fifth seat; Form D amendment; MFN notices; Target Fund Size Advisory Committee notification; blue sky filings.</w:t>
      </w:r>
      <w:r>
        <w:t xml:space="preserve"> </w:t>
      </w:r>
      <w:r>
        <w:rPr>
          <w:i/>
          <w:iCs/>
        </w:rPr>
        <w:t xml:space="preserve">(Section IX)</w:t>
      </w:r>
    </w:p>
    <w:bookmarkEnd w:id="21"/>
    <w:bookmarkStart w:id="24" w:name="Xad5d47886ba96743301de7bafd4649bf04579d0"/>
    <w:p>
      <w:pPr>
        <w:pStyle w:val="Heading2"/>
      </w:pPr>
      <w:r>
        <w:t xml:space="preserve">III. Critical Issues (Non-Waivable Conditions Precedent)</w:t>
      </w:r>
    </w:p>
    <w:bookmarkStart w:id="22" w:name="Xd68b8b9a32ba874786baa5233e8f1c482c0c726"/>
    <w:p>
      <w:pPr>
        <w:pStyle w:val="Heading3"/>
      </w:pPr>
      <w:r>
        <w:t xml:space="preserve">A. AML/KYC Confirmation Omits Cascade Re Insurance Ltd. [Section 11.2(3) — Non-Waivable]</w:t>
      </w:r>
    </w:p>
    <w:p>
      <w:pPr>
        <w:pStyle w:val="FirstParagraph"/>
      </w:pPr>
      <w:r>
        <w:rPr>
          <w:b/>
          <w:bCs/>
        </w:rPr>
        <w:t xml:space="preserve">The issue.</w:t>
      </w:r>
      <w:r>
        <w:t xml:space="preserve"> </w:t>
      </w:r>
      <w:r>
        <w:t xml:space="preserve">Section 11.2(3) of the LPA requires that the Fund Administrator confirm in writing that satisfactory AML/KYC documentation has been received and verified for each incoming Limited Partner, and Section 11.3 provides that the AML/KYC condition</w:t>
      </w:r>
      <w:r>
        <w:t xml:space="preserve"> </w:t>
      </w:r>
      <w:r>
        <w:t xml:space="preserve">“</w:t>
      </w:r>
      <w:r>
        <w:t xml:space="preserve">may not be waived under any circumstances.</w:t>
      </w:r>
      <w:r>
        <w:t xml:space="preserve">”</w:t>
      </w:r>
      <w:r>
        <w:t xml:space="preserve"> </w:t>
      </w:r>
      <w:r>
        <w:t xml:space="preserve">The AML Email from Jonathan C. Prewitt of Oakmere Fund Services LLC, dated January 24, 2025, states that</w:t>
      </w:r>
      <w:r>
        <w:t xml:space="preserve"> </w:t>
      </w:r>
      <w:r>
        <w:t xml:space="preserve">“</w:t>
      </w:r>
      <w:r>
        <w:t xml:space="preserve">Oakmere Fund Services LLC has completed its anti-money laundering (AML) and know-your-customer (KYC) verification procedures for the investors being admitted at the final closing,</w:t>
      </w:r>
      <w:r>
        <w:t xml:space="preserve">”</w:t>
      </w:r>
      <w:r>
        <w:t xml:space="preserve"> </w:t>
      </w:r>
      <w:r>
        <w:t xml:space="preserve">and lists the results for the following five investors:</w:t>
      </w:r>
    </w:p>
    <w:p>
      <w:pPr>
        <w:pStyle w:val="Compact"/>
        <w:numPr>
          <w:ilvl w:val="0"/>
          <w:numId w:val="1007"/>
        </w:numPr>
      </w:pPr>
      <w:r>
        <w:t xml:space="preserve">Meridian State Teachers’ Retirement System;</w:t>
      </w:r>
    </w:p>
    <w:p>
      <w:pPr>
        <w:pStyle w:val="Compact"/>
        <w:numPr>
          <w:ilvl w:val="0"/>
          <w:numId w:val="1007"/>
        </w:numPr>
      </w:pPr>
      <w:r>
        <w:t xml:space="preserve">Haverfield Family Office LLC;</w:t>
      </w:r>
    </w:p>
    <w:p>
      <w:pPr>
        <w:pStyle w:val="Compact"/>
        <w:numPr>
          <w:ilvl w:val="0"/>
          <w:numId w:val="1007"/>
        </w:numPr>
      </w:pPr>
      <w:r>
        <w:t xml:space="preserve">Northbridge Endowment Fund;</w:t>
      </w:r>
    </w:p>
    <w:p>
      <w:pPr>
        <w:pStyle w:val="Compact"/>
        <w:numPr>
          <w:ilvl w:val="0"/>
          <w:numId w:val="1007"/>
        </w:numPr>
      </w:pPr>
      <w:r>
        <w:t xml:space="preserve">Sentry Municipal Employees’ Pension Trust; and</w:t>
      </w:r>
    </w:p>
    <w:p>
      <w:pPr>
        <w:pStyle w:val="Compact"/>
        <w:numPr>
          <w:ilvl w:val="0"/>
          <w:numId w:val="1007"/>
        </w:numPr>
      </w:pPr>
      <w:r>
        <w:t xml:space="preserve">Kingsgate Ventures Fund-of-Funds III, LP.</w:t>
      </w:r>
    </w:p>
    <w:p>
      <w:pPr>
        <w:pStyle w:val="FirstParagraph"/>
      </w:pPr>
      <w:r>
        <w:rPr>
          <w:b/>
          <w:bCs/>
        </w:rPr>
        <w:t xml:space="preserve">Cascade Re Insurance Ltd.</w:t>
      </w:r>
      <w:r>
        <w:t xml:space="preserve"> </w:t>
      </w:r>
      <w:r>
        <w:t xml:space="preserve">(a Bermuda-domiciled Class 3B reinsurer with a $35,000,000 commitment) is</w:t>
      </w:r>
      <w:r>
        <w:t xml:space="preserve"> </w:t>
      </w:r>
      <w:r>
        <w:rPr>
          <w:b/>
          <w:bCs/>
        </w:rPr>
        <w:t xml:space="preserve">not listed</w:t>
      </w:r>
      <w:r>
        <w:t xml:space="preserve"> </w:t>
      </w:r>
      <w:r>
        <w:t xml:space="preserve">in the AML Email, notwithstanding that the email’s subject line states</w:t>
      </w:r>
      <w:r>
        <w:t xml:space="preserve"> </w:t>
      </w:r>
      <w:r>
        <w:t xml:space="preserve">“</w:t>
      </w:r>
      <w:r>
        <w:t xml:space="preserve">AML/KYC Verification Complete for All Final Closing Investors.</w:t>
      </w:r>
      <w:r>
        <w:t xml:space="preserve">”</w:t>
      </w:r>
      <w:r>
        <w:t xml:space="preserve"> </w:t>
      </w:r>
      <w:r>
        <w:t xml:space="preserve">The Checklist (item 18) marks AML/KYC as</w:t>
      </w:r>
      <w:r>
        <w:t xml:space="preserve"> </w:t>
      </w:r>
      <w:r>
        <w:t xml:space="preserve">“</w:t>
      </w:r>
      <w:r>
        <w:t xml:space="preserve">Complete</w:t>
      </w:r>
      <w:r>
        <w:t xml:space="preserve">”</w:t>
      </w:r>
      <w:r>
        <w:t xml:space="preserve"> </w:t>
      </w:r>
      <w:r>
        <w:t xml:space="preserve">as of January 24, 2025, and the GP Memo (Section V.B and Condition 3) states that</w:t>
      </w:r>
      <w:r>
        <w:t xml:space="preserve"> </w:t>
      </w:r>
      <w:r>
        <w:t xml:space="preserve">“</w:t>
      </w:r>
      <w:r>
        <w:t xml:space="preserve">AML/KYC checks for the final closing investors have been completed</w:t>
      </w:r>
      <w:r>
        <w:t xml:space="preserve">”</w:t>
      </w:r>
      <w:r>
        <w:t xml:space="preserve"> </w:t>
      </w:r>
      <w:r>
        <w:t xml:space="preserve">and considers the condition</w:t>
      </w:r>
      <w:r>
        <w:t xml:space="preserve"> </w:t>
      </w:r>
      <w:r>
        <w:t xml:space="preserve">“</w:t>
      </w:r>
      <w:r>
        <w:t xml:space="preserve">satisfied.</w:t>
      </w:r>
      <w:r>
        <w:t xml:space="preserve">”</w:t>
      </w:r>
      <w:r>
        <w:t xml:space="preserve"> </w:t>
      </w:r>
      <w:r>
        <w:t xml:space="preserve">Neither document reconciles the omission of Cascade Re.</w:t>
      </w:r>
    </w:p>
    <w:p>
      <w:pPr>
        <w:pStyle w:val="BodyText"/>
      </w:pPr>
      <w:r>
        <w:rPr>
          <w:b/>
          <w:bCs/>
        </w:rPr>
        <w:t xml:space="preserve">Why it matters.</w:t>
      </w:r>
      <w:r>
        <w:t xml:space="preserve"> </w:t>
      </w:r>
      <w:r>
        <w:t xml:space="preserve">Cascade Re is a non-U.S. entity organized in Bermuda, which would ordinarily require enhanced due diligence (including, e.g., verification of source of funds, sanctions screening against non-U.S. lists, and beneficial ownership analysis for an offshore insurance entity). The absence of Cascade Re from the AML/KYC completion confirmation means that, on the face of the Closing Documents, the non-waivable AML/KYC condition under Section 11.2(3) is</w:t>
      </w:r>
      <w:r>
        <w:t xml:space="preserve"> </w:t>
      </w:r>
      <w:r>
        <w:rPr>
          <w:b/>
          <w:bCs/>
        </w:rPr>
        <w:t xml:space="preserve">not satisfied</w:t>
      </w:r>
      <w:r>
        <w:t xml:space="preserve"> </w:t>
      </w:r>
      <w:r>
        <w:t xml:space="preserve">with respect to Cascade Re. The General Partner cannot waive this condition under Section 11.3.</w:t>
      </w:r>
    </w:p>
    <w:p>
      <w:pPr>
        <w:pStyle w:val="BodyText"/>
      </w:pPr>
      <w:r>
        <w:rPr>
          <w:b/>
          <w:bCs/>
        </w:rPr>
        <w:t xml:space="preserve">Recommendation.</w:t>
      </w:r>
      <w:r>
        <w:t xml:space="preserve"> </w:t>
      </w:r>
      <w:r>
        <w:t xml:space="preserve">Obtain a supplemental written confirmation from Oakmere Fund Services LLC, dated as of the Final Closing Date, expressly confirming that satisfactory AML/KYC documentation for Cascade Re Insurance Ltd. has been received and verified (including enhanced due diligence appropriate for a non-U.S. investor), with no adverse findings. Cascade Re should not be admitted as a Limited Partner until such confirmation is received. The Closing Certificate has been drafted to qualify the AML/KYC certification accordingly (Section 4.2 of the Closing Certificate).</w:t>
      </w:r>
    </w:p>
    <w:bookmarkEnd w:id="22"/>
    <w:bookmarkStart w:id="23" w:name="X211a1da78d49c54ba4ae385ee77f0fb6b908765"/>
    <w:p>
      <w:pPr>
        <w:pStyle w:val="Heading3"/>
      </w:pPr>
      <w:r>
        <w:t xml:space="preserve">B. ERISA / Benefit Plan Investor Calculation Is Internally Inconsistent [Section 11.2(5) — Non-Waivable]</w:t>
      </w:r>
    </w:p>
    <w:p>
      <w:pPr>
        <w:pStyle w:val="FirstParagraph"/>
      </w:pPr>
      <w:r>
        <w:rPr>
          <w:b/>
          <w:bCs/>
        </w:rPr>
        <w:t xml:space="preserve">The issue.</w:t>
      </w:r>
      <w:r>
        <w:t xml:space="preserve"> </w:t>
      </w:r>
      <w:r>
        <w:t xml:space="preserve">Section 6.8 of the LPA limits aggregate Benefit Plan Investor Capital Commitments to 24.99% of total Capital Commitments, and Section 11.2(5) requires the General Partner to determine, after giving effect to the admission of all incoming Limited Partners at the Closing, that this limitation is not exceeded. Section 11.3 provides that the ERISA condition</w:t>
      </w:r>
      <w:r>
        <w:t xml:space="preserve"> </w:t>
      </w:r>
      <w:r>
        <w:t xml:space="preserve">“</w:t>
      </w:r>
      <w:r>
        <w:t xml:space="preserve">may not be waived under any circumstances.</w:t>
      </w:r>
      <w:r>
        <w:t xml:space="preserve">”</w:t>
      </w:r>
    </w:p>
    <w:p>
      <w:pPr>
        <w:pStyle w:val="BodyText"/>
      </w:pPr>
      <w:r>
        <w:t xml:space="preserve">The Closing Documents contain three different statements of the Benefit Plan Investor percentage, and the underlying figures do not reconcile:</w:t>
      </w:r>
    </w:p>
    <w:p>
      <w:pPr>
        <w:numPr>
          <w:ilvl w:val="0"/>
          <w:numId w:val="1008"/>
        </w:numPr>
      </w:pPr>
      <w:r>
        <w:rPr>
          <w:b/>
          <w:bCs/>
        </w:rPr>
        <w:t xml:space="preserve">GP Memo (Section V.C):</w:t>
      </w:r>
      <w:r>
        <w:t xml:space="preserve"> </w:t>
      </w:r>
      <w:r>
        <w:t xml:space="preserve">states that Benefit Plan Investors</w:t>
      </w:r>
      <w:r>
        <w:t xml:space="preserve"> </w:t>
      </w:r>
      <w:r>
        <w:t xml:space="preserve">“</w:t>
      </w:r>
      <w:r>
        <w:t xml:space="preserve">currently represent approximately $225,300,000 in aggregate commitments,</w:t>
      </w:r>
      <w:r>
        <w:t xml:space="preserve">”</w:t>
      </w:r>
      <w:r>
        <w:t xml:space="preserve"> </w:t>
      </w:r>
      <w:r>
        <w:t xml:space="preserve">that</w:t>
      </w:r>
      <w:r>
        <w:t xml:space="preserve"> </w:t>
      </w:r>
      <w:r>
        <w:t xml:space="preserve">“</w:t>
      </w:r>
      <w:r>
        <w:t xml:space="preserve">total Fund commitments will be approximately $1,140,000,000,</w:t>
      </w:r>
      <w:r>
        <w:t xml:space="preserve">”</w:t>
      </w:r>
      <w:r>
        <w:t xml:space="preserve"> </w:t>
      </w:r>
      <w:r>
        <w:t xml:space="preserve">and that the Benefit Plan Investor percentage</w:t>
      </w:r>
      <w:r>
        <w:t xml:space="preserve"> </w:t>
      </w:r>
      <w:r>
        <w:t xml:space="preserve">“</w:t>
      </w:r>
      <w:r>
        <w:t xml:space="preserve">is approximately 19.8% ($225,300,000 / $1,140,000,000).</w:t>
      </w:r>
      <w:r>
        <w:t xml:space="preserve">”</w:t>
      </w:r>
      <w:r>
        <w:t xml:space="preserve"> </w:t>
      </w:r>
      <w:r>
        <w:t xml:space="preserve">This calculation is erroneous in two respects: (i) the denominator of $1,140,000,000 is not the correct total Fund commitment figure (the correct figure is $1,615,000,000); and (ii) the numerator of $225,300,000 reflects only the prior-closings Benefit Plan Investors and excludes the Final Closing Benefit Plan Investors (Meridian State Teachers’ Retirement System ($100,000,000) and Sentry Municipal Employees’ Pension Trust ($30,000,000)).</w:t>
      </w:r>
    </w:p>
    <w:p>
      <w:pPr>
        <w:numPr>
          <w:ilvl w:val="0"/>
          <w:numId w:val="1008"/>
        </w:numPr>
      </w:pPr>
      <w:r>
        <w:rPr>
          <w:b/>
          <w:bCs/>
        </w:rPr>
        <w:t xml:space="preserve">Checklist (Commitment Schedule tab, ERISA Analysis):</w:t>
      </w:r>
      <w:r>
        <w:t xml:space="preserve"> </w:t>
      </w:r>
      <w:r>
        <w:t xml:space="preserve">states</w:t>
      </w:r>
      <w:r>
        <w:t xml:space="preserve"> </w:t>
      </w:r>
      <w:r>
        <w:t xml:space="preserve">“</w:t>
      </w:r>
      <w:r>
        <w:t xml:space="preserve">Total ERISA Plan Investor Commitments — Prior Closings = $225,300,000,</w:t>
      </w:r>
      <w:r>
        <w:t xml:space="preserve">”</w:t>
      </w:r>
      <w:r>
        <w:t xml:space="preserve"> </w:t>
      </w:r>
      <w:r>
        <w:t xml:space="preserve">adds the two Final Closing Benefit Plan Investors ($130,000,000), and computes</w:t>
      </w:r>
      <w:r>
        <w:t xml:space="preserve"> </w:t>
      </w:r>
      <w:r>
        <w:t xml:space="preserve">“</w:t>
      </w:r>
      <w:r>
        <w:t xml:space="preserve">Total ERISA Plan Investor Commitments — All Closings = $355,300,000,</w:t>
      </w:r>
      <w:r>
        <w:t xml:space="preserve">”</w:t>
      </w:r>
      <w:r>
        <w:t xml:space="preserve"> </w:t>
      </w:r>
      <w:r>
        <w:t xml:space="preserve">yielding an ERISA Plan Investor percentage of 22.00% ($355,300,000 / $1,615,000,000).</w:t>
      </w:r>
    </w:p>
    <w:p>
      <w:pPr>
        <w:numPr>
          <w:ilvl w:val="0"/>
          <w:numId w:val="1008"/>
        </w:numPr>
      </w:pPr>
      <w:r>
        <w:rPr>
          <w:b/>
          <w:bCs/>
        </w:rPr>
        <w:t xml:space="preserve">Subscription Agreement (Section 2.3 and Schedule I):</w:t>
      </w:r>
      <w:r>
        <w:t xml:space="preserve"> </w:t>
      </w:r>
      <w:r>
        <w:t xml:space="preserve">likewise states 22.00% ($355,300,000 / $1,615,000,000).</w:t>
      </w:r>
    </w:p>
    <w:p>
      <w:pPr>
        <w:pStyle w:val="FirstParagraph"/>
      </w:pPr>
      <w:r>
        <w:rPr>
          <w:b/>
          <w:bCs/>
        </w:rPr>
        <w:t xml:space="preserve">The reconciliation problem.</w:t>
      </w:r>
      <w:r>
        <w:t xml:space="preserve"> </w:t>
      </w:r>
      <w:r>
        <w:t xml:space="preserve">The $225,300,000 figure used for</w:t>
      </w:r>
      <w:r>
        <w:t xml:space="preserve"> </w:t>
      </w:r>
      <w:r>
        <w:t xml:space="preserve">“</w:t>
      </w:r>
      <w:r>
        <w:t xml:space="preserve">prior closings</w:t>
      </w:r>
      <w:r>
        <w:t xml:space="preserve">”</w:t>
      </w:r>
      <w:r>
        <w:t xml:space="preserve"> </w:t>
      </w:r>
      <w:r>
        <w:t xml:space="preserve">Benefit Plan Investors in both the Checklist and the Subscription Agreement does</w:t>
      </w:r>
      <w:r>
        <w:t xml:space="preserve"> </w:t>
      </w:r>
      <w:r>
        <w:rPr>
          <w:b/>
          <w:bCs/>
        </w:rPr>
        <w:t xml:space="preserve">not</w:t>
      </w:r>
      <w:r>
        <w:t xml:space="preserve"> </w:t>
      </w:r>
      <w:r>
        <w:t xml:space="preserve">reconcile to the investors actually flagged as Benefit Plan Investors (</w:t>
      </w:r>
      <w:r>
        <w:t xml:space="preserve">“</w:t>
      </w:r>
      <w:r>
        <w:t xml:space="preserve">Y</w:t>
      </w:r>
      <w:r>
        <w:t xml:space="preserve">”</w:t>
      </w:r>
      <w:r>
        <w:t xml:space="preserve">) in the commitment schedule for the Initial and Second Closings. Summing the</w:t>
      </w:r>
      <w:r>
        <w:t xml:space="preserve"> </w:t>
      </w:r>
      <w:r>
        <w:t xml:space="preserve">“</w:t>
      </w:r>
      <w:r>
        <w:t xml:space="preserve">Y</w:t>
      </w:r>
      <w:r>
        <w:t xml:space="preserve">”</w:t>
      </w:r>
      <w:r>
        <w:t xml:space="preserve">-flagged investors in the commitment schedule yields</w:t>
      </w:r>
      <w:r>
        <w:t xml:space="preserve"> </w:t>
      </w:r>
      <w:r>
        <w:rPr>
          <w:b/>
          <w:bCs/>
        </w:rPr>
        <w:t xml:space="preserve">$335,300,000</w:t>
      </w:r>
      <w:r>
        <w:t xml:space="preserve"> </w:t>
      </w:r>
      <w:r>
        <w:t xml:space="preserve">for the prior closings, not $225,300,000 — a difference of</w:t>
      </w:r>
      <w:r>
        <w:t xml:space="preserve"> </w:t>
      </w:r>
      <w:r>
        <w:rPr>
          <w:b/>
          <w:bCs/>
        </w:rPr>
        <w:t xml:space="preserve">$110,000,000</w:t>
      </w:r>
      <w:r>
        <w:t xml:space="preserve">. The $225,300,000 figure appears to exclude Commonwealth Public Employees’ Retirement Fund ($85,000,000) and Oakdale Police &amp; Fire Retirement Trust ($25,000,000), both of which are flagged as Benefit Plan Investors in the commitment schedule, while including the other governmental plans (Lakewood, Westfield, Pemberton, Dalton) and the one private ERISA plan (Ashford). No rationale for this selective exclusion is stated in the Closing Documents.</w:t>
      </w:r>
    </w:p>
    <w:p>
      <w:pPr>
        <w:pStyle w:val="BodyText"/>
      </w:pPr>
      <w:r>
        <w:rPr>
          <w:b/>
          <w:bCs/>
        </w:rPr>
        <w:t xml:space="preserve">The potential cap exceedance.</w:t>
      </w:r>
      <w:r>
        <w:t xml:space="preserve"> </w:t>
      </w:r>
      <w:r>
        <w:t xml:space="preserve">This reconciliation issue is not merely cosmetic. The Subscription Agreement (Section 2.3, Box C) and Schedule I expressly provide that governmental plans are</w:t>
      </w:r>
      <w:r>
        <w:t xml:space="preserve"> </w:t>
      </w:r>
      <w:r>
        <w:t xml:space="preserve">“</w:t>
      </w:r>
      <w:r>
        <w:t xml:space="preserve">treated as benefit plan investors for purposes of the LPA Section 6.8 threshold calculation,</w:t>
      </w:r>
      <w:r>
        <w:t xml:space="preserve">”</w:t>
      </w:r>
      <w:r>
        <w:t xml:space="preserve"> </w:t>
      </w:r>
      <w:r>
        <w:t xml:space="preserve">and the Final Closing Benefit Plan Investors (Meridian and Sentry) are both governmental plans that are so counted. If</w:t>
      </w:r>
      <w:r>
        <w:t xml:space="preserve"> </w:t>
      </w:r>
      <w:r>
        <w:rPr>
          <w:b/>
          <w:bCs/>
        </w:rPr>
        <w:t xml:space="preserve">all</w:t>
      </w:r>
      <w:r>
        <w:t xml:space="preserve"> </w:t>
      </w:r>
      <w:r>
        <w:t xml:space="preserve">governmental plans flagged as Benefit Plan Investors in the commitment schedule are counted (consistent with the Subscription Agreement’s stated methodology), the aggregate Benefit Plan Investor commitments would be</w:t>
      </w:r>
      <w:r>
        <w:t xml:space="preserve"> </w:t>
      </w:r>
      <w:r>
        <w:rPr>
          <w:b/>
          <w:bCs/>
        </w:rPr>
        <w:t xml:space="preserve">$465,300,000</w:t>
      </w:r>
      <w:r>
        <w:t xml:space="preserve">, which is</w:t>
      </w:r>
      <w:r>
        <w:t xml:space="preserve"> </w:t>
      </w:r>
      <w:r>
        <w:rPr>
          <w:b/>
          <w:bCs/>
        </w:rPr>
        <w:t xml:space="preserve">28.81%</w:t>
      </w:r>
      <w:r>
        <w:t xml:space="preserve"> </w:t>
      </w:r>
      <w:r>
        <w:t xml:space="preserve">of total commitments ($465,300,000 / $1,615,000,000) —</w:t>
      </w:r>
      <w:r>
        <w:t xml:space="preserve"> </w:t>
      </w:r>
      <w:r>
        <w:rPr>
          <w:b/>
          <w:bCs/>
        </w:rPr>
        <w:t xml:space="preserve">above the 24.99% cap</w:t>
      </w:r>
      <w:r>
        <w:t xml:space="preserve">. Conversely, if governmental plans are</w:t>
      </w:r>
      <w:r>
        <w:t xml:space="preserve"> </w:t>
      </w:r>
      <w:r>
        <w:rPr>
          <w:b/>
          <w:bCs/>
        </w:rPr>
        <w:t xml:space="preserve">excluded</w:t>
      </w:r>
      <w:r>
        <w:t xml:space="preserve"> </w:t>
      </w:r>
      <w:r>
        <w:t xml:space="preserve">(on the view that the LPA’s definition of</w:t>
      </w:r>
      <w:r>
        <w:t xml:space="preserve"> </w:t>
      </w:r>
      <w:r>
        <w:t xml:space="preserve">“</w:t>
      </w:r>
      <w:r>
        <w:t xml:space="preserve">Benefit Plan Investor</w:t>
      </w:r>
      <w:r>
        <w:t xml:space="preserve">”</w:t>
      </w:r>
      <w:r>
        <w:t xml:space="preserve"> </w:t>
      </w:r>
      <w:r>
        <w:t xml:space="preserve">in Article I tracks the DOL plan-assets regulation, 29 C.F.R. § 2510.3-101, under which governmental plans are generally not</w:t>
      </w:r>
      <w:r>
        <w:t xml:space="preserve"> </w:t>
      </w:r>
      <w:r>
        <w:t xml:space="preserve">“</w:t>
      </w:r>
      <w:r>
        <w:t xml:space="preserve">benefit plan investors</w:t>
      </w:r>
      <w:r>
        <w:t xml:space="preserve">”</w:t>
      </w:r>
      <w:r>
        <w:t xml:space="preserve"> </w:t>
      </w:r>
      <w:r>
        <w:t xml:space="preserve">because they are exempt from Title I of ERISA), then the only private ERISA plan in the prior closings is Ashford Healthcare System Retirement Plan ($25,000,000), and the percentage would be approximately 1.55% — well below the cap.</w:t>
      </w:r>
    </w:p>
    <w:p>
      <w:pPr>
        <w:pStyle w:val="BodyText"/>
      </w:pPr>
      <w:r>
        <w:rPr>
          <w:b/>
          <w:bCs/>
        </w:rPr>
        <w:t xml:space="preserve">Why it matters.</w:t>
      </w:r>
      <w:r>
        <w:t xml:space="preserve"> </w:t>
      </w:r>
      <w:r>
        <w:t xml:space="preserve">The Closing Documents do not apply a single, consistent methodology. They purport to count governmental plans as Benefit Plan Investors (per the Subscription Agreement), but the prior-closings subtotal ($225,300,000) selectively excludes two governmental plans, which has the effect of keeping the stated percentage (22.00%) below the cap. If the calculation is performed consistently — either counting all governmental plans (28.81%, above the cap) or excluding all governmental plans (1.55%, below the cap) — the result differs materially from the 22.00% figure on which the GP Memo, the Checklist, and the Subscription Agreement rely. Because the ERISA condition is non-waivable, an incorrect determination could result in the admission of Limited Partners in violation of Section 6.8.</w:t>
      </w:r>
    </w:p>
    <w:p>
      <w:pPr>
        <w:pStyle w:val="BodyText"/>
      </w:pPr>
      <w:r>
        <w:rPr>
          <w:b/>
          <w:bCs/>
        </w:rPr>
        <w:t xml:space="preserve">Additional note on the LPA definition.</w:t>
      </w:r>
      <w:r>
        <w:t xml:space="preserve"> </w:t>
      </w:r>
      <w:r>
        <w:t xml:space="preserve">The LPA’s definition of</w:t>
      </w:r>
      <w:r>
        <w:t xml:space="preserve"> </w:t>
      </w:r>
      <w:r>
        <w:t xml:space="preserve">“</w:t>
      </w:r>
      <w:r>
        <w:t xml:space="preserve">Benefit Plan Investor</w:t>
      </w:r>
      <w:r>
        <w:t xml:space="preserve">”</w:t>
      </w:r>
      <w:r>
        <w:t xml:space="preserve"> </w:t>
      </w:r>
      <w:r>
        <w:t xml:space="preserve">(Article I) refers to (a) an employee benefit plan</w:t>
      </w:r>
      <w:r>
        <w:t xml:space="preserve"> </w:t>
      </w:r>
      <w:r>
        <w:t xml:space="preserve">“</w:t>
      </w:r>
      <w:r>
        <w:t xml:space="preserve">subject to the provisions of Title I of ERISA,</w:t>
      </w:r>
      <w:r>
        <w:t xml:space="preserve">”</w:t>
      </w:r>
      <w:r>
        <w:t xml:space="preserve"> </w:t>
      </w:r>
      <w:r>
        <w:t xml:space="preserve">(b) a</w:t>
      </w:r>
      <w:r>
        <w:t xml:space="preserve"> </w:t>
      </w:r>
      <w:r>
        <w:t xml:space="preserve">“</w:t>
      </w:r>
      <w:r>
        <w:t xml:space="preserve">plan</w:t>
      </w:r>
      <w:r>
        <w:t xml:space="preserve">”</w:t>
      </w:r>
      <w:r>
        <w:t xml:space="preserve"> </w:t>
      </w:r>
      <w:r>
        <w:t xml:space="preserve">subject to Section 4975 of the Code, and (c) any entity whose assets include</w:t>
      </w:r>
      <w:r>
        <w:t xml:space="preserve"> </w:t>
      </w:r>
      <w:r>
        <w:t xml:space="preserve">“</w:t>
      </w:r>
      <w:r>
        <w:t xml:space="preserve">plan assets</w:t>
      </w:r>
      <w:r>
        <w:t xml:space="preserve">”</w:t>
      </w:r>
      <w:r>
        <w:t xml:space="preserve"> </w:t>
      </w:r>
      <w:r>
        <w:t xml:space="preserve">under 29 C.F.R. § 2510.3-101, as modified by Section 3(42) of ERISA. Governmental plans (Section 3(32) of ERISA) are generally exempt from Title I of ERISA and are not</w:t>
      </w:r>
      <w:r>
        <w:t xml:space="preserve"> </w:t>
      </w:r>
      <w:r>
        <w:t xml:space="preserve">“</w:t>
      </w:r>
      <w:r>
        <w:t xml:space="preserve">benefit plan investors</w:t>
      </w:r>
      <w:r>
        <w:t xml:space="preserve">”</w:t>
      </w:r>
      <w:r>
        <w:t xml:space="preserve"> </w:t>
      </w:r>
      <w:r>
        <w:t xml:space="preserve">under the plan-assets regulation. The Subscription Agreement’s treatment of governmental plans as Benefit Plan Investors for Section 6.8 purposes is therefore more conservative than the LPA’s definition strictly requires, but it is not expressly</w:t>
      </w:r>
      <w:r>
        <w:t xml:space="preserve"> </w:t>
      </w:r>
      <w:r>
        <w:t xml:space="preserve">“</w:t>
      </w:r>
      <w:r>
        <w:t xml:space="preserve">specified in the LPA</w:t>
      </w:r>
      <w:r>
        <w:t xml:space="preserve">”</w:t>
      </w:r>
      <w:r>
        <w:t xml:space="preserve"> </w:t>
      </w:r>
      <w:r>
        <w:t xml:space="preserve">as the Subscription Agreement states. The General Partner should confirm the intended methodology.</w:t>
      </w:r>
    </w:p>
    <w:p>
      <w:pPr>
        <w:pStyle w:val="BodyText"/>
      </w:pPr>
      <w:r>
        <w:rPr>
          <w:b/>
          <w:bCs/>
        </w:rPr>
        <w:t xml:space="preserve">Recommendation.</w:t>
      </w:r>
      <w:r>
        <w:t xml:space="preserve"> </w:t>
      </w:r>
      <w:r>
        <w:t xml:space="preserve">Before consummating the Final Closing, the General Partner and the Fund Administrator should (i) reconcile the prior-closings Benefit Plan Investor total to the individual investor records and confirm the correct figure; (ii) confirm and document the methodology for treating governmental plans under Section 6.8 (i.e., whether governmental plans are counted as Benefit Plan Investors, and if so, on what consistent basis); and (iii) recompute the Benefit Plan Investor percentage under the confirmed methodology and confirm that it does not exceed 24.99%. If the confirmed percentage exceeds 24.99%, the General Partner must reduce or decline the admission of one or more Benefit Plan Investor Limited Partners under Section 6.8 before closing. The Closing Certificate has been drafted to qualify the ERISA certification accordingly (Section 4.3 of the Closing Certificate).</w:t>
      </w:r>
    </w:p>
    <w:bookmarkEnd w:id="23"/>
    <w:bookmarkEnd w:id="24"/>
    <w:bookmarkStart w:id="28" w:name="X90290a6cc248669a591cc867899c0ad36b8845c"/>
    <w:p>
      <w:pPr>
        <w:pStyle w:val="Heading2"/>
      </w:pPr>
      <w:r>
        <w:t xml:space="preserve">IV. Outstanding or Incompletely Documented Conditions Precedent</w:t>
      </w:r>
    </w:p>
    <w:bookmarkStart w:id="25" w:name="X537ac6600a44d8e5efbb5a7ecdbbe26e18b607c"/>
    <w:p>
      <w:pPr>
        <w:pStyle w:val="Heading3"/>
      </w:pPr>
      <w:r>
        <w:t xml:space="preserve">C. Capital Contributions Not Yet Confirmed Received [Section 11.2(2)]</w:t>
      </w:r>
    </w:p>
    <w:p>
      <w:pPr>
        <w:pStyle w:val="FirstParagraph"/>
      </w:pPr>
      <w:r>
        <w:t xml:space="preserve">The Checklist (item 21) marks escrow funding as</w:t>
      </w:r>
      <w:r>
        <w:t xml:space="preserve"> </w:t>
      </w:r>
      <w:r>
        <w:t xml:space="preserve">“</w:t>
      </w:r>
      <w:r>
        <w:t xml:space="preserve">Pending — Awaiting bank confirmation of wire receipts as of January 30, 2025.</w:t>
      </w:r>
      <w:r>
        <w:t xml:space="preserve">”</w:t>
      </w:r>
      <w:r>
        <w:t xml:space="preserve"> </w:t>
      </w:r>
      <w:r>
        <w:t xml:space="preserve">Section 11.2(2) requires that all Capital Contributions due at the Closing (including catch-up contributions and equalization interest) be received in immediately available funds, and that the Fund Administrator confirm receipt prior to consummation. The Final Closing Payment due from the six incoming Limited Partners is approximately $43.6 million (see Item J regarding the exact amount). The General Partner should not consummate the Final Closing until the Fund Administrator confirms receipt of all wires in the escrow account at Pinnacle National Bank (Account ending in 9213). The Closing Certificate qualifies the Capital Contributions certification accordingly (Section 4.1).</w:t>
      </w:r>
    </w:p>
    <w:bookmarkEnd w:id="25"/>
    <w:bookmarkStart w:id="26" w:name="X8251d623d090347ff2e94ff2dcf45d46a4faaa1"/>
    <w:p>
      <w:pPr>
        <w:pStyle w:val="Heading3"/>
      </w:pPr>
      <w:r>
        <w:t xml:space="preserve">D. Legal Opinions Not Yet Delivered [Section 11.2(7)]</w:t>
      </w:r>
    </w:p>
    <w:p>
      <w:pPr>
        <w:pStyle w:val="FirstParagraph"/>
      </w:pPr>
      <w:r>
        <w:t xml:space="preserve">The Checklist (item 23) and the GP Memo (Condition 7) state that the legal opinions of Bridgeford Hollis LLP are</w:t>
      </w:r>
      <w:r>
        <w:t xml:space="preserve"> </w:t>
      </w:r>
      <w:r>
        <w:t xml:space="preserve">“</w:t>
      </w:r>
      <w:r>
        <w:t xml:space="preserve">In Process</w:t>
      </w:r>
      <w:r>
        <w:t xml:space="preserve">”</w:t>
      </w:r>
      <w:r>
        <w:t xml:space="preserve"> </w:t>
      </w:r>
      <w:r>
        <w:t xml:space="preserve">/</w:t>
      </w:r>
      <w:r>
        <w:t xml:space="preserve"> </w:t>
      </w:r>
      <w:r>
        <w:t xml:space="preserve">“</w:t>
      </w:r>
      <w:r>
        <w:t xml:space="preserve">Draft circulated — awaiting execution.</w:t>
      </w:r>
      <w:r>
        <w:t xml:space="preserve">”</w:t>
      </w:r>
      <w:r>
        <w:t xml:space="preserve"> </w:t>
      </w:r>
      <w:r>
        <w:t xml:space="preserve">Section 11.2(7) requires Fund Counsel to deliver legal opinions</w:t>
      </w:r>
      <w:r>
        <w:t xml:space="preserve"> </w:t>
      </w:r>
      <w:r>
        <w:t xml:space="preserve">“</w:t>
      </w:r>
      <w:r>
        <w:t xml:space="preserve">dated as of the date of the applicable Closing</w:t>
      </w:r>
      <w:r>
        <w:t xml:space="preserve">”</w:t>
      </w:r>
      <w:r>
        <w:t xml:space="preserve"> </w:t>
      </w:r>
      <w:r>
        <w:t xml:space="preserve">addressing (i) due formation and valid existence of the Partnership, (ii) enforceability of the LPA, and (iii) such other customary matters,</w:t>
      </w:r>
      <w:r>
        <w:t xml:space="preserve"> </w:t>
      </w:r>
      <w:r>
        <w:t xml:space="preserve">“</w:t>
      </w:r>
      <w:r>
        <w:t xml:space="preserve">including the limited liability of the Limited Partners.</w:t>
      </w:r>
      <w:r>
        <w:t xml:space="preserve">”</w:t>
      </w:r>
      <w:r>
        <w:t xml:space="preserve"> </w:t>
      </w:r>
      <w:r>
        <w:t xml:space="preserve">We note that the GP Memo’s description of the opinions lists a</w:t>
      </w:r>
      <w:r>
        <w:t xml:space="preserve"> </w:t>
      </w:r>
      <w:r>
        <w:t xml:space="preserve">“</w:t>
      </w:r>
      <w:r>
        <w:t xml:space="preserve">securities law opinion regarding the availability of the private placement exemption under Regulation D</w:t>
      </w:r>
      <w:r>
        <w:t xml:space="preserve">”</w:t>
      </w:r>
      <w:r>
        <w:t xml:space="preserve"> </w:t>
      </w:r>
      <w:r>
        <w:t xml:space="preserve">as the third opinion, but does not expressly mention an opinion on the limited liability of the Limited Partners, which is the matter specifically referenced in Section 11.2(7)(iii). We will ensure that the final opinion set addresses all matters required by Section 11.2(7), including limited liability, and is dated as of January 31, 2025. The Closing Certificate qualifies the legal opinions certification accordingly (Section 4.4).</w:t>
      </w:r>
    </w:p>
    <w:bookmarkEnd w:id="26"/>
    <w:bookmarkStart w:id="27" w:name="Xb4b54e0b0c4f24a5fa8fc6dd99ef530eda9623e"/>
    <w:p>
      <w:pPr>
        <w:pStyle w:val="Heading3"/>
      </w:pPr>
      <w:r>
        <w:t xml:space="preserve">E. Key Person Certification Incomplete as to Priya S. Mehta [Section 11.2(6) / Section 9.4(d)]</w:t>
      </w:r>
    </w:p>
    <w:p>
      <w:pPr>
        <w:pStyle w:val="FirstParagraph"/>
      </w:pPr>
      <w:r>
        <w:t xml:space="preserve">Section 9.4 of the LPA designates</w:t>
      </w:r>
      <w:r>
        <w:t xml:space="preserve"> </w:t>
      </w:r>
      <w:r>
        <w:rPr>
          <w:b/>
          <w:bCs/>
        </w:rPr>
        <w:t xml:space="preserve">two</w:t>
      </w:r>
      <w:r>
        <w:t xml:space="preserve"> </w:t>
      </w:r>
      <w:r>
        <w:t xml:space="preserve">Key Persons: Marcus J. Whitmore and Priya S. Mehta. Section 9.4(d) requires the General Partner to certify at each Closing that</w:t>
      </w:r>
      <w:r>
        <w:t xml:space="preserve"> </w:t>
      </w:r>
      <w:r>
        <w:rPr>
          <w:b/>
          <w:bCs/>
        </w:rPr>
        <w:t xml:space="preserve">each</w:t>
      </w:r>
      <w:r>
        <w:t xml:space="preserve"> </w:t>
      </w:r>
      <w:r>
        <w:t xml:space="preserve">Key Person continues to devote substantially all of his or her business time to the Partnership and that no Key Person Event has occurred or is reasonably expected to occur. Section 11.2(6) imposes the same requirement as a condition precedent.</w:t>
      </w:r>
    </w:p>
    <w:p>
      <w:pPr>
        <w:pStyle w:val="BodyText"/>
      </w:pPr>
      <w:r>
        <w:t xml:space="preserve">The GP Memo (Section VII and Condition 6) addresses only Marcus J. Whitmore and states that</w:t>
      </w:r>
      <w:r>
        <w:t xml:space="preserve"> </w:t>
      </w:r>
      <w:r>
        <w:t xml:space="preserve">“</w:t>
      </w:r>
      <w:r>
        <w:t xml:space="preserve">Marcus J. Whitmore continues to devote substantially all of his business time to the affairs of Fund VII</w:t>
      </w:r>
      <w:r>
        <w:t xml:space="preserve">”</w:t>
      </w:r>
      <w:r>
        <w:t xml:space="preserve"> </w:t>
      </w:r>
      <w:r>
        <w:t xml:space="preserve">and that</w:t>
      </w:r>
      <w:r>
        <w:t xml:space="preserve"> </w:t>
      </w:r>
      <w:r>
        <w:t xml:space="preserve">“</w:t>
      </w:r>
      <w:r>
        <w:t xml:space="preserve">[n]o Key Person Event has been triggered.</w:t>
      </w:r>
      <w:r>
        <w:t xml:space="preserve">”</w:t>
      </w:r>
      <w:r>
        <w:t xml:space="preserve"> </w:t>
      </w:r>
      <w:r>
        <w:t xml:space="preserve">The GP Memo is</w:t>
      </w:r>
      <w:r>
        <w:t xml:space="preserve"> </w:t>
      </w:r>
      <w:r>
        <w:rPr>
          <w:b/>
          <w:bCs/>
        </w:rPr>
        <w:t xml:space="preserve">silent as to Priya S. Mehta.</w:t>
      </w:r>
      <w:r>
        <w:t xml:space="preserve"> </w:t>
      </w:r>
      <w:r>
        <w:t xml:space="preserve">By contrast, Amendment No. 1 (Section 2.2(b)), delivered at the Second Closing, correctly certified the status of both Key Persons. The Closing Certificate has been drafted to certify the status of both Key Persons (Section 2 of the Closing Certificate). The General Partner should confirm that it has current, documented support for the certification as to Priya S. Mehta (and not only as to Mr. Whitmore) before executing the Closing Certificate.</w:t>
      </w:r>
    </w:p>
    <w:bookmarkEnd w:id="27"/>
    <w:bookmarkEnd w:id="28"/>
    <w:bookmarkStart w:id="33" w:name="Xf94afdccf5c41c96fb2abf7268504a998a024ff"/>
    <w:p>
      <w:pPr>
        <w:pStyle w:val="Heading2"/>
      </w:pPr>
      <w:r>
        <w:t xml:space="preserve">V. Material Drafting and Cross-Reference Discrepancies</w:t>
      </w:r>
    </w:p>
    <w:bookmarkStart w:id="29" w:name="X2973d79ab01be1d0567be9b84e50b9930648d66"/>
    <w:p>
      <w:pPr>
        <w:pStyle w:val="Heading3"/>
      </w:pPr>
      <w:r>
        <w:t xml:space="preserve">F. Amendment No. 1 Misidentifies the Distribution Waterfall Section Being Corrected</w:t>
      </w:r>
    </w:p>
    <w:p>
      <w:pPr>
        <w:pStyle w:val="FirstParagraph"/>
      </w:pPr>
      <w:r>
        <w:t xml:space="preserve">Amendment No. 1, Section 1.2, purports to correct a</w:t>
      </w:r>
      <w:r>
        <w:t xml:space="preserve"> </w:t>
      </w:r>
      <w:r>
        <w:t xml:space="preserve">“</w:t>
      </w:r>
      <w:r>
        <w:t xml:space="preserve">technical error in Section 8.3(b) of the Original Agreement relating to the second tier of the distribution waterfall (the General Partner’s</w:t>
      </w:r>
      <w:r>
        <w:t xml:space="preserve"> </w:t>
      </w:r>
      <w:r>
        <w:t xml:space="preserve">‘</w:t>
      </w:r>
      <w:r>
        <w:t xml:space="preserve">catch-up</w:t>
      </w:r>
      <w:r>
        <w:t xml:space="preserve">’</w:t>
      </w:r>
      <w:r>
        <w:t xml:space="preserve"> </w:t>
      </w:r>
      <w:r>
        <w:t xml:space="preserve">allocation).</w:t>
      </w:r>
      <w:r>
        <w:t xml:space="preserve">”</w:t>
      </w:r>
      <w:r>
        <w:t xml:space="preserve"> </w:t>
      </w:r>
      <w:r>
        <w:t xml:space="preserve">This description does not match the structure of the LPA’s distribution waterfall in Section 8.3, which is organized as follows:</w:t>
      </w:r>
    </w:p>
    <w:p>
      <w:pPr>
        <w:pStyle w:val="Compact"/>
        <w:numPr>
          <w:ilvl w:val="0"/>
          <w:numId w:val="1009"/>
        </w:numPr>
      </w:pPr>
      <w:r>
        <w:rPr>
          <w:b/>
          <w:bCs/>
        </w:rPr>
        <w:t xml:space="preserve">Section 8.3(a) —</w:t>
      </w:r>
      <w:r>
        <w:rPr>
          <w:b/>
          <w:bCs/>
        </w:rPr>
        <w:t xml:space="preserve"> </w:t>
      </w:r>
      <w:r>
        <w:rPr>
          <w:b/>
          <w:bCs/>
        </w:rPr>
        <w:t xml:space="preserve">“</w:t>
      </w:r>
      <w:r>
        <w:rPr>
          <w:b/>
          <w:bCs/>
        </w:rPr>
        <w:t xml:space="preserve">First</w:t>
      </w:r>
      <w:r>
        <w:rPr>
          <w:b/>
          <w:bCs/>
        </w:rPr>
        <w:t xml:space="preserve">”</w:t>
      </w:r>
      <w:r>
        <w:rPr>
          <w:b/>
          <w:bCs/>
        </w:rPr>
        <w:t xml:space="preserve"> </w:t>
      </w:r>
      <w:r>
        <w:rPr>
          <w:b/>
          <w:bCs/>
        </w:rPr>
        <w:t xml:space="preserve">— Return of Capital</w:t>
      </w:r>
      <w:r>
        <w:t xml:space="preserve"> </w:t>
      </w:r>
      <w:r>
        <w:t xml:space="preserve">(100% to Partners until return of Capital Contributions);</w:t>
      </w:r>
    </w:p>
    <w:p>
      <w:pPr>
        <w:pStyle w:val="Compact"/>
        <w:numPr>
          <w:ilvl w:val="0"/>
          <w:numId w:val="1009"/>
        </w:numPr>
      </w:pPr>
      <w:r>
        <w:rPr>
          <w:b/>
          <w:bCs/>
        </w:rPr>
        <w:t xml:space="preserve">Section 8.3(b) —</w:t>
      </w:r>
      <w:r>
        <w:rPr>
          <w:b/>
          <w:bCs/>
        </w:rPr>
        <w:t xml:space="preserve"> </w:t>
      </w:r>
      <w:r>
        <w:rPr>
          <w:b/>
          <w:bCs/>
        </w:rPr>
        <w:t xml:space="preserve">“</w:t>
      </w:r>
      <w:r>
        <w:rPr>
          <w:b/>
          <w:bCs/>
        </w:rPr>
        <w:t xml:space="preserve">Second</w:t>
      </w:r>
      <w:r>
        <w:rPr>
          <w:b/>
          <w:bCs/>
        </w:rPr>
        <w:t xml:space="preserve">”</w:t>
      </w:r>
      <w:r>
        <w:rPr>
          <w:b/>
          <w:bCs/>
        </w:rPr>
        <w:t xml:space="preserve"> </w:t>
      </w:r>
      <w:r>
        <w:rPr>
          <w:b/>
          <w:bCs/>
        </w:rPr>
        <w:t xml:space="preserve">— Preferred Return</w:t>
      </w:r>
      <w:r>
        <w:t xml:space="preserve"> </w:t>
      </w:r>
      <w:r>
        <w:t xml:space="preserve">(100% to Partners until the 8% preferred return is achieved);</w:t>
      </w:r>
    </w:p>
    <w:p>
      <w:pPr>
        <w:pStyle w:val="Compact"/>
        <w:numPr>
          <w:ilvl w:val="0"/>
          <w:numId w:val="1009"/>
        </w:numPr>
      </w:pPr>
      <w:r>
        <w:rPr>
          <w:b/>
          <w:bCs/>
        </w:rPr>
        <w:t xml:space="preserve">Section 8.3(c) —</w:t>
      </w:r>
      <w:r>
        <w:rPr>
          <w:b/>
          <w:bCs/>
        </w:rPr>
        <w:t xml:space="preserve"> </w:t>
      </w:r>
      <w:r>
        <w:rPr>
          <w:b/>
          <w:bCs/>
        </w:rPr>
        <w:t xml:space="preserve">“</w:t>
      </w:r>
      <w:r>
        <w:rPr>
          <w:b/>
          <w:bCs/>
        </w:rPr>
        <w:t xml:space="preserve">Third</w:t>
      </w:r>
      <w:r>
        <w:rPr>
          <w:b/>
          <w:bCs/>
        </w:rPr>
        <w:t xml:space="preserve">”</w:t>
      </w:r>
      <w:r>
        <w:rPr>
          <w:b/>
          <w:bCs/>
        </w:rPr>
        <w:t xml:space="preserve"> </w:t>
      </w:r>
      <w:r>
        <w:rPr>
          <w:b/>
          <w:bCs/>
        </w:rPr>
        <w:t xml:space="preserve">— GP Catch-Up</w:t>
      </w:r>
      <w:r>
        <w:t xml:space="preserve"> </w:t>
      </w:r>
      <w:r>
        <w:t xml:space="preserve">(100% to the General Partner until the GP has received 20% of amounts distributed under Sections 8.3(b) and 8.3(c)); and</w:t>
      </w:r>
    </w:p>
    <w:p>
      <w:pPr>
        <w:pStyle w:val="Compact"/>
        <w:numPr>
          <w:ilvl w:val="0"/>
          <w:numId w:val="1009"/>
        </w:numPr>
      </w:pPr>
      <w:r>
        <w:rPr>
          <w:b/>
          <w:bCs/>
        </w:rPr>
        <w:t xml:space="preserve">Section 8.3(d) —</w:t>
      </w:r>
      <w:r>
        <w:rPr>
          <w:b/>
          <w:bCs/>
        </w:rPr>
        <w:t xml:space="preserve"> </w:t>
      </w:r>
      <w:r>
        <w:rPr>
          <w:b/>
          <w:bCs/>
        </w:rPr>
        <w:t xml:space="preserve">“</w:t>
      </w:r>
      <w:r>
        <w:rPr>
          <w:b/>
          <w:bCs/>
        </w:rPr>
        <w:t xml:space="preserve">Fourth</w:t>
      </w:r>
      <w:r>
        <w:rPr>
          <w:b/>
          <w:bCs/>
        </w:rPr>
        <w:t xml:space="preserve">”</w:t>
      </w:r>
      <w:r>
        <w:rPr>
          <w:b/>
          <w:bCs/>
        </w:rPr>
        <w:t xml:space="preserve"> </w:t>
      </w:r>
      <w:r>
        <w:rPr>
          <w:b/>
          <w:bCs/>
        </w:rPr>
        <w:t xml:space="preserve">— Carried Interest Split</w:t>
      </w:r>
      <w:r>
        <w:t xml:space="preserve"> </w:t>
      </w:r>
      <w:r>
        <w:t xml:space="preserve">(80% to Partners / 20% to GP).</w:t>
      </w:r>
    </w:p>
    <w:p>
      <w:pPr>
        <w:pStyle w:val="FirstParagraph"/>
      </w:pPr>
      <w:r>
        <w:t xml:space="preserve">The GP catch-up is in</w:t>
      </w:r>
      <w:r>
        <w:t xml:space="preserve"> </w:t>
      </w:r>
      <w:r>
        <w:rPr>
          <w:b/>
          <w:bCs/>
        </w:rPr>
        <w:t xml:space="preserve">Section 8.3(c)</w:t>
      </w:r>
      <w:r>
        <w:t xml:space="preserve">, not Section 8.3(b). Section 8.3(b) is the</w:t>
      </w:r>
      <w:r>
        <w:t xml:space="preserve"> </w:t>
      </w:r>
      <w:r>
        <w:rPr>
          <w:b/>
          <w:bCs/>
        </w:rPr>
        <w:t xml:space="preserve">Preferred Return</w:t>
      </w:r>
      <w:r>
        <w:t xml:space="preserve"> </w:t>
      </w:r>
      <w:r>
        <w:t xml:space="preserve">tier. The amendment’s replacement text is labeled</w:t>
      </w:r>
      <w:r>
        <w:t xml:space="preserve"> </w:t>
      </w:r>
      <w:r>
        <w:t xml:space="preserve">“</w:t>
      </w:r>
      <w:r>
        <w:rPr>
          <w:b/>
          <w:bCs/>
        </w:rPr>
        <w:t xml:space="preserve">Second</w:t>
      </w:r>
      <w:r>
        <w:t xml:space="preserve">”</w:t>
      </w:r>
      <w:r>
        <w:t xml:space="preserve"> </w:t>
      </w:r>
      <w:r>
        <w:t xml:space="preserve">(the position of the preferred return) but contains</w:t>
      </w:r>
      <w:r>
        <w:t xml:space="preserve"> </w:t>
      </w:r>
      <w:r>
        <w:rPr>
          <w:b/>
          <w:bCs/>
        </w:rPr>
        <w:t xml:space="preserve">catch-up mechanics</w:t>
      </w:r>
      <w:r>
        <w:t xml:space="preserve"> </w:t>
      </w:r>
      <w:r>
        <w:t xml:space="preserve">(100% to the General Partner). If the amendment were applied literally — deleting Section 8.3(b)</w:t>
      </w:r>
      <w:r>
        <w:t xml:space="preserve"> </w:t>
      </w:r>
      <w:r>
        <w:t xml:space="preserve">“</w:t>
      </w:r>
      <w:r>
        <w:t xml:space="preserve">in its entirety and replaced with</w:t>
      </w:r>
      <w:r>
        <w:t xml:space="preserve">”</w:t>
      </w:r>
      <w:r>
        <w:t xml:space="preserve"> </w:t>
      </w:r>
      <w:r>
        <w:t xml:space="preserve">the catch-up language — it would</w:t>
      </w:r>
      <w:r>
        <w:t xml:space="preserve"> </w:t>
      </w:r>
      <w:r>
        <w:rPr>
          <w:b/>
          <w:bCs/>
        </w:rPr>
        <w:t xml:space="preserve">eliminate the Preferred Return tier</w:t>
      </w:r>
      <w:r>
        <w:t xml:space="preserve"> </w:t>
      </w:r>
      <w:r>
        <w:t xml:space="preserve">and replace it with a second catch-up tier, which would be a material adverse change to the Limited Partners. This is inconsistent with the amendment’s representation (Section 1.2(c) and the acknowledgment regarding Limited Partner consent) that the correction</w:t>
      </w:r>
      <w:r>
        <w:t xml:space="preserve"> </w:t>
      </w:r>
      <w:r>
        <w:t xml:space="preserve">“</w:t>
      </w:r>
      <w:r>
        <w:t xml:space="preserve">does not materially and adversely affect any Limited Partner.</w:t>
      </w:r>
      <w:r>
        <w:t xml:space="preserve">”</w:t>
      </w:r>
    </w:p>
    <w:p>
      <w:pPr>
        <w:pStyle w:val="BodyText"/>
      </w:pPr>
      <w:r>
        <w:t xml:space="preserve">In addition, the</w:t>
      </w:r>
      <w:r>
        <w:t xml:space="preserve"> </w:t>
      </w:r>
      <w:r>
        <w:t xml:space="preserve">“</w:t>
      </w:r>
      <w:r>
        <w:t xml:space="preserve">error</w:t>
      </w:r>
      <w:r>
        <w:t xml:space="preserve">”</w:t>
      </w:r>
      <w:r>
        <w:t xml:space="preserve"> </w:t>
      </w:r>
      <w:r>
        <w:t xml:space="preserve">the amendment purports to correct — language stating that the second tier would be made to the General Partner</w:t>
      </w:r>
      <w:r>
        <w:t xml:space="preserve"> </w:t>
      </w:r>
      <w:r>
        <w:t xml:space="preserve">“</w:t>
      </w:r>
      <w:r>
        <w:t xml:space="preserve">in an amount equal to</w:t>
      </w:r>
      <w:r>
        <w:t xml:space="preserve"> </w:t>
      </w:r>
      <w:r>
        <w:t xml:space="preserve">‘</w:t>
      </w:r>
      <w:r>
        <w:t xml:space="preserve">20% of the aggregate amount distributed pursuant to Section 8.3(a) and this Section 8.3(b)</w:t>
      </w:r>
      <w:r>
        <w:t xml:space="preserve">’</w:t>
      </w:r>
      <w:r>
        <w:t xml:space="preserve">”</w:t>
      </w:r>
      <w:r>
        <w:t xml:space="preserve"> </w:t>
      </w:r>
      <w:r>
        <w:t xml:space="preserve">— does not appear in the LPA as executed. The LPA’s Section 8.3(c) already contains a proper catch-up formulation (</w:t>
      </w:r>
      <w:r>
        <w:t xml:space="preserve">“</w:t>
      </w:r>
      <w:r>
        <w:t xml:space="preserve">100% to the General Partner until the General Partner has received, in the aggregate under this Section 8.3(c) and Section 8.3(d), an amount equal to twenty percent (20%) of the sum of all amounts distributed under Sections 8.3(b) and 8.3(c)</w:t>
      </w:r>
      <w:r>
        <w:t xml:space="preserve">”</w:t>
      </w:r>
      <w:r>
        <w:t xml:space="preserve">).</w:t>
      </w:r>
    </w:p>
    <w:p>
      <w:pPr>
        <w:pStyle w:val="BodyText"/>
      </w:pPr>
      <w:r>
        <w:rPr>
          <w:b/>
          <w:bCs/>
        </w:rPr>
        <w:t xml:space="preserve">Recommendation.</w:t>
      </w:r>
      <w:r>
        <w:t xml:space="preserve"> </w:t>
      </w:r>
      <w:r>
        <w:t xml:space="preserve">The General Partner should confirm the intended scope of Amendment No. 1’s amendment to the distribution waterfall. If the intent was to correct the catch-up tier, the amendment should reference Section 8.3(c) (the</w:t>
      </w:r>
      <w:r>
        <w:t xml:space="preserve"> </w:t>
      </w:r>
      <w:r>
        <w:t xml:space="preserve">“</w:t>
      </w:r>
      <w:r>
        <w:t xml:space="preserve">Third</w:t>
      </w:r>
      <w:r>
        <w:t xml:space="preserve">”</w:t>
      </w:r>
      <w:r>
        <w:t xml:space="preserve"> </w:t>
      </w:r>
      <w:r>
        <w:t xml:space="preserve">tier), not Section 8.3(b) (the</w:t>
      </w:r>
      <w:r>
        <w:t xml:space="preserve"> </w:t>
      </w:r>
      <w:r>
        <w:t xml:space="preserve">“</w:t>
      </w:r>
      <w:r>
        <w:t xml:space="preserve">Second</w:t>
      </w:r>
      <w:r>
        <w:t xml:space="preserve">”</w:t>
      </w:r>
      <w:r>
        <w:t xml:space="preserve"> </w:t>
      </w:r>
      <w:r>
        <w:t xml:space="preserve">/ Preferred Return tier). If the amendment as executed could be read to delete the Preferred Return, a clarifying amendment should be considered. This item should be reviewed with the General Partner and, given that the amendment represents that the Advisory Committee was consulted, the Advisory Committee’s awareness of the actual text should be confirmed.</w:t>
      </w:r>
    </w:p>
    <w:bookmarkEnd w:id="29"/>
    <w:bookmarkStart w:id="30" w:name="Xfaa3151cf492c2a3ff0a1db858c573803a8111c"/>
    <w:p>
      <w:pPr>
        <w:pStyle w:val="Heading3"/>
      </w:pPr>
      <w:r>
        <w:t xml:space="preserve">G. Capital Call Notice No. 2 — Individual LP Commitment Amounts Conflict with the Commitment Schedule</w:t>
      </w:r>
    </w:p>
    <w:p>
      <w:pPr>
        <w:pStyle w:val="FirstParagraph"/>
      </w:pPr>
      <w:r>
        <w:t xml:space="preserve">Capital Call Notice No. 2 (Exhibit A) lists the following individual Capital Commitments for certain Initial Closing Limited Partners: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Limited Partner</w:t>
            </w:r>
          </w:p>
        </w:tc>
        <w:tc>
          <w:tcPr/>
          <w:p>
            <w:pPr>
              <w:pStyle w:val="Compact"/>
              <w:jc w:val="left"/>
            </w:pPr>
            <w:r>
              <w:t xml:space="preserve">CC No. 2 Exhibit A</w:t>
            </w:r>
          </w:p>
        </w:tc>
        <w:tc>
          <w:tcPr/>
          <w:p>
            <w:pPr>
              <w:pStyle w:val="Compact"/>
              <w:jc w:val="left"/>
            </w:pPr>
            <w:r>
              <w:t xml:space="preserve">Commitment Schedule (Checklist)</w:t>
            </w:r>
          </w:p>
        </w:tc>
      </w:tr>
      <w:tr>
        <w:tc>
          <w:tcPr/>
          <w:p>
            <w:pPr>
              <w:pStyle w:val="Compact"/>
              <w:jc w:val="left"/>
            </w:pPr>
            <w:r>
              <w:t xml:space="preserve">Silvermark Capital Advisors</w:t>
            </w:r>
          </w:p>
        </w:tc>
        <w:tc>
          <w:tcPr/>
          <w:p>
            <w:pPr>
              <w:pStyle w:val="Compact"/>
              <w:jc w:val="left"/>
            </w:pPr>
            <w:r>
              <w:t xml:space="preserve">$125,000,000</w:t>
            </w:r>
          </w:p>
        </w:tc>
        <w:tc>
          <w:tcPr/>
          <w:p>
            <w:pPr>
              <w:pStyle w:val="Compact"/>
              <w:jc w:val="left"/>
            </w:pPr>
            <w:r>
              <w:t xml:space="preserve">$75,000,000</w:t>
            </w:r>
          </w:p>
        </w:tc>
      </w:tr>
      <w:tr>
        <w:tc>
          <w:tcPr/>
          <w:p>
            <w:pPr>
              <w:pStyle w:val="Compact"/>
              <w:jc w:val="left"/>
            </w:pPr>
            <w:r>
              <w:t xml:space="preserve">Commonwealth Public Employees’ Retirement Fund</w:t>
            </w:r>
          </w:p>
        </w:tc>
        <w:tc>
          <w:tcPr/>
          <w:p>
            <w:pPr>
              <w:pStyle w:val="Compact"/>
              <w:jc w:val="left"/>
            </w:pPr>
            <w:r>
              <w:t xml:space="preserve">$100,000,000</w:t>
            </w:r>
          </w:p>
        </w:tc>
        <w:tc>
          <w:tcPr/>
          <w:p>
            <w:pPr>
              <w:pStyle w:val="Compact"/>
              <w:jc w:val="left"/>
            </w:pPr>
            <w:r>
              <w:t xml:space="preserve">$85,000,000</w:t>
            </w:r>
          </w:p>
        </w:tc>
      </w:tr>
      <w:tr>
        <w:tc>
          <w:tcPr/>
          <w:p>
            <w:pPr>
              <w:pStyle w:val="Compact"/>
              <w:jc w:val="left"/>
            </w:pPr>
            <w:r>
              <w:t xml:space="preserve">Graystone Foundation</w:t>
            </w:r>
          </w:p>
        </w:tc>
        <w:tc>
          <w:tcPr/>
          <w:p>
            <w:pPr>
              <w:pStyle w:val="Compact"/>
              <w:jc w:val="left"/>
            </w:pPr>
            <w:r>
              <w:t xml:space="preserve">$75,000,000</w:t>
            </w:r>
          </w:p>
        </w:tc>
        <w:tc>
          <w:tcPr/>
          <w:p>
            <w:pPr>
              <w:pStyle w:val="Compact"/>
              <w:jc w:val="left"/>
            </w:pPr>
            <w:r>
              <w:t xml:space="preserve">$50,000,000</w:t>
            </w:r>
          </w:p>
        </w:tc>
      </w:tr>
      <w:tr>
        <w:tc>
          <w:tcPr/>
          <w:p>
            <w:pPr>
              <w:pStyle w:val="Compact"/>
              <w:jc w:val="left"/>
            </w:pPr>
            <w:r>
              <w:t xml:space="preserve">“</w:t>
            </w:r>
            <w:r>
              <w:t xml:space="preserve">15 Additional Initial Closing LPs (subtotal)</w:t>
            </w:r>
            <w:r>
              <w:t xml:space="preserve">”</w:t>
            </w:r>
          </w:p>
        </w:tc>
        <w:tc>
          <w:tcPr/>
          <w:p>
            <w:pPr>
              <w:pStyle w:val="Compact"/>
              <w:jc w:val="left"/>
            </w:pPr>
            <w:r>
              <w:t xml:space="preserve">$640,000,000</w:t>
            </w:r>
          </w:p>
        </w:tc>
        <w:tc>
          <w:tcPr/>
          <w:p>
            <w:pPr>
              <w:pStyle w:val="Compact"/>
              <w:jc w:val="left"/>
            </w:pPr>
            <w:r>
              <w:t xml:space="preserve">$730,000,000 (implied)</w:t>
            </w:r>
          </w:p>
        </w:tc>
      </w:tr>
    </w:tbl>
    <w:p>
      <w:pPr>
        <w:pStyle w:val="BodyText"/>
      </w:pPr>
      <w:r>
        <w:t xml:space="preserve">The Initial Closing LP subtotal reconciles to $940,000,000 in both documents, but the</w:t>
      </w:r>
      <w:r>
        <w:t xml:space="preserve"> </w:t>
      </w:r>
      <w:r>
        <w:rPr>
          <w:b/>
          <w:bCs/>
        </w:rPr>
        <w:t xml:space="preserve">individual</w:t>
      </w:r>
      <w:r>
        <w:t xml:space="preserve"> </w:t>
      </w:r>
      <w:r>
        <w:t xml:space="preserve">commitment amounts for Silvermark, Commonwealth, and Graystone differ materially (by $50,000,000, $15,000,000, and $25,000,000, respectively), with a corresponding $90,000,000 offset in the</w:t>
      </w:r>
      <w:r>
        <w:t xml:space="preserve"> </w:t>
      </w:r>
      <w:r>
        <w:t xml:space="preserve">“</w:t>
      </w:r>
      <w:r>
        <w:t xml:space="preserve">15 Additional</w:t>
      </w:r>
      <w:r>
        <w:t xml:space="preserve">”</w:t>
      </w:r>
      <w:r>
        <w:t xml:space="preserve"> </w:t>
      </w:r>
      <w:r>
        <w:t xml:space="preserve">subtotal. Because these three Limited Partners include two Advisory Committee member representatives (Rachel M. Torres represents Silvermark Capital Advisors; Kenneth W. Park represents Commonwealth Public Employees’ Retirement Fund), the discrepancy should be reconciled to confirm the correct commitment amounts, the correct capital call amounts previously collected from each, and the correct equalization bases. The General Partner and the Fund Administrator should confirm which set of individual commitment figures is correct and correct any inconsistent records.</w:t>
      </w:r>
    </w:p>
    <w:bookmarkEnd w:id="30"/>
    <w:bookmarkStart w:id="31" w:name="X6b685013d23e1e9c5e498abc973faa2d62c9c5a"/>
    <w:p>
      <w:pPr>
        <w:pStyle w:val="Heading3"/>
      </w:pPr>
      <w:r>
        <w:t xml:space="preserve">H. Amendment No. 1 — Birchwood Insurance Co. Commitment ($75,000,000 vs. $60,000,000)</w:t>
      </w:r>
    </w:p>
    <w:p>
      <w:pPr>
        <w:pStyle w:val="FirstParagraph"/>
      </w:pPr>
      <w:r>
        <w:t xml:space="preserve">Amendment No. 1, Section 1.3(a), appoints Thomas A. Riley to the Advisory Committee as the representative of</w:t>
      </w:r>
      <w:r>
        <w:t xml:space="preserve"> </w:t>
      </w:r>
      <w:r>
        <w:t xml:space="preserve">“</w:t>
      </w:r>
      <w:r>
        <w:t xml:space="preserve">Birchwood Insurance Co. (a Second Closing Limited Partner with a Capital Commitment of Seventy-Five Million Dollars ($75,000,000)).</w:t>
      </w:r>
      <w:r>
        <w:t xml:space="preserve">”</w:t>
      </w:r>
      <w:r>
        <w:t xml:space="preserve"> </w:t>
      </w:r>
      <w:r>
        <w:t xml:space="preserve">The commitment schedule in the Checklist lists Birchwood Insurance Co. with a Capital Commitment of</w:t>
      </w:r>
      <w:r>
        <w:t xml:space="preserve"> </w:t>
      </w:r>
      <w:r>
        <w:rPr>
          <w:b/>
          <w:bCs/>
        </w:rPr>
        <w:t xml:space="preserve">$60,000,000</w:t>
      </w:r>
      <w:r>
        <w:t xml:space="preserve">. This $15,000,000 discrepancy should be reconciled, and the Advisory Committee appointment record and the commitment schedule should be made consistent.</w:t>
      </w:r>
    </w:p>
    <w:bookmarkEnd w:id="31"/>
    <w:bookmarkStart w:id="32" w:name="X3a1ebb3e83bf722a3316de9a9012713d327e390"/>
    <w:p>
      <w:pPr>
        <w:pStyle w:val="Heading3"/>
      </w:pPr>
      <w:r>
        <w:t xml:space="preserve">I. GP Representations Condition Cites Incorrect LPA Articles [Section 11.2(10)]</w:t>
      </w:r>
    </w:p>
    <w:p>
      <w:pPr>
        <w:pStyle w:val="FirstParagraph"/>
      </w:pPr>
      <w:r>
        <w:t xml:space="preserve">Section 11.2(10) requires the General Partner to certify that</w:t>
      </w:r>
      <w:r>
        <w:t xml:space="preserve"> </w:t>
      </w:r>
      <w:r>
        <w:t xml:space="preserve">“</w:t>
      </w:r>
      <w:r>
        <w:t xml:space="preserve">all representations and warranties of the General Partner contained in this Agreement are true and correct in all material respects.</w:t>
      </w:r>
      <w:r>
        <w:t xml:space="preserve">”</w:t>
      </w:r>
      <w:r>
        <w:t xml:space="preserve"> </w:t>
      </w:r>
      <w:r>
        <w:t xml:space="preserve">The GP Memo (Condition 10) states that</w:t>
      </w:r>
      <w:r>
        <w:t xml:space="preserve"> </w:t>
      </w:r>
      <w:r>
        <w:t xml:space="preserve">“</w:t>
      </w:r>
      <w:r>
        <w:t xml:space="preserve">all representations and warranties of the General Partner set forth in</w:t>
      </w:r>
      <w:r>
        <w:t xml:space="preserve"> </w:t>
      </w:r>
      <w:r>
        <w:rPr>
          <w:b/>
          <w:bCs/>
        </w:rPr>
        <w:t xml:space="preserve">Article VII</w:t>
      </w:r>
      <w:r>
        <w:t xml:space="preserve"> </w:t>
      </w:r>
      <w:r>
        <w:t xml:space="preserve">of the LPA remain true and correct,</w:t>
      </w:r>
      <w:r>
        <w:t xml:space="preserve">”</w:t>
      </w:r>
      <w:r>
        <w:t xml:space="preserve"> </w:t>
      </w:r>
      <w:r>
        <w:t xml:space="preserve">and Amendment No. 1 (Section 2.2(a)) states that</w:t>
      </w:r>
      <w:r>
        <w:t xml:space="preserve"> </w:t>
      </w:r>
      <w:r>
        <w:t xml:space="preserve">“</w:t>
      </w:r>
      <w:r>
        <w:t xml:space="preserve">all representations and warranties of the General Partner set forth in</w:t>
      </w:r>
      <w:r>
        <w:t xml:space="preserve"> </w:t>
      </w:r>
      <w:r>
        <w:rPr>
          <w:b/>
          <w:bCs/>
        </w:rPr>
        <w:t xml:space="preserve">Article XII</w:t>
      </w:r>
      <w:r>
        <w:t xml:space="preserve"> </w:t>
      </w:r>
      <w:r>
        <w:t xml:space="preserve">of the Original Agreement are true and correct.</w:t>
      </w:r>
      <w:r>
        <w:t xml:space="preserve">”</w:t>
      </w:r>
      <w:r>
        <w:t xml:space="preserve"> </w:t>
      </w:r>
      <w:r>
        <w:t xml:space="preserve">Neither citation is correct: Article VII of the LPA is</w:t>
      </w:r>
      <w:r>
        <w:t xml:space="preserve"> </w:t>
      </w:r>
      <w:r>
        <w:t xml:space="preserve">“</w:t>
      </w:r>
      <w:r>
        <w:t xml:space="preserve">Management Fees and Expenses,</w:t>
      </w:r>
      <w:r>
        <w:t xml:space="preserve">”</w:t>
      </w:r>
      <w:r>
        <w:t xml:space="preserve"> </w:t>
      </w:r>
      <w:r>
        <w:t xml:space="preserve">and Article XII is</w:t>
      </w:r>
      <w:r>
        <w:t xml:space="preserve"> </w:t>
      </w:r>
      <w:r>
        <w:t xml:space="preserve">“</w:t>
      </w:r>
      <w:r>
        <w:t xml:space="preserve">Confidentiality; Side Letters; MFN.</w:t>
      </w:r>
      <w:r>
        <w:t xml:space="preserve">”</w:t>
      </w:r>
      <w:r>
        <w:t xml:space="preserve"> </w:t>
      </w:r>
      <w:r>
        <w:t xml:space="preserve">Neither article contains General Partner representations and warranties. The LPA does not contain a dedicated General Partner representations article; the principal General Partner statement in the body of the LPA is the SEC registration representation/covenant in Section 9.2. The Closing Certificate has been drafted to track the actual General Partner statements in the LPA (including Section 9.2) rather than the incorrect article citations. The General Partner should confirm the universe of representations and warranties to be certified.</w:t>
      </w:r>
    </w:p>
    <w:bookmarkEnd w:id="32"/>
    <w:bookmarkEnd w:id="33"/>
    <w:bookmarkStart w:id="36" w:name="vi.-equalization-interest-discrepancies"/>
    <w:p>
      <w:pPr>
        <w:pStyle w:val="Heading2"/>
      </w:pPr>
      <w:r>
        <w:t xml:space="preserve">VI. Equalization Interest Discrepancies</w:t>
      </w:r>
    </w:p>
    <w:bookmarkStart w:id="34" w:name="X44ba66d5fd62825d82a39f52e9525ddc45c9404"/>
    <w:p>
      <w:pPr>
        <w:pStyle w:val="Heading3"/>
      </w:pPr>
      <w:r>
        <w:t xml:space="preserve">J. Day-Count Methodology and Internal Inconsistency</w:t>
      </w:r>
    </w:p>
    <w:p>
      <w:pPr>
        <w:pStyle w:val="FirstParagraph"/>
      </w:pPr>
      <w:r>
        <w:t xml:space="preserve">Three related issues affect the equalization interest calculations under Section 3.2(c):</w:t>
      </w:r>
    </w:p>
    <w:p>
      <w:pPr>
        <w:pStyle w:val="BodyText"/>
      </w:pPr>
      <w:r>
        <w:rPr>
          <w:b/>
          <w:bCs/>
        </w:rPr>
        <w:t xml:space="preserve">(1) Day-count vs. the LPA formula.</w:t>
      </w:r>
      <w:r>
        <w:t xml:space="preserve"> </w:t>
      </w:r>
      <w:r>
        <w:t xml:space="preserve">Section 3.2(c) of the LPA provides that equalization interest is calculated</w:t>
      </w:r>
      <w:r>
        <w:t xml:space="preserve"> </w:t>
      </w:r>
      <w:r>
        <w:t xml:space="preserve">“</w:t>
      </w:r>
      <w:r>
        <w:t xml:space="preserve">from</w:t>
      </w:r>
      <w:r>
        <w:t xml:space="preserve"> </w:t>
      </w:r>
      <w:r>
        <w:rPr>
          <w:b/>
          <w:bCs/>
        </w:rPr>
        <w:t xml:space="preserve">and including</w:t>
      </w:r>
      <w:r>
        <w:t xml:space="preserve"> </w:t>
      </w:r>
      <w:r>
        <w:t xml:space="preserve">the date of each prior Capital Call</w:t>
      </w:r>
      <w:r>
        <w:t xml:space="preserve"> </w:t>
      </w:r>
      <w:r>
        <w:rPr>
          <w:b/>
          <w:bCs/>
        </w:rPr>
        <w:t xml:space="preserve">through and including</w:t>
      </w:r>
      <w:r>
        <w:t xml:space="preserve"> </w:t>
      </w:r>
      <w:r>
        <w:t xml:space="preserve">the date of the applicable Subsequent Closing</w:t>
      </w:r>
      <w:r>
        <w:t xml:space="preserve">”</w:t>
      </w:r>
      <w:r>
        <w:t xml:space="preserve"> </w:t>
      </w:r>
      <w:r>
        <w:t xml:space="preserve">(both endpoints inclusive). Under this formula:</w:t>
      </w:r>
    </w:p>
    <w:p>
      <w:pPr>
        <w:pStyle w:val="Compact"/>
        <w:numPr>
          <w:ilvl w:val="0"/>
          <w:numId w:val="1010"/>
        </w:numPr>
      </w:pPr>
      <w:r>
        <w:t xml:space="preserve">Capital Call No. 1 (October 10, 2024) through and including January 31, 2025 =</w:t>
      </w:r>
      <w:r>
        <w:t xml:space="preserve"> </w:t>
      </w:r>
      <w:r>
        <w:rPr>
          <w:b/>
          <w:bCs/>
        </w:rPr>
        <w:t xml:space="preserve">114 days</w:t>
      </w:r>
      <w:r>
        <w:t xml:space="preserve">; and</w:t>
      </w:r>
    </w:p>
    <w:p>
      <w:pPr>
        <w:pStyle w:val="Compact"/>
        <w:numPr>
          <w:ilvl w:val="0"/>
          <w:numId w:val="1010"/>
        </w:numPr>
      </w:pPr>
      <w:r>
        <w:t xml:space="preserve">Capital Call No. 2 (December 15, 2024) through and including January 31, 2025 =</w:t>
      </w:r>
      <w:r>
        <w:t xml:space="preserve"> </w:t>
      </w:r>
      <w:r>
        <w:rPr>
          <w:b/>
          <w:bCs/>
        </w:rPr>
        <w:t xml:space="preserve">48 days</w:t>
      </w:r>
      <w:r>
        <w:t xml:space="preserve">.</w:t>
      </w:r>
    </w:p>
    <w:p>
      <w:pPr>
        <w:pStyle w:val="FirstParagraph"/>
      </w:pPr>
      <w:r>
        <w:t xml:space="preserve">The Closing Documents, however, use</w:t>
      </w:r>
      <w:r>
        <w:t xml:space="preserve"> </w:t>
      </w:r>
      <w:r>
        <w:rPr>
          <w:b/>
          <w:bCs/>
        </w:rPr>
        <w:t xml:space="preserve">113 days</w:t>
      </w:r>
      <w:r>
        <w:t xml:space="preserve"> </w:t>
      </w:r>
      <w:r>
        <w:t xml:space="preserve">for Capital Call No. 1 and</w:t>
      </w:r>
      <w:r>
        <w:t xml:space="preserve"> </w:t>
      </w:r>
      <w:r>
        <w:rPr>
          <w:b/>
          <w:bCs/>
        </w:rPr>
        <w:t xml:space="preserve">46 or 47 days</w:t>
      </w:r>
      <w:r>
        <w:t xml:space="preserve"> </w:t>
      </w:r>
      <w:r>
        <w:t xml:space="preserve">for Capital Call No. 2 — i.e., they exclude the date of the prior Capital Call. This understates the equalization interest by one day (Capital Call No. 1) and one to two days (Capital Call No. 2) relative to the express day-count rule in the LPA.</w:t>
      </w:r>
    </w:p>
    <w:p>
      <w:pPr>
        <w:pStyle w:val="BodyText"/>
      </w:pPr>
      <w:r>
        <w:rPr>
          <w:b/>
          <w:bCs/>
        </w:rPr>
        <w:t xml:space="preserve">(2) Internal inconsistency between the Checklist and the Subscription Agreement.</w:t>
      </w:r>
      <w:r>
        <w:t xml:space="preserve"> </w:t>
      </w:r>
      <w:r>
        <w:t xml:space="preserve">The Checklist (Equalization Calc tab) uses</w:t>
      </w:r>
      <w:r>
        <w:t xml:space="preserve"> </w:t>
      </w:r>
      <w:r>
        <w:rPr>
          <w:b/>
          <w:bCs/>
        </w:rPr>
        <w:t xml:space="preserve">46 days</w:t>
      </w:r>
      <w:r>
        <w:t xml:space="preserve"> </w:t>
      </w:r>
      <w:r>
        <w:t xml:space="preserve">for the Capital Call No. 2 equalization period, while the Subscription Agreement (Section 1.3 and Schedule I) uses</w:t>
      </w:r>
      <w:r>
        <w:t xml:space="preserve"> </w:t>
      </w:r>
      <w:r>
        <w:rPr>
          <w:b/>
          <w:bCs/>
        </w:rPr>
        <w:t xml:space="preserve">47 days</w:t>
      </w:r>
      <w:r>
        <w:t xml:space="preserve">. This produces different equalization interest amounts and different total amounts due at the Final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Total Equalization Interest</w:t>
            </w:r>
          </w:p>
        </w:tc>
        <w:tc>
          <w:tcPr/>
          <w:p>
            <w:pPr>
              <w:pStyle w:val="Compact"/>
              <w:jc w:val="left"/>
            </w:pPr>
            <w:r>
              <w:t xml:space="preserve">Total Amount Due at Final Closing</w:t>
            </w:r>
          </w:p>
        </w:tc>
      </w:tr>
      <w:tr>
        <w:tc>
          <w:tcPr/>
          <w:p>
            <w:pPr>
              <w:pStyle w:val="Compact"/>
              <w:jc w:val="left"/>
            </w:pPr>
            <w:r>
              <w:t xml:space="preserve">Checklist (46 days for CC#2)</w:t>
            </w:r>
          </w:p>
        </w:tc>
        <w:tc>
          <w:tcPr/>
          <w:p>
            <w:pPr>
              <w:pStyle w:val="Compact"/>
              <w:jc w:val="left"/>
            </w:pPr>
            <w:r>
              <w:t xml:space="preserve">$849,534.24</w:t>
            </w:r>
          </w:p>
        </w:tc>
        <w:tc>
          <w:tcPr/>
          <w:p>
            <w:pPr>
              <w:pStyle w:val="Compact"/>
              <w:jc w:val="left"/>
            </w:pPr>
            <w:r>
              <w:t xml:space="preserve">$43,599,534.24</w:t>
            </w:r>
          </w:p>
        </w:tc>
      </w:tr>
      <w:tr>
        <w:tc>
          <w:tcPr/>
          <w:p>
            <w:pPr>
              <w:pStyle w:val="Compact"/>
              <w:jc w:val="left"/>
            </w:pPr>
            <w:r>
              <w:t xml:space="preserve">Subscription Agreement (47 days for CC#2)</w:t>
            </w:r>
          </w:p>
        </w:tc>
        <w:tc>
          <w:tcPr/>
          <w:p>
            <w:pPr>
              <w:pStyle w:val="Compact"/>
              <w:jc w:val="left"/>
            </w:pPr>
            <w:r>
              <w:t xml:space="preserve">$852,661.64</w:t>
            </w:r>
          </w:p>
        </w:tc>
        <w:tc>
          <w:tcPr/>
          <w:p>
            <w:pPr>
              <w:pStyle w:val="Compact"/>
              <w:jc w:val="left"/>
            </w:pPr>
            <w:r>
              <w:t xml:space="preserve">$43,602,661.64</w:t>
            </w:r>
          </w:p>
        </w:tc>
      </w:tr>
      <w:tr>
        <w:tc>
          <w:tcPr/>
          <w:p>
            <w:pPr>
              <w:pStyle w:val="Compact"/>
              <w:jc w:val="left"/>
            </w:pPr>
            <w:r>
              <w:rPr>
                <w:b/>
                <w:bCs/>
              </w:rPr>
              <w:t xml:space="preserve">Difference</w:t>
            </w:r>
          </w:p>
        </w:tc>
        <w:tc>
          <w:tcPr/>
          <w:p>
            <w:pPr>
              <w:pStyle w:val="Compact"/>
              <w:jc w:val="left"/>
            </w:pPr>
            <w:r>
              <w:rPr>
                <w:b/>
                <w:bCs/>
              </w:rPr>
              <w:t xml:space="preserve">$3,127.40</w:t>
            </w:r>
          </w:p>
        </w:tc>
        <w:tc>
          <w:tcPr/>
          <w:p>
            <w:pPr>
              <w:pStyle w:val="Compact"/>
              <w:jc w:val="left"/>
            </w:pPr>
            <w:r>
              <w:rPr>
                <w:b/>
                <w:bCs/>
              </w:rPr>
              <w:t xml:space="preserve">$3,127.40</w:t>
            </w:r>
          </w:p>
        </w:tc>
      </w:tr>
    </w:tbl>
    <w:p>
      <w:pPr>
        <w:pStyle w:val="BodyText"/>
      </w:pPr>
      <w:r>
        <w:t xml:space="preserve">The Subscription Agreement (Schedule I) also notes an internal $4.11 rounding difference between its per-investor calculation ($852,657.53) and its aggregate calculation ($852,661.64).</w:t>
      </w:r>
    </w:p>
    <w:p>
      <w:pPr>
        <w:pStyle w:val="BodyText"/>
      </w:pPr>
      <w:r>
        <w:rPr>
          <w:b/>
          <w:bCs/>
        </w:rPr>
        <w:t xml:space="preserve">(3) Characterization of equalization interest.</w:t>
      </w:r>
      <w:r>
        <w:t xml:space="preserve"> </w:t>
      </w:r>
      <w:r>
        <w:t xml:space="preserve">The Subscription Agreement (Sections 1.3 and 3.4) describes equalization interest as</w:t>
      </w:r>
      <w:r>
        <w:t xml:space="preserve"> </w:t>
      </w:r>
      <w:r>
        <w:t xml:space="preserve">“</w:t>
      </w:r>
      <w:r>
        <w:t xml:space="preserve">additional return on [the prior Limited Partners’] capital contributions.</w:t>
      </w:r>
      <w:r>
        <w:t xml:space="preserve">”</w:t>
      </w:r>
      <w:r>
        <w:t xml:space="preserve"> </w:t>
      </w:r>
      <w:r>
        <w:t xml:space="preserve">Section 3.2(c) of the LPA expressly provides that equalization interest</w:t>
      </w:r>
      <w:r>
        <w:t xml:space="preserve"> </w:t>
      </w:r>
      <w:r>
        <w:t xml:space="preserve">“</w:t>
      </w:r>
      <w:r>
        <w:t xml:space="preserve">shall be paid to the Partners who funded the corresponding prior Capital Calls…</w:t>
      </w:r>
      <w:r>
        <w:t xml:space="preserve"> </w:t>
      </w:r>
      <w:r>
        <w:rPr>
          <w:b/>
          <w:bCs/>
        </w:rPr>
        <w:t xml:space="preserve">as a preferential distribution (and not as a return of capital or allocation of income)</w:t>
      </w:r>
      <w:r>
        <w:t xml:space="preserve">.</w:t>
      </w:r>
      <w:r>
        <w:t xml:space="preserve">”</w:t>
      </w:r>
      <w:r>
        <w:t xml:space="preserve"> </w:t>
      </w:r>
      <w:r>
        <w:t xml:space="preserve">The Subscription Agreement’s characterization is inconsistent with the LPA and should be corrected to track the LPA’s</w:t>
      </w:r>
      <w:r>
        <w:t xml:space="preserve"> </w:t>
      </w:r>
      <w:r>
        <w:t xml:space="preserve">“</w:t>
      </w:r>
      <w:r>
        <w:t xml:space="preserve">preferential distribution</w:t>
      </w:r>
      <w:r>
        <w:t xml:space="preserve">”</w:t>
      </w:r>
      <w:r>
        <w:t xml:space="preserve"> </w:t>
      </w:r>
      <w:r>
        <w:t xml:space="preserve">language.</w:t>
      </w:r>
    </w:p>
    <w:p>
      <w:pPr>
        <w:pStyle w:val="BodyText"/>
      </w:pPr>
      <w:r>
        <w:rPr>
          <w:b/>
          <w:bCs/>
        </w:rPr>
        <w:t xml:space="preserve">Recommendation.</w:t>
      </w:r>
      <w:r>
        <w:t xml:space="preserve"> </w:t>
      </w:r>
      <w:r>
        <w:t xml:space="preserve">The General Partner and the Fund Administrator should (i) confirm the correct day-count convention under Section 3.2(c) (inclusive of the Capital Call date, per the express LPA language) and recompute the equalization interest accordingly; (ii) reconcile the Checklist and the Subscription Agreement to a single, consistent set of per-investor and aggregate equalization interest figures; and (iii) correct the Subscription Agreement’s characterization of equalization interest to conform to Section 3.2(c). The final amounts due from each incoming Limited Partner should be confirmed in the closing statements delivered by the Fund Administrator. The Closing Certificate reflects the Subscription Agreement’s aggregate figure ($43,602,661.64) but qualifies the certification pending reconciliation (Section 4.6).</w:t>
      </w:r>
    </w:p>
    <w:bookmarkEnd w:id="34"/>
    <w:bookmarkStart w:id="35" w:name="X103bb40ec10ae0875b59e18e7e4a8211c5b081a"/>
    <w:p>
      <w:pPr>
        <w:pStyle w:val="Heading3"/>
      </w:pPr>
      <w:r>
        <w:t xml:space="preserve">Additional note —</w:t>
      </w:r>
      <w:r>
        <w:t xml:space="preserve"> </w:t>
      </w:r>
      <w:r>
        <w:t xml:space="preserve">“</w:t>
      </w:r>
      <w:r>
        <w:t xml:space="preserve">Retroactive admission</w:t>
      </w:r>
      <w:r>
        <w:t xml:space="preserve">”</w:t>
      </w:r>
      <w:r>
        <w:t xml:space="preserve"> </w:t>
      </w:r>
      <w:r>
        <w:t xml:space="preserve">language in the Subscription Agreement</w:t>
      </w:r>
    </w:p>
    <w:p>
      <w:pPr>
        <w:pStyle w:val="FirstParagraph"/>
      </w:pPr>
      <w:r>
        <w:t xml:space="preserve">Subscription Agreement Section 3.4(b) states that the Subscriber</w:t>
      </w:r>
      <w:r>
        <w:t xml:space="preserve"> </w:t>
      </w:r>
      <w:r>
        <w:t xml:space="preserve">“</w:t>
      </w:r>
      <w:r>
        <w:t xml:space="preserve">will be treated, retroactively, as having been admitted as a Limited Partner from and after the date of the Initial Closing (September 15, 2024) for purposes of allocations of profits and losses and distributions.</w:t>
      </w:r>
      <w:r>
        <w:t xml:space="preserve">”</w:t>
      </w:r>
      <w:r>
        <w:t xml:space="preserve"> </w:t>
      </w:r>
      <w:r>
        <w:t xml:space="preserve">The LPA does not provide for retroactive admission of Subsequent Closing Partners; instead, Section 3.2(c) (equalization contributions and interest) and Section 4.1 (book-up of Partnership assets upon admission of a new Partner) govern the economics of a Subsequent Closing Partner’s participation in pre-admission investment activity. The</w:t>
      </w:r>
      <w:r>
        <w:t xml:space="preserve"> </w:t>
      </w:r>
      <w:r>
        <w:t xml:space="preserve">“</w:t>
      </w:r>
      <w:r>
        <w:t xml:space="preserve">retroactive admission</w:t>
      </w:r>
      <w:r>
        <w:t xml:space="preserve">”</w:t>
      </w:r>
      <w:r>
        <w:t xml:space="preserve"> </w:t>
      </w:r>
      <w:r>
        <w:t xml:space="preserve">language in the Subscription Agreement is inconsistent with the LPA’s equalization/book-up mechanism and should be revised to track the LPA.</w:t>
      </w:r>
    </w:p>
    <w:bookmarkEnd w:id="35"/>
    <w:bookmarkEnd w:id="36"/>
    <w:bookmarkStart w:id="37" w:name="X39354f55bf04761bea84cb191485da33090fce1"/>
    <w:p>
      <w:pPr>
        <w:pStyle w:val="Heading2"/>
      </w:pPr>
      <w:r>
        <w:t xml:space="preserve">VII. Cross-Reference Errors in the Capital Call Notices and Subscription Agreement</w:t>
      </w:r>
    </w:p>
    <w:p>
      <w:pPr>
        <w:pStyle w:val="FirstParagraph"/>
      </w:pPr>
      <w:r>
        <w:t xml:space="preserve">The Capital Call Notices and the Subscription Agreement contain numerous cross-reference errors to LPA sections. While these do not, in most cases, alter the substantive obligations (the LPA controls in the event of conflict, as the notices themselves provide), they should be corrected for accuracy and to avoid confusion. The principal errors are:</w:t>
      </w:r>
    </w:p>
    <w:p>
      <w:pPr>
        <w:pStyle w:val="BodyText"/>
      </w:pPr>
      <w:r>
        <w:rPr>
          <w:b/>
          <w:bCs/>
        </w:rPr>
        <w:t xml:space="preserve">Capital Call Notice No. 1 (October 10, 2024):</w:t>
      </w:r>
    </w:p>
    <w:p>
      <w:pPr>
        <w:pStyle w:val="Compact"/>
        <w:numPr>
          <w:ilvl w:val="0"/>
          <w:numId w:val="1011"/>
        </w:numPr>
      </w:pPr>
      <w:r>
        <w:t xml:space="preserve">Section V cites</w:t>
      </w:r>
      <w:r>
        <w:t xml:space="preserve"> </w:t>
      </w:r>
      <w:r>
        <w:t xml:space="preserve">“</w:t>
      </w:r>
      <w:r>
        <w:t xml:space="preserve">Section 3.5</w:t>
      </w:r>
      <w:r>
        <w:t xml:space="preserve">”</w:t>
      </w:r>
      <w:r>
        <w:t xml:space="preserve"> </w:t>
      </w:r>
      <w:r>
        <w:t xml:space="preserve">for default provisions; the default provisions are in</w:t>
      </w:r>
      <w:r>
        <w:t xml:space="preserve"> </w:t>
      </w:r>
      <w:r>
        <w:rPr>
          <w:b/>
          <w:bCs/>
        </w:rPr>
        <w:t xml:space="preserve">Section 3.3</w:t>
      </w:r>
      <w:r>
        <w:t xml:space="preserve"> </w:t>
      </w:r>
      <w:r>
        <w:t xml:space="preserve">(Article III contains Sections 3.1–3.4 only; there is no Section 3.5).</w:t>
      </w:r>
    </w:p>
    <w:p>
      <w:pPr>
        <w:pStyle w:val="Compact"/>
        <w:numPr>
          <w:ilvl w:val="0"/>
          <w:numId w:val="1011"/>
        </w:numPr>
      </w:pPr>
      <w:r>
        <w:t xml:space="preserve">Section VII cites</w:t>
      </w:r>
      <w:r>
        <w:t xml:space="preserve"> </w:t>
      </w:r>
      <w:r>
        <w:t xml:space="preserve">“</w:t>
      </w:r>
      <w:r>
        <w:t xml:space="preserve">Section 14.1 (Notices)</w:t>
      </w:r>
      <w:r>
        <w:t xml:space="preserve">”</w:t>
      </w:r>
      <w:r>
        <w:t xml:space="preserve">; the notice provisions are in</w:t>
      </w:r>
      <w:r>
        <w:t xml:space="preserve"> </w:t>
      </w:r>
      <w:r>
        <w:rPr>
          <w:b/>
          <w:bCs/>
        </w:rPr>
        <w:t xml:space="preserve">Section 14.2</w:t>
      </w:r>
      <w:r>
        <w:t xml:space="preserve"> </w:t>
      </w:r>
      <w:r>
        <w:t xml:space="preserve">(Section 14.1 is Amendments).</w:t>
      </w:r>
    </w:p>
    <w:p>
      <w:pPr>
        <w:pStyle w:val="FirstParagraph"/>
      </w:pPr>
      <w:r>
        <w:rPr>
          <w:b/>
          <w:bCs/>
        </w:rPr>
        <w:t xml:space="preserve">Capital Call Notice No. 2 (December 15, 2024):</w:t>
      </w:r>
    </w:p>
    <w:p>
      <w:pPr>
        <w:pStyle w:val="Compact"/>
        <w:numPr>
          <w:ilvl w:val="0"/>
          <w:numId w:val="1012"/>
        </w:numPr>
      </w:pPr>
      <w:r>
        <w:t xml:space="preserve">Section I states that</w:t>
      </w:r>
      <w:r>
        <w:t xml:space="preserve"> </w:t>
      </w:r>
      <w:r>
        <w:t xml:space="preserve">“</w:t>
      </w:r>
      <w:r>
        <w:t xml:space="preserve">The Funding Date for Capital Call Notice No. 1 was October 24, 2024,</w:t>
      </w:r>
      <w:r>
        <w:t xml:space="preserve">”</w:t>
      </w:r>
      <w:r>
        <w:t xml:space="preserve"> </w:t>
      </w:r>
      <w:r>
        <w:t xml:space="preserve">whereas Capital Call Notice No. 1 states a Drawdown Date of</w:t>
      </w:r>
      <w:r>
        <w:t xml:space="preserve"> </w:t>
      </w:r>
      <w:r>
        <w:rPr>
          <w:b/>
          <w:bCs/>
        </w:rPr>
        <w:t xml:space="preserve">October 25, 2024</w:t>
      </w:r>
      <w:r>
        <w:t xml:space="preserve">. (October 24, 2024 is the date that is ten (10) Business Days after October 10, 2024; October 25 is one day later.)</w:t>
      </w:r>
    </w:p>
    <w:p>
      <w:pPr>
        <w:pStyle w:val="Compact"/>
        <w:numPr>
          <w:ilvl w:val="0"/>
          <w:numId w:val="1012"/>
        </w:numPr>
      </w:pPr>
      <w:r>
        <w:t xml:space="preserve">Section III cites</w:t>
      </w:r>
      <w:r>
        <w:t xml:space="preserve"> </w:t>
      </w:r>
      <w:r>
        <w:t xml:space="preserve">“</w:t>
      </w:r>
      <w:r>
        <w:t xml:space="preserve">Section 6.1</w:t>
      </w:r>
      <w:r>
        <w:t xml:space="preserve">”</w:t>
      </w:r>
      <w:r>
        <w:t xml:space="preserve"> </w:t>
      </w:r>
      <w:r>
        <w:t xml:space="preserve">for management fees; management fees are in</w:t>
      </w:r>
      <w:r>
        <w:t xml:space="preserve"> </w:t>
      </w:r>
      <w:r>
        <w:rPr>
          <w:b/>
          <w:bCs/>
        </w:rPr>
        <w:t xml:space="preserve">Section 7.1</w:t>
      </w:r>
      <w:r>
        <w:t xml:space="preserve"> </w:t>
      </w:r>
      <w:r>
        <w:t xml:space="preserve">(Section 6.1 is Representations of Limited Partners).</w:t>
      </w:r>
    </w:p>
    <w:p>
      <w:pPr>
        <w:pStyle w:val="Compact"/>
        <w:numPr>
          <w:ilvl w:val="0"/>
          <w:numId w:val="1012"/>
        </w:numPr>
      </w:pPr>
      <w:r>
        <w:t xml:space="preserve">Section V cites</w:t>
      </w:r>
      <w:r>
        <w:t xml:space="preserve"> </w:t>
      </w:r>
      <w:r>
        <w:t xml:space="preserve">“</w:t>
      </w:r>
      <w:r>
        <w:t xml:space="preserve">Section 3.5</w:t>
      </w:r>
      <w:r>
        <w:t xml:space="preserve">”</w:t>
      </w:r>
      <w:r>
        <w:t xml:space="preserve"> </w:t>
      </w:r>
      <w:r>
        <w:t xml:space="preserve">for default provisions; the correct section is</w:t>
      </w:r>
      <w:r>
        <w:t xml:space="preserve"> </w:t>
      </w:r>
      <w:r>
        <w:rPr>
          <w:b/>
          <w:bCs/>
        </w:rPr>
        <w:t xml:space="preserve">Section 3.3</w:t>
      </w:r>
      <w:r>
        <w:t xml:space="preserve">. It also describes default interest as</w:t>
      </w:r>
      <w:r>
        <w:t xml:space="preserve"> </w:t>
      </w:r>
      <w:r>
        <w:t xml:space="preserve">“</w:t>
      </w:r>
      <w:r>
        <w:t xml:space="preserve">twelve percent (12%) per annum,</w:t>
      </w:r>
      <w:r>
        <w:t xml:space="preserve"> </w:t>
      </w:r>
      <w:r>
        <w:rPr>
          <w:b/>
          <w:bCs/>
        </w:rPr>
        <w:t xml:space="preserve">compounding quarterly</w:t>
      </w:r>
      <w:r>
        <w:t xml:space="preserve">”</w:t>
      </w:r>
      <w:r>
        <w:t xml:space="preserve"> </w:t>
      </w:r>
      <w:r>
        <w:t xml:space="preserve">and lists remedies including</w:t>
      </w:r>
      <w:r>
        <w:t xml:space="preserve"> </w:t>
      </w:r>
      <w:r>
        <w:t xml:space="preserve">“</w:t>
      </w:r>
      <w:r>
        <w:t xml:space="preserve">suspension or loss of voting rights.</w:t>
      </w:r>
      <w:r>
        <w:t xml:space="preserve">”</w:t>
      </w:r>
      <w:r>
        <w:t xml:space="preserve"> </w:t>
      </w:r>
      <w:r>
        <w:t xml:space="preserve">The LPA (Section 3.3) specifies 12% per annum (without a compounding specification) and does not provide for loss of voting rights; the LPA’s remedies are forfeiture of up to 50% of Capital Account balance, forced sale at 80% of fair market value, exclusion from distributions, and reduction of unfunded commitment.</w:t>
      </w:r>
    </w:p>
    <w:p>
      <w:pPr>
        <w:pStyle w:val="Compact"/>
        <w:numPr>
          <w:ilvl w:val="0"/>
          <w:numId w:val="1012"/>
        </w:numPr>
      </w:pPr>
      <w:r>
        <w:t xml:space="preserve">Section VIII cites</w:t>
      </w:r>
      <w:r>
        <w:t xml:space="preserve"> </w:t>
      </w:r>
      <w:r>
        <w:t xml:space="preserve">“</w:t>
      </w:r>
      <w:r>
        <w:t xml:space="preserve">Section 13.1</w:t>
      </w:r>
      <w:r>
        <w:t xml:space="preserve">”</w:t>
      </w:r>
      <w:r>
        <w:t xml:space="preserve"> </w:t>
      </w:r>
      <w:r>
        <w:t xml:space="preserve">for notice provisions; the correct section is</w:t>
      </w:r>
      <w:r>
        <w:t xml:space="preserve"> </w:t>
      </w:r>
      <w:r>
        <w:rPr>
          <w:b/>
          <w:bCs/>
        </w:rPr>
        <w:t xml:space="preserve">Section 14.2</w:t>
      </w:r>
      <w:r>
        <w:t xml:space="preserve"> </w:t>
      </w:r>
      <w:r>
        <w:t xml:space="preserve">(Section 13.1 is Restrictions on Transfer).</w:t>
      </w:r>
    </w:p>
    <w:p>
      <w:pPr>
        <w:pStyle w:val="Compact"/>
        <w:numPr>
          <w:ilvl w:val="0"/>
          <w:numId w:val="1012"/>
        </w:numPr>
      </w:pPr>
      <w:r>
        <w:t xml:space="preserve">Section III(a) refers to the</w:t>
      </w:r>
      <w:r>
        <w:t xml:space="preserve"> </w:t>
      </w:r>
      <w:r>
        <w:t xml:space="preserve">“</w:t>
      </w:r>
      <w:r>
        <w:t xml:space="preserve">Private Placement Memorandum dated August 1, 2024,</w:t>
      </w:r>
      <w:r>
        <w:t xml:space="preserve">”</w:t>
      </w:r>
      <w:r>
        <w:t xml:space="preserve"> </w:t>
      </w:r>
      <w:r>
        <w:t xml:space="preserve">which conflicts with the PPM date in the GP Memo (July 15, 2024) and Amendment No. 1 (</w:t>
      </w:r>
      <w:r>
        <w:t xml:space="preserve">“</w:t>
      </w:r>
      <w:r>
        <w:t xml:space="preserve">July 2024</w:t>
      </w:r>
      <w:r>
        <w:t xml:space="preserve">”</w:t>
      </w:r>
      <w:r>
        <w:t xml:space="preserve">). See Item L.</w:t>
      </w:r>
    </w:p>
    <w:p>
      <w:pPr>
        <w:pStyle w:val="FirstParagraph"/>
      </w:pPr>
      <w:r>
        <w:rPr>
          <w:b/>
          <w:bCs/>
        </w:rPr>
        <w:t xml:space="preserve">Subscription Agreement (Final Closing form):</w:t>
      </w:r>
    </w:p>
    <w:p>
      <w:pPr>
        <w:pStyle w:val="Compact"/>
        <w:numPr>
          <w:ilvl w:val="0"/>
          <w:numId w:val="1013"/>
        </w:numPr>
      </w:pPr>
      <w:r>
        <w:t xml:space="preserve">Section 1.2 cites</w:t>
      </w:r>
      <w:r>
        <w:t xml:space="preserve"> </w:t>
      </w:r>
      <w:r>
        <w:t xml:space="preserve">“</w:t>
      </w:r>
      <w:r>
        <w:t xml:space="preserve">Section 3.5</w:t>
      </w:r>
      <w:r>
        <w:t xml:space="preserve">”</w:t>
      </w:r>
      <w:r>
        <w:t xml:space="preserve"> </w:t>
      </w:r>
      <w:r>
        <w:t xml:space="preserve">for default remedies and states a default interest rate of</w:t>
      </w:r>
      <w:r>
        <w:t xml:space="preserve"> </w:t>
      </w:r>
      <w:r>
        <w:t xml:space="preserve">“</w:t>
      </w:r>
      <w:r>
        <w:t xml:space="preserve">the lesser of 18% per annum and the maximum rate permitted by applicable law.</w:t>
      </w:r>
      <w:r>
        <w:t xml:space="preserve">”</w:t>
      </w:r>
      <w:r>
        <w:t xml:space="preserve"> </w:t>
      </w:r>
      <w:r>
        <w:t xml:space="preserve">The correct section is</w:t>
      </w:r>
      <w:r>
        <w:t xml:space="preserve"> </w:t>
      </w:r>
      <w:r>
        <w:rPr>
          <w:b/>
          <w:bCs/>
        </w:rPr>
        <w:t xml:space="preserve">Section 3.3</w:t>
      </w:r>
      <w:r>
        <w:t xml:space="preserve">, and the LPA specifies a default interest rate of</w:t>
      </w:r>
      <w:r>
        <w:t xml:space="preserve"> </w:t>
      </w:r>
      <w:r>
        <w:rPr>
          <w:b/>
          <w:bCs/>
        </w:rPr>
        <w:t xml:space="preserve">12% per annum</w:t>
      </w:r>
      <w:r>
        <w:t xml:space="preserve"> </w:t>
      </w:r>
      <w:r>
        <w:t xml:space="preserve">(not 18%).</w:t>
      </w:r>
    </w:p>
    <w:p>
      <w:pPr>
        <w:pStyle w:val="Compact"/>
        <w:numPr>
          <w:ilvl w:val="0"/>
          <w:numId w:val="1013"/>
        </w:numPr>
      </w:pPr>
      <w:r>
        <w:t xml:space="preserve">Sections 3.1 and 8.8 cite</w:t>
      </w:r>
      <w:r>
        <w:t xml:space="preserve"> </w:t>
      </w:r>
      <w:r>
        <w:t xml:space="preserve">“</w:t>
      </w:r>
      <w:r>
        <w:t xml:space="preserve">Article X</w:t>
      </w:r>
      <w:r>
        <w:t xml:space="preserve">”</w:t>
      </w:r>
      <w:r>
        <w:t xml:space="preserve"> </w:t>
      </w:r>
      <w:r>
        <w:t xml:space="preserve">for transfer restrictions; transfers are governed by</w:t>
      </w:r>
      <w:r>
        <w:t xml:space="preserve"> </w:t>
      </w:r>
      <w:r>
        <w:rPr>
          <w:b/>
          <w:bCs/>
        </w:rPr>
        <w:t xml:space="preserve">Article XIII</w:t>
      </w:r>
      <w:r>
        <w:t xml:space="preserve"> </w:t>
      </w:r>
      <w:r>
        <w:t xml:space="preserve">(Article X is Dissolution and Winding Up).</w:t>
      </w:r>
    </w:p>
    <w:p>
      <w:pPr>
        <w:pStyle w:val="Compact"/>
        <w:numPr>
          <w:ilvl w:val="0"/>
          <w:numId w:val="1013"/>
        </w:numPr>
      </w:pPr>
      <w:r>
        <w:t xml:space="preserve">Section 8.9 cites</w:t>
      </w:r>
      <w:r>
        <w:t xml:space="preserve"> </w:t>
      </w:r>
      <w:r>
        <w:t xml:space="preserve">“</w:t>
      </w:r>
      <w:r>
        <w:t xml:space="preserve">Section 14.2</w:t>
      </w:r>
      <w:r>
        <w:t xml:space="preserve">”</w:t>
      </w:r>
      <w:r>
        <w:t xml:space="preserve"> </w:t>
      </w:r>
      <w:r>
        <w:t xml:space="preserve">for the power of attorney; the power of attorney is in</w:t>
      </w:r>
      <w:r>
        <w:t xml:space="preserve"> </w:t>
      </w:r>
      <w:r>
        <w:rPr>
          <w:b/>
          <w:bCs/>
        </w:rPr>
        <w:t xml:space="preserve">Section 14.9</w:t>
      </w:r>
      <w:r>
        <w:t xml:space="preserve"> </w:t>
      </w:r>
      <w:r>
        <w:t xml:space="preserve">(Section 14.2 is Notices).</w:t>
      </w:r>
    </w:p>
    <w:p>
      <w:pPr>
        <w:pStyle w:val="Compact"/>
        <w:numPr>
          <w:ilvl w:val="0"/>
          <w:numId w:val="1013"/>
        </w:numPr>
      </w:pPr>
      <w:r>
        <w:t xml:space="preserve">Section 8.2 cites</w:t>
      </w:r>
      <w:r>
        <w:t xml:space="preserve"> </w:t>
      </w:r>
      <w:r>
        <w:t xml:space="preserve">“</w:t>
      </w:r>
      <w:r>
        <w:t xml:space="preserve">Section 14.6</w:t>
      </w:r>
      <w:r>
        <w:t xml:space="preserve">”</w:t>
      </w:r>
      <w:r>
        <w:t xml:space="preserve"> </w:t>
      </w:r>
      <w:r>
        <w:t xml:space="preserve">for dispute resolution; arbitration is in</w:t>
      </w:r>
      <w:r>
        <w:t xml:space="preserve"> </w:t>
      </w:r>
      <w:r>
        <w:rPr>
          <w:b/>
          <w:bCs/>
        </w:rPr>
        <w:t xml:space="preserve">Section 14.4</w:t>
      </w:r>
      <w:r>
        <w:t xml:space="preserve"> </w:t>
      </w:r>
      <w:r>
        <w:t xml:space="preserve">(Section 14.6 is Severability).</w:t>
      </w:r>
    </w:p>
    <w:p>
      <w:pPr>
        <w:pStyle w:val="Compact"/>
        <w:numPr>
          <w:ilvl w:val="0"/>
          <w:numId w:val="1013"/>
        </w:numPr>
      </w:pPr>
      <w:r>
        <w:t xml:space="preserve">Section 3.4(b) cites</w:t>
      </w:r>
      <w:r>
        <w:t xml:space="preserve"> </w:t>
      </w:r>
      <w:r>
        <w:t xml:space="preserve">“</w:t>
      </w:r>
      <w:r>
        <w:t xml:space="preserve">Articles IV and V</w:t>
      </w:r>
      <w:r>
        <w:t xml:space="preserve">”</w:t>
      </w:r>
      <w:r>
        <w:t xml:space="preserve"> </w:t>
      </w:r>
      <w:r>
        <w:t xml:space="preserve">for allocations and distributions; allocations are in Article IV, but distributions are in</w:t>
      </w:r>
      <w:r>
        <w:t xml:space="preserve"> </w:t>
      </w:r>
      <w:r>
        <w:rPr>
          <w:b/>
          <w:bCs/>
        </w:rPr>
        <w:t xml:space="preserve">Article VIII</w:t>
      </w:r>
      <w:r>
        <w:t xml:space="preserve"> </w:t>
      </w:r>
      <w:r>
        <w:t xml:space="preserve">(Article V is Partnership Investments).</w:t>
      </w:r>
    </w:p>
    <w:p>
      <w:pPr>
        <w:pStyle w:val="Compact"/>
        <w:numPr>
          <w:ilvl w:val="0"/>
          <w:numId w:val="1013"/>
        </w:numPr>
      </w:pPr>
      <w:r>
        <w:t xml:space="preserve">Section 2.8 cites</w:t>
      </w:r>
      <w:r>
        <w:t xml:space="preserve"> </w:t>
      </w:r>
      <w:r>
        <w:t xml:space="preserve">“</w:t>
      </w:r>
      <w:r>
        <w:t xml:space="preserve">Section 12.3</w:t>
      </w:r>
      <w:r>
        <w:t xml:space="preserve">”</w:t>
      </w:r>
      <w:r>
        <w:t xml:space="preserve"> </w:t>
      </w:r>
      <w:r>
        <w:t xml:space="preserve">for side letter provisions; side letters are governed by</w:t>
      </w:r>
      <w:r>
        <w:t xml:space="preserve"> </w:t>
      </w:r>
      <w:r>
        <w:rPr>
          <w:b/>
          <w:bCs/>
        </w:rPr>
        <w:t xml:space="preserve">Section 12.2</w:t>
      </w:r>
      <w:r>
        <w:t xml:space="preserve"> </w:t>
      </w:r>
      <w:r>
        <w:t xml:space="preserve">(Section 12.3 is MFN).</w:t>
      </w:r>
    </w:p>
    <w:p>
      <w:pPr>
        <w:pStyle w:val="Compact"/>
        <w:numPr>
          <w:ilvl w:val="0"/>
          <w:numId w:val="1013"/>
        </w:numPr>
      </w:pPr>
      <w:r>
        <w:t xml:space="preserve">Section 1.3 cites</w:t>
      </w:r>
      <w:r>
        <w:t xml:space="preserve"> </w:t>
      </w:r>
      <w:r>
        <w:t xml:space="preserve">“</w:t>
      </w:r>
      <w:r>
        <w:t xml:space="preserve">Section 3.2(c)(iii)</w:t>
      </w:r>
      <w:r>
        <w:t xml:space="preserve">”</w:t>
      </w:r>
      <w:r>
        <w:t xml:space="preserve"> </w:t>
      </w:r>
      <w:r>
        <w:t xml:space="preserve">of the LPA; Section 3.2(c) is not subdivided into numbered subsections in the LPA.</w:t>
      </w:r>
    </w:p>
    <w:p>
      <w:pPr>
        <w:pStyle w:val="FirstParagraph"/>
      </w:pPr>
      <w:r>
        <w:rPr>
          <w:b/>
          <w:bCs/>
        </w:rPr>
        <w:t xml:space="preserve">Recommendation.</w:t>
      </w:r>
      <w:r>
        <w:t xml:space="preserve"> </w:t>
      </w:r>
      <w:r>
        <w:t xml:space="preserve">These cross-reference errors should be corrected in the form documents for future use. With respect to the Final Closing, the Subscription Agreement’s incorrect default interest rate (18% vs. the LPA’s 12%) and incorrect default section reference (3.5 vs. 3.3) are the most consequential, because they misstate the Limited Partners’ default exposure; the LPA controls, but the Subscription Agreement should be conforming.</w:t>
      </w:r>
    </w:p>
    <w:bookmarkEnd w:id="37"/>
    <w:bookmarkStart w:id="39" w:name="viii.-other-inconsistencies"/>
    <w:p>
      <w:pPr>
        <w:pStyle w:val="Heading2"/>
      </w:pPr>
      <w:r>
        <w:t xml:space="preserve">VIII. Other Inconsistencies</w:t>
      </w:r>
    </w:p>
    <w:bookmarkStart w:id="38" w:name="Xd1625bab3c069a2ac53bdfb76def3d8ee4d6914"/>
    <w:p>
      <w:pPr>
        <w:pStyle w:val="Heading3"/>
      </w:pPr>
      <w:r>
        <w:t xml:space="preserve">L. PPM Date, Contact Information, LP Jurisdictions, and GP Memo Date</w:t>
      </w:r>
    </w:p>
    <w:p>
      <w:pPr>
        <w:pStyle w:val="Compact"/>
        <w:numPr>
          <w:ilvl w:val="0"/>
          <w:numId w:val="1014"/>
        </w:numPr>
      </w:pPr>
      <w:r>
        <w:rPr>
          <w:b/>
          <w:bCs/>
        </w:rPr>
        <w:t xml:space="preserve">PPM date.</w:t>
      </w:r>
      <w:r>
        <w:t xml:space="preserve"> </w:t>
      </w:r>
      <w:r>
        <w:t xml:space="preserve">The GP Memo (Section I) refers to the</w:t>
      </w:r>
      <w:r>
        <w:t xml:space="preserve"> </w:t>
      </w:r>
      <w:r>
        <w:t xml:space="preserve">“</w:t>
      </w:r>
      <w:r>
        <w:t xml:space="preserve">Confidential Private Placement Memorandum dated</w:t>
      </w:r>
      <w:r>
        <w:t xml:space="preserve"> </w:t>
      </w:r>
      <w:r>
        <w:rPr>
          <w:b/>
          <w:bCs/>
        </w:rPr>
        <w:t xml:space="preserve">July 15, 2024</w:t>
      </w:r>
      <w:r>
        <w:t xml:space="preserve">”</w:t>
      </w:r>
      <w:r>
        <w:t xml:space="preserve">; Capital Call Notice No. 2 (Section III(a)) refers to the</w:t>
      </w:r>
      <w:r>
        <w:t xml:space="preserve"> </w:t>
      </w:r>
      <w:r>
        <w:t xml:space="preserve">“</w:t>
      </w:r>
      <w:r>
        <w:t xml:space="preserve">Private Placement Memorandum dated</w:t>
      </w:r>
      <w:r>
        <w:t xml:space="preserve"> </w:t>
      </w:r>
      <w:r>
        <w:rPr>
          <w:b/>
          <w:bCs/>
        </w:rPr>
        <w:t xml:space="preserve">August 1, 2024</w:t>
      </w:r>
      <w:r>
        <w:t xml:space="preserve">”</w:t>
      </w:r>
      <w:r>
        <w:t xml:space="preserve">; and Amendment No. 1 (Section 1.2(c)) refers to the</w:t>
      </w:r>
      <w:r>
        <w:t xml:space="preserve"> </w:t>
      </w:r>
      <w:r>
        <w:t xml:space="preserve">“</w:t>
      </w:r>
      <w:r>
        <w:t xml:space="preserve">Confidential Private Placement Memorandum dated</w:t>
      </w:r>
      <w:r>
        <w:t xml:space="preserve"> </w:t>
      </w:r>
      <w:r>
        <w:rPr>
          <w:b/>
          <w:bCs/>
        </w:rPr>
        <w:t xml:space="preserve">July 2024</w:t>
      </w:r>
      <w:r>
        <w:t xml:space="preserve">.</w:t>
      </w:r>
      <w:r>
        <w:t xml:space="preserve">”</w:t>
      </w:r>
      <w:r>
        <w:t xml:space="preserve"> </w:t>
      </w:r>
      <w:r>
        <w:t xml:space="preserve">The correct PPM date should be confirmed and the references made consistent.</w:t>
      </w:r>
    </w:p>
    <w:p>
      <w:pPr>
        <w:pStyle w:val="Compact"/>
        <w:numPr>
          <w:ilvl w:val="0"/>
          <w:numId w:val="1014"/>
        </w:numPr>
      </w:pPr>
      <w:r>
        <w:rPr>
          <w:b/>
          <w:bCs/>
        </w:rPr>
        <w:t xml:space="preserve">Contact information.</w:t>
      </w:r>
      <w:r>
        <w:t xml:space="preserve"> </w:t>
      </w:r>
      <w:r>
        <w:t xml:space="preserve">The telephone number for Sandra K. Liu appears as (312) 555-4718 (GP Memo), (312) 555-7200 (Capital Call Notice No. 2), and (312) 555-0184 (Subscription Agreement). The telephone number for Jonathan C. Prewitt appears as (203) 541-2280 (AML Email), (203) 555-4100 (GP Memo), (203) 555-4180 (Capital Call Notice No. 2), and (203) 555-0163 (Subscription Agreement). The email address for Mr. Prewitt appears as</w:t>
      </w:r>
      <w:r>
        <w:t xml:space="preserve"> </w:t>
      </w:r>
      <w:r>
        <w:t xml:space="preserve">“</w:t>
      </w:r>
      <w:r>
        <w:t xml:space="preserve">jprewitt@oakmerefundservices.com</w:t>
      </w:r>
      <w:r>
        <w:t xml:space="preserve">”</w:t>
      </w:r>
      <w:r>
        <w:t xml:space="preserve"> </w:t>
      </w:r>
      <w:r>
        <w:t xml:space="preserve">(AML Email; Capital Call Notices) and</w:t>
      </w:r>
      <w:r>
        <w:t xml:space="preserve"> </w:t>
      </w:r>
      <w:r>
        <w:t xml:space="preserve">“</w:t>
      </w:r>
      <w:r>
        <w:t xml:space="preserve">j.prewitt@oakmerefundservices.com</w:t>
      </w:r>
      <w:r>
        <w:t xml:space="preserve">”</w:t>
      </w:r>
      <w:r>
        <w:t xml:space="preserve"> </w:t>
      </w:r>
      <w:r>
        <w:t xml:space="preserve">(LPA Section 14.2; GP Memo). These should be reconciled to a single, current set of contact details.</w:t>
      </w:r>
    </w:p>
    <w:p>
      <w:pPr>
        <w:pStyle w:val="Compact"/>
        <w:numPr>
          <w:ilvl w:val="0"/>
          <w:numId w:val="1014"/>
        </w:numPr>
      </w:pPr>
      <w:r>
        <w:rPr>
          <w:b/>
          <w:bCs/>
        </w:rPr>
        <w:t xml:space="preserve">LP jurisdictions.</w:t>
      </w:r>
      <w:r>
        <w:t xml:space="preserve"> </w:t>
      </w:r>
      <w:r>
        <w:t xml:space="preserve">Meridian State Teachers’ Retirement System is described as an Indiana state pension fund in the Checklist and as an Illinois governmental retirement system in the Subscription Agreement (Schedule I). Northbridge Endowment Fund is described as a Connecticut nonprofit in the Checklist and as a Massachusetts organization in the Subscription Agreement (Schedule I). The correct jurisdictions should be confirmed.</w:t>
      </w:r>
    </w:p>
    <w:p>
      <w:pPr>
        <w:pStyle w:val="Compact"/>
        <w:numPr>
          <w:ilvl w:val="0"/>
          <w:numId w:val="1014"/>
        </w:numPr>
      </w:pPr>
      <w:r>
        <w:rPr>
          <w:b/>
          <w:bCs/>
        </w:rPr>
        <w:t xml:space="preserve">GP Memo date.</w:t>
      </w:r>
      <w:r>
        <w:t xml:space="preserve"> </w:t>
      </w:r>
      <w:r>
        <w:t xml:space="preserve">Checklist item 24 references the</w:t>
      </w:r>
      <w:r>
        <w:t xml:space="preserve"> </w:t>
      </w:r>
      <w:r>
        <w:t xml:space="preserve">“</w:t>
      </w:r>
      <w:r>
        <w:t xml:space="preserve">GP Internal Closing Memorandum dated</w:t>
      </w:r>
      <w:r>
        <w:t xml:space="preserve"> </w:t>
      </w:r>
      <w:r>
        <w:rPr>
          <w:b/>
          <w:bCs/>
        </w:rPr>
        <w:t xml:space="preserve">January 30, 2025</w:t>
      </w:r>
      <w:r>
        <w:t xml:space="preserve">,</w:t>
      </w:r>
      <w:r>
        <w:t xml:space="preserve">”</w:t>
      </w:r>
      <w:r>
        <w:t xml:space="preserve"> </w:t>
      </w:r>
      <w:r>
        <w:t xml:space="preserve">but the GP Memo is dated</w:t>
      </w:r>
      <w:r>
        <w:t xml:space="preserve"> </w:t>
      </w:r>
      <w:r>
        <w:rPr>
          <w:b/>
          <w:bCs/>
        </w:rPr>
        <w:t xml:space="preserve">January 28, 2025</w:t>
      </w:r>
      <w:r>
        <w:t xml:space="preserve">.</w:t>
      </w:r>
    </w:p>
    <w:bookmarkEnd w:id="38"/>
    <w:bookmarkEnd w:id="39"/>
    <w:bookmarkStart w:id="40" w:name="X76e6f68aa4e8e1b5a41913d74038f8925fb13df"/>
    <w:p>
      <w:pPr>
        <w:pStyle w:val="Heading2"/>
      </w:pPr>
      <w:r>
        <w:t xml:space="preserve">IX. Post-Closing Action Items (Not Conditions Precedent)</w:t>
      </w:r>
    </w:p>
    <w:p>
      <w:pPr>
        <w:pStyle w:val="FirstParagraph"/>
      </w:pPr>
      <w:r>
        <w:t xml:space="preserve">The following items are not conditions precedent to the Final Closing under Section 11.2 but are obligations of the General Partner that should be completed following the Final Closing. We list them here for completeness:</w:t>
      </w:r>
    </w:p>
    <w:p>
      <w:pPr>
        <w:pStyle w:val="Compact"/>
        <w:numPr>
          <w:ilvl w:val="0"/>
          <w:numId w:val="1015"/>
        </w:numPr>
      </w:pPr>
      <w:r>
        <w:rPr>
          <w:b/>
          <w:bCs/>
        </w:rPr>
        <w:t xml:space="preserve">Advisory Committee fifth seat [Section 9.1(b)].</w:t>
      </w:r>
      <w:r>
        <w:t xml:space="preserve"> </w:t>
      </w:r>
      <w:r>
        <w:t xml:space="preserve">One seat on the Advisory Committee remains vacant (the current members are Rachel M. Torres (Silvermark), Kenneth W. Park (Commonwealth), Diane L. Voss (Graystone), and Thomas A. Riley (Birchwood)). Section 9.1(b) requires the General Partner to use commercially reasonable efforts to appoint a representative of a Limited Partner admitted at the Subsequent Closing to fill the vacancy within thirty (30) days of the Closing. The GP Memo recommends approaching Meridian State Teachers’ Retirement System.</w:t>
      </w:r>
    </w:p>
    <w:p>
      <w:pPr>
        <w:pStyle w:val="Compact"/>
        <w:numPr>
          <w:ilvl w:val="0"/>
          <w:numId w:val="1015"/>
        </w:numPr>
      </w:pPr>
      <w:r>
        <w:rPr>
          <w:b/>
          <w:bCs/>
        </w:rPr>
        <w:t xml:space="preserve">Form D amendment [SEC Rule 503].</w:t>
      </w:r>
      <w:r>
        <w:t xml:space="preserve"> </w:t>
      </w:r>
      <w:r>
        <w:t xml:space="preserve">An amended Form D must be filed within fifteen (15) days following the Final Closing (i.e., by February 15, 2025) to reflect the six additional investors and the updated aggregate offering amount.</w:t>
      </w:r>
    </w:p>
    <w:p>
      <w:pPr>
        <w:pStyle w:val="Compact"/>
        <w:numPr>
          <w:ilvl w:val="0"/>
          <w:numId w:val="1015"/>
        </w:numPr>
      </w:pPr>
      <w:r>
        <w:rPr>
          <w:b/>
          <w:bCs/>
        </w:rPr>
        <w:t xml:space="preserve">MFN notices [Section 12.3].</w:t>
      </w:r>
      <w:r>
        <w:t xml:space="preserve"> </w:t>
      </w:r>
      <w:r>
        <w:t xml:space="preserve">MFN election notices must be circulated to MFN Eligible Partners (Capital Commitments ≥ $50,000,000) within thirty (30) days following the Final Closing. Among the Final Closing Limited Partners, Meridian State Teachers’ Retirement System ($100,000,000) and Northbridge Endowment Fund ($60,000,000) are MFN eligible, in addition to any previously admitted eligible Limited Partners who have not yet received an updated MFN notice reflecting side letters executed at or after the Second Closing. Fourteen (14) side letters have been executed across all closings.</w:t>
      </w:r>
    </w:p>
    <w:p>
      <w:pPr>
        <w:pStyle w:val="Compact"/>
        <w:numPr>
          <w:ilvl w:val="0"/>
          <w:numId w:val="1015"/>
        </w:numPr>
      </w:pPr>
      <w:r>
        <w:rPr>
          <w:b/>
          <w:bCs/>
        </w:rPr>
        <w:t xml:space="preserve">Target Fund Size Advisory Committee notification [Section 3.1(d)].</w:t>
      </w:r>
      <w:r>
        <w:t xml:space="preserve"> </w:t>
      </w:r>
      <w:r>
        <w:t xml:space="preserve">Aggregate Capital Commitments ($1,615,000,000) exceed the Target Fund Size ($1,500,000,000) by $115,000,000. Section 3.1(d) requires the General Partner to notify the Advisory Committee in writing of such excess, including the amount of the excess and the identities and Capital Commitments of the Partners admitted at the applicable Closing, not later than five (5) Business Days following the Closing at which the Target Fund Size is first exceeded (here, the Final Closing). The Closing Documents do not reflect that this notification has been made; it should be made within five Business Days following the Final Closing.</w:t>
      </w:r>
    </w:p>
    <w:p>
      <w:pPr>
        <w:pStyle w:val="Compact"/>
        <w:numPr>
          <w:ilvl w:val="0"/>
          <w:numId w:val="1015"/>
        </w:numPr>
      </w:pPr>
      <w:r>
        <w:rPr>
          <w:b/>
          <w:bCs/>
        </w:rPr>
        <w:t xml:space="preserve">Blue sky / state notice filings.</w:t>
      </w:r>
      <w:r>
        <w:t xml:space="preserve"> </w:t>
      </w:r>
      <w:r>
        <w:t xml:space="preserve">Applicable state notice filings in connection with the admission of the Final Closing Limited Partners should be confirmed and completed.</w:t>
      </w:r>
    </w:p>
    <w:bookmarkEnd w:id="40"/>
    <w:bookmarkStart w:id="41" w:name="x.-recommendations"/>
    <w:p>
      <w:pPr>
        <w:pStyle w:val="Heading2"/>
      </w:pPr>
      <w:r>
        <w:t xml:space="preserve">X. Recommendations</w:t>
      </w:r>
    </w:p>
    <w:p>
      <w:pPr>
        <w:pStyle w:val="Compact"/>
        <w:numPr>
          <w:ilvl w:val="0"/>
          <w:numId w:val="1016"/>
        </w:numPr>
      </w:pPr>
      <w:r>
        <w:rPr>
          <w:b/>
          <w:bCs/>
        </w:rPr>
        <w:t xml:space="preserve">Resolve the two critical, non-waivable conditions before closing.</w:t>
      </w:r>
      <w:r>
        <w:t xml:space="preserve"> </w:t>
      </w:r>
      <w:r>
        <w:t xml:space="preserve">(a) Obtain supplemental AML/KYC confirmation for Cascade Re Insurance Ltd. from the Fund Administrator, and do not admit Cascade Re until it is received (Item A). (b) Reconcile the Benefit Plan Investor calculation under a single, documented methodology and confirm that the 24.99% cap under Section 6.8 is not exceeded; if it is exceeded, reduce or decline the admission of one or more Benefit Plan Investor Limited Partners before closing (Item B).</w:t>
      </w:r>
    </w:p>
    <w:p>
      <w:pPr>
        <w:pStyle w:val="Compact"/>
        <w:numPr>
          <w:ilvl w:val="0"/>
          <w:numId w:val="1016"/>
        </w:numPr>
      </w:pPr>
      <w:r>
        <w:rPr>
          <w:b/>
          <w:bCs/>
        </w:rPr>
        <w:t xml:space="preserve">Confirm satisfaction of the outstanding conditions precedent at closing.</w:t>
      </w:r>
      <w:r>
        <w:t xml:space="preserve"> </w:t>
      </w:r>
      <w:r>
        <w:t xml:space="preserve">Confirm receipt of all Final Closing Capital Contributions in escrow (Item C); deliver the final executed legal opinions, dated as of January 31, 2025, addressing all matters in Section 11.2(7) including limited liability (Item D); and confirm documented support for the Key Person certification as to both Marcus J. Whitmore and Priya S. Mehta (Item E).</w:t>
      </w:r>
    </w:p>
    <w:p>
      <w:pPr>
        <w:pStyle w:val="Compact"/>
        <w:numPr>
          <w:ilvl w:val="0"/>
          <w:numId w:val="1016"/>
        </w:numPr>
      </w:pPr>
      <w:r>
        <w:rPr>
          <w:b/>
          <w:bCs/>
        </w:rPr>
        <w:t xml:space="preserve">Reconcile the equalization interest.</w:t>
      </w:r>
      <w:r>
        <w:t xml:space="preserve"> </w:t>
      </w:r>
      <w:r>
        <w:t xml:space="preserve">Adopt a single day-count convention consistent with Section 3.2(c), reconcile the Checklist and the Subscription Agreement to consistent per-investor and aggregate figures, and correct the Subscription Agreement’s characterization of equalization interest (Item J).</w:t>
      </w:r>
    </w:p>
    <w:p>
      <w:pPr>
        <w:pStyle w:val="Compact"/>
        <w:numPr>
          <w:ilvl w:val="0"/>
          <w:numId w:val="1016"/>
        </w:numPr>
      </w:pPr>
      <w:r>
        <w:rPr>
          <w:b/>
          <w:bCs/>
        </w:rPr>
        <w:t xml:space="preserve">Review Amendment No. 1’s waterfall amendment.</w:t>
      </w:r>
      <w:r>
        <w:t xml:space="preserve"> </w:t>
      </w:r>
      <w:r>
        <w:t xml:space="preserve">Confirm whether the amendment was intended to correct Section 8.3(c) (the catch-up) rather than Section 8.3(b) (the preferred return), and consider a clarifying amendment if the executed text could be read to eliminate the Preferred Return (Item F).</w:t>
      </w:r>
    </w:p>
    <w:p>
      <w:pPr>
        <w:pStyle w:val="Compact"/>
        <w:numPr>
          <w:ilvl w:val="0"/>
          <w:numId w:val="1016"/>
        </w:numPr>
      </w:pPr>
      <w:r>
        <w:rPr>
          <w:b/>
          <w:bCs/>
        </w:rPr>
        <w:t xml:space="preserve">Reconcile commitment amounts.</w:t>
      </w:r>
      <w:r>
        <w:t xml:space="preserve"> </w:t>
      </w:r>
      <w:r>
        <w:t xml:space="preserve">Reconcile the individual Initial Closing LP commitment amounts as between Capital Call Notice No. 2 and the commitment schedule (Item G), and reconcile the Birchwood Insurance Co. commitment as between Amendment No. 1 ($75,000,000) and the commitment schedule ($60,000,000) (Item H).</w:t>
      </w:r>
    </w:p>
    <w:p>
      <w:pPr>
        <w:pStyle w:val="Compact"/>
        <w:numPr>
          <w:ilvl w:val="0"/>
          <w:numId w:val="1016"/>
        </w:numPr>
      </w:pPr>
      <w:r>
        <w:rPr>
          <w:b/>
          <w:bCs/>
        </w:rPr>
        <w:t xml:space="preserve">Correct cross-reference errors</w:t>
      </w:r>
      <w:r>
        <w:t xml:space="preserve"> </w:t>
      </w:r>
      <w:r>
        <w:t xml:space="preserve">in the form Capital Call Notices and Subscription Agreement for future use, with priority to the Subscription Agreement’s incorrect default interest rate (18% vs. 12%) and default section reference (Item K).</w:t>
      </w:r>
    </w:p>
    <w:p>
      <w:pPr>
        <w:pStyle w:val="Compact"/>
        <w:numPr>
          <w:ilvl w:val="0"/>
          <w:numId w:val="1016"/>
        </w:numPr>
      </w:pPr>
      <w:r>
        <w:rPr>
          <w:b/>
          <w:bCs/>
        </w:rPr>
        <w:t xml:space="preserve">Complete the post-closing action items</w:t>
      </w:r>
      <w:r>
        <w:t xml:space="preserve"> </w:t>
      </w:r>
      <w:r>
        <w:t xml:space="preserve">in Section IX within the applicable deadlines.</w:t>
      </w:r>
    </w:p>
    <w:p>
      <w:pPr>
        <w:pStyle w:val="FirstParagraph"/>
      </w:pPr>
      <w:r>
        <w:t xml:space="preserve">We are available to discuss any of the foregoing and to assist with the reconciliation items. Please do not hesitate to contact us.</w:t>
      </w:r>
    </w:p>
    <w:p>
      <w:pPr>
        <w:pStyle w:val="BodyText"/>
      </w:pPr>
      <w:r>
        <w:rPr>
          <w:b/>
          <w:bCs/>
        </w:rPr>
        <w:t xml:space="preserve">Bridgeford Hollis LLP</w:t>
      </w:r>
    </w:p>
    <w:p>
      <w:pPr>
        <w:pStyle w:val="BodyText"/>
      </w:pPr>
      <w:r>
        <w:t xml:space="preserve">David R. Kasten</w:t>
      </w:r>
      <w:r>
        <w:t xml:space="preserve"> </w:t>
      </w:r>
      <w:r>
        <w:t xml:space="preserve">Partner</w:t>
      </w:r>
    </w:p>
    <w:p>
      <w:pPr>
        <w:pStyle w:val="BodyText"/>
      </w:pPr>
      <w:r>
        <w:t xml:space="preserve">Emily T. Naraghi</w:t>
      </w:r>
      <w:r>
        <w:t xml:space="preserve"> </w:t>
      </w:r>
      <w:r>
        <w:t xml:space="preserve">Associate</w:t>
      </w:r>
    </w:p>
    <w:p>
      <w:pPr>
        <w:pStyle w:val="BodyText"/>
      </w:pPr>
      <w:r>
        <w:t xml:space="preserve">77 West Monroe Street, Suite 4400</w:t>
      </w:r>
      <w:r>
        <w:t xml:space="preserve"> </w:t>
      </w:r>
      <w:r>
        <w:t xml:space="preserve">Chicago, Illinois 60603</w:t>
      </w:r>
    </w:p>
    <w:p>
      <w:r>
        <w:pict>
          <v:rect style="width:0;height:1.5pt" o:hralign="center" o:hrstd="t" o:hr="t"/>
        </w:pict>
      </w:r>
    </w:p>
    <w:p>
      <w:pPr>
        <w:pStyle w:val="FirstParagraph"/>
      </w:pPr>
      <w:r>
        <w:rPr>
          <w:i/>
          <w:iCs/>
        </w:rPr>
        <w:t xml:space="preserve">CONFIDENTIAL — ATTORNEY-CLIENT PRIVILEGED / ATTORNEY WORK PRODUCT. This memorandum is prepared by Bridgeford Hollis LLP in its capacity as Fund Counsel to Whitmore Capital Partners VII, LP and Whitmore Capital Management LLC. It constitutes attorney-client privileged communication and attorney work product and is intended solely for the use of the addressees. It should not be distributed, reproduced, or disclosed to any Limited Partner, prospective investor, or other third party without the prior written consent of Bridgeford Hollis LLP.</w:t>
      </w:r>
    </w:p>
    <w:p>
      <w:pPr>
        <w:pStyle w:val="BodyText"/>
      </w:pPr>
      <w:r>
        <w:rPr>
          <w:i/>
          <w:iCs/>
        </w:rPr>
        <w:t xml:space="preserve">[End of Memorandum]</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2026-06-29T00:49:00Z</dcterms:created>
  <dcterms:modified xsi:type="dcterms:W3CDTF">2026-06-29T00:49:00Z</dcterms:modified>
</cp:coreProperties>
</file>

<file path=docProps/custom.xml><?xml version="1.0" encoding="utf-8"?>
<Properties xmlns="http://schemas.openxmlformats.org/officeDocument/2006/custom-properties" xmlns:vt="http://schemas.openxmlformats.org/officeDocument/2006/docPropsVTypes"/>
</file>