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53" w:name="issue-memorandum"/>
    <w:p>
      <w:pPr>
        <w:pStyle w:val="Heading1"/>
      </w:pPr>
      <w:r>
        <w:t xml:space="preserve">ISSUE MEMORANDUM</w:t>
      </w:r>
    </w:p>
    <w:p>
      <w:pPr>
        <w:pStyle w:val="FirstParagraph"/>
      </w:pPr>
      <w:r>
        <w:rPr>
          <w:b/>
          <w:bCs/>
        </w:rPr>
        <w:t xml:space="preserve">TO:</w:t>
      </w:r>
      <w:r>
        <w:t xml:space="preserve"> </w:t>
      </w:r>
      <w:r>
        <w:t xml:space="preserve">Katherine</w:t>
      </w:r>
      <w:r>
        <w:t xml:space="preserve"> </w:t>
      </w:r>
      <w:r>
        <w:t xml:space="preserve">“</w:t>
      </w:r>
      <w:r>
        <w:t xml:space="preserve">Kate</w:t>
      </w:r>
      <w:r>
        <w:t xml:space="preserve">”</w:t>
      </w:r>
      <w:r>
        <w:t xml:space="preserve"> </w:t>
      </w:r>
      <w:r>
        <w:t xml:space="preserve">Pressman, Partner, Hargrove, Templeton &amp; Bliss LLP; Linda Fessenden, VP Regulatory Affairs, Clearfield Medical Devices, Inc.; Dr. Evelyn Marsh, RAC, Ridgepoint Consulting Group</w:t>
      </w:r>
    </w:p>
    <w:p>
      <w:pPr>
        <w:pStyle w:val="BodyText"/>
      </w:pPr>
      <w:r>
        <w:rPr>
          <w:b/>
          <w:bCs/>
        </w:rPr>
        <w:t xml:space="preserve">FROM:</w:t>
      </w:r>
      <w:r>
        <w:t xml:space="preserve"> </w:t>
      </w:r>
      <w:r>
        <w:t xml:space="preserve">Daniel J. Yoo, Senior Associate, Hargrove, Templeton &amp; Bliss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Comprehensive Review of Draft Pre-Submission (Q-Sub) Package — VascuClear 3000 Thrombectomy System (Clearfield Medical Devices, Inc.)</w:t>
      </w:r>
    </w:p>
    <w:p>
      <w:pPr>
        <w:pStyle w:val="BodyText"/>
      </w:pPr>
      <w:r>
        <w:rPr>
          <w:b/>
          <w:bCs/>
        </w:rPr>
        <w:t xml:space="preserve">PRIVILEGED &amp; CONFIDENTIAL — ATTORNEY-CLIENT COMMUNICATION / ATTORNEY WORK PRODUCT.</w:t>
      </w:r>
      <w:r>
        <w:t xml:space="preserve"> </w:t>
      </w:r>
      <w:r>
        <w:t xml:space="preserve">Prepared at the request of Katherine Pressman in anticipation of the May 19, 2025 internal review deadline and the June 15, 2025 Pre-Submission filing target. This memorandum identifies regulatory, scientific, and strategic deficiencies in the draft package and recommends corrective actions before the package is finalized and submitted to CDRH.</w:t>
      </w:r>
    </w:p>
    <w:p>
      <w:r>
        <w:pict>
          <v:rect style="width:0;height:1.5pt" o:hralign="center" o:hrstd="t" o:hr="t"/>
        </w:pict>
      </w:r>
    </w:p>
    <w:bookmarkStart w:id="21" w:name="i.-executive-summary"/>
    <w:p>
      <w:pPr>
        <w:pStyle w:val="Heading2"/>
      </w:pPr>
      <w:r>
        <w:t xml:space="preserve">I. Executive Summary</w:t>
      </w:r>
    </w:p>
    <w:p>
      <w:pPr>
        <w:pStyle w:val="FirstParagraph"/>
      </w:pPr>
      <w:r>
        <w:t xml:space="preserve">At Kate’s request, I have reviewed the complete draft Pre-Submission package for the VascuClear 3000 Thrombectomy System (the</w:t>
      </w:r>
      <w:r>
        <w:t xml:space="preserve"> </w:t>
      </w:r>
      <w:r>
        <w:t xml:space="preserve">“</w:t>
      </w:r>
      <w:r>
        <w:t xml:space="preserve">Device</w:t>
      </w:r>
      <w:r>
        <w:t xml:space="preserve">”</w:t>
      </w:r>
      <w:r>
        <w:t xml:space="preserve">), comprising: (1) the Pre-Submission cover letter; (2) the Device Description and Predicate Comparison; (3) the Proposed Testing Plan; (4) the Clinical Study Synopsis; (5) the draft Instructions for Use (</w:t>
      </w:r>
      <w:r>
        <w:t xml:space="preserve">“</w:t>
      </w:r>
      <w:r>
        <w:t xml:space="preserve">IFU</w:t>
      </w:r>
      <w:r>
        <w:t xml:space="preserve">”</w:t>
      </w:r>
      <w:r>
        <w:t xml:space="preserve">); (6) the ThrombEx 200 (K192847) 510(k) Summary; and (7) the internal strategy email chain among Ms. Fessenden, Dr. Marsh, and Ms. Pressman.</w:t>
      </w:r>
    </w:p>
    <w:p>
      <w:pPr>
        <w:pStyle w:val="BodyText"/>
      </w:pPr>
      <w:r>
        <w:t xml:space="preserve">The package is well-organized and reflects genuine effort. However, my review identifies</w:t>
      </w:r>
      <w:r>
        <w:t xml:space="preserve"> </w:t>
      </w:r>
      <w:r>
        <w:rPr>
          <w:b/>
          <w:bCs/>
        </w:rPr>
        <w:t xml:space="preserve">twenty-three (23) discrete issues</w:t>
      </w:r>
      <w:r>
        <w:t xml:space="preserve">, several of which are serious enough to jeopardize the regulatory strategy, the Pre-Submission meeting outcome, or the corporate milestone (510(k) clearance by December 31, 2025) if not resolved before filing. The issues fall into four priority tiers:</w:t>
      </w:r>
    </w:p>
    <w:p>
      <w:pPr>
        <w:numPr>
          <w:ilvl w:val="0"/>
          <w:numId w:val="1001"/>
        </w:numPr>
      </w:pPr>
      <w:r>
        <w:rPr>
          <w:b/>
          <w:bCs/>
        </w:rPr>
        <w:t xml:space="preserve">Priority 1 — Critical (3 issues):</w:t>
      </w:r>
      <w:r>
        <w:t xml:space="preserve"> </w:t>
      </w:r>
      <w:r>
        <w:t xml:space="preserve">The combination-product classification risk, the Investigational Device Exemption (</w:t>
      </w:r>
      <w:r>
        <w:t xml:space="preserve">“</w:t>
      </w:r>
      <w:r>
        <w:t xml:space="preserve">IDE</w:t>
      </w:r>
      <w:r>
        <w:t xml:space="preserve">”</w:t>
      </w:r>
      <w:r>
        <w:t xml:space="preserve">) question, and the substantial-equivalence/predicate-selection argument. These three are interrelated and go to the heart of whether the proposed traditional 510(k) pathway is viable at all. Notably,</w:t>
      </w:r>
      <w:r>
        <w:t xml:space="preserve"> </w:t>
      </w:r>
      <w:r>
        <w:rPr>
          <w:b/>
          <w:bCs/>
        </w:rPr>
        <w:t xml:space="preserve">none of the three is currently presented as a question to FDA in the cover letter</w:t>
      </w:r>
      <w:r>
        <w:t xml:space="preserve">, notwithstanding Ms. Pressman’s recommendation in her May 12 email that the combination-product and IDE questions be added.</w:t>
      </w:r>
    </w:p>
    <w:p>
      <w:pPr>
        <w:numPr>
          <w:ilvl w:val="0"/>
          <w:numId w:val="1001"/>
        </w:numPr>
      </w:pPr>
      <w:r>
        <w:rPr>
          <w:b/>
          <w:bCs/>
        </w:rPr>
        <w:t xml:space="preserve">Priority 2 — High (9 issues):</w:t>
      </w:r>
      <w:r>
        <w:t xml:space="preserve"> </w:t>
      </w:r>
      <w:r>
        <w:t xml:space="preserve">Deficiencies in the indications-for-use language, biocompatibility contact-duration classification, software level of concern, electromagnetic compatibility (</w:t>
      </w:r>
      <w:r>
        <w:t xml:space="preserve">“</w:t>
      </w:r>
      <w:r>
        <w:t xml:space="preserve">EMC</w:t>
      </w:r>
      <w:r>
        <w:t xml:space="preserve">”</w:t>
      </w:r>
      <w:r>
        <w:t xml:space="preserve">) testing, drug-delivery characterization, simulated-use bench testing, clinical study design, impeller fatigue testing, and the submission timeline/milestone. FDA is likely to raise each of these at the Pre-Submission meeting or in a subsequent Additional Information letter.</w:t>
      </w:r>
    </w:p>
    <w:p>
      <w:pPr>
        <w:numPr>
          <w:ilvl w:val="0"/>
          <w:numId w:val="1001"/>
        </w:numPr>
      </w:pPr>
      <w:r>
        <w:rPr>
          <w:b/>
          <w:bCs/>
        </w:rPr>
        <w:t xml:space="preserve">Priority 3 — Medium (7 issues):</w:t>
      </w:r>
      <w:r>
        <w:t xml:space="preserve"> </w:t>
      </w:r>
      <w:r>
        <w:t xml:space="preserve">MRI safety data gaps, particulate/embolization testing, dynamic hemolysis testing, shelf-life/sterile-barrier validation, console reprocessing validation, material-identification inconsistencies, and console dimensional specifications.</w:t>
      </w:r>
    </w:p>
    <w:p>
      <w:pPr>
        <w:numPr>
          <w:ilvl w:val="0"/>
          <w:numId w:val="1001"/>
        </w:numPr>
      </w:pPr>
      <w:r>
        <w:rPr>
          <w:b/>
          <w:bCs/>
        </w:rPr>
        <w:t xml:space="preserve">Priority 4 — Low (4 issues):</w:t>
      </w:r>
      <w:r>
        <w:t xml:space="preserve"> </w:t>
      </w:r>
      <w:r>
        <w:t xml:space="preserve">Contact-information inconsistencies, citation of a withdrawn FDA software guidance, an erroneous exclusion-criterion material reference, and corporate/financial coordination items.</w:t>
      </w:r>
    </w:p>
    <w:p>
      <w:pPr>
        <w:pStyle w:val="FirstParagraph"/>
      </w:pPr>
      <w:r>
        <w:t xml:space="preserve">A consolidated issue table appears at Section IV. My recommended next steps appear at Section V.</w:t>
      </w:r>
    </w:p>
    <w:p>
      <w:pPr>
        <w:pStyle w:val="BodyText"/>
      </w:pPr>
      <w:r>
        <w:t xml:space="preserve">The single most important takeaway:</w:t>
      </w:r>
      <w:r>
        <w:t xml:space="preserve"> </w:t>
      </w:r>
      <w:r>
        <w:rPr>
          <w:b/>
          <w:bCs/>
        </w:rPr>
        <w:t xml:space="preserve">the package should not be filed on June 15 in its current form without (a) adding explicit FDA questions on combination-product status and the IDE requirement, (b) re-evaluating predicate selection in light of the pharmacomechanical feature, and (c) reconciling the internal contradictions identified below.</w:t>
      </w:r>
      <w:r>
        <w:t xml:space="preserve"> </w:t>
      </w:r>
      <w:r>
        <w:t xml:space="preserve">Several of these items can be resolved quickly; others (notably the combination-product and IDE questions) require a strategic decision by Clearfield management before filing.</w:t>
      </w:r>
    </w:p>
    <w:p>
      <w:r>
        <w:pict>
          <v:rect style="width:0;height:1.5pt" o:hralign="center" o:hrstd="t" o:hr="t"/>
        </w:pict>
      </w:r>
    </w:p>
    <w:bookmarkEnd w:id="21"/>
    <w:bookmarkStart w:id="22" w:name="ii.-background"/>
    <w:p>
      <w:pPr>
        <w:pStyle w:val="Heading2"/>
      </w:pPr>
      <w:r>
        <w:t xml:space="preserve">II. Background</w:t>
      </w:r>
    </w:p>
    <w:p>
      <w:pPr>
        <w:pStyle w:val="FirstParagraph"/>
      </w:pPr>
      <w:r>
        <w:t xml:space="preserve">Clearfield Medical Devices, Inc. (</w:t>
      </w:r>
      <w:r>
        <w:t xml:space="preserve">“</w:t>
      </w:r>
      <w:r>
        <w:t xml:space="preserve">Clearfield</w:t>
      </w:r>
      <w:r>
        <w:t xml:space="preserve">”</w:t>
      </w:r>
      <w:r>
        <w:t xml:space="preserve">) intends to market the VascuClear 3000, a catheter-based thrombectomy system with three components: (i) a 10 Fr, 65 cm single-use catheter with a rotating helical impeller (up to 12,000 RPM) and an integrated thrombolytic infusion lumen; (ii) a reusable electromechanical console with an aspiration pump (up to −650 mmHg); and (iii) the infusion lumen itself, for local delivery of physician-specified thrombolytic agents (e.g., tPA/alteplase). The proposed indication is for</w:t>
      </w:r>
      <w:r>
        <w:t xml:space="preserve"> </w:t>
      </w:r>
      <w:r>
        <w:t xml:space="preserve">“</w:t>
      </w:r>
      <w:r>
        <w:t xml:space="preserve">percutaneous removal of thrombus and simultaneous local delivery of physician-specified thrombolytic agents in adult patients with acute deep vein thrombosis (symptom onset ≤14 days) of the iliofemoral venous segment.</w:t>
      </w:r>
      <w:r>
        <w:t xml:space="preserve">”</w:t>
      </w:r>
    </w:p>
    <w:p>
      <w:pPr>
        <w:pStyle w:val="BodyText"/>
      </w:pPr>
      <w:r>
        <w:t xml:space="preserve">Clearfield proposes a traditional 510(k) under product code GXD (21 CFR 870.1250), citing the ThrombEx 200 (K192847, Vasogen Therapeutics, Inc.) as the sole predicate. The ThrombEx 200 is an 8 Fr, 55 cm, single-lumen, purely mechanical Bernoulli-effect aspiration catheter with</w:t>
      </w:r>
      <w:r>
        <w:t xml:space="preserve"> </w:t>
      </w:r>
      <w:r>
        <w:rPr>
          <w:b/>
          <w:bCs/>
        </w:rPr>
        <w:t xml:space="preserve">no rotating components and no drug-delivery capability</w:t>
      </w:r>
      <w:r>
        <w:t xml:space="preserve">, cleared for</w:t>
      </w:r>
      <w:r>
        <w:t xml:space="preserve"> </w:t>
      </w:r>
      <w:r>
        <w:t xml:space="preserve">“</w:t>
      </w:r>
      <w:r>
        <w:t xml:space="preserve">percutaneous removal of thrombus from the peripheral vasculature</w:t>
      </w:r>
      <w:r>
        <w:t xml:space="preserve">”</w:t>
      </w:r>
      <w:r>
        <w:t xml:space="preserve"> </w:t>
      </w:r>
      <w:r>
        <w:t xml:space="preserve">(arterial and venous).</w:t>
      </w:r>
    </w:p>
    <w:p>
      <w:pPr>
        <w:pStyle w:val="BodyText"/>
      </w:pPr>
      <w:r>
        <w:t xml:space="preserve">The internal email chain reflects an unresolved debate between Dr. Marsh (who maintains the Device is not a combination product and that no IDE is required) and Ms. Pressman (who has reservations on both points and recommends asking FDA directly). Ms. Fessenden has not yet confirmed whether the combination-product and IDE questions will be added to the Pre-Submission. This memorandum is intended to inform that decision and to surface additional issues.</w:t>
      </w:r>
    </w:p>
    <w:p>
      <w:r>
        <w:pict>
          <v:rect style="width:0;height:1.5pt" o:hralign="center" o:hrstd="t" o:hr="t"/>
        </w:pict>
      </w:r>
    </w:p>
    <w:bookmarkEnd w:id="22"/>
    <w:bookmarkStart w:id="50" w:name="iii.-prioritized-issues"/>
    <w:p>
      <w:pPr>
        <w:pStyle w:val="Heading2"/>
      </w:pPr>
      <w:r>
        <w:t xml:space="preserve">III. Prioritized Issues</w:t>
      </w:r>
    </w:p>
    <w:bookmarkStart w:id="26" w:name="priority-1-critical"/>
    <w:p>
      <w:pPr>
        <w:pStyle w:val="Heading3"/>
      </w:pPr>
      <w:r>
        <w:t xml:space="preserve">PRIORITY 1 — CRITICAL</w:t>
      </w:r>
    </w:p>
    <w:bookmarkStart w:id="23" w:name="X60a7fff64bd9af70b23c32a4aa31c6b88d5a5e3"/>
    <w:p>
      <w:pPr>
        <w:pStyle w:val="Heading4"/>
      </w:pPr>
      <w:r>
        <w:t xml:space="preserve">Issue 1. Combination-Product Classification Risk Is Not Addressed as an FDA Question</w:t>
      </w:r>
    </w:p>
    <w:p>
      <w:pPr>
        <w:pStyle w:val="FirstParagraph"/>
      </w:pPr>
      <w:r>
        <w:rPr>
          <w:b/>
          <w:bCs/>
        </w:rPr>
        <w:t xml:space="preserve">Where:</w:t>
      </w:r>
      <w:r>
        <w:t xml:space="preserve"> </w:t>
      </w:r>
      <w:r>
        <w:t xml:space="preserve">Cover letter, Section VI (questions to FDA) — no combination-product question present; Clinical Study Synopsis, Section 6; Device Description, Sections 2.4 and 5.1; draft IFU, Sections 2 and 9; email chain (Pressman, May 5 and May 12; Marsh, April 28 and May 9).</w:t>
      </w:r>
    </w:p>
    <w:p>
      <w:pPr>
        <w:pStyle w:val="BodyText"/>
      </w:pPr>
      <w:r>
        <w:rPr>
          <w:b/>
          <w:bCs/>
        </w:rPr>
        <w:t xml:space="preserve">The issue.</w:t>
      </w:r>
      <w:r>
        <w:t xml:space="preserve"> </w:t>
      </w:r>
      <w:r>
        <w:t xml:space="preserve">The Device incorporates a lumen</w:t>
      </w:r>
      <w:r>
        <w:t xml:space="preserve"> </w:t>
      </w:r>
      <w:r>
        <w:t xml:space="preserve">“</w:t>
      </w:r>
      <w:r>
        <w:t xml:space="preserve">purpose-built for drug delivery</w:t>
      </w:r>
      <w:r>
        <w:t xml:space="preserve">”</w:t>
      </w:r>
      <w:r>
        <w:t xml:space="preserve"> </w:t>
      </w:r>
      <w:r>
        <w:t xml:space="preserve">(Ms. Pressman’s words), and the proposed indication expressly claims</w:t>
      </w:r>
      <w:r>
        <w:t xml:space="preserve"> </w:t>
      </w:r>
      <w:r>
        <w:t xml:space="preserve">“</w:t>
      </w:r>
      <w:r>
        <w:t xml:space="preserve">simultaneous local delivery of physician-specified thrombolytic agents</w:t>
      </w:r>
      <w:r>
        <w:t xml:space="preserve">”</w:t>
      </w:r>
      <w:r>
        <w:t xml:space="preserve"> </w:t>
      </w:r>
      <w:r>
        <w:t xml:space="preserve">as a therapeutic function. Under 21 CFR 3.2(e), a</w:t>
      </w:r>
      <w:r>
        <w:t xml:space="preserve"> </w:t>
      </w:r>
      <w:r>
        <w:t xml:space="preserve">“</w:t>
      </w:r>
      <w:r>
        <w:t xml:space="preserve">combination product</w:t>
      </w:r>
      <w:r>
        <w:t xml:space="preserve">”</w:t>
      </w:r>
      <w:r>
        <w:t xml:space="preserve"> </w:t>
      </w:r>
      <w:r>
        <w:t xml:space="preserve">includes a device</w:t>
      </w:r>
      <w:r>
        <w:t xml:space="preserve"> </w:t>
      </w:r>
      <w:r>
        <w:t xml:space="preserve">“</w:t>
      </w:r>
      <w:r>
        <w:t xml:space="preserve">intended for use with</w:t>
      </w:r>
      <w:r>
        <w:t xml:space="preserve">”</w:t>
      </w:r>
      <w:r>
        <w:t xml:space="preserve"> </w:t>
      </w:r>
      <w:r>
        <w:t xml:space="preserve">a drug where both are required to achieve the intended use, purpose, or effect. The</w:t>
      </w:r>
      <w:r>
        <w:t xml:space="preserve"> </w:t>
      </w:r>
      <w:r>
        <w:t xml:space="preserve">“</w:t>
      </w:r>
      <w:r>
        <w:t xml:space="preserve">intended for use with</w:t>
      </w:r>
      <w:r>
        <w:t xml:space="preserve">”</w:t>
      </w:r>
      <w:r>
        <w:t xml:space="preserve"> </w:t>
      </w:r>
      <w:r>
        <w:t xml:space="preserve">inquiry does not turn solely on whether the manufacturer co-packages the drug; it turns on whether the device is intended to be used with a specified drug to achieve a therapeutic effect. Dr. Marsh’s infusion-pump analogy is distinguishable: a general-purpose infusion pump is indicated for fluid delivery without reference to any particular drug or therapeutic outcome, whereas the VascuClear 3000’s indication names a class of drugs (thrombolytics) and a therapeutic purpose (thrombus removal enhanced by lysis). The Device Description and IFU reinforce this by describing pharmacomechanical thrombectomy as the</w:t>
      </w:r>
      <w:r>
        <w:t xml:space="preserve"> </w:t>
      </w:r>
      <w:r>
        <w:t xml:space="preserve">“</w:t>
      </w:r>
      <w:r>
        <w:t xml:space="preserve">core differentiating feature</w:t>
      </w:r>
      <w:r>
        <w:t xml:space="preserve">”</w:t>
      </w:r>
      <w:r>
        <w:t xml:space="preserve"> </w:t>
      </w:r>
      <w:r>
        <w:t xml:space="preserve">and the</w:t>
      </w:r>
      <w:r>
        <w:t xml:space="preserve"> </w:t>
      </w:r>
      <w:r>
        <w:t xml:space="preserve">“</w:t>
      </w:r>
      <w:r>
        <w:t xml:space="preserve">primary design purpose.</w:t>
      </w:r>
      <w:r>
        <w:t xml:space="preserve">”</w:t>
      </w:r>
    </w:p>
    <w:p>
      <w:pPr>
        <w:pStyle w:val="BodyText"/>
      </w:pPr>
      <w:r>
        <w:rPr>
          <w:b/>
          <w:bCs/>
        </w:rPr>
        <w:t xml:space="preserve">Why it matters.</w:t>
      </w:r>
      <w:r>
        <w:t xml:space="preserve"> </w:t>
      </w:r>
      <w:r>
        <w:t xml:space="preserve">If FDA determines the Device is a combination product, the consequences are significant: (a) a Request for Designation (</w:t>
      </w:r>
      <w:r>
        <w:t xml:space="preserve">“</w:t>
      </w:r>
      <w:r>
        <w:t xml:space="preserve">RFD</w:t>
      </w:r>
      <w:r>
        <w:t xml:space="preserve">”</w:t>
      </w:r>
      <w:r>
        <w:t xml:space="preserve">) to the Office of Combination Products (</w:t>
      </w:r>
      <w:r>
        <w:t xml:space="preserve">“</w:t>
      </w:r>
      <w:r>
        <w:t xml:space="preserve">OCP</w:t>
      </w:r>
      <w:r>
        <w:t xml:space="preserve">”</w:t>
      </w:r>
      <w:r>
        <w:t xml:space="preserve">) may be required to formalize the lead review center and assignment; (b) CDER consultation on drug-device compatibility would likely be required even if CDRH remains the lead center; (c) additional data (e.g., drug compatibility, adsorption/leachables with the specific agent, delivery-dose accuracy) would be expected; and (d) the review timeline and division may shift. None of these contingencies is reflected in the current testing plan or timeline. The package’s stated position (not a combination product) may ultimately prove correct, but the downside of being wrong — discovered at the Pre-Submission meeting or, worse, after 510(k) submission — is substantial.</w:t>
      </w:r>
    </w:p>
    <w:p>
      <w:pPr>
        <w:pStyle w:val="BodyText"/>
      </w:pPr>
      <w:r>
        <w:rPr>
          <w:b/>
          <w:bCs/>
        </w:rPr>
        <w:t xml:space="preserve">Recommendation.</w:t>
      </w:r>
      <w:r>
        <w:t xml:space="preserve"> </w:t>
      </w:r>
      <w:r>
        <w:t xml:space="preserve">Add an explicit question to FDA in the cover letter asking whether the Agency considers the VascuClear 3000 a combination product under 21 CFR Part 3, and, if so, what additional data or pathway modifications would be expected. This is</w:t>
      </w:r>
      <w:r>
        <w:t xml:space="preserve"> </w:t>
      </w:r>
      <w:r>
        <w:t xml:space="preserve">“</w:t>
      </w:r>
      <w:r>
        <w:t xml:space="preserve">cheap insurance,</w:t>
      </w:r>
      <w:r>
        <w:t xml:space="preserve">”</w:t>
      </w:r>
      <w:r>
        <w:t xml:space="preserve"> </w:t>
      </w:r>
      <w:r>
        <w:t xml:space="preserve">as Ms. Pressman put it. I concur with her recommendation. If Clearfield elects not to ask, the decision and its rationale should be documented in the file.</w:t>
      </w:r>
    </w:p>
    <w:bookmarkEnd w:id="23"/>
    <w:bookmarkStart w:id="24" w:name="Xa841fcbbfd1bd0acf342c3688a3a97c6fb1970b"/>
    <w:p>
      <w:pPr>
        <w:pStyle w:val="Heading4"/>
      </w:pPr>
      <w:r>
        <w:t xml:space="preserve">Issue 2. IDE Requirement — The</w:t>
      </w:r>
      <w:r>
        <w:t xml:space="preserve"> </w:t>
      </w:r>
      <w:r>
        <w:t xml:space="preserve">“</w:t>
      </w:r>
      <w:r>
        <w:t xml:space="preserve">Post-Clearance</w:t>
      </w:r>
      <w:r>
        <w:t xml:space="preserve">”</w:t>
      </w:r>
      <w:r>
        <w:t xml:space="preserve"> </w:t>
      </w:r>
      <w:r>
        <w:t xml:space="preserve">Framing Is Internally Contradictory and Likely Incorrect</w:t>
      </w:r>
    </w:p>
    <w:p>
      <w:pPr>
        <w:pStyle w:val="FirstParagraph"/>
      </w:pPr>
      <w:r>
        <w:rPr>
          <w:b/>
          <w:bCs/>
        </w:rPr>
        <w:t xml:space="preserve">Where:</w:t>
      </w:r>
      <w:r>
        <w:t xml:space="preserve"> </w:t>
      </w:r>
      <w:r>
        <w:t xml:space="preserve">Clinical Study Synopsis, Sections 5 and 6 (study characterized as</w:t>
      </w:r>
      <w:r>
        <w:t xml:space="preserve"> </w:t>
      </w:r>
      <w:r>
        <w:t xml:space="preserve">“</w:t>
      </w:r>
      <w:r>
        <w:t xml:space="preserve">post-clearance</w:t>
      </w:r>
      <w:r>
        <w:t xml:space="preserve">”</w:t>
      </w:r>
      <w:r>
        <w:t xml:space="preserve">;</w:t>
      </w:r>
      <w:r>
        <w:t xml:space="preserve"> </w:t>
      </w:r>
      <w:r>
        <w:t xml:space="preserve">“</w:t>
      </w:r>
      <w:r>
        <w:t xml:space="preserve">an IDE is not anticipated</w:t>
      </w:r>
      <w:r>
        <w:t xml:space="preserve">”</w:t>
      </w:r>
      <w:r>
        <w:t xml:space="preserve">;</w:t>
      </w:r>
      <w:r>
        <w:t xml:space="preserve"> </w:t>
      </w:r>
      <w:r>
        <w:t xml:space="preserve">“</w:t>
      </w:r>
      <w:r>
        <w:t xml:space="preserve">no IDE application will be submitted</w:t>
      </w:r>
      <w:r>
        <w:t xml:space="preserve">”</w:t>
      </w:r>
      <w:r>
        <w:t xml:space="preserve">); Synopsis Section 15 (First Patient Enrollment Q4 2025); Proposed Testing Plan, Section 9.2 (testing completion Nov–Dec 2025; 510(k) submission</w:t>
      </w:r>
      <w:r>
        <w:t xml:space="preserve"> </w:t>
      </w:r>
      <w:r>
        <w:t xml:space="preserve">“</w:t>
      </w:r>
      <w:r>
        <w:t xml:space="preserve">as early as practical</w:t>
      </w:r>
      <w:r>
        <w:t xml:space="preserve">”</w:t>
      </w:r>
      <w:r>
        <w:t xml:space="preserve"> </w:t>
      </w:r>
      <w:r>
        <w:t xml:space="preserve">thereafter); email chain (Pressman, May 5, citing 21 CFR 812.3(m); Marsh, April 28 and May 9).</w:t>
      </w:r>
    </w:p>
    <w:p>
      <w:pPr>
        <w:pStyle w:val="BodyText"/>
      </w:pPr>
      <w:r>
        <w:rPr>
          <w:b/>
          <w:bCs/>
        </w:rPr>
        <w:t xml:space="preserve">The issue.</w:t>
      </w:r>
      <w:r>
        <w:t xml:space="preserve"> </w:t>
      </w:r>
      <w:r>
        <w:t xml:space="preserve">The synopsis repeatedly characterizes the study as a</w:t>
      </w:r>
      <w:r>
        <w:t xml:space="preserve"> </w:t>
      </w:r>
      <w:r>
        <w:t xml:space="preserve">“</w:t>
      </w:r>
      <w:r>
        <w:t xml:space="preserve">post-clearance data collection effort</w:t>
      </w:r>
      <w:r>
        <w:t xml:space="preserve">”</w:t>
      </w:r>
      <w:r>
        <w:t xml:space="preserve"> </w:t>
      </w:r>
      <w:r>
        <w:t xml:space="preserve">and states the Device</w:t>
      </w:r>
      <w:r>
        <w:t xml:space="preserve"> </w:t>
      </w:r>
      <w:r>
        <w:t xml:space="preserve">“</w:t>
      </w:r>
      <w:r>
        <w:t xml:space="preserve">is expected to have received 510(k) clearance prior to study initiation.</w:t>
      </w:r>
      <w:r>
        <w:t xml:space="preserve">”</w:t>
      </w:r>
      <w:r>
        <w:t xml:space="preserve"> </w:t>
      </w:r>
      <w:r>
        <w:t xml:space="preserve">But the package’s own timeline contradicts this: bench/biocompatibility/sterilization testing is not complete until November–December 2025, the 510(k) cannot be submitted until after testing is complete, and FDA’s 510(k) review period (ordinarily 90 days, plus any Additional Information hold) means clearance cannot occur before approximately Q1 2026 at the earliest. Yet the synopsis schedules First Patient Enrollment for Q4 2025 —</w:t>
      </w:r>
      <w:r>
        <w:t xml:space="preserve"> </w:t>
      </w:r>
      <w:r>
        <w:rPr>
          <w:b/>
          <w:bCs/>
        </w:rPr>
        <w:t xml:space="preserve">before the 510(k) is even submitted, let alone cleared.</w:t>
      </w:r>
      <w:r>
        <w:t xml:space="preserve"> </w:t>
      </w:r>
      <w:r>
        <w:t xml:space="preserve">The study therefore cannot be</w:t>
      </w:r>
      <w:r>
        <w:t xml:space="preserve"> </w:t>
      </w:r>
      <w:r>
        <w:t xml:space="preserve">“</w:t>
      </w:r>
      <w:r>
        <w:t xml:space="preserve">post-clearance</w:t>
      </w:r>
      <w:r>
        <w:t xml:space="preserve">”</w:t>
      </w:r>
      <w:r>
        <w:t xml:space="preserve"> </w:t>
      </w:r>
      <w:r>
        <w:t xml:space="preserve">as described.</w:t>
      </w:r>
    </w:p>
    <w:p>
      <w:pPr>
        <w:pStyle w:val="BodyText"/>
      </w:pPr>
      <w:r>
        <w:t xml:space="preserve">Under 21 CFR 812.3(m), an</w:t>
      </w:r>
      <w:r>
        <w:t xml:space="preserve"> </w:t>
      </w:r>
      <w:r>
        <w:t xml:space="preserve">“</w:t>
      </w:r>
      <w:r>
        <w:t xml:space="preserve">investigational device</w:t>
      </w:r>
      <w:r>
        <w:t xml:space="preserve">”</w:t>
      </w:r>
      <w:r>
        <w:t xml:space="preserve"> </w:t>
      </w:r>
      <w:r>
        <w:t xml:space="preserve">is a device that is the object of a clinical investigation. Because the VascuClear 3000 will not be cleared when enrollment begins, clinical use of the Device in the study is investigational use, and the study must be conducted under an IDE — either a full IDE (if the study is</w:t>
      </w:r>
      <w:r>
        <w:t xml:space="preserve"> </w:t>
      </w:r>
      <w:r>
        <w:t xml:space="preserve">“</w:t>
      </w:r>
      <w:r>
        <w:t xml:space="preserve">significant risk</w:t>
      </w:r>
      <w:r>
        <w:t xml:space="preserve">”</w:t>
      </w:r>
      <w:r>
        <w:t xml:space="preserve"> </w:t>
      </w:r>
      <w:r>
        <w:t xml:space="preserve">(</w:t>
      </w:r>
      <w:r>
        <w:t xml:space="preserve">“</w:t>
      </w:r>
      <w:r>
        <w:t xml:space="preserve">SR</w:t>
      </w:r>
      <w:r>
        <w:t xml:space="preserve">”</w:t>
      </w:r>
      <w:r>
        <w:t xml:space="preserve">)) or the abbreviated IDE controls of 21 CFR 812.2(b) (if</w:t>
      </w:r>
      <w:r>
        <w:t xml:space="preserve"> </w:t>
      </w:r>
      <w:r>
        <w:t xml:space="preserve">“</w:t>
      </w:r>
      <w:r>
        <w:t xml:space="preserve">non-significant risk</w:t>
      </w:r>
      <w:r>
        <w:t xml:space="preserve">”</w:t>
      </w:r>
      <w:r>
        <w:t xml:space="preserve"> </w:t>
      </w:r>
      <w:r>
        <w:t xml:space="preserve">(</w:t>
      </w:r>
      <w:r>
        <w:t xml:space="preserve">“</w:t>
      </w:r>
      <w:r>
        <w:t xml:space="preserve">NSR</w:t>
      </w:r>
      <w:r>
        <w:t xml:space="preserve">”</w:t>
      </w:r>
      <w:r>
        <w:t xml:space="preserve">)). The synopsis’s statement that</w:t>
      </w:r>
      <w:r>
        <w:t xml:space="preserve"> </w:t>
      </w:r>
      <w:r>
        <w:t xml:space="preserve">“</w:t>
      </w:r>
      <w:r>
        <w:t xml:space="preserve">no IDE application will be submitted</w:t>
      </w:r>
      <w:r>
        <w:t xml:space="preserve">”</w:t>
      </w:r>
      <w:r>
        <w:t xml:space="preserve"> </w:t>
      </w:r>
      <w:r>
        <w:t xml:space="preserve">is incorrect even for an NSR study: NSR studies still require compliance with the abbreviated IDE requirements (IRB approval, informed consent, monitoring, records, and reporting) and sponsor NSR determination, and the IRB must concur in the NSR determination (FDA may override).</w:t>
      </w:r>
    </w:p>
    <w:p>
      <w:pPr>
        <w:pStyle w:val="BodyText"/>
      </w:pPr>
      <w:r>
        <w:t xml:space="preserve">The NSR/NSR determination itself is not self-evident. The Device presents a novel rotating-impeller mechanism operating at 12,000 RPM in a vein, combined with tPA infusion (bleeding risk). Whether this presents</w:t>
      </w:r>
      <w:r>
        <w:t xml:space="preserve"> </w:t>
      </w:r>
      <w:r>
        <w:t xml:space="preserve">“</w:t>
      </w:r>
      <w:r>
        <w:t xml:space="preserve">a potential for serious risk to health</w:t>
      </w:r>
      <w:r>
        <w:t xml:space="preserve">”</w:t>
      </w:r>
      <w:r>
        <w:t xml:space="preserve"> </w:t>
      </w:r>
      <w:r>
        <w:t xml:space="preserve">(the SR threshold in 21 CFR 812.3(k)) is a judgment FDA and the IRB may not resolve in Clearfield’s favor by assumption.</w:t>
      </w:r>
    </w:p>
    <w:p>
      <w:pPr>
        <w:pStyle w:val="BodyText"/>
      </w:pPr>
      <w:r>
        <w:rPr>
          <w:b/>
          <w:bCs/>
        </w:rPr>
        <w:t xml:space="preserve">Why it matters.</w:t>
      </w:r>
      <w:r>
        <w:t xml:space="preserve"> </w:t>
      </w:r>
      <w:r>
        <w:t xml:space="preserve">If an IDE is required (full or abbreviated), the timeline and budget expand materially: IDE preparation and FDA IDE review (30-day default for full IDE), SR/NSR adjudication, and IRB submissions all precede enrollment. Beginning enrollment without the required IDE would be a serious regulatory violation. This directly threatens the December 31, 2025 corporate milestone and the Series D financing.</w:t>
      </w:r>
    </w:p>
    <w:p>
      <w:pPr>
        <w:pStyle w:val="BodyText"/>
      </w:pPr>
      <w:r>
        <w:rPr>
          <w:b/>
          <w:bCs/>
        </w:rPr>
        <w:t xml:space="preserve">Recommendation.</w:t>
      </w:r>
      <w:r>
        <w:t xml:space="preserve"> </w:t>
      </w:r>
      <w:r>
        <w:t xml:space="preserve">(a) Add an explicit question to FDA in the cover letter asking whether an IDE is required for the proposed study design and, if so, whether FDA considers the study SR or NSR. (b) Revise the synopsis to remove the</w:t>
      </w:r>
      <w:r>
        <w:t xml:space="preserve"> </w:t>
      </w:r>
      <w:r>
        <w:t xml:space="preserve">“</w:t>
      </w:r>
      <w:r>
        <w:t xml:space="preserve">post-clearance</w:t>
      </w:r>
      <w:r>
        <w:t xml:space="preserve">”</w:t>
      </w:r>
      <w:r>
        <w:t xml:space="preserve"> </w:t>
      </w:r>
      <w:r>
        <w:t xml:space="preserve">characterization, which is contradicted by the package’s own timeline. (c) Plan provisionally for an IDE (at minimum, abbreviated IDE controls) and reflect that in the timeline and budget. (d) Reconcile the study start date with the 510(k) submission/clearance timeline. I concur with Ms. Pressman that this must be resolved before Stonebridge begins IRB submissions.</w:t>
      </w:r>
    </w:p>
    <w:bookmarkEnd w:id="24"/>
    <w:bookmarkStart w:id="25" w:name="X962df8418c498eddea93c8c38cb6e5ec33b13a5"/>
    <w:p>
      <w:pPr>
        <w:pStyle w:val="Heading4"/>
      </w:pPr>
      <w:r>
        <w:t xml:space="preserve">Issue 3. Substantial Equivalence / Predicate Selection — The SE Argument Is Vulnerable on Both Prongs</w:t>
      </w:r>
    </w:p>
    <w:p>
      <w:pPr>
        <w:pStyle w:val="FirstParagraph"/>
      </w:pPr>
      <w:r>
        <w:rPr>
          <w:b/>
          <w:bCs/>
        </w:rPr>
        <w:t xml:space="preserve">Where:</w:t>
      </w:r>
      <w:r>
        <w:t xml:space="preserve"> </w:t>
      </w:r>
      <w:r>
        <w:t xml:space="preserve">Cover letter, Section III; Device Description, Sections 3, 4, and 5; ThrombEx 200 510(k) Summary (Enclosure 5), Sections 2 and 4.</w:t>
      </w:r>
    </w:p>
    <w:p>
      <w:pPr>
        <w:pStyle w:val="BodyText"/>
      </w:pPr>
      <w:r>
        <w:rPr>
          <w:b/>
          <w:bCs/>
        </w:rPr>
        <w:t xml:space="preserve">The issue.</w:t>
      </w:r>
      <w:r>
        <w:t xml:space="preserve"> </w:t>
      </w:r>
      <w:r>
        <w:t xml:space="preserve">The substantial-equivalence (</w:t>
      </w:r>
      <w:r>
        <w:t xml:space="preserve">“</w:t>
      </w:r>
      <w:r>
        <w:t xml:space="preserve">SE</w:t>
      </w:r>
      <w:r>
        <w:t xml:space="preserve">”</w:t>
      </w:r>
      <w:r>
        <w:t xml:space="preserve">) determination requires (1) the same intended use as the predicate, and (2) the same technological characteristics, or different technological characteristics that do not raise new questions of safety and effectiveness, supported by performance data. The proposed predicate fails on both prongs:</w:t>
      </w:r>
    </w:p>
    <w:p>
      <w:pPr>
        <w:pStyle w:val="BodyText"/>
      </w:pPr>
      <w:r>
        <w:rPr>
          <w:b/>
          <w:bCs/>
        </w:rPr>
        <w:t xml:space="preserve">(a) Intended use.</w:t>
      </w:r>
      <w:r>
        <w:t xml:space="preserve"> </w:t>
      </w:r>
      <w:r>
        <w:t xml:space="preserve">The predicate is cleared for</w:t>
      </w:r>
      <w:r>
        <w:t xml:space="preserve"> </w:t>
      </w:r>
      <w:r>
        <w:t xml:space="preserve">“</w:t>
      </w:r>
      <w:r>
        <w:t xml:space="preserve">percutaneous removal of thrombus from the peripheral vasculature</w:t>
      </w:r>
      <w:r>
        <w:t xml:space="preserve">”</w:t>
      </w:r>
      <w:r>
        <w:t xml:space="preserve"> </w:t>
      </w:r>
      <w:r>
        <w:t xml:space="preserve">— a</w:t>
      </w:r>
      <w:r>
        <w:t xml:space="preserve"> </w:t>
      </w:r>
      <w:r>
        <w:rPr>
          <w:b/>
          <w:bCs/>
        </w:rPr>
        <w:t xml:space="preserve">purely mechanical</w:t>
      </w:r>
      <w:r>
        <w:t xml:space="preserve"> </w:t>
      </w:r>
      <w:r>
        <w:t xml:space="preserve">function, covering</w:t>
      </w:r>
      <w:r>
        <w:t xml:space="preserve"> </w:t>
      </w:r>
      <w:r>
        <w:rPr>
          <w:b/>
          <w:bCs/>
        </w:rPr>
        <w:t xml:space="preserve">both arterial and venous</w:t>
      </w:r>
      <w:r>
        <w:t xml:space="preserve"> </w:t>
      </w:r>
      <w:r>
        <w:t xml:space="preserve">peripheral vasculature, with no DVT, anatomical-segment, symptom-onset, or age limitation (510(k) Summary, Section 2). The subject Device is indicated for mechanical thrombus removal</w:t>
      </w:r>
      <w:r>
        <w:t xml:space="preserve"> </w:t>
      </w:r>
      <w:r>
        <w:rPr>
          <w:b/>
          <w:bCs/>
        </w:rPr>
        <w:t xml:space="preserve">plus</w:t>
      </w:r>
      <w:r>
        <w:t xml:space="preserve"> </w:t>
      </w:r>
      <w:r>
        <w:t xml:space="preserve">“</w:t>
      </w:r>
      <w:r>
        <w:t xml:space="preserve">simultaneous local delivery of physician-specified thrombolytic agents</w:t>
      </w:r>
      <w:r>
        <w:t xml:space="preserve">”</w:t>
      </w:r>
      <w:r>
        <w:t xml:space="preserve"> </w:t>
      </w:r>
      <w:r>
        <w:t xml:space="preserve">in a defined venous DVT population. The package argues the iliofemoral venous segment is a</w:t>
      </w:r>
      <w:r>
        <w:t xml:space="preserve"> </w:t>
      </w:r>
      <w:r>
        <w:t xml:space="preserve">“</w:t>
      </w:r>
      <w:r>
        <w:t xml:space="preserve">subset</w:t>
      </w:r>
      <w:r>
        <w:t xml:space="preserve">”</w:t>
      </w:r>
      <w:r>
        <w:t xml:space="preserve"> </w:t>
      </w:r>
      <w:r>
        <w:t xml:space="preserve">of the predicate’s peripheral scope (a narrowing). That is correct as to anatomy. But the</w:t>
      </w:r>
      <w:r>
        <w:t xml:space="preserve"> </w:t>
      </w:r>
      <w:r>
        <w:rPr>
          <w:b/>
          <w:bCs/>
        </w:rPr>
        <w:t xml:space="preserve">addition of a drug-delivery therapeutic function</w:t>
      </w:r>
      <w:r>
        <w:t xml:space="preserve"> </w:t>
      </w:r>
      <w:r>
        <w:t xml:space="preserve">is an</w:t>
      </w:r>
      <w:r>
        <w:t xml:space="preserve"> </w:t>
      </w:r>
      <w:r>
        <w:rPr>
          <w:b/>
          <w:bCs/>
        </w:rPr>
        <w:t xml:space="preserve">expansion</w:t>
      </w:r>
      <w:r>
        <w:t xml:space="preserve"> </w:t>
      </w:r>
      <w:r>
        <w:t xml:space="preserve">of intended use, not a narrowing. A device generally cannot be found substantially equivalent to a predicate that lacks a capability the subject device claims. The</w:t>
      </w:r>
      <w:r>
        <w:t xml:space="preserve"> </w:t>
      </w:r>
      <w:r>
        <w:t xml:space="preserve">“</w:t>
      </w:r>
      <w:r>
        <w:t xml:space="preserve">same intended use</w:t>
      </w:r>
      <w:r>
        <w:t xml:space="preserve">”</w:t>
      </w:r>
      <w:r>
        <w:t xml:space="preserve"> </w:t>
      </w:r>
      <w:r>
        <w:t xml:space="preserve">prong is therefore strained.</w:t>
      </w:r>
    </w:p>
    <w:p>
      <w:pPr>
        <w:pStyle w:val="BodyText"/>
      </w:pPr>
      <w:r>
        <w:rPr>
          <w:b/>
          <w:bCs/>
        </w:rPr>
        <w:t xml:space="preserve">(b) Technological characteristics / new questions.</w:t>
      </w:r>
      <w:r>
        <w:t xml:space="preserve"> </w:t>
      </w:r>
      <w:r>
        <w:t xml:space="preserve">The thrombus-removal mechanism is fundamentally different (rotating helical impeller at 12,000 RPM vs. Bernoulli hydrodynamic aspiration with no moving parts). The cover letter asserts that</w:t>
      </w:r>
      <w:r>
        <w:t xml:space="preserve"> </w:t>
      </w:r>
      <w:r>
        <w:t xml:space="preserve">“</w:t>
      </w:r>
      <w:r>
        <w:t xml:space="preserve">the rotating impeller mechanism has been employed in previously cleared thrombectomy devices,</w:t>
      </w:r>
      <w:r>
        <w:t xml:space="preserve">”</w:t>
      </w:r>
      <w:r>
        <w:t xml:space="preserve"> </w:t>
      </w:r>
      <w:r>
        <w:t xml:space="preserve">but</w:t>
      </w:r>
      <w:r>
        <w:t xml:space="preserve"> </w:t>
      </w:r>
      <w:r>
        <w:rPr>
          <w:b/>
          <w:bCs/>
        </w:rPr>
        <w:t xml:space="preserve">no such cleared device is identified or cited anywhere in the package</w:t>
      </w:r>
      <w:r>
        <w:t xml:space="preserve"> </w:t>
      </w:r>
      <w:r>
        <w:t xml:space="preserve">as a predicate or reference device. If cleared rotating-impeller thrombectomy devices exist, they should be named; if the assertion is unsupported, it should be removed. Separately, the integrated drug-delivery lumen is an entirely new technological characteristic with</w:t>
      </w:r>
      <w:r>
        <w:t xml:space="preserve"> </w:t>
      </w:r>
      <w:r>
        <w:rPr>
          <w:b/>
          <w:bCs/>
        </w:rPr>
        <w:t xml:space="preserve">no predicate precedent whatsoever</w:t>
      </w:r>
      <w:r>
        <w:t xml:space="preserve"> </w:t>
      </w:r>
      <w:r>
        <w:t xml:space="preserve">— the predicate has no drug-delivery capability. The combination of (i) a different high-speed mechanical mechanism and (ii) a new drug-delivery feature is reasonably likely to be viewed by FDA as raising new questions of safety and effectiveness (vessel injury, particulate/embolization, hemolysis, impeller integrity, drug compatibility/dose accuracy).</w:t>
      </w:r>
    </w:p>
    <w:p>
      <w:pPr>
        <w:pStyle w:val="BodyText"/>
      </w:pPr>
      <w:r>
        <w:rPr>
          <w:b/>
          <w:bCs/>
        </w:rPr>
        <w:t xml:space="preserve">(c) Mischaracterization of the predicate.</w:t>
      </w:r>
      <w:r>
        <w:t xml:space="preserve"> </w:t>
      </w:r>
      <w:r>
        <w:t xml:space="preserve">The Device Description’s comparison table (Appendix A, Table A-1) lists the predicate’s</w:t>
      </w:r>
      <w:r>
        <w:t xml:space="preserve"> </w:t>
      </w:r>
      <w:r>
        <w:t xml:space="preserve">“</w:t>
      </w:r>
      <w:r>
        <w:t xml:space="preserve">Intended Use Population</w:t>
      </w:r>
      <w:r>
        <w:t xml:space="preserve">”</w:t>
      </w:r>
      <w:r>
        <w:t xml:space="preserve"> </w:t>
      </w:r>
      <w:r>
        <w:t xml:space="preserve">as</w:t>
      </w:r>
      <w:r>
        <w:t xml:space="preserve"> </w:t>
      </w:r>
      <w:r>
        <w:t xml:space="preserve">“</w:t>
      </w:r>
      <w:r>
        <w:t xml:space="preserve">Adults with acute DVT, iliofemoral venous segment.</w:t>
      </w:r>
      <w:r>
        <w:t xml:space="preserve">”</w:t>
      </w:r>
      <w:r>
        <w:t xml:space="preserve"> </w:t>
      </w:r>
      <w:r>
        <w:t xml:space="preserve">This is</w:t>
      </w:r>
      <w:r>
        <w:t xml:space="preserve"> </w:t>
      </w:r>
      <w:r>
        <w:rPr>
          <w:b/>
          <w:bCs/>
        </w:rPr>
        <w:t xml:space="preserve">factually incorrect.</w:t>
      </w:r>
      <w:r>
        <w:t xml:space="preserve"> </w:t>
      </w:r>
      <w:r>
        <w:t xml:space="preserve">The predicate’s 510(k) Summary (Section 2) states the indication</w:t>
      </w:r>
      <w:r>
        <w:t xml:space="preserve"> </w:t>
      </w:r>
      <w:r>
        <w:t xml:space="preserve">“</w:t>
      </w:r>
      <w:r>
        <w:t xml:space="preserve">encompasses the peripheral vasculature, including both the arterial and venous peripheral vascular systems,</w:t>
      </w:r>
      <w:r>
        <w:t xml:space="preserve">”</w:t>
      </w:r>
      <w:r>
        <w:t xml:space="preserve"> </w:t>
      </w:r>
      <w:r>
        <w:t xml:space="preserve">with no DVT, iliofemoral, symptom-onset, or age restriction. The cover letter (Section III) likewise characterizes the predicate as intended for</w:t>
      </w:r>
      <w:r>
        <w:t xml:space="preserve"> </w:t>
      </w:r>
      <w:r>
        <w:t xml:space="preserve">“</w:t>
      </w:r>
      <w:r>
        <w:t xml:space="preserve">removal of venous thrombus,</w:t>
      </w:r>
      <w:r>
        <w:t xml:space="preserve">”</w:t>
      </w:r>
      <w:r>
        <w:t xml:space="preserve"> </w:t>
      </w:r>
      <w:r>
        <w:t xml:space="preserve">which understates the predicate’s actual (broader, arterial-and-venous) cleared scope. Misstating the predicate’s cleared indication undermines the SE comparison’s credibility and is the kind of error FDA reviewers flag immediately.</w:t>
      </w:r>
    </w:p>
    <w:p>
      <w:pPr>
        <w:pStyle w:val="BodyText"/>
      </w:pPr>
      <w:r>
        <w:rPr>
          <w:b/>
          <w:bCs/>
        </w:rPr>
        <w:t xml:space="preserve">Why it matters.</w:t>
      </w:r>
      <w:r>
        <w:t xml:space="preserve"> </w:t>
      </w:r>
      <w:r>
        <w:t xml:space="preserve">If FDA disagrees that the ThrombEx 200 is an appropriate predicate, or finds new questions of safety and effectiveness, the 510(k) could be placed on hold, returned for a different predicate, or found not substantially equivalent. This is the central risk to the entire submission.</w:t>
      </w:r>
    </w:p>
    <w:p>
      <w:pPr>
        <w:pStyle w:val="BodyText"/>
      </w:pPr>
      <w:r>
        <w:rPr>
          <w:b/>
          <w:bCs/>
        </w:rPr>
        <w:t xml:space="preserve">Recommendation.</w:t>
      </w:r>
      <w:r>
        <w:t xml:space="preserve"> </w:t>
      </w:r>
      <w:r>
        <w:t xml:space="preserve">(a) Correct the predicate’s intended-use population in Table A-1 and the cover letter to reflect the actual cleared indication (broad peripheral, arterial and venous, mechanical only). (b) Investigate whether a</w:t>
      </w:r>
      <w:r>
        <w:t xml:space="preserve"> </w:t>
      </w:r>
      <w:r>
        <w:rPr>
          <w:b/>
          <w:bCs/>
        </w:rPr>
        <w:t xml:space="preserve">pharmacomechanical</w:t>
      </w:r>
      <w:r>
        <w:t xml:space="preserve"> </w:t>
      </w:r>
      <w:r>
        <w:t xml:space="preserve">thrombectomy device (i.e., a device combining mechanical thrombus removal with thrombolytic infusion) has been cleared and would be a more appropriate predicate or reference device; the ThrombEx 200 is purely mechanical and provides no precedent for the drug-delivery claim. (c) Identify and cite specific cleared rotating-impeller/rotational thrombectomy devices to support the</w:t>
      </w:r>
      <w:r>
        <w:t xml:space="preserve"> </w:t>
      </w:r>
      <w:r>
        <w:t xml:space="preserve">“</w:t>
      </w:r>
      <w:r>
        <w:t xml:space="preserve">no new questions</w:t>
      </w:r>
      <w:r>
        <w:t xml:space="preserve">”</w:t>
      </w:r>
      <w:r>
        <w:t xml:space="preserve"> </w:t>
      </w:r>
      <w:r>
        <w:t xml:space="preserve">assertion, or remove the unsupported assertion. (d) Consider a multi-predicate or predicate-plus-reference-device strategy (e.g., a mechanical thrombectomy predicate for the impeller function and a separate reference device for the infusion lumen). (e) Be prepared for FDA to ask, at the Pre-Submission meeting, whether the drug-delivery function should be dropped from the indication to preserve SE — which circles back to Issue 1 (combination product) and Issue 4 (indications).</w:t>
      </w:r>
    </w:p>
    <w:p>
      <w:r>
        <w:pict>
          <v:rect style="width:0;height:1.5pt" o:hralign="center" o:hrstd="t" o:hr="t"/>
        </w:pict>
      </w:r>
    </w:p>
    <w:bookmarkEnd w:id="25"/>
    <w:bookmarkEnd w:id="26"/>
    <w:bookmarkStart w:id="36" w:name="priority-2-high"/>
    <w:p>
      <w:pPr>
        <w:pStyle w:val="Heading3"/>
      </w:pPr>
      <w:r>
        <w:t xml:space="preserve">PRIORITY 2 — HIGH</w:t>
      </w:r>
    </w:p>
    <w:bookmarkStart w:id="27" w:name="X03ad1b96a7a960ab5ed61cf05c5cb8926d39bca"/>
    <w:p>
      <w:pPr>
        <w:pStyle w:val="Heading4"/>
      </w:pPr>
      <w:r>
        <w:t xml:space="preserve">Issue 4. Indications for Use — Drug-Delivery Co-Primary Claim and Internal Inconsistencies</w:t>
      </w:r>
    </w:p>
    <w:p>
      <w:pPr>
        <w:pStyle w:val="FirstParagraph"/>
      </w:pPr>
      <w:r>
        <w:rPr>
          <w:b/>
          <w:bCs/>
        </w:rPr>
        <w:t xml:space="preserve">Where:</w:t>
      </w:r>
      <w:r>
        <w:t xml:space="preserve"> </w:t>
      </w:r>
      <w:r>
        <w:t xml:space="preserve">Cover letter, Section IV; Device Description, Section 2.4; draft IFU, Section 2; Clinical Study Synopsis, Section 7.2 (inclusion criterion 1).</w:t>
      </w:r>
    </w:p>
    <w:p>
      <w:pPr>
        <w:pStyle w:val="BodyText"/>
      </w:pPr>
      <w:r>
        <w:rPr>
          <w:b/>
          <w:bCs/>
        </w:rPr>
        <w:t xml:space="preserve">The issue.</w:t>
      </w:r>
      <w:r>
        <w:t xml:space="preserve"> </w:t>
      </w:r>
      <w:r>
        <w:t xml:space="preserve">The indication claims</w:t>
      </w:r>
      <w:r>
        <w:t xml:space="preserve"> </w:t>
      </w:r>
      <w:r>
        <w:t xml:space="preserve">“</w:t>
      </w:r>
      <w:r>
        <w:t xml:space="preserve">simultaneous local delivery of physician-specified thrombolytic agents</w:t>
      </w:r>
      <w:r>
        <w:t xml:space="preserve">”</w:t>
      </w:r>
      <w:r>
        <w:t xml:space="preserve"> </w:t>
      </w:r>
      <w:r>
        <w:t xml:space="preserve">as a co-primary therapeutic function. This language is the principal driver of the combination-product risk (Issue 1) and the SE problem (Issue 3): the predicate has no such function. Dr. Marsh suggested de-emphasizing drug delivery in the indication and describing it as a</w:t>
      </w:r>
      <w:r>
        <w:t xml:space="preserve"> </w:t>
      </w:r>
      <w:r>
        <w:t xml:space="preserve">“</w:t>
      </w:r>
      <w:r>
        <w:t xml:space="preserve">feature</w:t>
      </w:r>
      <w:r>
        <w:t xml:space="preserve">”</w:t>
      </w:r>
      <w:r>
        <w:t xml:space="preserve"> </w:t>
      </w:r>
      <w:r>
        <w:t xml:space="preserve">in the device description. Ms. Pressman correctly noted that rewording does not resolve the underlying combination-product question, and there is tension between de-emphasizing drug delivery in the indication while the Device Description, IFU, and clinical protocol all position pharmacomechanical thrombectomy as the Device’s</w:t>
      </w:r>
      <w:r>
        <w:t xml:space="preserve"> </w:t>
      </w:r>
      <w:r>
        <w:t xml:space="preserve">“</w:t>
      </w:r>
      <w:r>
        <w:t xml:space="preserve">core differentiating feature</w:t>
      </w:r>
      <w:r>
        <w:t xml:space="preserve">”</w:t>
      </w:r>
      <w:r>
        <w:t xml:space="preserve"> </w:t>
      </w:r>
      <w:r>
        <w:t xml:space="preserve">and</w:t>
      </w:r>
      <w:r>
        <w:t xml:space="preserve"> </w:t>
      </w:r>
      <w:r>
        <w:t xml:space="preserve">“</w:t>
      </w:r>
      <w:r>
        <w:t xml:space="preserve">primary design purpose.</w:t>
      </w:r>
      <w:r>
        <w:t xml:space="preserve">”</w:t>
      </w:r>
      <w:r>
        <w:t xml:space="preserve"> </w:t>
      </w:r>
      <w:r>
        <w:t xml:space="preserve">FDA will read the package as a whole.</w:t>
      </w:r>
    </w:p>
    <w:p>
      <w:pPr>
        <w:pStyle w:val="BodyText"/>
      </w:pPr>
      <w:r>
        <w:t xml:space="preserve">Separately, the patient-population definition is inconsistent across documents: the IFU (Section 2) states</w:t>
      </w:r>
      <w:r>
        <w:t xml:space="preserve"> </w:t>
      </w:r>
      <w:r>
        <w:t xml:space="preserve">“</w:t>
      </w:r>
      <w:r>
        <w:t xml:space="preserve">adult patients eighteen (18) years of age and older</w:t>
      </w:r>
      <w:r>
        <w:t xml:space="preserve">”</w:t>
      </w:r>
      <w:r>
        <w:t xml:space="preserve"> </w:t>
      </w:r>
      <w:r>
        <w:t xml:space="preserve">(no upper bound), while the clinical study inclusion criterion 1 caps enrollment at</w:t>
      </w:r>
      <w:r>
        <w:t xml:space="preserve"> </w:t>
      </w:r>
      <w:r>
        <w:t xml:space="preserve">“</w:t>
      </w:r>
      <w:r>
        <w:t xml:space="preserve">Age 18 to 75 years, inclusive.</w:t>
      </w:r>
      <w:r>
        <w:t xml:space="preserve">”</w:t>
      </w:r>
      <w:r>
        <w:t xml:space="preserve"> </w:t>
      </w:r>
      <w:r>
        <w:t xml:space="preserve">The indication itself says</w:t>
      </w:r>
      <w:r>
        <w:t xml:space="preserve"> </w:t>
      </w:r>
      <w:r>
        <w:t xml:space="preserve">“</w:t>
      </w:r>
      <w:r>
        <w:t xml:space="preserve">adult patients</w:t>
      </w:r>
      <w:r>
        <w:t xml:space="preserve">”</w:t>
      </w:r>
      <w:r>
        <w:t xml:space="preserve"> </w:t>
      </w:r>
      <w:r>
        <w:t xml:space="preserve">without an upper limit. FDA expects the indication, IFU, and study population to align.</w:t>
      </w:r>
    </w:p>
    <w:p>
      <w:pPr>
        <w:pStyle w:val="BodyText"/>
      </w:pPr>
      <w:r>
        <w:rPr>
          <w:b/>
          <w:bCs/>
        </w:rPr>
        <w:t xml:space="preserve">Recommendation.</w:t>
      </w:r>
      <w:r>
        <w:t xml:space="preserve"> </w:t>
      </w:r>
      <w:r>
        <w:t xml:space="preserve">(a) Make a deliberate, documented decision on whether drug delivery remains a co-primary indication or is repositioned as an ancillary feature — and carry that decision consistently through the cover letter, Device Description, IFU, and clinical protocol. (b) Reconcile the age definition (18+ vs. 18–75) across the indication, IFU, and study criteria. (c) Define</w:t>
      </w:r>
      <w:r>
        <w:t xml:space="preserve"> </w:t>
      </w:r>
      <w:r>
        <w:t xml:space="preserve">“</w:t>
      </w:r>
      <w:r>
        <w:t xml:space="preserve">physician-specified thrombolytic agents</w:t>
      </w:r>
      <w:r>
        <w:t xml:space="preserve">”</w:t>
      </w:r>
      <w:r>
        <w:t xml:space="preserve"> </w:t>
      </w:r>
      <w:r>
        <w:t xml:space="preserve">more precisely or narrow it; the current breadth (any thrombolytic, any dose) is inconsistent with the IFU’s listing of specific agents and with the drug-compatibility testing gap (Issue 8).</w:t>
      </w:r>
    </w:p>
    <w:bookmarkEnd w:id="27"/>
    <w:bookmarkStart w:id="28" w:name="X6df975cc5b3b26b4658922c6bf167fbaa7f439d"/>
    <w:p>
      <w:pPr>
        <w:pStyle w:val="Heading4"/>
      </w:pPr>
      <w:r>
        <w:t xml:space="preserve">Issue 5. Biocompatibility — Contact-Duration Classification Contradicts the 72-Hour Indwell Claim</w:t>
      </w:r>
    </w:p>
    <w:p>
      <w:pPr>
        <w:pStyle w:val="FirstParagraph"/>
      </w:pPr>
      <w:r>
        <w:rPr>
          <w:b/>
          <w:bCs/>
        </w:rPr>
        <w:t xml:space="preserve">Where:</w:t>
      </w:r>
      <w:r>
        <w:t xml:space="preserve"> </w:t>
      </w:r>
      <w:r>
        <w:t xml:space="preserve">Proposed Testing Plan, Sections 2.1 and 2.2 (catheter classified</w:t>
      </w:r>
      <w:r>
        <w:t xml:space="preserve"> </w:t>
      </w:r>
      <w:r>
        <w:t xml:space="preserve">“</w:t>
      </w:r>
      <w:r>
        <w:t xml:space="preserve">limited</w:t>
      </w:r>
      <w:r>
        <w:t xml:space="preserve">”</w:t>
      </w:r>
      <w:r>
        <w:t xml:space="preserve"> </w:t>
      </w:r>
      <w:r>
        <w:t xml:space="preserve">contact, &lt;24 hours; subchronic systemic toxicity, implantation, and genotoxicity excluded); Device Description, Section 2.2 and comparison table (catheter</w:t>
      </w:r>
      <w:r>
        <w:t xml:space="preserve"> </w:t>
      </w:r>
      <w:r>
        <w:t xml:space="preserve">“</w:t>
      </w:r>
      <w:r>
        <w:t xml:space="preserve">may remain in situ for up to 72 hours</w:t>
      </w:r>
      <w:r>
        <w:t xml:space="preserve">”</w:t>
      </w:r>
      <w:r>
        <w:t xml:space="preserve">); draft IFU, Sections 1 and 8.4 (up to 72 hours extended infusion).</w:t>
      </w:r>
    </w:p>
    <w:p>
      <w:pPr>
        <w:pStyle w:val="BodyText"/>
      </w:pPr>
      <w:r>
        <w:rPr>
          <w:b/>
          <w:bCs/>
        </w:rPr>
        <w:t xml:space="preserve">The issue.</w:t>
      </w:r>
      <w:r>
        <w:t xml:space="preserve"> </w:t>
      </w:r>
      <w:r>
        <w:t xml:space="preserve">The testing plan classifies the catheter as a blood-contacting device with</w:t>
      </w:r>
      <w:r>
        <w:t xml:space="preserve"> </w:t>
      </w:r>
      <w:r>
        <w:rPr>
          <w:b/>
          <w:bCs/>
        </w:rPr>
        <w:t xml:space="preserve">“</w:t>
      </w:r>
      <w:r>
        <w:rPr>
          <w:b/>
          <w:bCs/>
        </w:rPr>
        <w:t xml:space="preserve">limited</w:t>
      </w:r>
      <w:r>
        <w:rPr>
          <w:b/>
          <w:bCs/>
        </w:rPr>
        <w:t xml:space="preserve">”</w:t>
      </w:r>
      <w:r>
        <w:t xml:space="preserve"> </w:t>
      </w:r>
      <w:r>
        <w:t xml:space="preserve">contact duration (&lt;24 hours) per ISO 10993-1:2018 Table A.1, and on that basis</w:t>
      </w:r>
      <w:r>
        <w:t xml:space="preserve"> </w:t>
      </w:r>
      <w:r>
        <w:rPr>
          <w:b/>
          <w:bCs/>
        </w:rPr>
        <w:t xml:space="preserve">excludes</w:t>
      </w:r>
      <w:r>
        <w:t xml:space="preserve"> </w:t>
      </w:r>
      <w:r>
        <w:t xml:space="preserve">subchronic systemic toxicity (ISO 10993-11), implantation testing (ISO 10993-6), and genotoxicity (ISO 10993-3). But the IFU and Device Description both state the catheter</w:t>
      </w:r>
      <w:r>
        <w:t xml:space="preserve"> </w:t>
      </w:r>
      <w:r>
        <w:t xml:space="preserve">“</w:t>
      </w:r>
      <w:r>
        <w:t xml:space="preserve">may remain in situ for up to 72 hours</w:t>
      </w:r>
      <w:r>
        <w:t xml:space="preserve">”</w:t>
      </w:r>
      <w:r>
        <w:t xml:space="preserve"> </w:t>
      </w:r>
      <w:r>
        <w:t xml:space="preserve">for extended thrombolytic infusion. Seventy-two hours falls within the</w:t>
      </w:r>
      <w:r>
        <w:t xml:space="preserve"> </w:t>
      </w:r>
      <w:r>
        <w:rPr>
          <w:b/>
          <w:bCs/>
        </w:rPr>
        <w:t xml:space="preserve">“</w:t>
      </w:r>
      <w:r>
        <w:rPr>
          <w:b/>
          <w:bCs/>
        </w:rPr>
        <w:t xml:space="preserve">prolonged</w:t>
      </w:r>
      <w:r>
        <w:rPr>
          <w:b/>
          <w:bCs/>
        </w:rPr>
        <w:t xml:space="preserve">”</w:t>
      </w:r>
      <w:r>
        <w:t xml:space="preserve"> </w:t>
      </w:r>
      <w:r>
        <w:t xml:space="preserve">contact category (&gt;24 hours to 30 days) under ISO 10993-1, not</w:t>
      </w:r>
      <w:r>
        <w:t xml:space="preserve"> </w:t>
      </w:r>
      <w:r>
        <w:t xml:space="preserve">“</w:t>
      </w:r>
      <w:r>
        <w:t xml:space="preserve">limited.</w:t>
      </w:r>
      <w:r>
        <w:t xml:space="preserve">”</w:t>
      </w:r>
      <w:r>
        <w:t xml:space="preserve"> </w:t>
      </w:r>
      <w:r>
        <w:t xml:space="preserve">The Device Description’s own comparison table captures the contradiction in adjacent rows:</w:t>
      </w:r>
      <w:r>
        <w:t xml:space="preserve"> </w:t>
      </w:r>
      <w:r>
        <w:t xml:space="preserve">“</w:t>
      </w:r>
      <w:r>
        <w:t xml:space="preserve">Device Contact Duration: Up to 72 hours (per draft IFU)</w:t>
      </w:r>
      <w:r>
        <w:t xml:space="preserve">”</w:t>
      </w:r>
      <w:r>
        <w:t xml:space="preserve"> </w:t>
      </w:r>
      <w:r>
        <w:t xml:space="preserve">versus</w:t>
      </w:r>
      <w:r>
        <w:t xml:space="preserve"> </w:t>
      </w:r>
      <w:r>
        <w:t xml:space="preserve">“</w:t>
      </w:r>
      <w:r>
        <w:t xml:space="preserve">Biocompatibility: … contact duration classified as</w:t>
      </w:r>
      <w:r>
        <w:t xml:space="preserve"> </w:t>
      </w:r>
      <w:r>
        <w:t xml:space="preserve">‘</w:t>
      </w:r>
      <w:r>
        <w:t xml:space="preserve">limited</w:t>
      </w:r>
      <w:r>
        <w:t xml:space="preserve">’</w:t>
      </w:r>
      <w:r>
        <w:t xml:space="preserve"> </w:t>
      </w:r>
      <w:r>
        <w:t xml:space="preserve">(&lt;24 hours).</w:t>
      </w:r>
      <w:r>
        <w:t xml:space="preserve">”</w:t>
      </w:r>
    </w:p>
    <w:p>
      <w:pPr>
        <w:pStyle w:val="BodyText"/>
      </w:pPr>
      <w:r>
        <w:t xml:space="preserve">If the correct classification is</w:t>
      </w:r>
      <w:r>
        <w:t xml:space="preserve"> </w:t>
      </w:r>
      <w:r>
        <w:t xml:space="preserve">“</w:t>
      </w:r>
      <w:r>
        <w:t xml:space="preserve">prolonged,</w:t>
      </w:r>
      <w:r>
        <w:t xml:space="preserve">”</w:t>
      </w:r>
      <w:r>
        <w:t xml:space="preserve"> </w:t>
      </w:r>
      <w:r>
        <w:t xml:space="preserve">the excluded endpoints (subchronic systemic toxicity, implantation, and possibly genotoxicity) become applicable, and the proposed biocompatibility battery is under-scoped. FDA will almost certainly flag this.</w:t>
      </w:r>
    </w:p>
    <w:p>
      <w:pPr>
        <w:pStyle w:val="BodyText"/>
      </w:pPr>
      <w:r>
        <w:rPr>
          <w:b/>
          <w:bCs/>
        </w:rPr>
        <w:t xml:space="preserve">Recommendation.</w:t>
      </w:r>
      <w:r>
        <w:t xml:space="preserve"> </w:t>
      </w:r>
      <w:r>
        <w:t xml:space="preserve">(a) Reconcile the maximum contact duration. If 72-hour indwell is a claimed/IFU-permitted use, reclassify the catheter as</w:t>
      </w:r>
      <w:r>
        <w:t xml:space="preserve"> </w:t>
      </w:r>
      <w:r>
        <w:t xml:space="preserve">“</w:t>
      </w:r>
      <w:r>
        <w:t xml:space="preserve">prolonged</w:t>
      </w:r>
      <w:r>
        <w:t xml:space="preserve">”</w:t>
      </w:r>
      <w:r>
        <w:t xml:space="preserve"> </w:t>
      </w:r>
      <w:r>
        <w:t xml:space="preserve">contact and add the endpoints required by ISO 10993-1 Table A.1 for prolonged blood-contacting devices (at minimum, subchronic systemic toxicity and implantation; evaluate genotoxicity). (b) Alternatively, if Clearfield wishes to preserve the</w:t>
      </w:r>
      <w:r>
        <w:t xml:space="preserve"> </w:t>
      </w:r>
      <w:r>
        <w:t xml:space="preserve">“</w:t>
      </w:r>
      <w:r>
        <w:t xml:space="preserve">limited</w:t>
      </w:r>
      <w:r>
        <w:t xml:space="preserve">”</w:t>
      </w:r>
      <w:r>
        <w:t xml:space="preserve"> </w:t>
      </w:r>
      <w:r>
        <w:t xml:space="preserve">classification and the leaner test battery, remove or cap the 72-hour indwell claim from the IFU and Device Description (limiting use to the acute procedural session). (c) Note that the impeller fatigue test (Issue 11) and the IFU’s permission for a</w:t>
      </w:r>
      <w:r>
        <w:t xml:space="preserve"> </w:t>
      </w:r>
      <w:r>
        <w:t xml:space="preserve">“</w:t>
      </w:r>
      <w:r>
        <w:t xml:space="preserve">repeat thrombectomy session</w:t>
      </w:r>
      <w:r>
        <w:t xml:space="preserve">”</w:t>
      </w:r>
      <w:r>
        <w:t xml:space="preserve"> </w:t>
      </w:r>
      <w:r>
        <w:t xml:space="preserve">after extended infusion (IFU Section 8.4, step 7) further complicate the worst-case contact/operating profile.</w:t>
      </w:r>
    </w:p>
    <w:bookmarkEnd w:id="28"/>
    <w:bookmarkStart w:id="29" w:name="Xb06046b0fca5556181a6f1a8fb501ece2b19f55"/>
    <w:p>
      <w:pPr>
        <w:pStyle w:val="Heading4"/>
      </w:pPr>
      <w:r>
        <w:t xml:space="preserve">Issue 6. Software Level of Concern —</w:t>
      </w:r>
      <w:r>
        <w:t xml:space="preserve"> </w:t>
      </w:r>
      <w:r>
        <w:t xml:space="preserve">“</w:t>
      </w:r>
      <w:r>
        <w:t xml:space="preserve">Minor</w:t>
      </w:r>
      <w:r>
        <w:t xml:space="preserve">”</w:t>
      </w:r>
      <w:r>
        <w:t xml:space="preserve"> </w:t>
      </w:r>
      <w:r>
        <w:t xml:space="preserve">Is Under-Classified Relative to the Predicate and the Hazard Profile</w:t>
      </w:r>
    </w:p>
    <w:p>
      <w:pPr>
        <w:pStyle w:val="FirstParagraph"/>
      </w:pPr>
      <w:r>
        <w:rPr>
          <w:b/>
          <w:bCs/>
        </w:rPr>
        <w:t xml:space="preserve">Where:</w:t>
      </w:r>
      <w:r>
        <w:t xml:space="preserve"> </w:t>
      </w:r>
      <w:r>
        <w:t xml:space="preserve">Proposed Testing Plan, Sections 5.1–5.3 (software</w:t>
      </w:r>
      <w:r>
        <w:t xml:space="preserve"> </w:t>
      </w:r>
      <w:r>
        <w:t xml:space="preserve">“</w:t>
      </w:r>
      <w:r>
        <w:t xml:space="preserve">Minor</w:t>
      </w:r>
      <w:r>
        <w:t xml:space="preserve">”</w:t>
      </w:r>
      <w:r>
        <w:t xml:space="preserve"> </w:t>
      </w:r>
      <w:r>
        <w:t xml:space="preserve">level of concern; reliance on hardware over-speed governor and pressure-relief valve); Device Description, Section 2.3; ThrombEx 200 510(k) Summary, Section 5.6 (predicate software classified</w:t>
      </w:r>
      <w:r>
        <w:t xml:space="preserve"> </w:t>
      </w:r>
      <w:r>
        <w:t xml:space="preserve">“</w:t>
      </w:r>
      <w:r>
        <w:t xml:space="preserve">Moderate</w:t>
      </w:r>
      <w:r>
        <w:t xml:space="preserve">”</w:t>
      </w:r>
      <w:r>
        <w:t xml:space="preserve">).</w:t>
      </w:r>
    </w:p>
    <w:p>
      <w:pPr>
        <w:pStyle w:val="BodyText"/>
      </w:pPr>
      <w:r>
        <w:rPr>
          <w:b/>
          <w:bCs/>
        </w:rPr>
        <w:t xml:space="preserve">The issue.</w:t>
      </w:r>
      <w:r>
        <w:t xml:space="preserve"> </w:t>
      </w:r>
      <w:r>
        <w:t xml:space="preserve">Three concerns.</w:t>
      </w:r>
      <w:r>
        <w:t xml:space="preserve"> </w:t>
      </w:r>
      <w:r>
        <w:rPr>
          <w:b/>
          <w:bCs/>
        </w:rPr>
        <w:t xml:space="preserve">(a) Comparison to predicate.</w:t>
      </w:r>
      <w:r>
        <w:t xml:space="preserve"> </w:t>
      </w:r>
      <w:r>
        <w:t xml:space="preserve">The predicate’s software was classified</w:t>
      </w:r>
      <w:r>
        <w:t xml:space="preserve"> </w:t>
      </w:r>
      <w:r>
        <w:t xml:space="preserve">“</w:t>
      </w:r>
      <w:r>
        <w:t xml:space="preserve">Moderate</w:t>
      </w:r>
      <w:r>
        <w:t xml:space="preserve">”</w:t>
      </w:r>
      <w:r>
        <w:t xml:space="preserve"> </w:t>
      </w:r>
      <w:r>
        <w:t xml:space="preserve">(510(k) Summary, Section 5.6), and the predicate’s software does less (saline-pump/aspiration control only; no impeller speed control). The VascuClear console software controls a rotating impeller up to 12,000 RPM — a more hazardous actuator — yet is classified lower (</w:t>
      </w:r>
      <w:r>
        <w:t xml:space="preserve">“</w:t>
      </w:r>
      <w:r>
        <w:t xml:space="preserve">Minor</w:t>
      </w:r>
      <w:r>
        <w:t xml:space="preserve">”</w:t>
      </w:r>
      <w:r>
        <w:t xml:space="preserve">). FDA may question the downgrade.</w:t>
      </w:r>
      <w:r>
        <w:t xml:space="preserve"> </w:t>
      </w:r>
      <w:r>
        <w:rPr>
          <w:b/>
          <w:bCs/>
        </w:rPr>
        <w:t xml:space="preserve">(b) Hazard profile.</w:t>
      </w:r>
      <w:r>
        <w:t xml:space="preserve"> </w:t>
      </w:r>
      <w:r>
        <w:t xml:space="preserve">A software failure that causes impeller over-speed or uncommanded rotation could cause serious injury (vessel perforation, dissection, intimal injury) — the very harms the IFU warns against (Warnings 2 and 4). The</w:t>
      </w:r>
      <w:r>
        <w:t xml:space="preserve"> </w:t>
      </w:r>
      <w:r>
        <w:t xml:space="preserve">“</w:t>
      </w:r>
      <w:r>
        <w:t xml:space="preserve">Minor</w:t>
      </w:r>
      <w:r>
        <w:t xml:space="preserve">”</w:t>
      </w:r>
      <w:r>
        <w:t xml:space="preserve"> </w:t>
      </w:r>
      <w:r>
        <w:t xml:space="preserve">rationale rests on independent hardware safety mechanisms (mechanical over-speed governor, pressure-relief valve), but the testing plan does</w:t>
      </w:r>
      <w:r>
        <w:t xml:space="preserve"> </w:t>
      </w:r>
      <w:r>
        <w:rPr>
          <w:b/>
          <w:bCs/>
        </w:rPr>
        <w:t xml:space="preserve">not</w:t>
      </w:r>
      <w:r>
        <w:t xml:space="preserve"> </w:t>
      </w:r>
      <w:r>
        <w:t xml:space="preserve">include verification/validation of those hardware safety features. If software is</w:t>
      </w:r>
      <w:r>
        <w:t xml:space="preserve"> </w:t>
      </w:r>
      <w:r>
        <w:t xml:space="preserve">“</w:t>
      </w:r>
      <w:r>
        <w:t xml:space="preserve">Minor</w:t>
      </w:r>
      <w:r>
        <w:t xml:space="preserve">”</w:t>
      </w:r>
      <w:r>
        <w:t xml:space="preserve"> </w:t>
      </w:r>
      <w:r>
        <w:t xml:space="preserve">only because hardware provides backup, the hardware mitigations must be validated and described.</w:t>
      </w:r>
      <w:r>
        <w:t xml:space="preserve"> </w:t>
      </w:r>
      <w:r>
        <w:rPr>
          <w:b/>
          <w:bCs/>
        </w:rPr>
        <w:t xml:space="preserve">(c) Outdated guidance.</w:t>
      </w:r>
      <w:r>
        <w:t xml:space="preserve"> </w:t>
      </w:r>
      <w:r>
        <w:t xml:space="preserve">The plan cites FDA’s May 11, 2005 software guidance and its</w:t>
      </w:r>
      <w:r>
        <w:t xml:space="preserve"> </w:t>
      </w:r>
      <w:r>
        <w:t xml:space="preserve">“</w:t>
      </w:r>
      <w:r>
        <w:t xml:space="preserve">level of concern</w:t>
      </w:r>
      <w:r>
        <w:t xml:space="preserve">”</w:t>
      </w:r>
      <w:r>
        <w:t xml:space="preserve"> </w:t>
      </w:r>
      <w:r>
        <w:t xml:space="preserve">framework. That guidance has been withdrawn and superseded by FDA’s current software guidance (which uses a</w:t>
      </w:r>
      <w:r>
        <w:t xml:space="preserve"> </w:t>
      </w:r>
      <w:r>
        <w:t xml:space="preserve">“</w:t>
      </w:r>
      <w:r>
        <w:t xml:space="preserve">documentation level</w:t>
      </w:r>
      <w:r>
        <w:t xml:space="preserve">”</w:t>
      </w:r>
      <w:r>
        <w:t xml:space="preserve"> </w:t>
      </w:r>
      <w:r>
        <w:t xml:space="preserve">— Basic/Enhanced — framework) and by IEC 62304. The predicate’s submission used IEC 62304; the VascuClear plan does not reference it.</w:t>
      </w:r>
    </w:p>
    <w:p>
      <w:pPr>
        <w:pStyle w:val="BodyText"/>
      </w:pPr>
      <w:r>
        <w:rPr>
          <w:b/>
          <w:bCs/>
        </w:rPr>
        <w:t xml:space="preserve">Recommendation.</w:t>
      </w:r>
      <w:r>
        <w:t xml:space="preserve"> </w:t>
      </w:r>
      <w:r>
        <w:t xml:space="preserve">(a) Reassess the software documentation level.</w:t>
      </w:r>
      <w:r>
        <w:t xml:space="preserve"> </w:t>
      </w:r>
      <w:r>
        <w:t xml:space="preserve">“</w:t>
      </w:r>
      <w:r>
        <w:t xml:space="preserve">Moderate</w:t>
      </w:r>
      <w:r>
        <w:t xml:space="preserve">”</w:t>
      </w:r>
      <w:r>
        <w:t xml:space="preserve">/Enhanced is more defensible given the impeller hazard and the predicate precedent; if</w:t>
      </w:r>
      <w:r>
        <w:t xml:space="preserve"> </w:t>
      </w:r>
      <w:r>
        <w:t xml:space="preserve">“</w:t>
      </w:r>
      <w:r>
        <w:t xml:space="preserve">Minor</w:t>
      </w:r>
      <w:r>
        <w:t xml:space="preserve">”</w:t>
      </w:r>
      <w:r>
        <w:t xml:space="preserve">/Basic is retained, the rationale must be robust and the hardware safety features must be validated and documented. (b) Add verification/validation of the hardware over-speed governor and pressure-relief valve to the testing plan. (c) Update the software documentation framework to reference FDA’s current software guidance and IEC 62304, consistent with the predicate’s approach.</w:t>
      </w:r>
    </w:p>
    <w:bookmarkEnd w:id="29"/>
    <w:bookmarkStart w:id="30" w:name="Xe32a8a95b4cee7975e995af294c33f551eecd21"/>
    <w:p>
      <w:pPr>
        <w:pStyle w:val="Heading4"/>
      </w:pPr>
      <w:r>
        <w:t xml:space="preserve">Issue 7. EMC Testing (IEC 60601-1-2) Appears to Be Omitted</w:t>
      </w:r>
    </w:p>
    <w:p>
      <w:pPr>
        <w:pStyle w:val="FirstParagraph"/>
      </w:pPr>
      <w:r>
        <w:rPr>
          <w:b/>
          <w:bCs/>
        </w:rPr>
        <w:t xml:space="preserve">Where:</w:t>
      </w:r>
      <w:r>
        <w:t xml:space="preserve"> </w:t>
      </w:r>
      <w:r>
        <w:t xml:space="preserve">Proposed Testing Plan, Section 4 (electrical safety) and Table 9-1 (summary lists</w:t>
      </w:r>
      <w:r>
        <w:t xml:space="preserve"> </w:t>
      </w:r>
      <w:r>
        <w:t xml:space="preserve">“</w:t>
      </w:r>
      <w:r>
        <w:t xml:space="preserve">Electrical Safety (IEC 60601-1)</w:t>
      </w:r>
      <w:r>
        <w:t xml:space="preserve">”</w:t>
      </w:r>
      <w:r>
        <w:t xml:space="preserve"> </w:t>
      </w:r>
      <w:r>
        <w:t xml:space="preserve">only); ThrombEx 200 510(k) Summary, Section 5.3 (predicate underwent full IEC 60601-1-2 EMC battery).</w:t>
      </w:r>
    </w:p>
    <w:p>
      <w:pPr>
        <w:pStyle w:val="BodyText"/>
      </w:pPr>
      <w:r>
        <w:rPr>
          <w:b/>
          <w:bCs/>
        </w:rPr>
        <w:t xml:space="preserve">The issue.</w:t>
      </w:r>
      <w:r>
        <w:t xml:space="preserve"> </w:t>
      </w:r>
      <w:r>
        <w:t xml:space="preserve">The testing plan’s electrical-safety section lists seven IEC 60601-1 tests but</w:t>
      </w:r>
      <w:r>
        <w:t xml:space="preserve"> </w:t>
      </w:r>
      <w:r>
        <w:rPr>
          <w:b/>
          <w:bCs/>
        </w:rPr>
        <w:t xml:space="preserve">no electromagnetic compatibility (EMC) testing</w:t>
      </w:r>
      <w:r>
        <w:t xml:space="preserve"> </w:t>
      </w:r>
      <w:r>
        <w:t xml:space="preserve">under IEC 60601-1-2. The summary table (Table 9-1) likewise lists only</w:t>
      </w:r>
      <w:r>
        <w:t xml:space="preserve"> </w:t>
      </w:r>
      <w:r>
        <w:t xml:space="preserve">“</w:t>
      </w:r>
      <w:r>
        <w:t xml:space="preserve">Electrical Safety (IEC 60601-1).</w:t>
      </w:r>
      <w:r>
        <w:t xml:space="preserve">”</w:t>
      </w:r>
      <w:r>
        <w:t xml:space="preserve"> </w:t>
      </w:r>
      <w:r>
        <w:t xml:space="preserve">The VascuClear console is an AC-powered electromechanical device with a variable-frequency motor drive for the impeller — a significant source of electromagnetic emissions and a device that must be immune to EMI in the cath-lab environment. The predicate underwent a full IEC 60601-1-2 EMC battery (radiated/conducted emissions, ESD, RF immunity, EFT, surge, conducted RF, magnetic-field, and voltage-dip immunity). FDA expects EMC testing for a device of this type; its omission is a conspicuous gap relative to the predicate.</w:t>
      </w:r>
    </w:p>
    <w:p>
      <w:pPr>
        <w:pStyle w:val="BodyText"/>
      </w:pPr>
      <w:r>
        <w:rPr>
          <w:b/>
          <w:bCs/>
        </w:rPr>
        <w:t xml:space="preserve">Recommendation.</w:t>
      </w:r>
      <w:r>
        <w:t xml:space="preserve"> </w:t>
      </w:r>
      <w:r>
        <w:t xml:space="preserve">Add IEC 60601-1-2:2014 (Ed. 4) EMC testing to the electrical-safety section and to Table 9-1, covering the full immunity and emissions battery, to be performed by Pinnacle Standards Testing, Inc. (NRTL). Confirm the intended use environment (cath lab / IR suite) and applicable emissions class (CISPR 11 Group 1 Class A, consistent with the predicate).</w:t>
      </w:r>
    </w:p>
    <w:bookmarkEnd w:id="30"/>
    <w:bookmarkStart w:id="31" w:name="X2c2b32352d22ec3fde188c407ff9c22bb4d56e5"/>
    <w:p>
      <w:pPr>
        <w:pStyle w:val="Heading4"/>
      </w:pPr>
      <w:r>
        <w:t xml:space="preserve">Issue 8. Drug-Delivery Characterization Uses Saline Only; No Thrombolytic Compatibility Testing</w:t>
      </w:r>
    </w:p>
    <w:p>
      <w:pPr>
        <w:pStyle w:val="FirstParagraph"/>
      </w:pPr>
      <w:r>
        <w:rPr>
          <w:b/>
          <w:bCs/>
        </w:rPr>
        <w:t xml:space="preserve">Where:</w:t>
      </w:r>
      <w:r>
        <w:t xml:space="preserve"> </w:t>
      </w:r>
      <w:r>
        <w:t xml:space="preserve">Proposed Testing Plan, Section 8 (saline-only flow testing); draft IFU, Section 9 (</w:t>
      </w:r>
      <w:r>
        <w:t xml:space="preserve">“</w:t>
      </w:r>
      <w:r>
        <w:t xml:space="preserve">Drug compatibility with catheter lumen materials has not been independently verified… specific compatibility testing with individual thrombolytic agents, diluents, or drug formulations has not been performed</w:t>
      </w:r>
      <w:r>
        <w:t xml:space="preserve">”</w:t>
      </w:r>
      <w:r>
        <w:t xml:space="preserve">); IFU Section 9 (lists alteplase, reteplase, tenecteplase as</w:t>
      </w:r>
      <w:r>
        <w:t xml:space="preserve"> </w:t>
      </w:r>
      <w:r>
        <w:t xml:space="preserve">“</w:t>
      </w:r>
      <w:r>
        <w:t xml:space="preserve">compatible</w:t>
      </w:r>
      <w:r>
        <w:t xml:space="preserve">”</w:t>
      </w:r>
      <w:r>
        <w:t xml:space="preserve">).</w:t>
      </w:r>
    </w:p>
    <w:p>
      <w:pPr>
        <w:pStyle w:val="BodyText"/>
      </w:pPr>
      <w:r>
        <w:rPr>
          <w:b/>
          <w:bCs/>
        </w:rPr>
        <w:t xml:space="preserve">The issue.</w:t>
      </w:r>
      <w:r>
        <w:t xml:space="preserve"> </w:t>
      </w:r>
      <w:r>
        <w:t xml:space="preserve">The drug-delivery characterization tests flow performance with normal saline only. The IFU simultaneously (a) lists specific thrombolytic agents as</w:t>
      </w:r>
      <w:r>
        <w:t xml:space="preserve"> </w:t>
      </w:r>
      <w:r>
        <w:t xml:space="preserve">“</w:t>
      </w:r>
      <w:r>
        <w:t xml:space="preserve">compatible</w:t>
      </w:r>
      <w:r>
        <w:t xml:space="preserve">”</w:t>
      </w:r>
      <w:r>
        <w:t xml:space="preserve"> </w:t>
      </w:r>
      <w:r>
        <w:t xml:space="preserve">and (b) states that compatibility with those agents</w:t>
      </w:r>
      <w:r>
        <w:t xml:space="preserve"> </w:t>
      </w:r>
      <w:r>
        <w:t xml:space="preserve">“</w:t>
      </w:r>
      <w:r>
        <w:t xml:space="preserve">has not been independently verified.</w:t>
      </w:r>
      <w:r>
        <w:t xml:space="preserve">”</w:t>
      </w:r>
      <w:r>
        <w:t xml:space="preserve"> </w:t>
      </w:r>
      <w:r>
        <w:t xml:space="preserve">This is internally inconsistent and potentially misleading: a manufacturer should not represent agents as</w:t>
      </w:r>
      <w:r>
        <w:t xml:space="preserve"> </w:t>
      </w:r>
      <w:r>
        <w:t xml:space="preserve">“</w:t>
      </w:r>
      <w:r>
        <w:t xml:space="preserve">compatible</w:t>
      </w:r>
      <w:r>
        <w:t xml:space="preserve">”</w:t>
      </w:r>
      <w:r>
        <w:t xml:space="preserve"> </w:t>
      </w:r>
      <w:r>
        <w:t xml:space="preserve">while conceding compatibility is untested. If the Device is indicated to deliver thrombolytics, material compatibility with the actual agents matters — tPA is a protein susceptible to surface adsorption (which could reduce delivered dose), and the infusion-lumen materials (polyurethane, PTFE) and adhesives may interact with the drug or its diluents. The testing plan’s own Question 6 to FDA concedes the gap by asking whether saline is</w:t>
      </w:r>
      <w:r>
        <w:t xml:space="preserve"> </w:t>
      </w:r>
      <w:r>
        <w:t xml:space="preserve">“</w:t>
      </w:r>
      <w:r>
        <w:t xml:space="preserve">sufficient.</w:t>
      </w:r>
      <w:r>
        <w:t xml:space="preserve">”</w:t>
      </w:r>
      <w:r>
        <w:t xml:space="preserve"> </w:t>
      </w:r>
      <w:r>
        <w:t xml:space="preserve">This issue is compounded if FDA views the Device as a combination product (Issue 1), in which case drug-compatibility and dose-accuracy data are expected.</w:t>
      </w:r>
    </w:p>
    <w:p>
      <w:pPr>
        <w:pStyle w:val="BodyText"/>
      </w:pPr>
      <w:r>
        <w:rPr>
          <w:b/>
          <w:bCs/>
        </w:rPr>
        <w:t xml:space="preserve">Recommendation.</w:t>
      </w:r>
      <w:r>
        <w:t xml:space="preserve"> </w:t>
      </w:r>
      <w:r>
        <w:t xml:space="preserve">(a) Add compatibility/adsorption testing with representative thrombolytic agent(s) — at minimum alteplase, the agent named in the clinical protocol — including assessment of drug recovery (delivered vs. input dose) and leachables/extractables from the infusion pathway in contact with the drug. (b) Reconcile the IFU: either remove the</w:t>
      </w:r>
      <w:r>
        <w:t xml:space="preserve"> </w:t>
      </w:r>
      <w:r>
        <w:t xml:space="preserve">“</w:t>
      </w:r>
      <w:r>
        <w:t xml:space="preserve">compatible agents</w:t>
      </w:r>
      <w:r>
        <w:t xml:space="preserve">”</w:t>
      </w:r>
      <w:r>
        <w:t xml:space="preserve"> </w:t>
      </w:r>
      <w:r>
        <w:t xml:space="preserve">list pending testing, or qualify it to reflect the testing actually performed. (c) Do not leave the adequacy of saline-only testing as an open question to FDA; propose the tPA testing proactively.</w:t>
      </w:r>
    </w:p>
    <w:bookmarkEnd w:id="31"/>
    <w:bookmarkStart w:id="32" w:name="X0a7b1cd08fa95be5370a64c3b553f1377d09015"/>
    <w:p>
      <w:pPr>
        <w:pStyle w:val="Heading4"/>
      </w:pPr>
      <w:r>
        <w:t xml:space="preserve">Issue 9. Simulated-Use Bench Testing Does Not Test the Claimed Pharmacomechanical Function</w:t>
      </w:r>
    </w:p>
    <w:p>
      <w:pPr>
        <w:pStyle w:val="FirstParagraph"/>
      </w:pPr>
      <w:r>
        <w:rPr>
          <w:b/>
          <w:bCs/>
        </w:rPr>
        <w:t xml:space="preserve">Where:</w:t>
      </w:r>
      <w:r>
        <w:t xml:space="preserve"> </w:t>
      </w:r>
      <w:r>
        <w:t xml:space="preserve">Proposed Testing Plan, Section 7 (bench test evaluates</w:t>
      </w:r>
      <w:r>
        <w:t xml:space="preserve"> </w:t>
      </w:r>
      <w:r>
        <w:t xml:space="preserve">“</w:t>
      </w:r>
      <w:r>
        <w:t xml:space="preserve">mechanical thrombectomy only</w:t>
      </w:r>
      <w:r>
        <w:t xml:space="preserve">”</w:t>
      </w:r>
      <w:r>
        <w:t xml:space="preserve">;</w:t>
      </w:r>
      <w:r>
        <w:t xml:space="preserve"> </w:t>
      </w:r>
      <w:r>
        <w:t xml:space="preserve">“</w:t>
      </w:r>
      <w:r>
        <w:t xml:space="preserve">the thrombolytic infusion lumen is not activated during simulated-use bench testing</w:t>
      </w:r>
      <w:r>
        <w:t xml:space="preserve">”</w:t>
      </w:r>
      <w:r>
        <w:t xml:space="preserve">;</w:t>
      </w:r>
      <w:r>
        <w:t xml:space="preserve"> </w:t>
      </w:r>
      <w:r>
        <w:t xml:space="preserve">“</w:t>
      </w:r>
      <w:r>
        <w:t xml:space="preserve">combined pharmacomechanical testing… is not included</w:t>
      </w:r>
      <w:r>
        <w:t xml:space="preserve">”</w:t>
      </w:r>
      <w:r>
        <w:t xml:space="preserve">).</w:t>
      </w:r>
    </w:p>
    <w:p>
      <w:pPr>
        <w:pStyle w:val="BodyText"/>
      </w:pPr>
      <w:r>
        <w:rPr>
          <w:b/>
          <w:bCs/>
        </w:rPr>
        <w:t xml:space="preserve">The issue.</w:t>
      </w:r>
      <w:r>
        <w:t xml:space="preserve"> </w:t>
      </w:r>
      <w:r>
        <w:t xml:space="preserve">The Device’s indication and</w:t>
      </w:r>
      <w:r>
        <w:t xml:space="preserve"> </w:t>
      </w:r>
      <w:r>
        <w:t xml:space="preserve">“</w:t>
      </w:r>
      <w:r>
        <w:t xml:space="preserve">core differentiating feature</w:t>
      </w:r>
      <w:r>
        <w:t xml:space="preserve">”</w:t>
      </w:r>
      <w:r>
        <w:t xml:space="preserve"> </w:t>
      </w:r>
      <w:r>
        <w:t xml:space="preserve">is</w:t>
      </w:r>
      <w:r>
        <w:t xml:space="preserve"> </w:t>
      </w:r>
      <w:r>
        <w:rPr>
          <w:b/>
          <w:bCs/>
        </w:rPr>
        <w:t xml:space="preserve">pharmacomechanical</w:t>
      </w:r>
      <w:r>
        <w:t xml:space="preserve"> </w:t>
      </w:r>
      <w:r>
        <w:t xml:space="preserve">thrombectomy — simultaneous mechanical removal and drug delivery. But the bench test that is supposed to demonstrate effectiveness tests the</w:t>
      </w:r>
      <w:r>
        <w:t xml:space="preserve"> </w:t>
      </w:r>
      <w:r>
        <w:rPr>
          <w:b/>
          <w:bCs/>
        </w:rPr>
        <w:t xml:space="preserve">mechanical component only</w:t>
      </w:r>
      <w:r>
        <w:t xml:space="preserve">, with the infusion lumen inactive. There is no bench evaluation of the combined function that is actually claimed. FDA may require bench data on the combined pharmacomechanical performance. Additional concerns: (a) the single-use catheter is reused for up to four test runs per unit (n=20 runs across 5 catheters), which is inconsistent with single-use labeling and may mask fatigue/contamination effects; (b) the primary acceptance criterion (≥80% thrombus removal in a single pass) is set</w:t>
      </w:r>
      <w:r>
        <w:t xml:space="preserve"> </w:t>
      </w:r>
      <w:r>
        <w:rPr>
          <w:b/>
          <w:bCs/>
        </w:rPr>
        <w:t xml:space="preserve">above</w:t>
      </w:r>
      <w:r>
        <w:t xml:space="preserve"> </w:t>
      </w:r>
      <w:r>
        <w:t xml:space="preserve">the predicate’s reported mean performance (78.4% mean; range 65.2–91.7% per the 510(k) Summary, Section 5.5), which complicates any comparative framing; (c) the bench test uses a single pass, while the clinical protocol permits multiple passes, so the bench model may not reflect clinical use.</w:t>
      </w:r>
    </w:p>
    <w:p>
      <w:pPr>
        <w:pStyle w:val="BodyText"/>
      </w:pPr>
      <w:r>
        <w:rPr>
          <w:b/>
          <w:bCs/>
        </w:rPr>
        <w:t xml:space="preserve">Recommendation.</w:t>
      </w:r>
      <w:r>
        <w:t xml:space="preserve"> </w:t>
      </w:r>
      <w:r>
        <w:t xml:space="preserve">(a) Add a bench arm evaluating combined pharmacomechanical thrombectomy (impeller + aspiration + concurrent infusion) to support the claimed indication. (b) Test each single-use catheter once (or justify reuse with supporting data), consistent with the single-use label. (c) Re-examine the 80% acceptance criterion against the predicate’s 78.4% mean and against any objective performance criteria; be prepared to justify the threshold. (d) Consider a multi-pass bench protocol to align with the clinical procedure.</w:t>
      </w:r>
    </w:p>
    <w:bookmarkEnd w:id="32"/>
    <w:bookmarkStart w:id="33" w:name="Xb410fe8d6d0903a7e1c818a7471a6396afc843c"/>
    <w:p>
      <w:pPr>
        <w:pStyle w:val="Heading4"/>
      </w:pPr>
      <w:r>
        <w:t xml:space="preserve">Issue 10. Clinical Study Design — Single-Arm, Short Follow-Up, and Weak Performance-Goal Justification</w:t>
      </w:r>
    </w:p>
    <w:p>
      <w:pPr>
        <w:pStyle w:val="FirstParagraph"/>
      </w:pPr>
      <w:r>
        <w:rPr>
          <w:b/>
          <w:bCs/>
        </w:rPr>
        <w:t xml:space="preserve">Where:</w:t>
      </w:r>
      <w:r>
        <w:t xml:space="preserve"> </w:t>
      </w:r>
      <w:r>
        <w:t xml:space="preserve">Clinical Study Synopsis, Sections 5, 9, 11, and 12.</w:t>
      </w:r>
    </w:p>
    <w:p>
      <w:pPr>
        <w:pStyle w:val="BodyText"/>
      </w:pPr>
      <w:r>
        <w:rPr>
          <w:b/>
          <w:bCs/>
        </w:rPr>
        <w:t xml:space="preserve">The issue.</w:t>
      </w:r>
      <w:r>
        <w:t xml:space="preserve"> </w:t>
      </w:r>
      <w:r>
        <w:t xml:space="preserve">Multiple design concerns.</w:t>
      </w:r>
      <w:r>
        <w:t xml:space="preserve"> </w:t>
      </w:r>
      <w:r>
        <w:rPr>
          <w:b/>
          <w:bCs/>
        </w:rPr>
        <w:t xml:space="preserve">(a) No comparator / weak OPC.</w:t>
      </w:r>
      <w:r>
        <w:t xml:space="preserve"> </w:t>
      </w:r>
      <w:r>
        <w:t xml:space="preserve">The study is single-arm with a 70% performance goal for ≥50% thrombus removal at 24 hours. The basis for the 70% objective performance criterion (</w:t>
      </w:r>
      <w:r>
        <w:t xml:space="preserve">“</w:t>
      </w:r>
      <w:r>
        <w:t xml:space="preserve">OPC</w:t>
      </w:r>
      <w:r>
        <w:t xml:space="preserve">”</w:t>
      </w:r>
      <w:r>
        <w:t xml:space="preserve">) is not substantiated with literature or predicate data; the synopsis asserts an expected 80% true rate but does not anchor the 70% threshold to external evidence.</w:t>
      </w:r>
      <w:r>
        <w:t xml:space="preserve"> </w:t>
      </w:r>
      <w:r>
        <w:rPr>
          <w:b/>
          <w:bCs/>
        </w:rPr>
        <w:t xml:space="preserve">(b) Short follow-up.</w:t>
      </w:r>
      <w:r>
        <w:t xml:space="preserve"> </w:t>
      </w:r>
      <w:r>
        <w:t xml:space="preserve">Follow-up ends at 30 days. The principal long-term clinical benefit of iliofemoral thrombectomy is reduction of post-thrombotic syndrome (</w:t>
      </w:r>
      <w:r>
        <w:t xml:space="preserve">“</w:t>
      </w:r>
      <w:r>
        <w:t xml:space="preserve">PTS</w:t>
      </w:r>
      <w:r>
        <w:t xml:space="preserve">”</w:t>
      </w:r>
      <w:r>
        <w:t xml:space="preserve">), which develops over months. Thirty days cannot assess PTS (Villalta score / clinical outcomes at 6–24 months), as the ATTRACT and CaVenT trials (cited in the synopsis’s own references) demonstrate. FDA may request longer follow-up.</w:t>
      </w:r>
      <w:r>
        <w:t xml:space="preserve"> </w:t>
      </w:r>
      <w:r>
        <w:rPr>
          <w:b/>
          <w:bCs/>
        </w:rPr>
        <w:t xml:space="preserve">(c) Venographic scoring.</w:t>
      </w:r>
      <w:r>
        <w:t xml:space="preserve"> </w:t>
      </w:r>
      <w:r>
        <w:t xml:space="preserve">The primary endpoint relies on a</w:t>
      </w:r>
      <w:r>
        <w:t xml:space="preserve"> </w:t>
      </w:r>
      <w:r>
        <w:t xml:space="preserve">“</w:t>
      </w:r>
      <w:r>
        <w:t xml:space="preserve">modified Marder scoring methodology (or an equivalent validated scoring system),</w:t>
      </w:r>
      <w:r>
        <w:t xml:space="preserve">”</w:t>
      </w:r>
      <w:r>
        <w:t xml:space="preserve"> </w:t>
      </w:r>
      <w:r>
        <w:t xml:space="preserve">but the scoring methodology is listed as</w:t>
      </w:r>
      <w:r>
        <w:t xml:space="preserve"> </w:t>
      </w:r>
      <w:r>
        <w:t xml:space="preserve">“</w:t>
      </w:r>
      <w:r>
        <w:t xml:space="preserve">in development</w:t>
      </w:r>
      <w:r>
        <w:t xml:space="preserve">”</w:t>
      </w:r>
      <w:r>
        <w:t xml:space="preserve"> </w:t>
      </w:r>
      <w:r>
        <w:t xml:space="preserve">(Appendix C). A pre-specified, validated scoring method with an independent core laboratory is expected.</w:t>
      </w:r>
      <w:r>
        <w:t xml:space="preserve"> </w:t>
      </w:r>
      <w:r>
        <w:rPr>
          <w:b/>
          <w:bCs/>
        </w:rPr>
        <w:t xml:space="preserve">(d) No DSMB.</w:t>
      </w:r>
      <w:r>
        <w:t xml:space="preserve"> </w:t>
      </w:r>
      <w:r>
        <w:t xml:space="preserve">Safety monitoring is sponsor/CRO-only; for a novel device plus tPA, an independent data safety monitoring board is advisable and may be expected.</w:t>
      </w:r>
      <w:r>
        <w:t xml:space="preserve"> </w:t>
      </w:r>
      <w:r>
        <w:rPr>
          <w:b/>
          <w:bCs/>
        </w:rPr>
        <w:t xml:space="preserve">(e) Bleeding definition.</w:t>
      </w:r>
      <w:r>
        <w:t xml:space="preserve"> </w:t>
      </w:r>
      <w:r>
        <w:t xml:space="preserve">Major bleeding is defined as ≥2 units PRBC or re-intervention; FDA may expect a standardized, broader bleeding scale (e.g., ISTH/GUSTO/BARC-type criteria) given the tPA exposure.</w:t>
      </w:r>
      <w:r>
        <w:t xml:space="preserve"> </w:t>
      </w:r>
      <w:r>
        <w:rPr>
          <w:b/>
          <w:bCs/>
        </w:rPr>
        <w:t xml:space="preserve">(f) Dose/flow reconciliation.</w:t>
      </w:r>
      <w:r>
        <w:t xml:space="preserve"> </w:t>
      </w:r>
      <w:r>
        <w:t xml:space="preserve">The protocol specifies tPA at 0.5–1.0 mg/hr, while the IFU specifies infusion flow rates of 2–10 mL/min; the relationship between dose (mg/hr) and flow rate (mL/min) depends on reconstitution concentration, which is not fixed. This should be reconciled and specified.</w:t>
      </w:r>
    </w:p>
    <w:p>
      <w:pPr>
        <w:pStyle w:val="BodyText"/>
      </w:pPr>
      <w:r>
        <w:rPr>
          <w:b/>
          <w:bCs/>
        </w:rPr>
        <w:t xml:space="preserve">Recommendation.</w:t>
      </w:r>
      <w:r>
        <w:t xml:space="preserve"> </w:t>
      </w:r>
      <w:r>
        <w:t xml:space="preserve">(a) Justify the 70% OPC with literature/predicate data or revise. (b) Extend follow-up to at least 6 months (and consider 12 months) to capture PTS/Villalta outcomes, or justify a shorter horizon to FDA. (c) Finalize and validate the venographic scoring methodology pre-enrollment, with an independent core lab. (d) Establish an independent DSMB. (e) Adopt a standardized bleeding definition. (f) Specify the tPA concentration/dose/flow-rate relationship. (g) Revisit the entire clinical strategy once the IDE question (Issue 2) is resolved — if an IDE is required, the design expectations rise.</w:t>
      </w:r>
    </w:p>
    <w:bookmarkEnd w:id="33"/>
    <w:bookmarkStart w:id="34" w:name="X8a7b41ee023862f8cdd027b07c5ed4f289c8936"/>
    <w:p>
      <w:pPr>
        <w:pStyle w:val="Heading4"/>
      </w:pPr>
      <w:r>
        <w:t xml:space="preserve">Issue 11. Impeller Fatigue Testing — 500</w:t>
      </w:r>
      <w:r>
        <w:t xml:space="preserve"> </w:t>
      </w:r>
      <w:r>
        <w:t xml:space="preserve">“</w:t>
      </w:r>
      <w:r>
        <w:t xml:space="preserve">Rotational Cycles</w:t>
      </w:r>
      <w:r>
        <w:t xml:space="preserve">”</w:t>
      </w:r>
      <w:r>
        <w:t xml:space="preserve"> </w:t>
      </w:r>
      <w:r>
        <w:t xml:space="preserve">Equals ~2.5 Seconds of Operation</w:t>
      </w:r>
    </w:p>
    <w:p>
      <w:pPr>
        <w:pStyle w:val="FirstParagraph"/>
      </w:pPr>
      <w:r>
        <w:rPr>
          <w:b/>
          <w:bCs/>
        </w:rPr>
        <w:t xml:space="preserve">Where:</w:t>
      </w:r>
      <w:r>
        <w:t xml:space="preserve"> </w:t>
      </w:r>
      <w:r>
        <w:t xml:space="preserve">Proposed Testing Plan, Section 3.3 (impeller fatigue:</w:t>
      </w:r>
      <w:r>
        <w:t xml:space="preserve"> </w:t>
      </w:r>
      <w:r>
        <w:t xml:space="preserve">“</w:t>
      </w:r>
      <w:r>
        <w:t xml:space="preserve">minimum of 500 rotational cycles at maximum rated speed (12,000 RPM)</w:t>
      </w:r>
      <w:r>
        <w:t xml:space="preserve">”</w:t>
      </w:r>
      <w:r>
        <w:t xml:space="preserve">;</w:t>
      </w:r>
      <w:r>
        <w:t xml:space="preserve"> </w:t>
      </w:r>
      <w:r>
        <w:t xml:space="preserve">“</w:t>
      </w:r>
      <w:r>
        <w:t xml:space="preserve">One rotational cycle is defined as one complete revolution (360°)</w:t>
      </w:r>
      <w:r>
        <w:t xml:space="preserve">”</w:t>
      </w:r>
      <w:r>
        <w:t xml:space="preserve">); Device Description, Section 2.2 (</w:t>
      </w:r>
      <w:r>
        <w:t xml:space="preserve">“</w:t>
      </w:r>
      <w:r>
        <w:t xml:space="preserve">500 complete activation cycles</w:t>
      </w:r>
      <w:r>
        <w:t xml:space="preserve">”</w:t>
      </w:r>
      <w:r>
        <w:t xml:space="preserve">).</w:t>
      </w:r>
    </w:p>
    <w:p>
      <w:pPr>
        <w:pStyle w:val="BodyText"/>
      </w:pPr>
      <w:r>
        <w:rPr>
          <w:b/>
          <w:bCs/>
        </w:rPr>
        <w:t xml:space="preserve">The issue.</w:t>
      </w:r>
      <w:r>
        <w:t xml:space="preserve"> </w:t>
      </w:r>
      <w:r>
        <w:t xml:space="preserve">The fatigue test defines one</w:t>
      </w:r>
      <w:r>
        <w:t xml:space="preserve"> </w:t>
      </w:r>
      <w:r>
        <w:t xml:space="preserve">“</w:t>
      </w:r>
      <w:r>
        <w:t xml:space="preserve">rotational cycle</w:t>
      </w:r>
      <w:r>
        <w:t xml:space="preserve">”</w:t>
      </w:r>
      <w:r>
        <w:t xml:space="preserve"> </w:t>
      </w:r>
      <w:r>
        <w:t xml:space="preserve">as a single 360° revolution and requires 500 such cycles. At 12,000 RPM, 500 revolutions = 500 ÷ 12,000 minutes ≈</w:t>
      </w:r>
      <w:r>
        <w:t xml:space="preserve"> </w:t>
      </w:r>
      <w:r>
        <w:rPr>
          <w:b/>
          <w:bCs/>
        </w:rPr>
        <w:t xml:space="preserve">0.042 minutes ≈ 2.5 seconds</w:t>
      </w:r>
      <w:r>
        <w:t xml:space="preserve"> </w:t>
      </w:r>
      <w:r>
        <w:t xml:space="preserve">of operation. This is not a meaningful fatigue test for a high-speed rotating component. A single clinical pass of even one minute would involve ~12,000 revolutions; a multi-pass procedure could involve tens of thousands. For comparison, the predicate’s (non-rotating) flexural fatigue test ran 50,000 cycles. The 500-revolution specification appears to reflect a unit-definition error (conflating</w:t>
      </w:r>
      <w:r>
        <w:t xml:space="preserve"> </w:t>
      </w:r>
      <w:r>
        <w:t xml:space="preserve">“</w:t>
      </w:r>
      <w:r>
        <w:t xml:space="preserve">activation cycles</w:t>
      </w:r>
      <w:r>
        <w:t xml:space="preserve">”</w:t>
      </w:r>
      <w:r>
        <w:t xml:space="preserve"> </w:t>
      </w:r>
      <w:r>
        <w:t xml:space="preserve">with</w:t>
      </w:r>
      <w:r>
        <w:t xml:space="preserve"> </w:t>
      </w:r>
      <w:r>
        <w:t xml:space="preserve">“</w:t>
      </w:r>
      <w:r>
        <w:t xml:space="preserve">revolutions</w:t>
      </w:r>
      <w:r>
        <w:t xml:space="preserve">”</w:t>
      </w:r>
      <w:r>
        <w:t xml:space="preserve">) and is almost certain to be rejected by FDA as inadequate to establish impeller durability. This is safety-critical: impeller fracture or component detachment in vivo could embolize.</w:t>
      </w:r>
    </w:p>
    <w:p>
      <w:pPr>
        <w:pStyle w:val="BodyText"/>
      </w:pPr>
      <w:r>
        <w:rPr>
          <w:b/>
          <w:bCs/>
        </w:rPr>
        <w:t xml:space="preserve">Recommendation.</w:t>
      </w:r>
      <w:r>
        <w:t xml:space="preserve"> </w:t>
      </w:r>
      <w:r>
        <w:t xml:space="preserve">(a) Redefine the fatigue test in terms of total revolutions (or total operating time) derived from the worst-case cumulative clinical use (maximum number of passes × maximum duration per pass × maximum RPM), with a safety margin (e.g., 2×–10×), and test to that count — likely in the hundreds of thousands to millions of revolutions. (b) Clarify whether</w:t>
      </w:r>
      <w:r>
        <w:t xml:space="preserve"> </w:t>
      </w:r>
      <w:r>
        <w:t xml:space="preserve">“</w:t>
      </w:r>
      <w:r>
        <w:t xml:space="preserve">activation cycle</w:t>
      </w:r>
      <w:r>
        <w:t xml:space="preserve">”</w:t>
      </w:r>
      <w:r>
        <w:t xml:space="preserve"> </w:t>
      </w:r>
      <w:r>
        <w:t xml:space="preserve">in the Device Description means an on/off event or a revolution, and make the testing plan and Device Description consistent. (c) Ensure the fatigue test envelope also covers the IFU-permitted</w:t>
      </w:r>
      <w:r>
        <w:t xml:space="preserve"> </w:t>
      </w:r>
      <w:r>
        <w:t xml:space="preserve">“</w:t>
      </w:r>
      <w:r>
        <w:t xml:space="preserve">repeat thrombectomy session</w:t>
      </w:r>
      <w:r>
        <w:t xml:space="preserve">”</w:t>
      </w:r>
      <w:r>
        <w:t xml:space="preserve"> </w:t>
      </w:r>
      <w:r>
        <w:t xml:space="preserve">after extended infusion (IFU Section 8.4, step 7).</w:t>
      </w:r>
    </w:p>
    <w:bookmarkEnd w:id="34"/>
    <w:bookmarkStart w:id="35" w:name="Xb0a397c389c2c98880595556d2ad62179ada4ff"/>
    <w:p>
      <w:pPr>
        <w:pStyle w:val="Heading4"/>
      </w:pPr>
      <w:r>
        <w:t xml:space="preserve">Issue 12. Submission Timeline / Corporate Milestone — December 31, 2025 Clearance Appears Unachievable</w:t>
      </w:r>
    </w:p>
    <w:p>
      <w:pPr>
        <w:pStyle w:val="FirstParagraph"/>
      </w:pPr>
      <w:r>
        <w:rPr>
          <w:b/>
          <w:bCs/>
        </w:rPr>
        <w:t xml:space="preserve">Where:</w:t>
      </w:r>
      <w:r>
        <w:t xml:space="preserve"> </w:t>
      </w:r>
      <w:r>
        <w:t xml:space="preserve">Proposed Testing Plan, Section 9.2 (testing completion Nov–Dec 2025; 510(k) submission</w:t>
      </w:r>
      <w:r>
        <w:t xml:space="preserve"> </w:t>
      </w:r>
      <w:r>
        <w:t xml:space="preserve">“</w:t>
      </w:r>
      <w:r>
        <w:t xml:space="preserve">as early as practical</w:t>
      </w:r>
      <w:r>
        <w:t xml:space="preserve">”</w:t>
      </w:r>
      <w:r>
        <w:t xml:space="preserve"> </w:t>
      </w:r>
      <w:r>
        <w:t xml:space="preserve">thereafter;</w:t>
      </w:r>
      <w:r>
        <w:t xml:space="preserve"> </w:t>
      </w:r>
      <w:r>
        <w:t xml:space="preserve">“</w:t>
      </w:r>
      <w:r>
        <w:t xml:space="preserve">milestone target of achieving 510(k) clearance by December 31, 2025</w:t>
      </w:r>
      <w:r>
        <w:t xml:space="preserve">”</w:t>
      </w:r>
      <w:r>
        <w:t xml:space="preserve">); Clinical Study Synopsis, Section 15 (enrollment Q4 2025; data Q2–Q3 2026); email chain (Fessenden, April 22; Marsh, May 9 — Braddock Ventures Series D milestone; $18.3M cash; $1.52M/month burn).</w:t>
      </w:r>
    </w:p>
    <w:p>
      <w:pPr>
        <w:pStyle w:val="BodyText"/>
      </w:pPr>
      <w:r>
        <w:rPr>
          <w:b/>
          <w:bCs/>
        </w:rPr>
        <w:t xml:space="preserve">The issue.</w:t>
      </w:r>
      <w:r>
        <w:t xml:space="preserve"> </w:t>
      </w:r>
      <w:r>
        <w:t xml:space="preserve">The testing timeline places completion in November–December 2025. The 510(k) cannot be submitted until testing is complete, and FDA’s 510(k) review is ordinarily 90 days (plus any Additional Information hold). Submitting in December 2025 and clearing by December 31, 2025 is therefore not feasible. Realistically, clearance would not occur before approximately Q1–Q2 2026. Meanwhile, the clinical study (enrollment Q4 2025; data Q2–Q3 2026) is scheduled to begin</w:t>
      </w:r>
      <w:r>
        <w:t xml:space="preserve"> </w:t>
      </w:r>
      <w:r>
        <w:rPr>
          <w:b/>
          <w:bCs/>
        </w:rPr>
        <w:t xml:space="preserve">before</w:t>
      </w:r>
      <w:r>
        <w:t xml:space="preserve"> </w:t>
      </w:r>
      <w:r>
        <w:t xml:space="preserve">the 510(k) is submitted and to generate data</w:t>
      </w:r>
      <w:r>
        <w:t xml:space="preserve"> </w:t>
      </w:r>
      <w:r>
        <w:rPr>
          <w:b/>
          <w:bCs/>
        </w:rPr>
        <w:t xml:space="preserve">after</w:t>
      </w:r>
      <w:r>
        <w:t xml:space="preserve"> </w:t>
      </w:r>
      <w:r>
        <w:t xml:space="preserve">the clearance milestone — which is inconsistent with the</w:t>
      </w:r>
      <w:r>
        <w:t xml:space="preserve"> </w:t>
      </w:r>
      <w:r>
        <w:t xml:space="preserve">“</w:t>
      </w:r>
      <w:r>
        <w:t xml:space="preserve">post-clearance</w:t>
      </w:r>
      <w:r>
        <w:t xml:space="preserve">”</w:t>
      </w:r>
      <w:r>
        <w:t xml:space="preserve"> </w:t>
      </w:r>
      <w:r>
        <w:t xml:space="preserve">framing (Issue 2) and means clinical data will not be available to support the initial 510(k) submission. If the regulatory pathway changes (combination product, IDE required), the timeline slips further. The Braddock Ventures term sheet milestone (clearance by December 31, 2025) and Clearfield’s cash position ($18.3M; $1.52M/month burn; ~12 months of runway) create material corporate exposure.</w:t>
      </w:r>
    </w:p>
    <w:p>
      <w:pPr>
        <w:pStyle w:val="BodyText"/>
      </w:pPr>
      <w:r>
        <w:rPr>
          <w:b/>
          <w:bCs/>
        </w:rPr>
        <w:t xml:space="preserve">Recommendation.</w:t>
      </w:r>
      <w:r>
        <w:t xml:space="preserve"> </w:t>
      </w:r>
      <w:r>
        <w:t xml:space="preserve">(a) Prepare a realistic timeline showing 510(k) submission in Q1 2026 and clearance in Q2 2026 (or later), and socialize it internally now; do not present the December 31, 2025 clearance date to FDA. (b) As Ms. Pressman noted, if the pathway may change, loop in Kendrick &amp; Hale (corporate counsel) regarding the Braddock Ventures milestone and financing implications, and consider whether the milestone requires renegotiation. (c) Reconcile the clinical-study timing with the submission/clearance timeline and the IDE determination (Issue 2).</w:t>
      </w:r>
    </w:p>
    <w:p>
      <w:r>
        <w:pict>
          <v:rect style="width:0;height:1.5pt" o:hralign="center" o:hrstd="t" o:hr="t"/>
        </w:pict>
      </w:r>
    </w:p>
    <w:bookmarkEnd w:id="35"/>
    <w:bookmarkEnd w:id="36"/>
    <w:bookmarkStart w:id="44" w:name="priority-3-medium"/>
    <w:p>
      <w:pPr>
        <w:pStyle w:val="Heading3"/>
      </w:pPr>
      <w:r>
        <w:t xml:space="preserve">PRIORITY 3 — MEDIUM</w:t>
      </w:r>
    </w:p>
    <w:bookmarkStart w:id="37" w:name="Xd809616e4fba94591a0300a96effbd83061b337"/>
    <w:p>
      <w:pPr>
        <w:pStyle w:val="Heading4"/>
      </w:pPr>
      <w:r>
        <w:t xml:space="preserve">Issue 13. MRI Safety Data Is Incomplete (TBD Placeholders); No Predicate Basis</w:t>
      </w:r>
    </w:p>
    <w:p>
      <w:pPr>
        <w:pStyle w:val="FirstParagraph"/>
      </w:pPr>
      <w:r>
        <w:rPr>
          <w:b/>
          <w:bCs/>
        </w:rPr>
        <w:t xml:space="preserve">Where:</w:t>
      </w:r>
      <w:r>
        <w:t xml:space="preserve"> </w:t>
      </w:r>
      <w:r>
        <w:t xml:space="preserve">draft IFU, Section 6 (MR Conditional claim with</w:t>
      </w:r>
      <w:r>
        <w:t xml:space="preserve"> </w:t>
      </w:r>
      <w:r>
        <w:t xml:space="preserve">“</w:t>
      </w:r>
      <w:r>
        <w:t xml:space="preserve">[TBD] °C</w:t>
      </w:r>
      <w:r>
        <w:t xml:space="preserve">”</w:t>
      </w:r>
      <w:r>
        <w:t xml:space="preserve"> </w:t>
      </w:r>
      <w:r>
        <w:t xml:space="preserve">and</w:t>
      </w:r>
      <w:r>
        <w:t xml:space="preserve"> </w:t>
      </w:r>
      <w:r>
        <w:t xml:space="preserve">“</w:t>
      </w:r>
      <w:r>
        <w:t xml:space="preserve">[TBD] T</w:t>
      </w:r>
      <w:r>
        <w:t xml:space="preserve">”</w:t>
      </w:r>
      <w:r>
        <w:t xml:space="preserve"> </w:t>
      </w:r>
      <w:r>
        <w:t xml:space="preserve">placeholders); Device Description, comparison table (</w:t>
      </w:r>
      <w:r>
        <w:t xml:space="preserve">“</w:t>
      </w:r>
      <w:r>
        <w:t xml:space="preserve">MRI Status: MRI Conditional (per draft IFU)</w:t>
      </w:r>
      <w:r>
        <w:t xml:space="preserve">”</w:t>
      </w:r>
      <w:r>
        <w:t xml:space="preserve">); ThrombEx 200 510(k) Summary (predicate MRI status</w:t>
      </w:r>
      <w:r>
        <w:t xml:space="preserve"> </w:t>
      </w:r>
      <w:r>
        <w:t xml:space="preserve">“</w:t>
      </w:r>
      <w:r>
        <w:t xml:space="preserve">Not specified</w:t>
      </w:r>
      <w:r>
        <w:t xml:space="preserve">”</w:t>
      </w:r>
      <w:r>
        <w:t xml:space="preserve">).</w:t>
      </w:r>
    </w:p>
    <w:p>
      <w:pPr>
        <w:pStyle w:val="BodyText"/>
      </w:pPr>
      <w:r>
        <w:rPr>
          <w:b/>
          <w:bCs/>
        </w:rPr>
        <w:t xml:space="preserve">The issue.</w:t>
      </w:r>
      <w:r>
        <w:t xml:space="preserve"> </w:t>
      </w:r>
      <w:r>
        <w:t xml:space="preserve">The IFU asserts the catheter is</w:t>
      </w:r>
      <w:r>
        <w:t xml:space="preserve"> </w:t>
      </w:r>
      <w:r>
        <w:t xml:space="preserve">“</w:t>
      </w:r>
      <w:r>
        <w:t xml:space="preserve">MR Conditional</w:t>
      </w:r>
      <w:r>
        <w:t xml:space="preserve">”</w:t>
      </w:r>
      <w:r>
        <w:t xml:space="preserve"> </w:t>
      </w:r>
      <w:r>
        <w:t xml:space="preserve">but leaves the temperature rise and field strength as</w:t>
      </w:r>
      <w:r>
        <w:t xml:space="preserve"> </w:t>
      </w:r>
      <w:r>
        <w:t xml:space="preserve">“</w:t>
      </w:r>
      <w:r>
        <w:t xml:space="preserve">[TBD].</w:t>
      </w:r>
      <w:r>
        <w:t xml:space="preserve">”</w:t>
      </w:r>
      <w:r>
        <w:t xml:space="preserve"> </w:t>
      </w:r>
      <w:r>
        <w:t xml:space="preserve">An MR Conditional claim requires completed testing per ASTM F2503 and a fully specified conditions statement before it can be made. There is no predicate basis for the claim (the predicate’s MRI status is unspecified). Given the catheter’s rotating impeller and metallic (stainless steel/nitinol) components, MRI testing should also address whether the static and gradient fields could induce torque, displacement, or — critically —</w:t>
      </w:r>
      <w:r>
        <w:t xml:space="preserve"> </w:t>
      </w:r>
      <w:r>
        <w:rPr>
          <w:b/>
          <w:bCs/>
        </w:rPr>
        <w:t xml:space="preserve">inadvertent impeller rotation</w:t>
      </w:r>
      <w:r>
        <w:t xml:space="preserve">, which would be a unique hazard for this device.</w:t>
      </w:r>
    </w:p>
    <w:p>
      <w:pPr>
        <w:pStyle w:val="BodyText"/>
      </w:pPr>
      <w:r>
        <w:rPr>
          <w:b/>
          <w:bCs/>
        </w:rPr>
        <w:t xml:space="preserve">Recommendation.</w:t>
      </w:r>
      <w:r>
        <w:t xml:space="preserve"> </w:t>
      </w:r>
      <w:r>
        <w:t xml:space="preserve">Complete MRI safety testing (ASTM F2503: magnetically induced displacement force and torque, RF-induced heating, and image artifact) and fill the placeholders before finalizing the IFU. Specifically evaluate impeller behavior in the MRI field. If testing is not yet complete, mark the claim as</w:t>
      </w:r>
      <w:r>
        <w:t xml:space="preserve"> </w:t>
      </w:r>
      <w:r>
        <w:t xml:space="preserve">“</w:t>
      </w:r>
      <w:r>
        <w:t xml:space="preserve">to be determined</w:t>
      </w:r>
      <w:r>
        <w:t xml:space="preserve">”</w:t>
      </w:r>
      <w:r>
        <w:t xml:space="preserve"> </w:t>
      </w:r>
      <w:r>
        <w:t xml:space="preserve">rather than asserting MR Conditional.</w:t>
      </w:r>
    </w:p>
    <w:bookmarkEnd w:id="37"/>
    <w:bookmarkStart w:id="38" w:name="X2eac40fb94fd393420063e07bbb3d4391d0df23"/>
    <w:p>
      <w:pPr>
        <w:pStyle w:val="Heading4"/>
      </w:pPr>
      <w:r>
        <w:t xml:space="preserve">Issue 14. Particulate/Embolization Testing — Standard Selection and Distal-Embolization Gap</w:t>
      </w:r>
    </w:p>
    <w:p>
      <w:pPr>
        <w:pStyle w:val="FirstParagraph"/>
      </w:pPr>
      <w:r>
        <w:rPr>
          <w:b/>
          <w:bCs/>
        </w:rPr>
        <w:t xml:space="preserve">Where:</w:t>
      </w:r>
      <w:r>
        <w:t xml:space="preserve"> </w:t>
      </w:r>
      <w:r>
        <w:t xml:space="preserve">Proposed Testing Plan, Section 3.3 (particulate generation per USP &lt;788&gt;; fatigue filtrate via 25 µm filter).</w:t>
      </w:r>
    </w:p>
    <w:p>
      <w:pPr>
        <w:pStyle w:val="BodyText"/>
      </w:pPr>
      <w:r>
        <w:rPr>
          <w:b/>
          <w:bCs/>
        </w:rPr>
        <w:t xml:space="preserve">The issue.</w:t>
      </w:r>
      <w:r>
        <w:t xml:space="preserve"> </w:t>
      </w:r>
      <w:r>
        <w:t xml:space="preserve">The impeller macerates thrombus at 12,000 RPM, creating a risk of particulate/embolic debris. The plan applies USP &lt;788&gt; (Particulate Matter in Injections) limits, but USP &lt;788&gt; governs particulate in parenteral injectable solutions and may not be the appropriate yardstick for particulate generated by a thrombectomy device in the vasculature; its relevance and acceptance limits should be justified to FDA. More importantly, the plan does not appear to evaluate</w:t>
      </w:r>
      <w:r>
        <w:t xml:space="preserve"> </w:t>
      </w:r>
      <w:r>
        <w:rPr>
          <w:b/>
          <w:bCs/>
        </w:rPr>
        <w:t xml:space="preserve">distal embolization</w:t>
      </w:r>
      <w:r>
        <w:t xml:space="preserve"> </w:t>
      </w:r>
      <w:r>
        <w:t xml:space="preserve">— i.e., the fate of macerated thrombus fragments that are not aspirated. For venous thrombectomy, non-aspirated fragments can embolize to the pulmonary circulation (PE), a key safety concern. The bench test measures percent thrombus removed but does not characterize the size distribution or destination of residual/non-aspirated material.</w:t>
      </w:r>
    </w:p>
    <w:p>
      <w:pPr>
        <w:pStyle w:val="BodyText"/>
      </w:pPr>
      <w:r>
        <w:rPr>
          <w:b/>
          <w:bCs/>
        </w:rPr>
        <w:t xml:space="preserve">Recommendation.</w:t>
      </w:r>
      <w:r>
        <w:t xml:space="preserve"> </w:t>
      </w:r>
      <w:r>
        <w:t xml:space="preserve">(a) Justify the applicability of USP &lt;788&gt; limits or adopt a more device-relevant particulate characterization. (b) Add bench evaluation of distal embolization (size and quantity of non-aspirated fragments, captured downstream of the treatment zone), consistent with the venous PE risk. (c) Consider whether embolic protection is warranted.</w:t>
      </w:r>
    </w:p>
    <w:bookmarkEnd w:id="38"/>
    <w:bookmarkStart w:id="39" w:name="X231ed0b2a89e8f81202fdd52391b00c28e4fc72"/>
    <w:p>
      <w:pPr>
        <w:pStyle w:val="Heading4"/>
      </w:pPr>
      <w:r>
        <w:t xml:space="preserve">Issue 15. Dynamic Hemolysis Testing Under Impeller Operation Is Not Evident</w:t>
      </w:r>
    </w:p>
    <w:p>
      <w:pPr>
        <w:pStyle w:val="FirstParagraph"/>
      </w:pPr>
      <w:r>
        <w:rPr>
          <w:b/>
          <w:bCs/>
        </w:rPr>
        <w:t xml:space="preserve">Where:</w:t>
      </w:r>
      <w:r>
        <w:t xml:space="preserve"> </w:t>
      </w:r>
      <w:r>
        <w:t xml:space="preserve">Proposed Testing Plan, Section 2.2 (hemocompatibility per ISO 10993-4: hemolysis, complement, thrombogenicity); draft IFU, Warning 3 (excessive aspiration may cause hemolysis).</w:t>
      </w:r>
    </w:p>
    <w:p>
      <w:pPr>
        <w:pStyle w:val="BodyText"/>
      </w:pPr>
      <w:r>
        <w:rPr>
          <w:b/>
          <w:bCs/>
        </w:rPr>
        <w:t xml:space="preserve">The issue.</w:t>
      </w:r>
      <w:r>
        <w:t xml:space="preserve"> </w:t>
      </w:r>
      <w:r>
        <w:t xml:space="preserve">A rotating impeller at 12,000 RPM in contact with blood, combined with aspiration at up to −650 mmHg, creates a hemolysis risk (the IFU itself warns of it). The ISO 10993-4 hemolysis testing in the biocompatibility plan is typically an extract-based or static-contact test, not a dynamic test under actual impeller operating conditions and aspiration flow. Static ISO 10993-4 hemolysis may not capture shear-induced hemolysis from the rotating impeller or cavitation from high vacuum.</w:t>
      </w:r>
    </w:p>
    <w:p>
      <w:pPr>
        <w:pStyle w:val="BodyText"/>
      </w:pPr>
      <w:r>
        <w:rPr>
          <w:b/>
          <w:bCs/>
        </w:rPr>
        <w:t xml:space="preserve">Recommendation.</w:t>
      </w:r>
      <w:r>
        <w:t xml:space="preserve"> </w:t>
      </w:r>
      <w:r>
        <w:t xml:space="preserve">Add dynamic hemolysis testing under worst-case operating conditions (impeller at 12,000 RPM, aspiration at −650 mmHg, blood or blood analog circulated through the device), with a defined plasma-free hemoglobin acceptance criterion. This is standard for high-shear blood-contacting rotary devices.</w:t>
      </w:r>
    </w:p>
    <w:bookmarkEnd w:id="39"/>
    <w:bookmarkStart w:id="40" w:name="Xa3caa1c4f17f002e04e2140a7819dedf6cfbab3"/>
    <w:p>
      <w:pPr>
        <w:pStyle w:val="Heading4"/>
      </w:pPr>
      <w:r>
        <w:t xml:space="preserve">Issue 16. Shelf-Life / Sterile-Barrier System Validation Is Not in the Testing Plan</w:t>
      </w:r>
    </w:p>
    <w:p>
      <w:pPr>
        <w:pStyle w:val="FirstParagraph"/>
      </w:pPr>
      <w:r>
        <w:rPr>
          <w:b/>
          <w:bCs/>
        </w:rPr>
        <w:t xml:space="preserve">Where:</w:t>
      </w:r>
      <w:r>
        <w:t xml:space="preserve"> </w:t>
      </w:r>
      <w:r>
        <w:t xml:space="preserve">Proposed Testing Plan, Section 6 (sterilization validation only; no shelf-life/sterile-barrier testing); draft IFU, Section 12 (expiration date on label); ThrombEx 200 510(k) Summary, Section 5.4 (predicate performed ASTM F1980 accelerated aging, ASTM D4169 distribution simulation, ASTM F2095 seal strength for a 2-year shelf life).</w:t>
      </w:r>
    </w:p>
    <w:p>
      <w:pPr>
        <w:pStyle w:val="BodyText"/>
      </w:pPr>
      <w:r>
        <w:rPr>
          <w:b/>
          <w:bCs/>
        </w:rPr>
        <w:t xml:space="preserve">The issue.</w:t>
      </w:r>
      <w:r>
        <w:t xml:space="preserve"> </w:t>
      </w:r>
      <w:r>
        <w:t xml:space="preserve">The testing plan covers EtO sterilization validation (ISO 11135) and EtO residuals (ISO 10993-7) but does</w:t>
      </w:r>
      <w:r>
        <w:t xml:space="preserve"> </w:t>
      </w:r>
      <w:r>
        <w:rPr>
          <w:b/>
          <w:bCs/>
        </w:rPr>
        <w:t xml:space="preserve">not</w:t>
      </w:r>
      <w:r>
        <w:t xml:space="preserve"> </w:t>
      </w:r>
      <w:r>
        <w:t xml:space="preserve">include shelf-life / sterile-barrier system validation. The IFU references an expiration date, but the testing to support that date is absent. The predicate performed a full shelf-life/distribution-simulation package (ASTM F1980, D4169, F2095). Shelf-life validation is a standard expectation for a sterile single-use device and its omission relative to the predicate is conspicuous.</w:t>
      </w:r>
    </w:p>
    <w:p>
      <w:pPr>
        <w:pStyle w:val="BodyText"/>
      </w:pPr>
      <w:r>
        <w:rPr>
          <w:b/>
          <w:bCs/>
        </w:rPr>
        <w:t xml:space="preserve">Recommendation.</w:t>
      </w:r>
      <w:r>
        <w:t xml:space="preserve"> </w:t>
      </w:r>
      <w:r>
        <w:t xml:space="preserve">Add shelf-life and sterile-barrier system validation to the testing plan: accelerated aging (ASTM F1980) and real-time aging to support the claimed expiration date, package integrity/distribution simulation (ASTM D4169), and seal strength (ASTM F2095), with a defined shelf-life claim (e.g., 2 years, consistent with the predicate).</w:t>
      </w:r>
    </w:p>
    <w:bookmarkEnd w:id="40"/>
    <w:bookmarkStart w:id="41" w:name="Xce4a473ae57e1a37bcd9e28fd7b70b83bb98716"/>
    <w:p>
      <w:pPr>
        <w:pStyle w:val="Heading4"/>
      </w:pPr>
      <w:r>
        <w:t xml:space="preserve">Issue 17. Console Reprocessing Validation Is Referenced but Not Specified</w:t>
      </w:r>
    </w:p>
    <w:p>
      <w:pPr>
        <w:pStyle w:val="FirstParagraph"/>
      </w:pPr>
      <w:r>
        <w:rPr>
          <w:b/>
          <w:bCs/>
        </w:rPr>
        <w:t xml:space="preserve">Where:</w:t>
      </w:r>
      <w:r>
        <w:t xml:space="preserve"> </w:t>
      </w:r>
      <w:r>
        <w:t xml:space="preserve">Proposed Testing Plan, Section 6.1 (console cleaning/disinfection</w:t>
      </w:r>
      <w:r>
        <w:t xml:space="preserve"> </w:t>
      </w:r>
      <w:r>
        <w:t xml:space="preserve">“</w:t>
      </w:r>
      <w:r>
        <w:t xml:space="preserve">validated separately under Clearfield’s reusable device reprocessing validation protocol</w:t>
      </w:r>
      <w:r>
        <w:t xml:space="preserve">”</w:t>
      </w:r>
      <w:r>
        <w:t xml:space="preserve"> </w:t>
      </w:r>
      <w:r>
        <w:t xml:space="preserve">— not in the plan); draft IFU, Section 11 (cleaning instructions: hospital-grade disinfectant wipe).</w:t>
      </w:r>
    </w:p>
    <w:p>
      <w:pPr>
        <w:pStyle w:val="BodyText"/>
      </w:pPr>
      <w:r>
        <w:rPr>
          <w:b/>
          <w:bCs/>
        </w:rPr>
        <w:t xml:space="preserve">The issue.</w:t>
      </w:r>
      <w:r>
        <w:t xml:space="preserve"> </w:t>
      </w:r>
      <w:r>
        <w:t xml:space="preserve">The console is reusable. The testing plan disclaims reprocessing validation (</w:t>
      </w:r>
      <w:r>
        <w:t xml:space="preserve">“</w:t>
      </w:r>
      <w:r>
        <w:t xml:space="preserve">validated separately</w:t>
      </w:r>
      <w:r>
        <w:t xml:space="preserve">”</w:t>
      </w:r>
      <w:r>
        <w:t xml:space="preserve">) but does not include it or cite a standard. FDA’s reprocessing guidance expects validated cleaning and disinfection instructions for reusable devices, with a documented validation (soil test, inoculation, recovery). The IFU’s simple</w:t>
      </w:r>
      <w:r>
        <w:t xml:space="preserve"> </w:t>
      </w:r>
      <w:r>
        <w:t xml:space="preserve">“</w:t>
      </w:r>
      <w:r>
        <w:t xml:space="preserve">disinfectant wipe</w:t>
      </w:r>
      <w:r>
        <w:t xml:space="preserve">”</w:t>
      </w:r>
      <w:r>
        <w:t xml:space="preserve"> </w:t>
      </w:r>
      <w:r>
        <w:t xml:space="preserve">instruction should be validated.</w:t>
      </w:r>
    </w:p>
    <w:p>
      <w:pPr>
        <w:pStyle w:val="BodyText"/>
      </w:pPr>
      <w:r>
        <w:rPr>
          <w:b/>
          <w:bCs/>
        </w:rPr>
        <w:t xml:space="preserve">Recommendation.</w:t>
      </w:r>
      <w:r>
        <w:t xml:space="preserve"> </w:t>
      </w:r>
      <w:r>
        <w:t xml:space="preserve">Add reusable-device reprocessing validation (cleaning and disinfection) to the testing plan, with a cited method (e.g., AAMI TIR30 / FDA reprocessing guidance), and ensure the IFU instructions match the validated procedure.</w:t>
      </w:r>
    </w:p>
    <w:bookmarkEnd w:id="41"/>
    <w:bookmarkStart w:id="42" w:name="Xa3e98781eae590ad848100aa45598c171532fc3"/>
    <w:p>
      <w:pPr>
        <w:pStyle w:val="Heading4"/>
      </w:pPr>
      <w:r>
        <w:t xml:space="preserve">Issue 18. Material Identification Is Inconsistent Across Documents</w:t>
      </w:r>
    </w:p>
    <w:p>
      <w:pPr>
        <w:pStyle w:val="FirstParagraph"/>
      </w:pPr>
      <w:r>
        <w:rPr>
          <w:b/>
          <w:bCs/>
        </w:rPr>
        <w:t xml:space="preserve">Where:</w:t>
      </w:r>
      <w:r>
        <w:t xml:space="preserve"> </w:t>
      </w:r>
      <w:r>
        <w:t xml:space="preserve">Device Description, Section 2.2 and comparison table (impeller = 316L stainless steel; nitinol =</w:t>
      </w:r>
      <w:r>
        <w:t xml:space="preserve"> </w:t>
      </w:r>
      <w:r>
        <w:t xml:space="preserve">“</w:t>
      </w:r>
      <w:r>
        <w:t xml:space="preserve">distal tip structural elements</w:t>
      </w:r>
      <w:r>
        <w:t xml:space="preserve">”</w:t>
      </w:r>
      <w:r>
        <w:t xml:space="preserve">); Proposed Testing Plan, Section 2.3 (Helical Impeller =</w:t>
      </w:r>
      <w:r>
        <w:t xml:space="preserve"> </w:t>
      </w:r>
      <w:r>
        <w:t xml:space="preserve">“</w:t>
      </w:r>
      <w:r>
        <w:t xml:space="preserve">Nitinol (nickel-titanium alloy)</w:t>
      </w:r>
      <w:r>
        <w:t xml:space="preserve">”</w:t>
      </w:r>
      <w:r>
        <w:t xml:space="preserve">; Impeller Housing =</w:t>
      </w:r>
      <w:r>
        <w:t xml:space="preserve"> </w:t>
      </w:r>
      <w:r>
        <w:t xml:space="preserve">“</w:t>
      </w:r>
      <w:r>
        <w:t xml:space="preserve">Stainless steel 316L</w:t>
      </w:r>
      <w:r>
        <w:t xml:space="preserve">”</w:t>
      </w:r>
      <w:r>
        <w:t xml:space="preserve">); draft IFU, Section 3, Contraindication 2 (lists</w:t>
      </w:r>
      <w:r>
        <w:t xml:space="preserve"> </w:t>
      </w:r>
      <w:r>
        <w:t xml:space="preserve">“</w:t>
      </w:r>
      <w:r>
        <w:t xml:space="preserve">polyurethane, stainless steel, and barium sulfate</w:t>
      </w:r>
      <w:r>
        <w:t xml:space="preserve">”</w:t>
      </w:r>
      <w:r>
        <w:t xml:space="preserve">); Clinical Study Synopsis, Section 7.3, Exclusion 6 (lists</w:t>
      </w:r>
      <w:r>
        <w:t xml:space="preserve"> </w:t>
      </w:r>
      <w:r>
        <w:t xml:space="preserve">“</w:t>
      </w:r>
      <w:r>
        <w:t xml:space="preserve">polyurethane and silicone</w:t>
      </w:r>
      <w:r>
        <w:t xml:space="preserve">”</w:t>
      </w:r>
      <w:r>
        <w:t xml:space="preserve">).</w:t>
      </w:r>
    </w:p>
    <w:p>
      <w:pPr>
        <w:pStyle w:val="BodyText"/>
      </w:pPr>
      <w:r>
        <w:rPr>
          <w:b/>
          <w:bCs/>
        </w:rPr>
        <w:t xml:space="preserve">The issue.</w:t>
      </w:r>
      <w:r>
        <w:t xml:space="preserve"> </w:t>
      </w:r>
      <w:r>
        <w:t xml:space="preserve">The impeller material is stated as</w:t>
      </w:r>
      <w:r>
        <w:t xml:space="preserve"> </w:t>
      </w:r>
      <w:r>
        <w:rPr>
          <w:b/>
          <w:bCs/>
        </w:rPr>
        <w:t xml:space="preserve">316L stainless steel</w:t>
      </w:r>
      <w:r>
        <w:t xml:space="preserve"> </w:t>
      </w:r>
      <w:r>
        <w:t xml:space="preserve">in the Device Description but as</w:t>
      </w:r>
      <w:r>
        <w:t xml:space="preserve"> </w:t>
      </w:r>
      <w:r>
        <w:rPr>
          <w:b/>
          <w:bCs/>
        </w:rPr>
        <w:t xml:space="preserve">nitinol</w:t>
      </w:r>
      <w:r>
        <w:t xml:space="preserve"> </w:t>
      </w:r>
      <w:r>
        <w:t xml:space="preserve">in the Testing Plan — a direct contradiction about a critical, dynamically loaded, blood-contacting component. The biocompatibility test articles and chemical characterization (ISO 10993-18) depend on the correct material; nitinol raises nickel-release concerns that 316L does not. Separately, the IFU contraindication references</w:t>
      </w:r>
      <w:r>
        <w:t xml:space="preserve"> </w:t>
      </w:r>
      <w:r>
        <w:rPr>
          <w:b/>
          <w:bCs/>
        </w:rPr>
        <w:t xml:space="preserve">barium sulfate</w:t>
      </w:r>
      <w:r>
        <w:t xml:space="preserve"> </w:t>
      </w:r>
      <w:r>
        <w:t xml:space="preserve">and the study exclusion references</w:t>
      </w:r>
      <w:r>
        <w:t xml:space="preserve"> </w:t>
      </w:r>
      <w:r>
        <w:rPr>
          <w:b/>
          <w:bCs/>
        </w:rPr>
        <w:t xml:space="preserve">silicone</w:t>
      </w:r>
      <w:r>
        <w:t xml:space="preserve">, neither of which appears in the Device Description or Testing Plan materials lists (the predicate uses a barium-sulfate radiopaque marker, but the VascuClear materials list does not include one). These inconsistencies must be reconciled before testing is initiated and before the package is filed.</w:t>
      </w:r>
    </w:p>
    <w:p>
      <w:pPr>
        <w:pStyle w:val="BodyText"/>
      </w:pPr>
      <w:r>
        <w:rPr>
          <w:b/>
          <w:bCs/>
        </w:rPr>
        <w:t xml:space="preserve">Recommendation.</w:t>
      </w:r>
      <w:r>
        <w:t xml:space="preserve"> </w:t>
      </w:r>
      <w:r>
        <w:t xml:space="preserve">(a) Reconcile the impeller material across all documents (Device Description, Testing Plan, IFU) and ensure the biocompatibility/chemical-characterization test articles match. (b) Confirm whether a barium-sulfate radiopaque marker is present; if so, add it to the materials list and biocompatibility evaluation; if not, remove it from the IFU contraindication. (c) Remove</w:t>
      </w:r>
      <w:r>
        <w:t xml:space="preserve"> </w:t>
      </w:r>
      <w:r>
        <w:t xml:space="preserve">“</w:t>
      </w:r>
      <w:r>
        <w:t xml:space="preserve">silicone</w:t>
      </w:r>
      <w:r>
        <w:t xml:space="preserve">”</w:t>
      </w:r>
      <w:r>
        <w:t xml:space="preserve"> </w:t>
      </w:r>
      <w:r>
        <w:t xml:space="preserve">from the study exclusion criteria (it is not a listed device material) or add it to the materials list if present.</w:t>
      </w:r>
    </w:p>
    <w:bookmarkEnd w:id="42"/>
    <w:bookmarkStart w:id="43" w:name="X3768fa0d4ca2677897b5134e0e0df1b0a3dfe3c"/>
    <w:p>
      <w:pPr>
        <w:pStyle w:val="Heading4"/>
      </w:pPr>
      <w:r>
        <w:t xml:space="preserve">Issue 19. Console Dimensions and Weight Are Inconsistent</w:t>
      </w:r>
    </w:p>
    <w:p>
      <w:pPr>
        <w:pStyle w:val="FirstParagraph"/>
      </w:pPr>
      <w:r>
        <w:rPr>
          <w:b/>
          <w:bCs/>
        </w:rPr>
        <w:t xml:space="preserve">Where:</w:t>
      </w:r>
      <w:r>
        <w:t xml:space="preserve"> </w:t>
      </w:r>
      <w:r>
        <w:t xml:space="preserve">Device Description, Section 2.3 (console</w:t>
      </w:r>
      <w:r>
        <w:t xml:space="preserve"> </w:t>
      </w:r>
      <w:r>
        <w:t xml:space="preserve">“</w:t>
      </w:r>
      <w:r>
        <w:t xml:space="preserve">approximately 40 cm (W) × 35 cm (D) × 20 cm (H)… approximately 15 kilograms</w:t>
      </w:r>
      <w:r>
        <w:t xml:space="preserve">”</w:t>
      </w:r>
      <w:r>
        <w:t xml:space="preserve">); draft IFU, Section 13 (console</w:t>
      </w:r>
      <w:r>
        <w:t xml:space="preserve"> </w:t>
      </w:r>
      <w:r>
        <w:t xml:space="preserve">“</w:t>
      </w:r>
      <w:r>
        <w:t xml:space="preserve">30 cm × 25 cm × 15 cm</w:t>
      </w:r>
      <w:r>
        <w:t xml:space="preserve">”</w:t>
      </w:r>
      <w:r>
        <w:t xml:space="preserve">;</w:t>
      </w:r>
      <w:r>
        <w:t xml:space="preserve"> </w:t>
      </w:r>
      <w:r>
        <w:t xml:space="preserve">“</w:t>
      </w:r>
      <w:r>
        <w:t xml:space="preserve">4.5 kg</w:t>
      </w:r>
      <w:r>
        <w:t xml:space="preserve">”</w:t>
      </w:r>
      <w:r>
        <w:t xml:space="preserve">).</w:t>
      </w:r>
    </w:p>
    <w:p>
      <w:pPr>
        <w:pStyle w:val="BodyText"/>
      </w:pPr>
      <w:r>
        <w:rPr>
          <w:b/>
          <w:bCs/>
        </w:rPr>
        <w:t xml:space="preserve">The issue.</w:t>
      </w:r>
      <w:r>
        <w:t xml:space="preserve"> </w:t>
      </w:r>
      <w:r>
        <w:t xml:space="preserve">The console dimensions and weight differ materially between the Device Description (40 × 35 × 20 cm; 15 kg) and the IFU (30 × 25 × 15 cm; 4.5 kg). These should be identical across the package.</w:t>
      </w:r>
    </w:p>
    <w:p>
      <w:pPr>
        <w:pStyle w:val="BodyText"/>
      </w:pPr>
      <w:r>
        <w:rPr>
          <w:b/>
          <w:bCs/>
        </w:rPr>
        <w:t xml:space="preserve">Recommendation.</w:t>
      </w:r>
      <w:r>
        <w:t xml:space="preserve"> </w:t>
      </w:r>
      <w:r>
        <w:t xml:space="preserve">Reconcile to the correct production-equivalent specifications and make all documents consistent.</w:t>
      </w:r>
    </w:p>
    <w:p>
      <w:r>
        <w:pict>
          <v:rect style="width:0;height:1.5pt" o:hralign="center" o:hrstd="t" o:hr="t"/>
        </w:pict>
      </w:r>
    </w:p>
    <w:bookmarkEnd w:id="43"/>
    <w:bookmarkEnd w:id="44"/>
    <w:bookmarkStart w:id="49" w:name="priority-4-low"/>
    <w:p>
      <w:pPr>
        <w:pStyle w:val="Heading3"/>
      </w:pPr>
      <w:r>
        <w:t xml:space="preserve">PRIORITY 4 — LOW</w:t>
      </w:r>
    </w:p>
    <w:bookmarkStart w:id="45" w:name="Xc97eab5082aa80cd15a4d9567eb3c106f4f1312"/>
    <w:p>
      <w:pPr>
        <w:pStyle w:val="Heading4"/>
      </w:pPr>
      <w:r>
        <w:t xml:space="preserve">Issue 20. Contact Information Inconsistencies</w:t>
      </w:r>
    </w:p>
    <w:p>
      <w:pPr>
        <w:pStyle w:val="FirstParagraph"/>
      </w:pPr>
      <w:r>
        <w:rPr>
          <w:b/>
          <w:bCs/>
        </w:rPr>
        <w:t xml:space="preserve">Where:</w:t>
      </w:r>
      <w:r>
        <w:t xml:space="preserve"> </w:t>
      </w:r>
      <w:r>
        <w:t xml:space="preserve">Cover letter (Linda Fessenden, tel. (952) 555-0142; email l.fessenden@clearfieldmedical.com); Device Description (Linda Fessenden, tel. (952) 555-0174; email lfessenden@clearfieldmedical.com).</w:t>
      </w:r>
    </w:p>
    <w:p>
      <w:pPr>
        <w:pStyle w:val="BodyText"/>
      </w:pPr>
      <w:r>
        <w:rPr>
          <w:b/>
          <w:bCs/>
        </w:rPr>
        <w:t xml:space="preserve">The issue.</w:t>
      </w:r>
      <w:r>
        <w:t xml:space="preserve"> </w:t>
      </w:r>
      <w:r>
        <w:t xml:space="preserve">The primary contact’s telephone number differs between the cover letter and the Device Description, and the email format differs slightly. The cover letter is the FDA-facing document and should carry the authoritative contact information.</w:t>
      </w:r>
    </w:p>
    <w:p>
      <w:pPr>
        <w:pStyle w:val="BodyText"/>
      </w:pPr>
      <w:r>
        <w:rPr>
          <w:b/>
          <w:bCs/>
        </w:rPr>
        <w:t xml:space="preserve">Recommendation.</w:t>
      </w:r>
      <w:r>
        <w:t xml:space="preserve"> </w:t>
      </w:r>
      <w:r>
        <w:t xml:space="preserve">Standardize the primary contact’s telephone number and email across all package documents.</w:t>
      </w:r>
    </w:p>
    <w:bookmarkEnd w:id="45"/>
    <w:bookmarkStart w:id="46" w:name="X2b4b054b104b5c668ece34204982fb530d10a01"/>
    <w:p>
      <w:pPr>
        <w:pStyle w:val="Heading4"/>
      </w:pPr>
      <w:r>
        <w:t xml:space="preserve">Issue 21. Citation of Withdrawn FDA Software Guidance</w:t>
      </w:r>
    </w:p>
    <w:p>
      <w:pPr>
        <w:pStyle w:val="FirstParagraph"/>
      </w:pPr>
      <w:r>
        <w:rPr>
          <w:b/>
          <w:bCs/>
        </w:rPr>
        <w:t xml:space="preserve">Where:</w:t>
      </w:r>
      <w:r>
        <w:t xml:space="preserve"> </w:t>
      </w:r>
      <w:r>
        <w:t xml:space="preserve">Device Description, Section 2.3 and References (item 7); Proposed Testing Plan, Section 5.2 (citing FDA’s May 11, 2005 software guidance).</w:t>
      </w:r>
    </w:p>
    <w:p>
      <w:pPr>
        <w:pStyle w:val="BodyText"/>
      </w:pPr>
      <w:r>
        <w:rPr>
          <w:b/>
          <w:bCs/>
        </w:rPr>
        <w:t xml:space="preserve">The issue.</w:t>
      </w:r>
      <w:r>
        <w:t xml:space="preserve"> </w:t>
      </w:r>
      <w:r>
        <w:t xml:space="preserve">The 2005 software guidance (</w:t>
      </w:r>
      <w:r>
        <w:t xml:space="preserve">“</w:t>
      </w:r>
      <w:r>
        <w:t xml:space="preserve">level of concern</w:t>
      </w:r>
      <w:r>
        <w:t xml:space="preserve">”</w:t>
      </w:r>
      <w:r>
        <w:t xml:space="preserve"> </w:t>
      </w:r>
      <w:r>
        <w:t xml:space="preserve">framework) has been withdrawn and superseded by FDA’s current software guidance and IEC 62304. Citing a withdrawn guidance is a minor but avoidable accuracy issue.</w:t>
      </w:r>
    </w:p>
    <w:p>
      <w:pPr>
        <w:pStyle w:val="BodyText"/>
      </w:pPr>
      <w:r>
        <w:rPr>
          <w:b/>
          <w:bCs/>
        </w:rPr>
        <w:t xml:space="preserve">Recommendation.</w:t>
      </w:r>
      <w:r>
        <w:t xml:space="preserve"> </w:t>
      </w:r>
      <w:r>
        <w:t xml:space="preserve">Update references to FDA’s current software guidance and IEC 62304 (see also Issue 6).</w:t>
      </w:r>
    </w:p>
    <w:bookmarkEnd w:id="46"/>
    <w:bookmarkStart w:id="47" w:name="Xb2f147c6e7c55b97f14bd5ae431849441ddc9bb"/>
    <w:p>
      <w:pPr>
        <w:pStyle w:val="Heading4"/>
      </w:pPr>
      <w:r>
        <w:t xml:space="preserve">Issue 22. Erroneous Material in Study Exclusion Criteria</w:t>
      </w:r>
    </w:p>
    <w:p>
      <w:pPr>
        <w:pStyle w:val="FirstParagraph"/>
      </w:pPr>
      <w:r>
        <w:rPr>
          <w:b/>
          <w:bCs/>
        </w:rPr>
        <w:t xml:space="preserve">Where:</w:t>
      </w:r>
      <w:r>
        <w:t xml:space="preserve"> </w:t>
      </w:r>
      <w:r>
        <w:t xml:space="preserve">Clinical Study Synopsis, Section 7.3, Exclusion 6 (</w:t>
      </w:r>
      <w:r>
        <w:t xml:space="preserve">“</w:t>
      </w:r>
      <w:r>
        <w:t xml:space="preserve">allergy or hypersensitivity to catheter component materials, including polyurethane and silicone</w:t>
      </w:r>
      <w:r>
        <w:t xml:space="preserve">”</w:t>
      </w:r>
      <w:r>
        <w:t xml:space="preserve">).</w:t>
      </w:r>
    </w:p>
    <w:p>
      <w:pPr>
        <w:pStyle w:val="BodyText"/>
      </w:pPr>
      <w:r>
        <w:rPr>
          <w:b/>
          <w:bCs/>
        </w:rPr>
        <w:t xml:space="preserve">The issue.</w:t>
      </w:r>
      <w:r>
        <w:t xml:space="preserve"> </w:t>
      </w:r>
      <w:r>
        <w:t xml:space="preserve">“</w:t>
      </w:r>
      <w:r>
        <w:t xml:space="preserve">Silicone</w:t>
      </w:r>
      <w:r>
        <w:t xml:space="preserve">”</w:t>
      </w:r>
      <w:r>
        <w:t xml:space="preserve"> </w:t>
      </w:r>
      <w:r>
        <w:t xml:space="preserve">is not a listed VascuClear material (see Issue 18). The exclusion criterion appears to be carried over from a template.</w:t>
      </w:r>
    </w:p>
    <w:p>
      <w:pPr>
        <w:pStyle w:val="BodyText"/>
      </w:pPr>
      <w:r>
        <w:rPr>
          <w:b/>
          <w:bCs/>
        </w:rPr>
        <w:t xml:space="preserve">Recommendation.</w:t>
      </w:r>
      <w:r>
        <w:t xml:space="preserve"> </w:t>
      </w:r>
      <w:r>
        <w:t xml:space="preserve">Correct the exclusion criterion to reference the actual device materials.</w:t>
      </w:r>
    </w:p>
    <w:bookmarkEnd w:id="47"/>
    <w:bookmarkStart w:id="48" w:name="Xb6e964997304673502c802015fffbcc4ea0ae87"/>
    <w:p>
      <w:pPr>
        <w:pStyle w:val="Heading4"/>
      </w:pPr>
      <w:r>
        <w:t xml:space="preserve">Issue 23. Corporate / Financial Coordination</w:t>
      </w:r>
    </w:p>
    <w:p>
      <w:pPr>
        <w:pStyle w:val="FirstParagraph"/>
      </w:pPr>
      <w:r>
        <w:rPr>
          <w:b/>
          <w:bCs/>
        </w:rPr>
        <w:t xml:space="preserve">Where:</w:t>
      </w:r>
      <w:r>
        <w:t xml:space="preserve"> </w:t>
      </w:r>
      <w:r>
        <w:t xml:space="preserve">Email chain (Fessenden, April 22; Pressman, May 12; Marsh, May 9).</w:t>
      </w:r>
    </w:p>
    <w:p>
      <w:pPr>
        <w:pStyle w:val="BodyText"/>
      </w:pPr>
      <w:r>
        <w:rPr>
          <w:b/>
          <w:bCs/>
        </w:rPr>
        <w:t xml:space="preserve">The issue.</w:t>
      </w:r>
      <w:r>
        <w:t xml:space="preserve"> </w:t>
      </w:r>
      <w:r>
        <w:t xml:space="preserve">The email chain reveals material corporate exposure tied to the regulatory timeline: the Braddock Ventures Series D term sheet requires 510(k) clearance by December 31, 2025 (likely unachievable per Issue 12); Clearfield’s cash position is $18.3M with a $1.52M/month burn (~12 months runway); and Northgate Capital Advisors and Braddock Ventures are tracking the timeline. If the pathway changes (combination product, IDE), the milestone and financing are at risk. Ms. Pressman already flagged looping in Kendrick &amp; Hale (corporate counsel).</w:t>
      </w:r>
    </w:p>
    <w:p>
      <w:pPr>
        <w:pStyle w:val="BodyText"/>
      </w:pPr>
      <w:r>
        <w:rPr>
          <w:b/>
          <w:bCs/>
        </w:rPr>
        <w:t xml:space="preserve">Recommendation.</w:t>
      </w:r>
      <w:r>
        <w:t xml:space="preserve"> </w:t>
      </w:r>
      <w:r>
        <w:t xml:space="preserve">Coordinate with Kendrick &amp; Hale regarding the financing milestone and any need to renegotiate the December 31, 2025 date. Keep corporate/transactional matters (handled by Kendrick &amp; Hale) separate from the FDA-facing package, as the cover letter already notes, but ensure internal alignment on timeline expectations.</w:t>
      </w:r>
    </w:p>
    <w:p>
      <w:r>
        <w:pict>
          <v:rect style="width:0;height:1.5pt" o:hralign="center" o:hrstd="t" o:hr="t"/>
        </w:pict>
      </w:r>
    </w:p>
    <w:bookmarkEnd w:id="48"/>
    <w:bookmarkEnd w:id="49"/>
    <w:bookmarkEnd w:id="50"/>
    <w:bookmarkStart w:id="51" w:name="iv.-consolidated-issue-table"/>
    <w:p>
      <w:pPr>
        <w:pStyle w:val="Heading2"/>
      </w:pPr>
      <w:r>
        <w:t xml:space="preserve">IV. Consolidated Issue Table</w:t>
      </w:r>
    </w:p>
    <w:tbl>
      <w:tblPr>
        <w:tblStyle w:val="Table"/>
        <w:tblW w:type="pct" w:w="5000"/>
        <w:jc w:val="left"/>
        <w:tblLayout w:type="fixed"/>
        <w:tblLook w:firstRow="1" w:lastRow="0" w:firstColumn="0" w:lastColumn="0" w:noHBand="0" w:noVBand="0" w:val="0020"/>
      </w:tblPr>
      <w:tblGrid>
        <w:gridCol w:w="456"/>
        <w:gridCol w:w="1523"/>
        <w:gridCol w:w="1066"/>
        <w:gridCol w:w="3198"/>
        <w:gridCol w:w="1675"/>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Primary Document(s)</w:t>
            </w:r>
          </w:p>
        </w:tc>
        <w:tc>
          <w:tcPr/>
          <w:p>
            <w:pPr>
              <w:pStyle w:val="Compact"/>
              <w:jc w:val="left"/>
            </w:pPr>
            <w:r>
              <w:t xml:space="preserve">Core Risk</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Combination-product classification not raised as FDA question</w:t>
            </w:r>
          </w:p>
        </w:tc>
        <w:tc>
          <w:tcPr/>
          <w:p>
            <w:pPr>
              <w:pStyle w:val="Compact"/>
              <w:jc w:val="left"/>
            </w:pPr>
            <w:r>
              <w:t xml:space="preserve">Cover letter §VI; Synopsis §6; IFU §2, §9</w:t>
            </w:r>
          </w:p>
        </w:tc>
        <w:tc>
          <w:tcPr/>
          <w:p>
            <w:pPr>
              <w:pStyle w:val="Compact"/>
              <w:jc w:val="left"/>
            </w:pPr>
            <w:r>
              <w:t xml:space="preserve">Pathway/review division/data requirements may change</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IDE requirement —</w:t>
            </w:r>
            <w:r>
              <w:t xml:space="preserve"> </w:t>
            </w:r>
            <w:r>
              <w:t xml:space="preserve">“</w:t>
            </w:r>
            <w:r>
              <w:t xml:space="preserve">post-clearance</w:t>
            </w:r>
            <w:r>
              <w:t xml:space="preserve">”</w:t>
            </w:r>
            <w:r>
              <w:t xml:space="preserve"> </w:t>
            </w:r>
            <w:r>
              <w:t xml:space="preserve">framing contradicted by timeline</w:t>
            </w:r>
          </w:p>
        </w:tc>
        <w:tc>
          <w:tcPr/>
          <w:p>
            <w:pPr>
              <w:pStyle w:val="Compact"/>
              <w:jc w:val="left"/>
            </w:pPr>
            <w:r>
              <w:t xml:space="preserve">Synopsis §5–6, §15; Testing Plan §9.2</w:t>
            </w:r>
          </w:p>
        </w:tc>
        <w:tc>
          <w:tcPr/>
          <w:p>
            <w:pPr>
              <w:pStyle w:val="Compact"/>
              <w:jc w:val="left"/>
            </w:pPr>
            <w:r>
              <w:t xml:space="preserve">Unlawful enrollment; timeline/budget impact</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SE/predicate — different mechanism + new drug feature; predicate mischaracterized</w:t>
            </w:r>
          </w:p>
        </w:tc>
        <w:tc>
          <w:tcPr/>
          <w:p>
            <w:pPr>
              <w:pStyle w:val="Compact"/>
              <w:jc w:val="left"/>
            </w:pPr>
            <w:r>
              <w:t xml:space="preserve">Cover letter §III; DD §3–5; 510(k) Summary §2</w:t>
            </w:r>
          </w:p>
        </w:tc>
        <w:tc>
          <w:tcPr/>
          <w:p>
            <w:pPr>
              <w:pStyle w:val="Compact"/>
              <w:jc w:val="left"/>
            </w:pPr>
            <w:r>
              <w:t xml:space="preserve">SE rejection; predicate deemed inappropriate</w:t>
            </w:r>
          </w:p>
        </w:tc>
      </w:tr>
      <w:tr>
        <w:tc>
          <w:tcPr/>
          <w:p>
            <w:pPr>
              <w:pStyle w:val="Compact"/>
              <w:jc w:val="left"/>
            </w:pPr>
            <w:r>
              <w:t xml:space="preserve">4</w:t>
            </w:r>
          </w:p>
        </w:tc>
        <w:tc>
          <w:tcPr/>
          <w:p>
            <w:pPr>
              <w:pStyle w:val="Compact"/>
              <w:jc w:val="left"/>
            </w:pPr>
            <w:r>
              <w:t xml:space="preserve">High</w:t>
            </w:r>
          </w:p>
        </w:tc>
        <w:tc>
          <w:tcPr/>
          <w:p>
            <w:pPr>
              <w:pStyle w:val="Compact"/>
              <w:jc w:val="left"/>
            </w:pPr>
            <w:r>
              <w:t xml:space="preserve">Indications — drug-delivery co-primary claim; age inconsistency (18+ vs 18–75)</w:t>
            </w:r>
          </w:p>
        </w:tc>
        <w:tc>
          <w:tcPr/>
          <w:p>
            <w:pPr>
              <w:pStyle w:val="Compact"/>
              <w:jc w:val="left"/>
            </w:pPr>
            <w:r>
              <w:t xml:space="preserve">Cover letter §IV; DD §2.4; IFU §2; Synopsis §7.2</w:t>
            </w:r>
          </w:p>
        </w:tc>
        <w:tc>
          <w:tcPr/>
          <w:p>
            <w:pPr>
              <w:pStyle w:val="Compact"/>
              <w:jc w:val="left"/>
            </w:pPr>
            <w:r>
              <w:t xml:space="preserve">Compounds Issues 1 &amp; 3; labeling inconsistency</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Biocompatibility —</w:t>
            </w:r>
            <w:r>
              <w:t xml:space="preserve"> </w:t>
            </w:r>
            <w:r>
              <w:t xml:space="preserve">“</w:t>
            </w:r>
            <w:r>
              <w:t xml:space="preserve">limited</w:t>
            </w:r>
            <w:r>
              <w:t xml:space="preserve">”</w:t>
            </w:r>
            <w:r>
              <w:t xml:space="preserve"> </w:t>
            </w:r>
            <w:r>
              <w:t xml:space="preserve">(&lt;24h) vs 72-hour indwell (</w:t>
            </w:r>
            <w:r>
              <w:t xml:space="preserve">“</w:t>
            </w:r>
            <w:r>
              <w:t xml:space="preserve">prolonged</w:t>
            </w:r>
            <w:r>
              <w:t xml:space="preserve">”</w:t>
            </w:r>
            <w:r>
              <w:t xml:space="preserve">)</w:t>
            </w:r>
          </w:p>
        </w:tc>
        <w:tc>
          <w:tcPr/>
          <w:p>
            <w:pPr>
              <w:pStyle w:val="Compact"/>
              <w:jc w:val="left"/>
            </w:pPr>
            <w:r>
              <w:t xml:space="preserve">Testing Plan §2; DD §2.2; IFU §1, §8.4</w:t>
            </w:r>
          </w:p>
        </w:tc>
        <w:tc>
          <w:tcPr/>
          <w:p>
            <w:pPr>
              <w:pStyle w:val="Compact"/>
              <w:jc w:val="left"/>
            </w:pPr>
            <w:r>
              <w:t xml:space="preserve">Under-scoped biocompatibility battery</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Software</w:t>
            </w:r>
            <w:r>
              <w:t xml:space="preserve"> </w:t>
            </w:r>
            <w:r>
              <w:t xml:space="preserve">“</w:t>
            </w:r>
            <w:r>
              <w:t xml:space="preserve">Minor</w:t>
            </w:r>
            <w:r>
              <w:t xml:space="preserve">”</w:t>
            </w:r>
            <w:r>
              <w:t xml:space="preserve"> </w:t>
            </w:r>
            <w:r>
              <w:t xml:space="preserve">vs predicate</w:t>
            </w:r>
            <w:r>
              <w:t xml:space="preserve"> </w:t>
            </w:r>
            <w:r>
              <w:t xml:space="preserve">“</w:t>
            </w:r>
            <w:r>
              <w:t xml:space="preserve">Moderate</w:t>
            </w:r>
            <w:r>
              <w:t xml:space="preserve">”</w:t>
            </w:r>
            <w:r>
              <w:t xml:space="preserve">; hardware safety not validated; withdrawn guidance</w:t>
            </w:r>
          </w:p>
        </w:tc>
        <w:tc>
          <w:tcPr/>
          <w:p>
            <w:pPr>
              <w:pStyle w:val="Compact"/>
              <w:jc w:val="left"/>
            </w:pPr>
            <w:r>
              <w:t xml:space="preserve">Testing Plan §5; DD §2.3; 510(k) Summary §5.6</w:t>
            </w:r>
          </w:p>
        </w:tc>
        <w:tc>
          <w:tcPr/>
          <w:p>
            <w:pPr>
              <w:pStyle w:val="Compact"/>
              <w:jc w:val="left"/>
            </w:pPr>
            <w:r>
              <w:t xml:space="preserve">Under-scoped software documentation</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EMC testing (IEC 60601-1-2) omitted</w:t>
            </w:r>
          </w:p>
        </w:tc>
        <w:tc>
          <w:tcPr/>
          <w:p>
            <w:pPr>
              <w:pStyle w:val="Compact"/>
              <w:jc w:val="left"/>
            </w:pPr>
            <w:r>
              <w:t xml:space="preserve">Testing Plan §4, Table 9-1; 510(k) Summary §5.3</w:t>
            </w:r>
          </w:p>
        </w:tc>
        <w:tc>
          <w:tcPr/>
          <w:p>
            <w:pPr>
              <w:pStyle w:val="Compact"/>
              <w:jc w:val="left"/>
            </w:pPr>
            <w:r>
              <w:t xml:space="preserve">Missing required electrical/EMC data</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Drug-delivery characterization saline-only; IFU lists unverified</w:t>
            </w:r>
            <w:r>
              <w:t xml:space="preserve"> </w:t>
            </w:r>
            <w:r>
              <w:t xml:space="preserve">“</w:t>
            </w:r>
            <w:r>
              <w:t xml:space="preserve">compatible</w:t>
            </w:r>
            <w:r>
              <w:t xml:space="preserve">”</w:t>
            </w:r>
            <w:r>
              <w:t xml:space="preserve"> </w:t>
            </w:r>
            <w:r>
              <w:t xml:space="preserve">agents</w:t>
            </w:r>
          </w:p>
        </w:tc>
        <w:tc>
          <w:tcPr/>
          <w:p>
            <w:pPr>
              <w:pStyle w:val="Compact"/>
              <w:jc w:val="left"/>
            </w:pPr>
            <w:r>
              <w:t xml:space="preserve">Testing Plan §8; IFU §9</w:t>
            </w:r>
          </w:p>
        </w:tc>
        <w:tc>
          <w:tcPr/>
          <w:p>
            <w:pPr>
              <w:pStyle w:val="Compact"/>
              <w:jc w:val="left"/>
            </w:pPr>
            <w:r>
              <w:t xml:space="preserve">Unsupported compatibility/dose-accuracy claims</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Bench test excludes the claimed pharmacomechanical function; catheter reused; 80% vs 78.4%</w:t>
            </w:r>
          </w:p>
        </w:tc>
        <w:tc>
          <w:tcPr/>
          <w:p>
            <w:pPr>
              <w:pStyle w:val="Compact"/>
              <w:jc w:val="left"/>
            </w:pPr>
            <w:r>
              <w:t xml:space="preserve">Testing Plan §7; 510(k) Summary §5.5</w:t>
            </w:r>
          </w:p>
        </w:tc>
        <w:tc>
          <w:tcPr/>
          <w:p>
            <w:pPr>
              <w:pStyle w:val="Compact"/>
              <w:jc w:val="left"/>
            </w:pPr>
            <w:r>
              <w:t xml:space="preserve">Effectiveness data does not match indication</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Clinical design — single-arm, 30-day follow-up (no PTS), weak OPC, no DSMB</w:t>
            </w:r>
          </w:p>
        </w:tc>
        <w:tc>
          <w:tcPr/>
          <w:p>
            <w:pPr>
              <w:pStyle w:val="Compact"/>
              <w:jc w:val="left"/>
            </w:pPr>
            <w:r>
              <w:t xml:space="preserve">Synopsis §5, §9, §11, §12</w:t>
            </w:r>
          </w:p>
        </w:tc>
        <w:tc>
          <w:tcPr/>
          <w:p>
            <w:pPr>
              <w:pStyle w:val="Compact"/>
              <w:jc w:val="left"/>
            </w:pPr>
            <w:r>
              <w:t xml:space="preserve">Insufficient/unsupported clinical evidence</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Impeller fatigue = 500 revolutions ≈ 2.5 seconds at 12,000 RPM</w:t>
            </w:r>
          </w:p>
        </w:tc>
        <w:tc>
          <w:tcPr/>
          <w:p>
            <w:pPr>
              <w:pStyle w:val="Compact"/>
              <w:jc w:val="left"/>
            </w:pPr>
            <w:r>
              <w:t xml:space="preserve">Testing Plan §3.3; DD §2.2</w:t>
            </w:r>
          </w:p>
        </w:tc>
        <w:tc>
          <w:tcPr/>
          <w:p>
            <w:pPr>
              <w:pStyle w:val="Compact"/>
              <w:jc w:val="left"/>
            </w:pPr>
            <w:r>
              <w:t xml:space="preserve">Grossly inadequate durability/safety test</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Dec 31, 2025 clearance unachievable; clinical data not available for submission</w:t>
            </w:r>
          </w:p>
        </w:tc>
        <w:tc>
          <w:tcPr/>
          <w:p>
            <w:pPr>
              <w:pStyle w:val="Compact"/>
              <w:jc w:val="left"/>
            </w:pPr>
            <w:r>
              <w:t xml:space="preserve">Testing Plan §9.2; Synopsis §15; emails</w:t>
            </w:r>
          </w:p>
        </w:tc>
        <w:tc>
          <w:tcPr/>
          <w:p>
            <w:pPr>
              <w:pStyle w:val="Compact"/>
              <w:jc w:val="left"/>
            </w:pPr>
            <w:r>
              <w:t xml:space="preserve">Corporate/financing milestone at risk</w:t>
            </w:r>
          </w:p>
        </w:tc>
      </w:tr>
      <w:tr>
        <w:tc>
          <w:tcPr/>
          <w:p>
            <w:pPr>
              <w:pStyle w:val="Compact"/>
              <w:jc w:val="left"/>
            </w:pPr>
            <w:r>
              <w:t xml:space="preserve">13</w:t>
            </w:r>
          </w:p>
        </w:tc>
        <w:tc>
          <w:tcPr/>
          <w:p>
            <w:pPr>
              <w:pStyle w:val="Compact"/>
              <w:jc w:val="left"/>
            </w:pPr>
            <w:r>
              <w:t xml:space="preserve">Medium</w:t>
            </w:r>
          </w:p>
        </w:tc>
        <w:tc>
          <w:tcPr/>
          <w:p>
            <w:pPr>
              <w:pStyle w:val="Compact"/>
              <w:jc w:val="left"/>
            </w:pPr>
            <w:r>
              <w:t xml:space="preserve">MRI safety — TBD placeholders; no predicate basis; impeller-in-field not addressed</w:t>
            </w:r>
          </w:p>
        </w:tc>
        <w:tc>
          <w:tcPr/>
          <w:p>
            <w:pPr>
              <w:pStyle w:val="Compact"/>
              <w:jc w:val="left"/>
            </w:pPr>
            <w:r>
              <w:t xml:space="preserve">IFU §6; DD comparison table</w:t>
            </w:r>
          </w:p>
        </w:tc>
        <w:tc>
          <w:tcPr/>
          <w:p>
            <w:pPr>
              <w:pStyle w:val="Compact"/>
              <w:jc w:val="left"/>
            </w:pPr>
            <w:r>
              <w:t xml:space="preserve">Unsupported MR Conditional claim</w:t>
            </w:r>
          </w:p>
        </w:tc>
      </w:tr>
      <w:tr>
        <w:tc>
          <w:tcPr/>
          <w:p>
            <w:pPr>
              <w:pStyle w:val="Compact"/>
              <w:jc w:val="left"/>
            </w:pPr>
            <w:r>
              <w:t xml:space="preserve">14</w:t>
            </w:r>
          </w:p>
        </w:tc>
        <w:tc>
          <w:tcPr/>
          <w:p>
            <w:pPr>
              <w:pStyle w:val="Compact"/>
              <w:jc w:val="left"/>
            </w:pPr>
            <w:r>
              <w:t xml:space="preserve">Medium</w:t>
            </w:r>
          </w:p>
        </w:tc>
        <w:tc>
          <w:tcPr/>
          <w:p>
            <w:pPr>
              <w:pStyle w:val="Compact"/>
              <w:jc w:val="left"/>
            </w:pPr>
            <w:r>
              <w:t xml:space="preserve">Particulate/embolization — USP &lt;788&gt; relevance; no distal-embolization test</w:t>
            </w:r>
          </w:p>
        </w:tc>
        <w:tc>
          <w:tcPr/>
          <w:p>
            <w:pPr>
              <w:pStyle w:val="Compact"/>
              <w:jc w:val="left"/>
            </w:pPr>
            <w:r>
              <w:t xml:space="preserve">Testing Plan §3.3</w:t>
            </w:r>
          </w:p>
        </w:tc>
        <w:tc>
          <w:tcPr/>
          <w:p>
            <w:pPr>
              <w:pStyle w:val="Compact"/>
              <w:jc w:val="left"/>
            </w:pPr>
            <w:r>
              <w:t xml:space="preserve">PE/embolization risk uncharacterized</w:t>
            </w:r>
          </w:p>
        </w:tc>
      </w:tr>
      <w:tr>
        <w:tc>
          <w:tcPr/>
          <w:p>
            <w:pPr>
              <w:pStyle w:val="Compact"/>
              <w:jc w:val="left"/>
            </w:pPr>
            <w:r>
              <w:t xml:space="preserve">15</w:t>
            </w:r>
          </w:p>
        </w:tc>
        <w:tc>
          <w:tcPr/>
          <w:p>
            <w:pPr>
              <w:pStyle w:val="Compact"/>
              <w:jc w:val="left"/>
            </w:pPr>
            <w:r>
              <w:t xml:space="preserve">Medium</w:t>
            </w:r>
          </w:p>
        </w:tc>
        <w:tc>
          <w:tcPr/>
          <w:p>
            <w:pPr>
              <w:pStyle w:val="Compact"/>
              <w:jc w:val="left"/>
            </w:pPr>
            <w:r>
              <w:t xml:space="preserve">No dynamic hemolysis test under impeller operation</w:t>
            </w:r>
          </w:p>
        </w:tc>
        <w:tc>
          <w:tcPr/>
          <w:p>
            <w:pPr>
              <w:pStyle w:val="Compact"/>
              <w:jc w:val="left"/>
            </w:pPr>
            <w:r>
              <w:t xml:space="preserve">Testing Plan §2.2; IFU Warning 3</w:t>
            </w:r>
          </w:p>
        </w:tc>
        <w:tc>
          <w:tcPr/>
          <w:p>
            <w:pPr>
              <w:pStyle w:val="Compact"/>
              <w:jc w:val="left"/>
            </w:pPr>
            <w:r>
              <w:t xml:space="preserve">Shear-induced hemolysis uncharacterized</w:t>
            </w:r>
          </w:p>
        </w:tc>
      </w:tr>
      <w:tr>
        <w:tc>
          <w:tcPr/>
          <w:p>
            <w:pPr>
              <w:pStyle w:val="Compact"/>
              <w:jc w:val="left"/>
            </w:pPr>
            <w:r>
              <w:t xml:space="preserve">16</w:t>
            </w:r>
          </w:p>
        </w:tc>
        <w:tc>
          <w:tcPr/>
          <w:p>
            <w:pPr>
              <w:pStyle w:val="Compact"/>
              <w:jc w:val="left"/>
            </w:pPr>
            <w:r>
              <w:t xml:space="preserve">Medium</w:t>
            </w:r>
          </w:p>
        </w:tc>
        <w:tc>
          <w:tcPr/>
          <w:p>
            <w:pPr>
              <w:pStyle w:val="Compact"/>
              <w:jc w:val="left"/>
            </w:pPr>
            <w:r>
              <w:t xml:space="preserve">Shelf-life/sterile-barrier validation missing (predicate had it)</w:t>
            </w:r>
          </w:p>
        </w:tc>
        <w:tc>
          <w:tcPr/>
          <w:p>
            <w:pPr>
              <w:pStyle w:val="Compact"/>
              <w:jc w:val="left"/>
            </w:pPr>
            <w:r>
              <w:t xml:space="preserve">Testing Plan §6; IFU §12; 510(k) Summary §5.4</w:t>
            </w:r>
          </w:p>
        </w:tc>
        <w:tc>
          <w:tcPr/>
          <w:p>
            <w:pPr>
              <w:pStyle w:val="Compact"/>
              <w:jc w:val="left"/>
            </w:pPr>
            <w:r>
              <w:t xml:space="preserve">Missing standard sterile-device data</w:t>
            </w:r>
          </w:p>
        </w:tc>
      </w:tr>
      <w:tr>
        <w:tc>
          <w:tcPr/>
          <w:p>
            <w:pPr>
              <w:pStyle w:val="Compact"/>
              <w:jc w:val="left"/>
            </w:pPr>
            <w:r>
              <w:t xml:space="preserve">17</w:t>
            </w:r>
          </w:p>
        </w:tc>
        <w:tc>
          <w:tcPr/>
          <w:p>
            <w:pPr>
              <w:pStyle w:val="Compact"/>
              <w:jc w:val="left"/>
            </w:pPr>
            <w:r>
              <w:t xml:space="preserve">Medium</w:t>
            </w:r>
          </w:p>
        </w:tc>
        <w:tc>
          <w:tcPr/>
          <w:p>
            <w:pPr>
              <w:pStyle w:val="Compact"/>
              <w:jc w:val="left"/>
            </w:pPr>
            <w:r>
              <w:t xml:space="preserve">Console reprocessing validation referenced but not specified</w:t>
            </w:r>
          </w:p>
        </w:tc>
        <w:tc>
          <w:tcPr/>
          <w:p>
            <w:pPr>
              <w:pStyle w:val="Compact"/>
              <w:jc w:val="left"/>
            </w:pPr>
            <w:r>
              <w:t xml:space="preserve">Testing Plan §6.1; IFU §11</w:t>
            </w:r>
          </w:p>
        </w:tc>
        <w:tc>
          <w:tcPr/>
          <w:p>
            <w:pPr>
              <w:pStyle w:val="Compact"/>
              <w:jc w:val="left"/>
            </w:pPr>
            <w:r>
              <w:t xml:space="preserve">Unvalidated reusable-device cleaning</w:t>
            </w:r>
          </w:p>
        </w:tc>
      </w:tr>
      <w:tr>
        <w:tc>
          <w:tcPr/>
          <w:p>
            <w:pPr>
              <w:pStyle w:val="Compact"/>
              <w:jc w:val="left"/>
            </w:pPr>
            <w:r>
              <w:t xml:space="preserve">18</w:t>
            </w:r>
          </w:p>
        </w:tc>
        <w:tc>
          <w:tcPr/>
          <w:p>
            <w:pPr>
              <w:pStyle w:val="Compact"/>
              <w:jc w:val="left"/>
            </w:pPr>
            <w:r>
              <w:t xml:space="preserve">Medium</w:t>
            </w:r>
          </w:p>
        </w:tc>
        <w:tc>
          <w:tcPr/>
          <w:p>
            <w:pPr>
              <w:pStyle w:val="Compact"/>
              <w:jc w:val="left"/>
            </w:pPr>
            <w:r>
              <w:t xml:space="preserve">Material inconsistencies — impeller 316L vs nitinol; barium sulfate/silicone errors</w:t>
            </w:r>
          </w:p>
        </w:tc>
        <w:tc>
          <w:tcPr/>
          <w:p>
            <w:pPr>
              <w:pStyle w:val="Compact"/>
              <w:jc w:val="left"/>
            </w:pPr>
            <w:r>
              <w:t xml:space="preserve">DD §2.2; Testing Plan §2.3; IFU §3; Synopsis §7.3</w:t>
            </w:r>
          </w:p>
        </w:tc>
        <w:tc>
          <w:tcPr/>
          <w:p>
            <w:pPr>
              <w:pStyle w:val="Compact"/>
              <w:jc w:val="left"/>
            </w:pPr>
            <w:r>
              <w:t xml:space="preserve">Wrong test articles; labeling errors</w:t>
            </w:r>
          </w:p>
        </w:tc>
      </w:tr>
      <w:tr>
        <w:tc>
          <w:tcPr/>
          <w:p>
            <w:pPr>
              <w:pStyle w:val="Compact"/>
              <w:jc w:val="left"/>
            </w:pPr>
            <w:r>
              <w:t xml:space="preserve">19</w:t>
            </w:r>
          </w:p>
        </w:tc>
        <w:tc>
          <w:tcPr/>
          <w:p>
            <w:pPr>
              <w:pStyle w:val="Compact"/>
              <w:jc w:val="left"/>
            </w:pPr>
            <w:r>
              <w:t xml:space="preserve">Medium</w:t>
            </w:r>
          </w:p>
        </w:tc>
        <w:tc>
          <w:tcPr/>
          <w:p>
            <w:pPr>
              <w:pStyle w:val="Compact"/>
              <w:jc w:val="left"/>
            </w:pPr>
            <w:r>
              <w:t xml:space="preserve">Console dimensions/weight inconsistent (40×35×20cm/15kg vs 30×25×15cm/4.5kg)</w:t>
            </w:r>
          </w:p>
        </w:tc>
        <w:tc>
          <w:tcPr/>
          <w:p>
            <w:pPr>
              <w:pStyle w:val="Compact"/>
              <w:jc w:val="left"/>
            </w:pPr>
            <w:r>
              <w:t xml:space="preserve">DD §2.3; IFU §13</w:t>
            </w:r>
          </w:p>
        </w:tc>
        <w:tc>
          <w:tcPr/>
          <w:p>
            <w:pPr>
              <w:pStyle w:val="Compact"/>
              <w:jc w:val="left"/>
            </w:pPr>
            <w:r>
              <w:t xml:space="preserve">Internal inconsistency</w:t>
            </w:r>
          </w:p>
        </w:tc>
      </w:tr>
      <w:tr>
        <w:tc>
          <w:tcPr/>
          <w:p>
            <w:pPr>
              <w:pStyle w:val="Compact"/>
              <w:jc w:val="left"/>
            </w:pPr>
            <w:r>
              <w:t xml:space="preserve">20</w:t>
            </w:r>
          </w:p>
        </w:tc>
        <w:tc>
          <w:tcPr/>
          <w:p>
            <w:pPr>
              <w:pStyle w:val="Compact"/>
              <w:jc w:val="left"/>
            </w:pPr>
            <w:r>
              <w:t xml:space="preserve">Low</w:t>
            </w:r>
          </w:p>
        </w:tc>
        <w:tc>
          <w:tcPr/>
          <w:p>
            <w:pPr>
              <w:pStyle w:val="Compact"/>
              <w:jc w:val="left"/>
            </w:pPr>
            <w:r>
              <w:t xml:space="preserve">Contact phone/email inconsistent</w:t>
            </w:r>
          </w:p>
        </w:tc>
        <w:tc>
          <w:tcPr/>
          <w:p>
            <w:pPr>
              <w:pStyle w:val="Compact"/>
              <w:jc w:val="left"/>
            </w:pPr>
            <w:r>
              <w:t xml:space="preserve">Cover letter; DD</w:t>
            </w:r>
          </w:p>
        </w:tc>
        <w:tc>
          <w:tcPr/>
          <w:p>
            <w:pPr>
              <w:pStyle w:val="Compact"/>
              <w:jc w:val="left"/>
            </w:pPr>
            <w:r>
              <w:t xml:space="preserve">Minor accuracy</w:t>
            </w:r>
          </w:p>
        </w:tc>
      </w:tr>
      <w:tr>
        <w:tc>
          <w:tcPr/>
          <w:p>
            <w:pPr>
              <w:pStyle w:val="Compact"/>
              <w:jc w:val="left"/>
            </w:pPr>
            <w:r>
              <w:t xml:space="preserve">21</w:t>
            </w:r>
          </w:p>
        </w:tc>
        <w:tc>
          <w:tcPr/>
          <w:p>
            <w:pPr>
              <w:pStyle w:val="Compact"/>
              <w:jc w:val="left"/>
            </w:pPr>
            <w:r>
              <w:t xml:space="preserve">Low</w:t>
            </w:r>
          </w:p>
        </w:tc>
        <w:tc>
          <w:tcPr/>
          <w:p>
            <w:pPr>
              <w:pStyle w:val="Compact"/>
              <w:jc w:val="left"/>
            </w:pPr>
            <w:r>
              <w:t xml:space="preserve">Withdrawn 2005 software guidance cited</w:t>
            </w:r>
          </w:p>
        </w:tc>
        <w:tc>
          <w:tcPr/>
          <w:p>
            <w:pPr>
              <w:pStyle w:val="Compact"/>
              <w:jc w:val="left"/>
            </w:pPr>
            <w:r>
              <w:t xml:space="preserve">DD §2.3, Refs; Testing Plan §5.2</w:t>
            </w:r>
          </w:p>
        </w:tc>
        <w:tc>
          <w:tcPr/>
          <w:p>
            <w:pPr>
              <w:pStyle w:val="Compact"/>
              <w:jc w:val="left"/>
            </w:pPr>
            <w:r>
              <w:t xml:space="preserve">Minor accuracy</w:t>
            </w:r>
          </w:p>
        </w:tc>
      </w:tr>
      <w:tr>
        <w:tc>
          <w:tcPr/>
          <w:p>
            <w:pPr>
              <w:pStyle w:val="Compact"/>
              <w:jc w:val="left"/>
            </w:pPr>
            <w:r>
              <w:t xml:space="preserve">22</w:t>
            </w:r>
          </w:p>
        </w:tc>
        <w:tc>
          <w:tcPr/>
          <w:p>
            <w:pPr>
              <w:pStyle w:val="Compact"/>
              <w:jc w:val="left"/>
            </w:pPr>
            <w:r>
              <w:t xml:space="preserve">Low</w:t>
            </w:r>
          </w:p>
        </w:tc>
        <w:tc>
          <w:tcPr/>
          <w:p>
            <w:pPr>
              <w:pStyle w:val="Compact"/>
              <w:jc w:val="left"/>
            </w:pPr>
            <w:r>
              <w:t xml:space="preserve">“</w:t>
            </w:r>
            <w:r>
              <w:t xml:space="preserve">Silicone</w:t>
            </w:r>
            <w:r>
              <w:t xml:space="preserve">”</w:t>
            </w:r>
            <w:r>
              <w:t xml:space="preserve"> </w:t>
            </w:r>
            <w:r>
              <w:t xml:space="preserve">in study exclusion (not a device material)</w:t>
            </w:r>
          </w:p>
        </w:tc>
        <w:tc>
          <w:tcPr/>
          <w:p>
            <w:pPr>
              <w:pStyle w:val="Compact"/>
              <w:jc w:val="left"/>
            </w:pPr>
            <w:r>
              <w:t xml:space="preserve">Synopsis §7.3</w:t>
            </w:r>
          </w:p>
        </w:tc>
        <w:tc>
          <w:tcPr/>
          <w:p>
            <w:pPr>
              <w:pStyle w:val="Compact"/>
              <w:jc w:val="left"/>
            </w:pPr>
            <w:r>
              <w:t xml:space="preserve">Minor accuracy</w:t>
            </w:r>
          </w:p>
        </w:tc>
      </w:tr>
      <w:tr>
        <w:tc>
          <w:tcPr/>
          <w:p>
            <w:pPr>
              <w:pStyle w:val="Compact"/>
              <w:jc w:val="left"/>
            </w:pPr>
            <w:r>
              <w:t xml:space="preserve">23</w:t>
            </w:r>
          </w:p>
        </w:tc>
        <w:tc>
          <w:tcPr/>
          <w:p>
            <w:pPr>
              <w:pStyle w:val="Compact"/>
              <w:jc w:val="left"/>
            </w:pPr>
            <w:r>
              <w:t xml:space="preserve">Low</w:t>
            </w:r>
          </w:p>
        </w:tc>
        <w:tc>
          <w:tcPr/>
          <w:p>
            <w:pPr>
              <w:pStyle w:val="Compact"/>
              <w:jc w:val="left"/>
            </w:pPr>
            <w:r>
              <w:t xml:space="preserve">Corporate/financial coordination (Braddock milestone, runway)</w:t>
            </w:r>
          </w:p>
        </w:tc>
        <w:tc>
          <w:tcPr/>
          <w:p>
            <w:pPr>
              <w:pStyle w:val="Compact"/>
              <w:jc w:val="left"/>
            </w:pPr>
            <w:r>
              <w:t xml:space="preserve">Emails</w:t>
            </w:r>
          </w:p>
        </w:tc>
        <w:tc>
          <w:tcPr/>
          <w:p>
            <w:pPr>
              <w:pStyle w:val="Compact"/>
              <w:jc w:val="left"/>
            </w:pPr>
            <w:r>
              <w:t xml:space="preserve">Strategic/corporate exposure</w:t>
            </w:r>
          </w:p>
        </w:tc>
      </w:tr>
    </w:tbl>
    <w:p>
      <w:r>
        <w:pict>
          <v:rect style="width:0;height:1.5pt" o:hralign="center" o:hrstd="t" o:hr="t"/>
        </w:pict>
      </w:r>
    </w:p>
    <w:bookmarkEnd w:id="51"/>
    <w:bookmarkStart w:id="52" w:name="v.-recommended-next-steps"/>
    <w:p>
      <w:pPr>
        <w:pStyle w:val="Heading2"/>
      </w:pPr>
      <w:r>
        <w:t xml:space="preserve">V. Recommended Next Steps</w:t>
      </w:r>
    </w:p>
    <w:p>
      <w:pPr>
        <w:numPr>
          <w:ilvl w:val="0"/>
          <w:numId w:val="1002"/>
        </w:numPr>
      </w:pPr>
      <w:r>
        <w:rPr>
          <w:b/>
          <w:bCs/>
        </w:rPr>
        <w:t xml:space="preserve">Decide and document the two open strategic questions before filing</w:t>
      </w:r>
      <w:r>
        <w:t xml:space="preserve"> </w:t>
      </w:r>
      <w:r>
        <w:t xml:space="preserve">(Issues 1 and 2): whether to add FDA questions on (a) combination-product status and (b) the IDE requirement. I recommend adding both, consistent with Ms. Pressman’s May 12 recommendation. Ms. Fessenden’s confirmation is needed.</w:t>
      </w:r>
    </w:p>
    <w:p>
      <w:pPr>
        <w:numPr>
          <w:ilvl w:val="0"/>
          <w:numId w:val="1002"/>
        </w:numPr>
      </w:pPr>
      <w:r>
        <w:rPr>
          <w:b/>
          <w:bCs/>
        </w:rPr>
        <w:t xml:space="preserve">Re-evaluate predicate selection</w:t>
      </w:r>
      <w:r>
        <w:t xml:space="preserve"> </w:t>
      </w:r>
      <w:r>
        <w:t xml:space="preserve">(Issue 3): correct the predicate’s intended-use misstatement in Table A-1 and the cover letter; investigate pharmacomechanical and rotating-impeller predicate/reference devices; cite or remove the unsupported</w:t>
      </w:r>
      <w:r>
        <w:t xml:space="preserve"> </w:t>
      </w:r>
      <w:r>
        <w:t xml:space="preserve">“</w:t>
      </w:r>
      <w:r>
        <w:t xml:space="preserve">rotating impeller has been employed in previously cleared devices</w:t>
      </w:r>
      <w:r>
        <w:t xml:space="preserve">”</w:t>
      </w:r>
      <w:r>
        <w:t xml:space="preserve"> </w:t>
      </w:r>
      <w:r>
        <w:t xml:space="preserve">assertion; prepare for a possible multi-predicate strategy.</w:t>
      </w:r>
    </w:p>
    <w:p>
      <w:pPr>
        <w:numPr>
          <w:ilvl w:val="0"/>
          <w:numId w:val="1002"/>
        </w:numPr>
      </w:pPr>
      <w:r>
        <w:rPr>
          <w:b/>
          <w:bCs/>
        </w:rPr>
        <w:t xml:space="preserve">Resolve the indications-for-use strategy</w:t>
      </w:r>
      <w:r>
        <w:t xml:space="preserve"> </w:t>
      </w:r>
      <w:r>
        <w:t xml:space="preserve">(Issue 4): make and consistently implement a documented decision on whether drug delivery is a co-primary indication or an ancillary feature; reconcile the age definition.</w:t>
      </w:r>
    </w:p>
    <w:p>
      <w:pPr>
        <w:numPr>
          <w:ilvl w:val="0"/>
          <w:numId w:val="1002"/>
        </w:numPr>
      </w:pPr>
      <w:r>
        <w:rPr>
          <w:b/>
          <w:bCs/>
        </w:rPr>
        <w:t xml:space="preserve">Reconcile the contact-duration / biocompatibility classification</w:t>
      </w:r>
      <w:r>
        <w:t xml:space="preserve"> </w:t>
      </w:r>
      <w:r>
        <w:t xml:space="preserve">(Issue 5): either reclassify as</w:t>
      </w:r>
      <w:r>
        <w:t xml:space="preserve"> </w:t>
      </w:r>
      <w:r>
        <w:t xml:space="preserve">“</w:t>
      </w:r>
      <w:r>
        <w:t xml:space="preserve">prolonged</w:t>
      </w:r>
      <w:r>
        <w:t xml:space="preserve">”</w:t>
      </w:r>
      <w:r>
        <w:t xml:space="preserve"> </w:t>
      </w:r>
      <w:r>
        <w:t xml:space="preserve">and add endpoints, or remove the 72-hour indwell claim.</w:t>
      </w:r>
    </w:p>
    <w:p>
      <w:pPr>
        <w:numPr>
          <w:ilvl w:val="0"/>
          <w:numId w:val="1002"/>
        </w:numPr>
      </w:pPr>
      <w:r>
        <w:rPr>
          <w:b/>
          <w:bCs/>
        </w:rPr>
        <w:t xml:space="preserve">Correct the testing-plan gaps before the Pre-Submission meeting</w:t>
      </w:r>
      <w:r>
        <w:t xml:space="preserve"> </w:t>
      </w:r>
      <w:r>
        <w:t xml:space="preserve">(Issues 6–11, 13–17): add EMC testing; add tPA compatibility testing; add a combined pharmacomechanical bench arm; fix the impeller fatigue test definition; reassess the software documentation level and validate hardware safety features; complete MRI testing; add distal-embolization and dynamic hemolysis evaluation; add shelf-life and console reprocessing validation.</w:t>
      </w:r>
    </w:p>
    <w:p>
      <w:pPr>
        <w:numPr>
          <w:ilvl w:val="0"/>
          <w:numId w:val="1002"/>
        </w:numPr>
      </w:pPr>
      <w:r>
        <w:rPr>
          <w:b/>
          <w:bCs/>
        </w:rPr>
        <w:t xml:space="preserve">Strengthen the clinical study design</w:t>
      </w:r>
      <w:r>
        <w:t xml:space="preserve"> </w:t>
      </w:r>
      <w:r>
        <w:t xml:space="preserve">(Issue 10): justify/revise the OPC; extend follow-up; finalize venographic scoring with a core lab; add a DSMB; adopt a standardized bleeding definition; reconcile tPA dose and flow rate — all contingent on the IDE determination.</w:t>
      </w:r>
    </w:p>
    <w:p>
      <w:pPr>
        <w:numPr>
          <w:ilvl w:val="0"/>
          <w:numId w:val="1002"/>
        </w:numPr>
      </w:pPr>
      <w:r>
        <w:rPr>
          <w:b/>
          <w:bCs/>
        </w:rPr>
        <w:t xml:space="preserve">Prepare a realistic timeline and coordinate with corporate counsel</w:t>
      </w:r>
      <w:r>
        <w:t xml:space="preserve"> </w:t>
      </w:r>
      <w:r>
        <w:t xml:space="preserve">(Issues 12 and 23): replace the December 31, 2025 clearance target with a defensible schedule (submission Q1 2026; clearance Q2 2026+); engage Kendrick &amp; Hale on the Braddock Ventures milestone.</w:t>
      </w:r>
    </w:p>
    <w:p>
      <w:pPr>
        <w:numPr>
          <w:ilvl w:val="0"/>
          <w:numId w:val="1002"/>
        </w:numPr>
      </w:pPr>
      <w:r>
        <w:rPr>
          <w:b/>
          <w:bCs/>
        </w:rPr>
        <w:t xml:space="preserve">Reconcile all factual inconsistencies</w:t>
      </w:r>
      <w:r>
        <w:t xml:space="preserve"> </w:t>
      </w:r>
      <w:r>
        <w:t xml:space="preserve">(Issues 18–22): impeller material, console dimensions, contact information, guidance citations, and exclusion-criterion materials.</w:t>
      </w:r>
    </w:p>
    <w:p>
      <w:pPr>
        <w:numPr>
          <w:ilvl w:val="0"/>
          <w:numId w:val="1002"/>
        </w:numPr>
      </w:pPr>
      <w:r>
        <w:rPr>
          <w:b/>
          <w:bCs/>
        </w:rPr>
        <w:t xml:space="preserve">Do not file on June 15 without items 1–3 resolved.</w:t>
      </w:r>
      <w:r>
        <w:t xml:space="preserve"> </w:t>
      </w:r>
      <w:r>
        <w:t xml:space="preserve">Items 4–8 can be addressed in parallel and reflected in the package before filing, with the most consequential (biocompatibility classification, EMC, impeller fatigue, drug-delivery testing) also raised as Pre-Submission questions so that FDA feedback informs the final protocols.</w:t>
      </w:r>
    </w:p>
    <w:p>
      <w:pPr>
        <w:pStyle w:val="FirstParagraph"/>
      </w:pPr>
      <w:r>
        <w:t xml:space="preserve">I am available to discuss any of the above and to assist with revisions to the cover letter questions, the SE analysis, and the clinical/IDE strategy.</w:t>
      </w:r>
    </w:p>
    <w:p>
      <w:pPr>
        <w:pStyle w:val="BodyText"/>
      </w:pPr>
      <w:r>
        <w:rPr>
          <w:i/>
          <w:iCs/>
        </w:rPr>
        <w:t xml:space="preserve">Prepared by Daniel J. Yoo, Senior Associate, Hargrove, Templeton &amp; Bliss LLP. Privileged &amp; Confidential — Attorney Work Product.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2026-06-23T05:36:57Z</dcterms:created>
  <dcterms:modified xsi:type="dcterms:W3CDTF">2026-06-23T05:36:57Z</dcterms:modified>
</cp:coreProperties>
</file>

<file path=docProps/custom.xml><?xml version="1.0" encoding="utf-8"?>
<Properties xmlns="http://schemas.openxmlformats.org/officeDocument/2006/custom-properties" xmlns:vt="http://schemas.openxmlformats.org/officeDocument/2006/docPropsVTypes"/>
</file>