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54" w:name="issue-memorandum"/>
    <w:p>
      <w:pPr>
        <w:pStyle w:val="Heading1"/>
      </w:pPr>
      <w:r>
        <w:t xml:space="preserve">ISSUE MEMORANDUM</w:t>
      </w:r>
    </w:p>
    <w:p>
      <w:pPr>
        <w:pStyle w:val="FirstParagraph"/>
      </w:pPr>
      <w:r>
        <w:rPr>
          <w:b/>
          <w:bCs/>
        </w:rPr>
        <w:t xml:space="preserve">To:</w:t>
      </w:r>
      <w:r>
        <w:t xml:space="preserve"> </w:t>
      </w:r>
      <w:r>
        <w:t xml:space="preserve">Katherine</w:t>
      </w:r>
      <w:r>
        <w:t xml:space="preserve"> </w:t>
      </w:r>
      <w:r>
        <w:t xml:space="preserve">“</w:t>
      </w:r>
      <w:r>
        <w:t xml:space="preserve">Kate</w:t>
      </w:r>
      <w:r>
        <w:t xml:space="preserve">”</w:t>
      </w:r>
      <w:r>
        <w:t xml:space="preserve"> </w:t>
      </w:r>
      <w:r>
        <w:t xml:space="preserve">Pressman, Partner (Hargrove, Templeton &amp; Bliss LLP); Linda Fessenden, VP Regulatory Affairs (Clearfield Medical Devices, Inc.); Dr. Evelyn Marsh, RAC, Principal Consultant (Ridgepoint Consulting Group)</w:t>
      </w:r>
    </w:p>
    <w:p>
      <w:pPr>
        <w:pStyle w:val="BodyText"/>
      </w:pPr>
      <w:r>
        <w:rPr>
          <w:b/>
          <w:bCs/>
        </w:rPr>
        <w:t xml:space="preserve">From:</w:t>
      </w:r>
      <w:r>
        <w:t xml:space="preserve"> </w:t>
      </w:r>
      <w:r>
        <w:t xml:space="preserve">Daniel J. Yoo, Senior Associate, Hargrove, Templeton &amp; Bliss LLP</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Comprehensive Review of Draft Pre-Submission (Q-Sub) Package — VascuClear 3000 Thrombectomy System — Prioritized Regulatory, Scientific, and Strategic Issues</w:t>
      </w:r>
    </w:p>
    <w:p>
      <w:pPr>
        <w:pStyle w:val="BodyText"/>
      </w:pPr>
      <w:r>
        <w:rPr>
          <w:b/>
          <w:bCs/>
        </w:rPr>
        <w:t xml:space="preserve">Prepared in response to:</w:t>
      </w:r>
      <w:r>
        <w:t xml:space="preserve"> </w:t>
      </w:r>
      <w:r>
        <w:t xml:space="preserve">Request of Katherine Pressman (email of May 12, 2025) to conduct a comprehensive review of the draft Pre-Submission package and prepare an issue memorandum identifying regulatory, scientific, and strategic deficiencies prior to finalization.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reports the results of a comprehensive review of the five documents comprising the draft Pre-Submission (Q-Sub) package for the VascuClear 3000 Thrombectomy System (the</w:t>
      </w:r>
      <w:r>
        <w:t xml:space="preserve"> </w:t>
      </w:r>
      <w:r>
        <w:t xml:space="preserve">“</w:t>
      </w:r>
      <w:r>
        <w:t xml:space="preserve">Device</w:t>
      </w:r>
      <w:r>
        <w:t xml:space="preserve">”</w:t>
      </w:r>
      <w:r>
        <w:t xml:space="preserve">), together with the predicate 510(k) summary and the internal strategy correspondence among Ms. Fessenden, Ms. Pressman, and Dr. Marsh. The documents reviewed are:</w:t>
      </w:r>
    </w:p>
    <w:p>
      <w:pPr>
        <w:pStyle w:val="Compact"/>
        <w:numPr>
          <w:ilvl w:val="0"/>
          <w:numId w:val="1001"/>
        </w:numPr>
      </w:pPr>
      <w:r>
        <w:t xml:space="preserve">Pre-Submission Cover Letter (presub-cover-letter.docx);</w:t>
      </w:r>
    </w:p>
    <w:p>
      <w:pPr>
        <w:pStyle w:val="Compact"/>
        <w:numPr>
          <w:ilvl w:val="0"/>
          <w:numId w:val="1001"/>
        </w:numPr>
      </w:pPr>
      <w:r>
        <w:t xml:space="preserve">Device Description and Predicate Comparison (device-description-predicate-comparison.docx);</w:t>
      </w:r>
    </w:p>
    <w:p>
      <w:pPr>
        <w:pStyle w:val="Compact"/>
        <w:numPr>
          <w:ilvl w:val="0"/>
          <w:numId w:val="1001"/>
        </w:numPr>
      </w:pPr>
      <w:r>
        <w:t xml:space="preserve">Proposed Testing Plan (proposed-testing-plan.docx);</w:t>
      </w:r>
    </w:p>
    <w:p>
      <w:pPr>
        <w:pStyle w:val="Compact"/>
        <w:numPr>
          <w:ilvl w:val="0"/>
          <w:numId w:val="1001"/>
        </w:numPr>
      </w:pPr>
      <w:r>
        <w:t xml:space="preserve">Clinical Study Synopsis (clinical-study-synopsis.docx);</w:t>
      </w:r>
    </w:p>
    <w:p>
      <w:pPr>
        <w:pStyle w:val="Compact"/>
        <w:numPr>
          <w:ilvl w:val="0"/>
          <w:numId w:val="1001"/>
        </w:numPr>
      </w:pPr>
      <w:r>
        <w:t xml:space="preserve">Draft Instructions for Use (draft-ifu-vasculear-3000.docx); and</w:t>
      </w:r>
    </w:p>
    <w:p>
      <w:pPr>
        <w:pStyle w:val="Compact"/>
        <w:numPr>
          <w:ilvl w:val="0"/>
          <w:numId w:val="1001"/>
        </w:numPr>
      </w:pPr>
      <w:r>
        <w:t xml:space="preserve">ThrombEx 200 (K192847) 510(k) Summary (thrombex-200-510k-summary.docx).</w:t>
      </w:r>
    </w:p>
    <w:p>
      <w:pPr>
        <w:pStyle w:val="FirstParagraph"/>
      </w:pPr>
      <w:r>
        <w:t xml:space="preserve">The review identifies</w:t>
      </w:r>
      <w:r>
        <w:t xml:space="preserve"> </w:t>
      </w:r>
      <w:r>
        <w:rPr>
          <w:b/>
          <w:bCs/>
        </w:rPr>
        <w:t xml:space="preserve">twenty-four (24) discrete issues</w:t>
      </w:r>
      <w:r>
        <w:t xml:space="preserve">, organized into three priority tiers.</w:t>
      </w:r>
      <w:r>
        <w:t xml:space="preserve"> </w:t>
      </w:r>
      <w:r>
        <w:rPr>
          <w:b/>
          <w:bCs/>
        </w:rPr>
        <w:t xml:space="preserve">Six (6) Tier 1 (Critical) issues</w:t>
      </w:r>
      <w:r>
        <w:t xml:space="preserve"> </w:t>
      </w:r>
      <w:r>
        <w:t xml:space="preserve">threaten the viability of the proposed regulatory pathway and must be resolved before the package is filed with FDA.</w:t>
      </w:r>
      <w:r>
        <w:t xml:space="preserve"> </w:t>
      </w:r>
      <w:r>
        <w:rPr>
          <w:b/>
          <w:bCs/>
        </w:rPr>
        <w:t xml:space="preserve">Nine (9) Tier 2 (High) issues</w:t>
      </w:r>
      <w:r>
        <w:t xml:space="preserve"> </w:t>
      </w:r>
      <w:r>
        <w:t xml:space="preserve">represent significant scientific or strategic deficiencies that FDA is likely to raise at the Pre-Submission meeting and that should be addressed in the package as filed.</w:t>
      </w:r>
      <w:r>
        <w:t xml:space="preserve"> </w:t>
      </w:r>
      <w:r>
        <w:rPr>
          <w:b/>
          <w:bCs/>
        </w:rPr>
        <w:t xml:space="preserve">Nine (9) Tier 3 (Medium) issues</w:t>
      </w:r>
      <w:r>
        <w:t xml:space="preserve"> </w:t>
      </w:r>
      <w:r>
        <w:t xml:space="preserve">are internal inconsistencies and gaps that should be reconciled to present a coherent, defensible package.</w:t>
      </w:r>
    </w:p>
    <w:p>
      <w:pPr>
        <w:pStyle w:val="BodyText"/>
      </w:pPr>
      <w:r>
        <w:t xml:space="preserve">The two threshold questions that Ms. Pressman flagged in the strategy correspondence — (a) whether the Device is a</w:t>
      </w:r>
      <w:r>
        <w:t xml:space="preserve"> </w:t>
      </w:r>
      <w:r>
        <w:rPr>
          <w:b/>
          <w:bCs/>
        </w:rPr>
        <w:t xml:space="preserve">combination product</w:t>
      </w:r>
      <w:r>
        <w:t xml:space="preserve"> </w:t>
      </w:r>
      <w:r>
        <w:t xml:space="preserve">under 21 CFR Part 3, and (b) whether the proposed clinical study requires an</w:t>
      </w:r>
      <w:r>
        <w:t xml:space="preserve"> </w:t>
      </w:r>
      <w:r>
        <w:rPr>
          <w:b/>
          <w:bCs/>
        </w:rPr>
        <w:t xml:space="preserve">Investigational Device Exemption (IDE)</w:t>
      </w:r>
      <w:r>
        <w:t xml:space="preserve"> </w:t>
      </w:r>
      <w:r>
        <w:t xml:space="preserve">under 21 CFR Part 812 — are, in my judgment, the most consequential issues in the package. Neither question is currently presented to FDA in the cover letter, and the package’s stated positions on both are, at minimum, debatable and in certain respects internally contradictory. I recommend that both questions be added to the cover letter’s Section VI before filing, as Ms. Pressman has already suggested.</w:t>
      </w:r>
    </w:p>
    <w:p>
      <w:pPr>
        <w:pStyle w:val="BodyText"/>
      </w:pPr>
      <w:r>
        <w:t xml:space="preserve">A second cluster of critical issues concerns the</w:t>
      </w:r>
      <w:r>
        <w:t xml:space="preserve"> </w:t>
      </w:r>
      <w:r>
        <w:rPr>
          <w:b/>
          <w:bCs/>
        </w:rPr>
        <w:t xml:space="preserve">substantial equivalence (SE) argument</w:t>
      </w:r>
      <w:r>
        <w:t xml:space="preserve">. The proposed predicate (ThrombEx 200, K192847) is a purely mechanical, single-lumen aspiration catheter with no rotating impeller, no mechanical maceration, and no drug delivery capability. The VascuClear 3000 adds both a rotating helical impeller operating at up to 12,000 RPM and an integrated thrombolytic infusion lumen. These are not minor variations; the predicate’s own 510(k) summary repeatedly emphasizes the absence of any drug delivery or maceration function. The SE argument as currently drafted does not adequately grapple with the possibility that these differences raise new questions of safety and effectiveness, and the package identifies no reference predicate for the drug delivery feature.</w:t>
      </w:r>
    </w:p>
    <w:p>
      <w:pPr>
        <w:pStyle w:val="BodyText"/>
      </w:pPr>
      <w:r>
        <w:t xml:space="preserve">Finally, the</w:t>
      </w:r>
      <w:r>
        <w:t xml:space="preserve"> </w:t>
      </w:r>
      <w:r>
        <w:rPr>
          <w:b/>
          <w:bCs/>
        </w:rPr>
        <w:t xml:space="preserve">program timeline is not reconcilable with the Braddock Ventures milestone</w:t>
      </w:r>
      <w:r>
        <w:t xml:space="preserve"> </w:t>
      </w:r>
      <w:r>
        <w:t xml:space="preserve">(510(k) clearance by December 31, 2025) under any realistic reading of the documents. This is a strategic and corporate-governance matter that should be escalated to Dr. Okonjo, the board, and Kendrick &amp; Hale LLP.</w:t>
      </w:r>
    </w:p>
    <w:p>
      <w:pPr>
        <w:pStyle w:val="BodyText"/>
      </w:pPr>
      <w:r>
        <w:t xml:space="preserve">A consolidated issue table appears at Appendix A.</w:t>
      </w:r>
    </w:p>
    <w:p>
      <w:r>
        <w:pict>
          <v:rect style="width:0;height:1.5pt" o:hralign="center" o:hrstd="t" o:hr="t"/>
        </w:pict>
      </w:r>
    </w:p>
    <w:bookmarkEnd w:id="21"/>
    <w:bookmarkStart w:id="22" w:name="ii.-scope-and-methodology"/>
    <w:p>
      <w:pPr>
        <w:pStyle w:val="Heading2"/>
      </w:pPr>
      <w:r>
        <w:t xml:space="preserve">II. Scope and Methodology</w:t>
      </w:r>
    </w:p>
    <w:p>
      <w:pPr>
        <w:pStyle w:val="FirstParagraph"/>
      </w:pPr>
      <w:r>
        <w:t xml:space="preserve">I reviewed each of the six documents listed above in full, cross-referenced factual statements and specifications across documents, and compared the proposed strategy against the predicate’s cleared labeling, the applicable classification regulation (21 CFR 870.1250), the combination product framework (21 CFR Part 3), the IDE framework (21 CFR Part 812), and the biocompatibility framework (ISO 10993-1:2018). I also reviewed the internal email chain among Ms. Fessenden, Ms. Pressman, and Dr. Marsh (April 22 – May 12, 2025) for context on the positions taken and the open questions.</w:t>
      </w:r>
    </w:p>
    <w:p>
      <w:pPr>
        <w:pStyle w:val="BodyText"/>
      </w:pPr>
      <w:r>
        <w:t xml:space="preserve">Each issue below is presented with: (i) a concise statement of the issue; (ii) the supporting analysis and document citations; (iii) the regulatory or scientific basis; and (iv) a recommended action. Priority tiers reflect my assessment of the issue’s potential to affect the regulatory pathway, the adequacy of the testing/clinical program, or the achievability of the corporate milestone.</w:t>
      </w:r>
    </w:p>
    <w:p>
      <w:r>
        <w:pict>
          <v:rect style="width:0;height:1.5pt" o:hralign="center" o:hrstd="t" o:hr="t"/>
        </w:pict>
      </w:r>
    </w:p>
    <w:bookmarkEnd w:id="22"/>
    <w:bookmarkStart w:id="29" w:name="Xd238b6ffc022c7f447d1ebaaeb8bf79b8c66c9e"/>
    <w:p>
      <w:pPr>
        <w:pStyle w:val="Heading2"/>
      </w:pPr>
      <w:r>
        <w:t xml:space="preserve">III. Tier 1 — Critical Issues (Resolve Before Filing)</w:t>
      </w:r>
    </w:p>
    <w:bookmarkStart w:id="23" w:name="Xd26671d3f4fba43b70935e43818b3922a39120c"/>
    <w:p>
      <w:pPr>
        <w:pStyle w:val="Heading3"/>
      </w:pPr>
      <w:r>
        <w:t xml:space="preserve">Issue 1 — Combination Product Classification Is Unresolved and Not Presented to FDA</w:t>
      </w:r>
    </w:p>
    <w:p>
      <w:pPr>
        <w:pStyle w:val="FirstParagraph"/>
      </w:pPr>
      <w:r>
        <w:rPr>
          <w:b/>
          <w:bCs/>
        </w:rPr>
        <w:t xml:space="preserve">Issue.</w:t>
      </w:r>
      <w:r>
        <w:t xml:space="preserve"> </w:t>
      </w:r>
      <w:r>
        <w:t xml:space="preserve">The package asserts, without qualification, that the VascuClear 3000 is not a combination product and proceeds on a traditional 510(k) pathway under product code GXD. The cover letter does not ask FDA whether the Device should be classified as a combination product under 21 CFR Part 3.</w:t>
      </w:r>
    </w:p>
    <w:p>
      <w:pPr>
        <w:pStyle w:val="BodyText"/>
      </w:pPr>
      <w:r>
        <w:rPr>
          <w:b/>
          <w:bCs/>
        </w:rPr>
        <w:t xml:space="preserve">Analysis.</w:t>
      </w:r>
      <w:r>
        <w:t xml:space="preserve"> </w:t>
      </w:r>
      <w:r>
        <w:t xml:space="preserve">The Device incorporates a</w:t>
      </w:r>
      <w:r>
        <w:t xml:space="preserve"> </w:t>
      </w:r>
      <w:r>
        <w:t xml:space="preserve">“</w:t>
      </w:r>
      <w:r>
        <w:t xml:space="preserve">proprietary integrated thrombolytic infusion lumen</w:t>
      </w:r>
      <w:r>
        <w:t xml:space="preserve">”</w:t>
      </w:r>
      <w:r>
        <w:t xml:space="preserve"> </w:t>
      </w:r>
      <w:r>
        <w:t xml:space="preserve">that is</w:t>
      </w:r>
      <w:r>
        <w:t xml:space="preserve"> </w:t>
      </w:r>
      <w:r>
        <w:t xml:space="preserve">“</w:t>
      </w:r>
      <w:r>
        <w:t xml:space="preserve">purpose-built</w:t>
      </w:r>
      <w:r>
        <w:t xml:space="preserve">”</w:t>
      </w:r>
      <w:r>
        <w:t xml:space="preserve"> </w:t>
      </w:r>
      <w:r>
        <w:t xml:space="preserve">for the local delivery of tPA (Device Description §2.1, §2.2(c); IFU §1, §9). The proposed indication expressly claims</w:t>
      </w:r>
      <w:r>
        <w:t xml:space="preserve"> </w:t>
      </w:r>
      <w:r>
        <w:t xml:space="preserve">“</w:t>
      </w:r>
      <w:r>
        <w:t xml:space="preserve">simultaneous local delivery of physician-specified thrombolytic agents</w:t>
      </w:r>
      <w:r>
        <w:t xml:space="preserve">”</w:t>
      </w:r>
      <w:r>
        <w:t xml:space="preserve"> </w:t>
      </w:r>
      <w:r>
        <w:t xml:space="preserve">as a therapeutic function (Cover Letter §IV; Device Description §2.4; IFU §2). The clinical study protocol calls for tPA (alteplase) administration through that lumen at 0.5–1.0 mg/hr (Clinical Synopsis §8.2, step 5). Under 21 CFR 3.2(e), a combination product includes a device</w:t>
      </w:r>
      <w:r>
        <w:t xml:space="preserve"> </w:t>
      </w:r>
      <w:r>
        <w:t xml:space="preserve">“</w:t>
      </w:r>
      <w:r>
        <w:t xml:space="preserve">intended for use with</w:t>
      </w:r>
      <w:r>
        <w:t xml:space="preserve">”</w:t>
      </w:r>
      <w:r>
        <w:t xml:space="preserve"> </w:t>
      </w:r>
      <w:r>
        <w:t xml:space="preserve">a drug where the device and drug are physically or otherwise combined or packaged together, or where the labeling of the device and drug cross-reference one another. The</w:t>
      </w:r>
      <w:r>
        <w:t xml:space="preserve"> </w:t>
      </w:r>
      <w:r>
        <w:t xml:space="preserve">“</w:t>
      </w:r>
      <w:r>
        <w:t xml:space="preserve">primary mode of action</w:t>
      </w:r>
      <w:r>
        <w:t xml:space="preserve">”</w:t>
      </w:r>
      <w:r>
        <w:t xml:space="preserve"> </w:t>
      </w:r>
      <w:r>
        <w:t xml:space="preserve">determination and the assignment of lead review center (CDRH vs. CDER) turn on this analysis.</w:t>
      </w:r>
    </w:p>
    <w:p>
      <w:pPr>
        <w:pStyle w:val="BodyText"/>
      </w:pPr>
      <w:r>
        <w:t xml:space="preserve">Dr. Marsh’s analogy to general-purpose infusion pumps (email of April 28, 2025) is, with respect, distinguishable. A general-purpose infusion pump is indicated for fluid delivery without reference to any specific drug or therapeutic effect. Here, the Device’s indication references a specific therapeutic</w:t>
      </w:r>
      <w:r>
        <w:t xml:space="preserve"> </w:t>
      </w:r>
      <w:r>
        <w:rPr>
          <w:i/>
          <w:iCs/>
        </w:rPr>
        <w:t xml:space="preserve">effect</w:t>
      </w:r>
      <w:r>
        <w:t xml:space="preserve"> </w:t>
      </w:r>
      <w:r>
        <w:t xml:space="preserve">(thrombolysis) achieved through a specific class of drugs (thrombolytics) delivered through a lumen engineered and positioned for that purpose. The fact that Clearfield does not supply the drug does not, by itself, resolve the question; the cross-labeling and the device’s intended use with a named drug class are independently relevant. Ms. Pressman has correctly flagged this distinction (email of May 5, 2025).</w:t>
      </w:r>
    </w:p>
    <w:p>
      <w:pPr>
        <w:pStyle w:val="BodyText"/>
      </w:pPr>
      <w:r>
        <w:t xml:space="preserve">Critically, the proposed predicate has</w:t>
      </w:r>
      <w:r>
        <w:t xml:space="preserve"> </w:t>
      </w:r>
      <w:r>
        <w:rPr>
          <w:b/>
          <w:bCs/>
        </w:rPr>
        <w:t xml:space="preserve">no drug delivery capability whatsoever</w:t>
      </w:r>
      <w:r>
        <w:t xml:space="preserve">. The ThrombEx 200 510(k) summary states three times that the device</w:t>
      </w:r>
      <w:r>
        <w:t xml:space="preserve"> </w:t>
      </w:r>
      <w:r>
        <w:t xml:space="preserve">“</w:t>
      </w:r>
      <w:r>
        <w:t xml:space="preserve">does not deliver any pharmaceutical agents, thrombolytic drugs, or therapeutic substances,</w:t>
      </w:r>
      <w:r>
        <w:t xml:space="preserve">”</w:t>
      </w:r>
      <w:r>
        <w:t xml:space="preserve"> </w:t>
      </w:r>
      <w:r>
        <w:t xml:space="preserve">has</w:t>
      </w:r>
      <w:r>
        <w:t xml:space="preserve"> </w:t>
      </w:r>
      <w:r>
        <w:t xml:space="preserve">“</w:t>
      </w:r>
      <w:r>
        <w:t xml:space="preserve">no drug delivery lumen, no infusion port,</w:t>
      </w:r>
      <w:r>
        <w:t xml:space="preserve">”</w:t>
      </w:r>
      <w:r>
        <w:t xml:space="preserve"> </w:t>
      </w:r>
      <w:r>
        <w:t xml:space="preserve">and is</w:t>
      </w:r>
      <w:r>
        <w:t xml:space="preserve"> </w:t>
      </w:r>
      <w:r>
        <w:t xml:space="preserve">“</w:t>
      </w:r>
      <w:r>
        <w:t xml:space="preserve">not indicated for use in conjunction with any drug delivery or drug infusion procedure</w:t>
      </w:r>
      <w:r>
        <w:t xml:space="preserve">”</w:t>
      </w:r>
      <w:r>
        <w:t xml:space="preserve"> </w:t>
      </w:r>
      <w:r>
        <w:t xml:space="preserve">(K192847 Summary §§2, 3.1, 6). The decision record expressly lists</w:t>
      </w:r>
      <w:r>
        <w:t xml:space="preserve"> </w:t>
      </w:r>
      <w:r>
        <w:t xml:space="preserve">“</w:t>
      </w:r>
      <w:r>
        <w:t xml:space="preserve">Combination Product: No.</w:t>
      </w:r>
      <w:r>
        <w:t xml:space="preserve">”</w:t>
      </w:r>
      <w:r>
        <w:t xml:space="preserve"> </w:t>
      </w:r>
      <w:r>
        <w:t xml:space="preserve">There is therefore</w:t>
      </w:r>
      <w:r>
        <w:t xml:space="preserve"> </w:t>
      </w:r>
      <w:r>
        <w:rPr>
          <w:b/>
          <w:bCs/>
        </w:rPr>
        <w:t xml:space="preserve">no predicate precedent</w:t>
      </w:r>
      <w:r>
        <w:t xml:space="preserve"> </w:t>
      </w:r>
      <w:r>
        <w:t xml:space="preserve">for the pharmacomechanical approach within the GXD product code family as presented.</w:t>
      </w:r>
    </w:p>
    <w:p>
      <w:pPr>
        <w:pStyle w:val="BodyText"/>
      </w:pPr>
      <w:r>
        <w:rPr>
          <w:b/>
          <w:bCs/>
        </w:rPr>
        <w:t xml:space="preserve">Regulatory basis.</w:t>
      </w:r>
      <w:r>
        <w:t xml:space="preserve"> </w:t>
      </w:r>
      <w:r>
        <w:t xml:space="preserve">21 CFR Part 3 (combination products); 21 CFR 3.2(e); FDA guidance,</w:t>
      </w:r>
      <w:r>
        <w:t xml:space="preserve"> </w:t>
      </w:r>
      <w:r>
        <w:rPr>
          <w:i/>
          <w:iCs/>
        </w:rPr>
        <w:t xml:space="preserve">How to Write a Request for Designation</w:t>
      </w:r>
      <w:r>
        <w:t xml:space="preserve">; the Office of Combination Products (OCP) review framework.</w:t>
      </w:r>
    </w:p>
    <w:p>
      <w:pPr>
        <w:pStyle w:val="BodyText"/>
      </w:pPr>
      <w:r>
        <w:rPr>
          <w:b/>
          <w:bCs/>
        </w:rPr>
        <w:t xml:space="preserve">Recommendation.</w:t>
      </w:r>
      <w:r>
        <w:t xml:space="preserve"> </w:t>
      </w:r>
      <w:r>
        <w:t xml:space="preserve">Add a question to Cover Letter §VI asking FDA directly whether the VascuClear 3000, as designed with an integrated drug delivery lumen and as indicated for simultaneous local delivery of thrombolytic agents, should be classified as a combination product and, if so, which center should be assigned as lead. State Clearfield’s position (not a combination product) but request FDA’s concurrence. This is</w:t>
      </w:r>
      <w:r>
        <w:t xml:space="preserve"> </w:t>
      </w:r>
      <w:r>
        <w:t xml:space="preserve">“</w:t>
      </w:r>
      <w:r>
        <w:t xml:space="preserve">cheap insurance,</w:t>
      </w:r>
      <w:r>
        <w:t xml:space="preserve">”</w:t>
      </w:r>
      <w:r>
        <w:t xml:space="preserve"> </w:t>
      </w:r>
      <w:r>
        <w:t xml:space="preserve">as Ms. Pressman observed. If FDA’s view differs, the review pathway, division, timeline, and special controls could change materially, and the Braddock milestone becomes unachievable under the current plan.</w:t>
      </w:r>
    </w:p>
    <w:bookmarkEnd w:id="23"/>
    <w:bookmarkStart w:id="24" w:name="X440a0c69899c036efaabcb4b1ed13dc5592122d"/>
    <w:p>
      <w:pPr>
        <w:pStyle w:val="Heading3"/>
      </w:pPr>
      <w:r>
        <w:t xml:space="preserve">Issue 2 — IDE Requirement for the Clinical Study Is Not Resolved and Is Internally Contradictory</w:t>
      </w:r>
    </w:p>
    <w:p>
      <w:pPr>
        <w:pStyle w:val="FirstParagraph"/>
      </w:pPr>
      <w:r>
        <w:rPr>
          <w:b/>
          <w:bCs/>
        </w:rPr>
        <w:t xml:space="preserve">Issue.</w:t>
      </w:r>
      <w:r>
        <w:t xml:space="preserve"> </w:t>
      </w:r>
      <w:r>
        <w:t xml:space="preserve">The Clinical Study Synopsis (§6) characterizes the study as a</w:t>
      </w:r>
      <w:r>
        <w:t xml:space="preserve"> </w:t>
      </w:r>
      <w:r>
        <w:t xml:space="preserve">“</w:t>
      </w:r>
      <w:r>
        <w:t xml:space="preserve">post-clearance data collection effort</w:t>
      </w:r>
      <w:r>
        <w:t xml:space="preserve">”</w:t>
      </w:r>
      <w:r>
        <w:t xml:space="preserve"> </w:t>
      </w:r>
      <w:r>
        <w:t xml:space="preserve">and states that</w:t>
      </w:r>
      <w:r>
        <w:t xml:space="preserve"> </w:t>
      </w:r>
      <w:r>
        <w:t xml:space="preserve">“</w:t>
      </w:r>
      <w:r>
        <w:t xml:space="preserve">no IDE is anticipated</w:t>
      </w:r>
      <w:r>
        <w:t xml:space="preserve">”</w:t>
      </w:r>
      <w:r>
        <w:t xml:space="preserve"> </w:t>
      </w:r>
      <w:r>
        <w:t xml:space="preserve">because</w:t>
      </w:r>
      <w:r>
        <w:t xml:space="preserve"> </w:t>
      </w:r>
      <w:r>
        <w:t xml:space="preserve">“</w:t>
      </w:r>
      <w:r>
        <w:t xml:space="preserve">the VascuClear 3000 is expected to have received 510(k) clearance prior to study initiation.</w:t>
      </w:r>
      <w:r>
        <w:t xml:space="preserve">”</w:t>
      </w:r>
      <w:r>
        <w:t xml:space="preserve"> </w:t>
      </w:r>
      <w:r>
        <w:t xml:space="preserve">The cover letter does not ask FDA whether an IDE is required.</w:t>
      </w:r>
    </w:p>
    <w:p>
      <w:pPr>
        <w:pStyle w:val="BodyText"/>
      </w:pPr>
      <w:r>
        <w:rPr>
          <w:b/>
          <w:bCs/>
        </w:rPr>
        <w:t xml:space="preserve">Analysis.</w:t>
      </w:r>
      <w:r>
        <w:t xml:space="preserve"> </w:t>
      </w:r>
      <w:r>
        <w:t xml:space="preserve">This characterization is internally contradictory and, in my view, not defensible as drafted. The same synopsis states that the clinical data</w:t>
      </w:r>
      <w:r>
        <w:t xml:space="preserve"> </w:t>
      </w:r>
      <w:r>
        <w:t xml:space="preserve">“</w:t>
      </w:r>
      <w:r>
        <w:t xml:space="preserve">is intended to support the 510(k) submission</w:t>
      </w:r>
      <w:r>
        <w:t xml:space="preserve">”</w:t>
      </w:r>
      <w:r>
        <w:t xml:space="preserve"> </w:t>
      </w:r>
      <w:r>
        <w:t xml:space="preserve">(§3) and that the study is designed</w:t>
      </w:r>
      <w:r>
        <w:t xml:space="preserve"> </w:t>
      </w:r>
      <w:r>
        <w:t xml:space="preserve">“</w:t>
      </w:r>
      <w:r>
        <w:t xml:space="preserve">to generate supportive clinical evidence</w:t>
      </w:r>
      <w:r>
        <w:t xml:space="preserve">”</w:t>
      </w:r>
      <w:r>
        <w:t xml:space="preserve"> </w:t>
      </w:r>
      <w:r>
        <w:t xml:space="preserve">for the submission (§3, §6). A study cannot simultaneously be (a) post-clearance and (b) conducted to generate data supporting a submission that has not yet been cleared. The Device has not received 510(k) clearance; therefore, any clinical use of the Device in the study is use of an investigational device.</w:t>
      </w:r>
    </w:p>
    <w:p>
      <w:pPr>
        <w:pStyle w:val="BodyText"/>
      </w:pPr>
      <w:r>
        <w:t xml:space="preserve">Under 21 CFR 812.3(m), an</w:t>
      </w:r>
      <w:r>
        <w:t xml:space="preserve"> </w:t>
      </w:r>
      <w:r>
        <w:t xml:space="preserve">“</w:t>
      </w:r>
      <w:r>
        <w:t xml:space="preserve">investigational device</w:t>
      </w:r>
      <w:r>
        <w:t xml:space="preserve">”</w:t>
      </w:r>
      <w:r>
        <w:t xml:space="preserve"> </w:t>
      </w:r>
      <w:r>
        <w:t xml:space="preserve">is a device</w:t>
      </w:r>
      <w:r>
        <w:t xml:space="preserve"> </w:t>
      </w:r>
      <w:r>
        <w:t xml:space="preserve">“</w:t>
      </w:r>
      <w:r>
        <w:t xml:space="preserve">that is the object of an investigation.</w:t>
      </w:r>
      <w:r>
        <w:t xml:space="preserve">”</w:t>
      </w:r>
      <w:r>
        <w:t xml:space="preserve"> </w:t>
      </w:r>
      <w:r>
        <w:t xml:space="preserve">Under 21 CFR 812.2, a device study is either subject to full IDE requirements (significant risk), the abbreviated IDE requirements (non-significant risk, 21 CFR 812.2(b)), or exempt. The study involves (i) an uncleared device with a rotating 12,000 RPM impeller in a blood vessel, (ii) concurrent tPA infusion through the device lumen, and (iii) an optional 72-hour indwell period. Whether this is a significant-risk (SR) or non-significant-risk (NSR) device study is a determination that must be made — and, for an SR study, FDA must approve an IDE before enrollment (21 CFR 812.20, 812.30). Dr. Marsh’s position that the IRBs will classify the study as NSR (email of May 9, 2025) may prove correct, but the SR/NSR determination for a device study is ultimately subject to FDA oversight, and an erroneous NSR determination by an IRB can be overridden by FDA with significant consequences.</w:t>
      </w:r>
    </w:p>
    <w:p>
      <w:pPr>
        <w:pStyle w:val="BodyText"/>
      </w:pPr>
      <w:r>
        <w:t xml:space="preserve">The cover letter’s omission of an IDE question is the more significant gap. Ms. Pressman has recommended asking FDA whether an IDE is required (email of May 12, 2025). I concur.</w:t>
      </w:r>
    </w:p>
    <w:p>
      <w:pPr>
        <w:pStyle w:val="BodyText"/>
      </w:pPr>
      <w:r>
        <w:rPr>
          <w:b/>
          <w:bCs/>
        </w:rPr>
        <w:t xml:space="preserve">Regulatory basis.</w:t>
      </w:r>
      <w:r>
        <w:t xml:space="preserve"> </w:t>
      </w:r>
      <w:r>
        <w:t xml:space="preserve">21 CFR Part 812 (IDE); 21 CFR 812.3(m) (definition of investigational device); 21 CFR 812.2(b) (abbreviated IDE requirements for NSR studies); 21 CFR 812.20/.30 (SR IDE application and FDA approval); FDA guidance,</w:t>
      </w:r>
      <w:r>
        <w:t xml:space="preserve"> </w:t>
      </w:r>
      <w:r>
        <w:rPr>
          <w:i/>
          <w:iCs/>
        </w:rPr>
        <w:t xml:space="preserve">Significant Risk and Nonsignificant Risk Medical Device Studies</w:t>
      </w:r>
      <w:r>
        <w:t xml:space="preserve">.</w:t>
      </w:r>
    </w:p>
    <w:p>
      <w:pPr>
        <w:pStyle w:val="BodyText"/>
      </w:pPr>
      <w:r>
        <w:rPr>
          <w:b/>
          <w:bCs/>
        </w:rPr>
        <w:t xml:space="preserve">Recommendation.</w:t>
      </w:r>
      <w:r>
        <w:t xml:space="preserve"> </w:t>
      </w:r>
      <w:r>
        <w:t xml:space="preserve">(a) Add a question to Cover Letter §VI asking FDA whether an IDE is required for the proposed clinical study design and, if so, whether the study would be considered significant risk. (b) Revise the Clinical Study Synopsis §6 to remove the</w:t>
      </w:r>
      <w:r>
        <w:t xml:space="preserve"> </w:t>
      </w:r>
      <w:r>
        <w:t xml:space="preserve">“</w:t>
      </w:r>
      <w:r>
        <w:t xml:space="preserve">post-clearance</w:t>
      </w:r>
      <w:r>
        <w:t xml:space="preserve">”</w:t>
      </w:r>
      <w:r>
        <w:t xml:space="preserve"> </w:t>
      </w:r>
      <w:r>
        <w:t xml:space="preserve">characterization, which is contradicted by the study’s stated purpose. The synopsis should instead acknowledge that the study is a pre-clearance clinical investigation and describe the proposed IDE/IRB strategy candidly. (c) Confirm with Stonebridge CRO that IRB submissions will not be initiated until the IDE/NSR question is resolved.</w:t>
      </w:r>
    </w:p>
    <w:bookmarkEnd w:id="24"/>
    <w:bookmarkStart w:id="25" w:name="X6b91fd13153dccd0b7a9101ee56a957ef75bef5"/>
    <w:p>
      <w:pPr>
        <w:pStyle w:val="Heading3"/>
      </w:pPr>
      <w:r>
        <w:t xml:space="preserve">Issue 3 — Substantial Equivalence Argument Is Weak; Predicate Lacks Both the Maceration and Drug Delivery Features</w:t>
      </w:r>
    </w:p>
    <w:p>
      <w:pPr>
        <w:pStyle w:val="FirstParagraph"/>
      </w:pPr>
      <w:r>
        <w:rPr>
          <w:b/>
          <w:bCs/>
        </w:rPr>
        <w:t xml:space="preserve">Issue.</w:t>
      </w:r>
      <w:r>
        <w:t xml:space="preserve"> </w:t>
      </w:r>
      <w:r>
        <w:t xml:space="preserve">The SE argument (Device Description §§4–5) asserts that the technological differences between the VascuClear 3000 and the ThrombEx 200</w:t>
      </w:r>
      <w:r>
        <w:t xml:space="preserve"> </w:t>
      </w:r>
      <w:r>
        <w:t xml:space="preserve">“</w:t>
      </w:r>
      <w:r>
        <w:t xml:space="preserve">do not raise new questions of safety and effectiveness.</w:t>
      </w:r>
      <w:r>
        <w:t xml:space="preserve">”</w:t>
      </w:r>
      <w:r>
        <w:t xml:space="preserve"> </w:t>
      </w:r>
      <w:r>
        <w:t xml:space="preserve">The two principal differences — a rotating helical impeller (mechanical maceration) and an integrated thrombolytic infusion lumen (drug delivery) — are precisely the features that distinguish the Device, and the predicate has neither.</w:t>
      </w:r>
    </w:p>
    <w:p>
      <w:pPr>
        <w:pStyle w:val="BodyText"/>
      </w:pPr>
      <w:r>
        <w:rPr>
          <w:b/>
          <w:bCs/>
        </w:rPr>
        <w:t xml:space="preserve">Analysis.</w:t>
      </w:r>
      <w:r>
        <w:t xml:space="preserve"> </w:t>
      </w:r>
      <w:r>
        <w:t xml:space="preserve">The predicate is a single-lumen, purely hydrodynamic (Bernoulli-effect) aspiration catheter. The K192847 summary is emphatic and repeated: the ThrombEx 200 has</w:t>
      </w:r>
      <w:r>
        <w:t xml:space="preserve"> </w:t>
      </w:r>
      <w:r>
        <w:t xml:space="preserve">“</w:t>
      </w:r>
      <w:r>
        <w:t xml:space="preserve">no rotating impeller, no mechanical maceration component, no helical element,</w:t>
      </w:r>
      <w:r>
        <w:t xml:space="preserve">”</w:t>
      </w:r>
      <w:r>
        <w:t xml:space="preserve"> </w:t>
      </w:r>
      <w:r>
        <w:t xml:space="preserve">“</w:t>
      </w:r>
      <w:r>
        <w:t xml:space="preserve">does not actively macerate, shear, or mechanically fragment thrombus,</w:t>
      </w:r>
      <w:r>
        <w:t xml:space="preserve">”</w:t>
      </w:r>
      <w:r>
        <w:t xml:space="preserve"> </w:t>
      </w:r>
      <w:r>
        <w:t xml:space="preserve">and has</w:t>
      </w:r>
      <w:r>
        <w:t xml:space="preserve"> </w:t>
      </w:r>
      <w:r>
        <w:t xml:space="preserve">“</w:t>
      </w:r>
      <w:r>
        <w:t xml:space="preserve">no drug delivery lumen, no infusion port for thrombolytic agents, and no capability for simultaneous or sequential drug delivery</w:t>
      </w:r>
      <w:r>
        <w:t xml:space="preserve">”</w:t>
      </w:r>
      <w:r>
        <w:t xml:space="preserve"> </w:t>
      </w:r>
      <w:r>
        <w:t xml:space="preserve">(K192847 Summary §§3.1, 3.3, 6). The Device Description acknowledges these differences (§4.3) but treats them as</w:t>
      </w:r>
      <w:r>
        <w:t xml:space="preserve"> </w:t>
      </w:r>
      <w:r>
        <w:t xml:space="preserve">“</w:t>
      </w:r>
      <w:r>
        <w:t xml:space="preserve">well-understood variations</w:t>
      </w:r>
      <w:r>
        <w:t xml:space="preserve">”</w:t>
      </w:r>
      <w:r>
        <w:t xml:space="preserve"> </w:t>
      </w:r>
      <w:r>
        <w:t xml:space="preserve">without identifying any cleared predicate that combines mechanical maceration with drug delivery in a single venous thrombectomy platform.</w:t>
      </w:r>
    </w:p>
    <w:p>
      <w:pPr>
        <w:pStyle w:val="BodyText"/>
      </w:pPr>
      <w:r>
        <w:t xml:space="preserve">Under the 510(k) framework (FDA guidance,</w:t>
      </w:r>
      <w:r>
        <w:t xml:space="preserve"> </w:t>
      </w:r>
      <w:r>
        <w:rPr>
          <w:i/>
          <w:iCs/>
        </w:rPr>
        <w:t xml:space="preserve">The 510(k) Program: Evaluating Substantial Equivalence</w:t>
      </w:r>
      <w:r>
        <w:t xml:space="preserve">, July 28, 2014), if the technological differences raise new questions of safety and effectiveness, the device is not eligible for 510(k) clearance (it would require a de novo or PMA pathway). The rotating impeller at 12,000 RPM introduces distinct hazards (hemolysis, particulate generation, impeller fracture/embolization, vessel wall injury) that the predicate’s clearance did not address. The drug delivery lumen introduces an entirely new intended function with no predicate basis. The package’s assertion that</w:t>
      </w:r>
      <w:r>
        <w:t xml:space="preserve"> </w:t>
      </w:r>
      <w:r>
        <w:t xml:space="preserve">“</w:t>
      </w:r>
      <w:r>
        <w:t xml:space="preserve">multiple FDA-cleared devices utilize rotational or impeller-based approaches</w:t>
      </w:r>
      <w:r>
        <w:t xml:space="preserve">”</w:t>
      </w:r>
      <w:r>
        <w:t xml:space="preserve"> </w:t>
      </w:r>
      <w:r>
        <w:t xml:space="preserve">(Device Description §4.3) is asserted without citation to any specific cleared device within the GXD family, and no such device is offered as a reference predicate.</w:t>
      </w:r>
    </w:p>
    <w:p>
      <w:pPr>
        <w:pStyle w:val="BodyText"/>
      </w:pPr>
      <w:r>
        <w:t xml:space="preserve">Additional SE concerns: (i) the aspiration mechanism differs fundamentally (powered pump at −650 mmHg vs. Bernoulli-effect at −250 to −350 mmHg per the predicate summary); (ii) the catheter is larger (10 Fr vs. 8 Fr) and longer (65 cm vs. 55 cm); (iii) the proposed indication is</w:t>
      </w:r>
      <w:r>
        <w:t xml:space="preserve"> </w:t>
      </w:r>
      <w:r>
        <w:rPr>
          <w:i/>
          <w:iCs/>
        </w:rPr>
        <w:t xml:space="preserve">narrower</w:t>
      </w:r>
      <w:r>
        <w:t xml:space="preserve"> </w:t>
      </w:r>
      <w:r>
        <w:t xml:space="preserve">anatomically (iliofemoral venous segment) but</w:t>
      </w:r>
      <w:r>
        <w:t xml:space="preserve"> </w:t>
      </w:r>
      <w:r>
        <w:rPr>
          <w:i/>
          <w:iCs/>
        </w:rPr>
        <w:t xml:space="preserve">broader</w:t>
      </w:r>
      <w:r>
        <w:t xml:space="preserve"> </w:t>
      </w:r>
      <w:r>
        <w:t xml:space="preserve">functionally (adds drug delivery) than the predicate’s cleared indication (</w:t>
      </w:r>
      <w:r>
        <w:t xml:space="preserve">“</w:t>
      </w:r>
      <w:r>
        <w:t xml:space="preserve">percutaneous removal of thrombus from the peripheral vasculature,</w:t>
      </w:r>
      <w:r>
        <w:t xml:space="preserve">”</w:t>
      </w:r>
      <w:r>
        <w:t xml:space="preserve"> </w:t>
      </w:r>
      <w:r>
        <w:t xml:space="preserve">which the predicate summary confirms includes both arterial and venous peripheral vasculature).</w:t>
      </w:r>
    </w:p>
    <w:p>
      <w:pPr>
        <w:pStyle w:val="BodyText"/>
      </w:pPr>
      <w:r>
        <w:rPr>
          <w:b/>
          <w:bCs/>
        </w:rPr>
        <w:t xml:space="preserve">Regulatory basis.</w:t>
      </w:r>
      <w:r>
        <w:t xml:space="preserve"> </w:t>
      </w:r>
      <w:r>
        <w:t xml:space="preserve">21 CFR 807.92; 21 CFR 870.1250; FDA guidance,</w:t>
      </w:r>
      <w:r>
        <w:t xml:space="preserve"> </w:t>
      </w:r>
      <w:r>
        <w:rPr>
          <w:i/>
          <w:iCs/>
        </w:rPr>
        <w:t xml:space="preserve">The 510(k) Program: Evaluating Substantial Equivalence in Premarket Notifications</w:t>
      </w:r>
      <w:r>
        <w:t xml:space="preserve"> </w:t>
      </w:r>
      <w:r>
        <w:t xml:space="preserve">(July 28, 2014);</w:t>
      </w:r>
      <w:r>
        <w:t xml:space="preserve"> </w:t>
      </w:r>
      <w:r>
        <w:rPr>
          <w:i/>
          <w:iCs/>
        </w:rPr>
        <w:t xml:space="preserve">Guidance for Industry and FDA Staff — The 510(k) Program</w:t>
      </w:r>
      <w:r>
        <w:t xml:space="preserve">.</w:t>
      </w:r>
    </w:p>
    <w:p>
      <w:pPr>
        <w:pStyle w:val="BodyText"/>
      </w:pPr>
      <w:r>
        <w:rPr>
          <w:b/>
          <w:bCs/>
        </w:rPr>
        <w:t xml:space="preserve">Recommendation.</w:t>
      </w:r>
      <w:r>
        <w:t xml:space="preserve"> </w:t>
      </w:r>
      <w:r>
        <w:t xml:space="preserve">(a) Strengthen the SE discussion by identifying and citing at least one specific cleared reference device that employs a rotating impeller / mechanical maceration mechanism for venous thrombectomy, and (if available) one cleared device with an integrated infusion lumen for local drug delivery, even if under a different product code. (b) Add these as reference devices in the comparison. (c) Reframe the SE argument to acknowledge candidly that the drug delivery feature is a new technological characteristic and explain why it does not raise new questions of safety and effectiveness (or, alternatively, be prepared for FDA to require additional data). (d) Be prepared for the possibility that FDA will not concur that the ThrombEx 200 alone is an adequate predicate and may recommend a different or additional predicate — which the cover letter already implicitly invites (Q1, Q6).</w:t>
      </w:r>
    </w:p>
    <w:bookmarkEnd w:id="25"/>
    <w:bookmarkStart w:id="26" w:name="X9b9bd4fa4e8404d6f9aab16ad675b51c888fd17"/>
    <w:p>
      <w:pPr>
        <w:pStyle w:val="Heading3"/>
      </w:pPr>
      <w:r>
        <w:t xml:space="preserve">Issue 4 — Biocompatibility Contact Duration Is Misclassified (Limited vs. Prolonged); Excluded Endpoints May Be Required</w:t>
      </w:r>
    </w:p>
    <w:p>
      <w:pPr>
        <w:pStyle w:val="FirstParagraph"/>
      </w:pPr>
      <w:r>
        <w:rPr>
          <w:b/>
          <w:bCs/>
        </w:rPr>
        <w:t xml:space="preserve">Issue.</w:t>
      </w:r>
      <w:r>
        <w:t xml:space="preserve"> </w:t>
      </w:r>
      <w:r>
        <w:t xml:space="preserve">The Proposed Testing Plan (§2.1, §2.2) and the Device Description (§4.4) classify the VascuClear Catheter as a blood-contacting device with</w:t>
      </w:r>
      <w:r>
        <w:t xml:space="preserve"> </w:t>
      </w:r>
      <w:r>
        <w:rPr>
          <w:b/>
          <w:bCs/>
        </w:rPr>
        <w:t xml:space="preserve">“</w:t>
      </w:r>
      <w:r>
        <w:rPr>
          <w:b/>
          <w:bCs/>
        </w:rPr>
        <w:t xml:space="preserve">limited</w:t>
      </w:r>
      <w:r>
        <w:rPr>
          <w:b/>
          <w:bCs/>
        </w:rPr>
        <w:t xml:space="preserve">”</w:t>
      </w:r>
      <w:r>
        <w:t xml:space="preserve"> </w:t>
      </w:r>
      <w:r>
        <w:t xml:space="preserve">contact duration (&lt;24 hours) and, on that basis,</w:t>
      </w:r>
      <w:r>
        <w:t xml:space="preserve"> </w:t>
      </w:r>
      <w:r>
        <w:rPr>
          <w:b/>
          <w:bCs/>
        </w:rPr>
        <w:t xml:space="preserve">exclude</w:t>
      </w:r>
      <w:r>
        <w:t xml:space="preserve"> </w:t>
      </w:r>
      <w:r>
        <w:t xml:space="preserve">subchronic systemic toxicity (ISO 10993-11), implantation testing (ISO 10993-6), and genotoxicity (ISO 10993-3). However, the IFU, the Device Description, and the Clinical Synopsis all state that the catheter</w:t>
      </w:r>
      <w:r>
        <w:t xml:space="preserve"> </w:t>
      </w:r>
      <w:r>
        <w:rPr>
          <w:b/>
          <w:bCs/>
        </w:rPr>
        <w:t xml:space="preserve">“</w:t>
      </w:r>
      <w:r>
        <w:rPr>
          <w:b/>
          <w:bCs/>
        </w:rPr>
        <w:t xml:space="preserve">may remain in situ for up to 72 hours</w:t>
      </w:r>
      <w:r>
        <w:rPr>
          <w:b/>
          <w:bCs/>
        </w:rPr>
        <w:t xml:space="preserve">”</w:t>
      </w:r>
      <w:r>
        <w:t xml:space="preserve"> </w:t>
      </w:r>
      <w:r>
        <w:t xml:space="preserve">for extended thrombolytic infusion therapy.</w:t>
      </w:r>
    </w:p>
    <w:p>
      <w:pPr>
        <w:pStyle w:val="BodyText"/>
      </w:pPr>
      <w:r>
        <w:rPr>
          <w:b/>
          <w:bCs/>
        </w:rPr>
        <w:t xml:space="preserve">Analysis.</w:t>
      </w:r>
      <w:r>
        <w:t xml:space="preserve"> </w:t>
      </w:r>
      <w:r>
        <w:t xml:space="preserve">This is a direct internal contradiction that materially affects the biocompatibility testing scope. Under ISO 10993-1:2018, Table A.1, contact durations are:</w:t>
      </w:r>
      <w:r>
        <w:t xml:space="preserve"> </w:t>
      </w:r>
      <w:r>
        <w:t xml:space="preserve">“</w:t>
      </w:r>
      <w:r>
        <w:t xml:space="preserve">limited</w:t>
      </w:r>
      <w:r>
        <w:t xml:space="preserve">”</w:t>
      </w:r>
      <w:r>
        <w:t xml:space="preserve"> </w:t>
      </w:r>
      <w:r>
        <w:t xml:space="preserve">(≤24 hours),</w:t>
      </w:r>
      <w:r>
        <w:t xml:space="preserve"> </w:t>
      </w:r>
      <w:r>
        <w:t xml:space="preserve">“</w:t>
      </w:r>
      <w:r>
        <w:t xml:space="preserve">prolonged</w:t>
      </w:r>
      <w:r>
        <w:t xml:space="preserve">”</w:t>
      </w:r>
      <w:r>
        <w:t xml:space="preserve"> </w:t>
      </w:r>
      <w:r>
        <w:t xml:space="preserve">(&gt;24 hours to 30 days), and</w:t>
      </w:r>
      <w:r>
        <w:t xml:space="preserve"> </w:t>
      </w:r>
      <w:r>
        <w:t xml:space="preserve">“</w:t>
      </w:r>
      <w:r>
        <w:t xml:space="preserve">permanent</w:t>
      </w:r>
      <w:r>
        <w:t xml:space="preserve">”</w:t>
      </w:r>
      <w:r>
        <w:t xml:space="preserve"> </w:t>
      </w:r>
      <w:r>
        <w:t xml:space="preserve">(&gt;30 days). A 72-hour indwell is</w:t>
      </w:r>
      <w:r>
        <w:t xml:space="preserve"> </w:t>
      </w:r>
      <w:r>
        <w:rPr>
          <w:b/>
          <w:bCs/>
        </w:rPr>
        <w:t xml:space="preserve">“</w:t>
      </w:r>
      <w:r>
        <w:rPr>
          <w:b/>
          <w:bCs/>
        </w:rPr>
        <w:t xml:space="preserve">prolonged,</w:t>
      </w:r>
      <w:r>
        <w:rPr>
          <w:b/>
          <w:bCs/>
        </w:rPr>
        <w:t xml:space="preserve">”</w:t>
      </w:r>
      <w:r>
        <w:t xml:space="preserve"> </w:t>
      </w:r>
      <w:r>
        <w:t xml:space="preserve">not</w:t>
      </w:r>
      <w:r>
        <w:t xml:space="preserve"> </w:t>
      </w:r>
      <w:r>
        <w:t xml:space="preserve">“</w:t>
      </w:r>
      <w:r>
        <w:t xml:space="preserve">limited.</w:t>
      </w:r>
      <w:r>
        <w:t xml:space="preserve">”</w:t>
      </w:r>
      <w:r>
        <w:t xml:space="preserve"> </w:t>
      </w:r>
      <w:r>
        <w:t xml:space="preserve">For blood-contacting, prolonged-contact devices, ISO 10993-1:2018 Table A.1 indicates additional endpoints — including subchronic systemic toxicity and, depending on the risk assessment, implantation and genotoxicity — that the package has excluded on the erroneous</w:t>
      </w:r>
      <w:r>
        <w:t xml:space="preserve"> </w:t>
      </w:r>
      <w:r>
        <w:t xml:space="preserve">“</w:t>
      </w:r>
      <w:r>
        <w:t xml:space="preserve">limited</w:t>
      </w:r>
      <w:r>
        <w:t xml:space="preserve">”</w:t>
      </w:r>
      <w:r>
        <w:t xml:space="preserve"> </w:t>
      </w:r>
      <w:r>
        <w:t xml:space="preserve">basis.</w:t>
      </w:r>
    </w:p>
    <w:p>
      <w:pPr>
        <w:pStyle w:val="BodyText"/>
      </w:pPr>
      <w:r>
        <w:t xml:space="preserve">The contradiction appears in three places: (i) IFU §1 and §8.4 (</w:t>
      </w:r>
      <w:r>
        <w:t xml:space="preserve">“</w:t>
      </w:r>
      <w:r>
        <w:t xml:space="preserve">may remain in situ for up to 72 hours for extended infusion therapy</w:t>
      </w:r>
      <w:r>
        <w:t xml:space="preserve">”</w:t>
      </w:r>
      <w:r>
        <w:t xml:space="preserve">); (ii) Device Description §2.2 (</w:t>
      </w:r>
      <w:r>
        <w:t xml:space="preserve">“</w:t>
      </w:r>
      <w:r>
        <w:t xml:space="preserve">may remain in situ for up to seventy-two (72) hours following the initial thrombectomy procedure for the purpose of extended thrombolytic infusion therapy</w:t>
      </w:r>
      <w:r>
        <w:t xml:space="preserve">”</w:t>
      </w:r>
      <w:r>
        <w:t xml:space="preserve">); and (iii) Clinical Synopsis §8.2, step 8 (</w:t>
      </w:r>
      <w:r>
        <w:t xml:space="preserve">“</w:t>
      </w:r>
      <w:r>
        <w:t xml:space="preserve">the VascuClear Catheter may be left in situ for extended thrombolytic infusion for up to 72 hours</w:t>
      </w:r>
      <w:r>
        <w:t xml:space="preserve">”</w:t>
      </w:r>
      <w:r>
        <w:t xml:space="preserve">). The comparison table in the Device Description (§4.2) even lists</w:t>
      </w:r>
      <w:r>
        <w:t xml:space="preserve"> </w:t>
      </w:r>
      <w:r>
        <w:t xml:space="preserve">“</w:t>
      </w:r>
      <w:r>
        <w:t xml:space="preserve">Device Contact Duration: Up to 72 hours</w:t>
      </w:r>
      <w:r>
        <w:t xml:space="preserve">”</w:t>
      </w:r>
      <w:r>
        <w:t xml:space="preserve"> </w:t>
      </w:r>
      <w:r>
        <w:t xml:space="preserve">while simultaneously stating biocompatibility is classified as</w:t>
      </w:r>
      <w:r>
        <w:t xml:space="preserve"> </w:t>
      </w:r>
      <w:r>
        <w:t xml:space="preserve">“</w:t>
      </w:r>
      <w:r>
        <w:t xml:space="preserve">limited (&lt;24 hours)</w:t>
      </w:r>
      <w:r>
        <w:t xml:space="preserve">”</w:t>
      </w:r>
      <w:r>
        <w:t xml:space="preserve"> </w:t>
      </w:r>
      <w:r>
        <w:t xml:space="preserve">— the two entries in the same table are inconsistent.</w:t>
      </w:r>
    </w:p>
    <w:p>
      <w:pPr>
        <w:pStyle w:val="BodyText"/>
      </w:pPr>
      <w:r>
        <w:t xml:space="preserve">This misclassification also affects the EtO residual limits. The Testing Plan (§6.2) applies the ISO 10993-7 limits for</w:t>
      </w:r>
      <w:r>
        <w:t xml:space="preserve"> </w:t>
      </w:r>
      <w:r>
        <w:t xml:space="preserve">“</w:t>
      </w:r>
      <w:r>
        <w:t xml:space="preserve">limited exposure duration</w:t>
      </w:r>
      <w:r>
        <w:t xml:space="preserve">”</w:t>
      </w:r>
      <w:r>
        <w:t xml:space="preserve"> </w:t>
      </w:r>
      <w:r>
        <w:t xml:space="preserve">(EO ≤4 mg/device; ECH ≤9 mg/device). For prolonged contact, the applicable tolerable contact limits may be lower, and the residual analysis must be re-evaluated against the correct contact category.</w:t>
      </w:r>
    </w:p>
    <w:p>
      <w:pPr>
        <w:pStyle w:val="BodyText"/>
      </w:pPr>
      <w:r>
        <w:rPr>
          <w:b/>
          <w:bCs/>
        </w:rPr>
        <w:t xml:space="preserve">Regulatory basis.</w:t>
      </w:r>
      <w:r>
        <w:t xml:space="preserve"> </w:t>
      </w:r>
      <w:r>
        <w:t xml:space="preserve">ISO 10993-1:2018, Table A.1 (contact duration categories and required endpoints); ISO 10993-7 (EtO residuals, contact-duration-dependent limits); FDA guidance,</w:t>
      </w:r>
      <w:r>
        <w:t xml:space="preserve"> </w:t>
      </w:r>
      <w:r>
        <w:rPr>
          <w:i/>
          <w:iCs/>
        </w:rPr>
        <w:t xml:space="preserve">Use of International Standard ISO 10993-1</w:t>
      </w:r>
      <w:r>
        <w:t xml:space="preserve">.</w:t>
      </w:r>
    </w:p>
    <w:p>
      <w:pPr>
        <w:pStyle w:val="BodyText"/>
      </w:pPr>
      <w:r>
        <w:rPr>
          <w:b/>
          <w:bCs/>
        </w:rPr>
        <w:t xml:space="preserve">Recommendation.</w:t>
      </w:r>
      <w:r>
        <w:t xml:space="preserve"> </w:t>
      </w:r>
      <w:r>
        <w:t xml:space="preserve">(a) Reconcile the contact duration across all documents. If the 72-hour indwell is a claimed/IFU-permitted use, the biocompatibility classification must be</w:t>
      </w:r>
      <w:r>
        <w:t xml:space="preserve"> </w:t>
      </w:r>
      <w:r>
        <w:t xml:space="preserve">“</w:t>
      </w:r>
      <w:r>
        <w:t xml:space="preserve">prolonged,</w:t>
      </w:r>
      <w:r>
        <w:t xml:space="preserve">”</w:t>
      </w:r>
      <w:r>
        <w:t xml:space="preserve"> </w:t>
      </w:r>
      <w:r>
        <w:t xml:space="preserve">and the testing plan must be re-scoped to include the endpoints required for prolonged blood contact (at minimum, subchronic systemic toxicity; implantation and genotoxicity per the risk assessment). (b) Re-evaluate EtO residual limits against the prolonged-contact tolerable contact limits. (c) If Clearfield intends to retain the</w:t>
      </w:r>
      <w:r>
        <w:t xml:space="preserve"> </w:t>
      </w:r>
      <w:r>
        <w:t xml:space="preserve">“</w:t>
      </w:r>
      <w:r>
        <w:t xml:space="preserve">limited</w:t>
      </w:r>
      <w:r>
        <w:t xml:space="preserve">”</w:t>
      </w:r>
      <w:r>
        <w:t xml:space="preserve"> </w:t>
      </w:r>
      <w:r>
        <w:t xml:space="preserve">classification, the IFU, Device Description, and Clinical Synopsis must be revised to remove the 72-hour indwell claim (limiting use to a single procedural session &lt;24 hours) — but this would eliminate a marketed feature. (d) Add a question to the cover letter confirming the contact duration classification and endpoint selection with FDA, as the Testing Plan already proposes (Q1) — but the package must first be internally consistent.</w:t>
      </w:r>
    </w:p>
    <w:bookmarkEnd w:id="26"/>
    <w:bookmarkStart w:id="27" w:name="Xa0278e9ba385aeb74970f6a6999cb98d050794d"/>
    <w:p>
      <w:pPr>
        <w:pStyle w:val="Heading3"/>
      </w:pPr>
      <w:r>
        <w:t xml:space="preserve">Issue 5 — Impeller Fatigue Testing (500 Revolutions) Is Scientifically Inadequate</w:t>
      </w:r>
    </w:p>
    <w:p>
      <w:pPr>
        <w:pStyle w:val="FirstParagraph"/>
      </w:pPr>
      <w:r>
        <w:rPr>
          <w:b/>
          <w:bCs/>
        </w:rPr>
        <w:t xml:space="preserve">Issue.</w:t>
      </w:r>
      <w:r>
        <w:t xml:space="preserve"> </w:t>
      </w:r>
      <w:r>
        <w:t xml:space="preserve">The impeller fatigue test (Testing Plan §3.3) specifies</w:t>
      </w:r>
      <w:r>
        <w:t xml:space="preserve"> </w:t>
      </w:r>
      <w:r>
        <w:t xml:space="preserve">“</w:t>
      </w:r>
      <w:r>
        <w:t xml:space="preserve">a minimum of 500 rotational cycles at maximum rated speed (12,000 RPM),</w:t>
      </w:r>
      <w:r>
        <w:t xml:space="preserve">”</w:t>
      </w:r>
      <w:r>
        <w:t xml:space="preserve"> </w:t>
      </w:r>
      <w:r>
        <w:t xml:space="preserve">with</w:t>
      </w:r>
      <w:r>
        <w:t xml:space="preserve"> </w:t>
      </w:r>
      <w:r>
        <w:t xml:space="preserve">“</w:t>
      </w:r>
      <w:r>
        <w:t xml:space="preserve">one rotational cycle</w:t>
      </w:r>
      <w:r>
        <w:t xml:space="preserve">”</w:t>
      </w:r>
      <w:r>
        <w:t xml:space="preserve"> </w:t>
      </w:r>
      <w:r>
        <w:t xml:space="preserve">defined as</w:t>
      </w:r>
      <w:r>
        <w:t xml:space="preserve"> </w:t>
      </w:r>
      <w:r>
        <w:t xml:space="preserve">“</w:t>
      </w:r>
      <w:r>
        <w:t xml:space="preserve">one complete revolution (360°) of the impeller.</w:t>
      </w:r>
      <w:r>
        <w:t xml:space="preserve">”</w:t>
      </w:r>
    </w:p>
    <w:p>
      <w:pPr>
        <w:pStyle w:val="BodyText"/>
      </w:pPr>
      <w:r>
        <w:rPr>
          <w:b/>
          <w:bCs/>
        </w:rPr>
        <w:t xml:space="preserve">Analysis.</w:t>
      </w:r>
      <w:r>
        <w:t xml:space="preserve"> </w:t>
      </w:r>
      <w:r>
        <w:t xml:space="preserve">Five hundred revolutions at 12,000 RPM equates to approximately</w:t>
      </w:r>
      <w:r>
        <w:t xml:space="preserve"> </w:t>
      </w:r>
      <w:r>
        <w:rPr>
          <w:b/>
          <w:bCs/>
        </w:rPr>
        <w:t xml:space="preserve">2.5 seconds</w:t>
      </w:r>
      <w:r>
        <w:t xml:space="preserve"> </w:t>
      </w:r>
      <w:r>
        <w:t xml:space="preserve">of operation. This is not a fatigue test in any meaningful sense. A single clinical thrombectomy procedure may involve many minutes of continuous impeller operation (the package’s own particulate generation test, §3.3, runs the impeller continuously for 10 minutes = 120,000 revolutions). The console’s stated service life is 500 procedures (IFU §11, §13). A fatigue/durability test should demonstrate structural integrity over worst-case cumulative use, not 2.5 seconds.</w:t>
      </w:r>
    </w:p>
    <w:p>
      <w:pPr>
        <w:pStyle w:val="BodyText"/>
      </w:pPr>
      <w:r>
        <w:t xml:space="preserve">For comparison, the predicate’s own mechanical fatigue testing comprised</w:t>
      </w:r>
      <w:r>
        <w:t xml:space="preserve"> </w:t>
      </w:r>
      <w:r>
        <w:t xml:space="preserve">“</w:t>
      </w:r>
      <w:r>
        <w:t xml:space="preserve">flexural fatigue testing at the catheter body (50,000 cycles at ±45° deflection)</w:t>
      </w:r>
      <w:r>
        <w:t xml:space="preserve">”</w:t>
      </w:r>
      <w:r>
        <w:t xml:space="preserve"> </w:t>
      </w:r>
      <w:r>
        <w:t xml:space="preserve">and</w:t>
      </w:r>
      <w:r>
        <w:t xml:space="preserve"> </w:t>
      </w:r>
      <w:r>
        <w:t xml:space="preserve">“</w:t>
      </w:r>
      <w:r>
        <w:t xml:space="preserve">simulated insertion/withdrawal cycling (100 cycles)</w:t>
      </w:r>
      <w:r>
        <w:t xml:space="preserve">”</w:t>
      </w:r>
      <w:r>
        <w:t xml:space="preserve"> </w:t>
      </w:r>
      <w:r>
        <w:t xml:space="preserve">(K192847 Summary §5.2) — orders of magnitude more demanding than 500 revolutions. The Device Description (§2.2) represents the 500-cycle figure as establishing</w:t>
      </w:r>
      <w:r>
        <w:t xml:space="preserve"> </w:t>
      </w:r>
      <w:r>
        <w:t xml:space="preserve">“</w:t>
      </w:r>
      <w:r>
        <w:t xml:space="preserve">the durability envelope for the impeller and confirm[ing] adequate performance for clinical use,</w:t>
      </w:r>
      <w:r>
        <w:t xml:space="preserve">”</w:t>
      </w:r>
      <w:r>
        <w:t xml:space="preserve"> </w:t>
      </w:r>
      <w:r>
        <w:t xml:space="preserve">which overstates what a 2.5-second test can demonstrate.</w:t>
      </w:r>
    </w:p>
    <w:p>
      <w:pPr>
        <w:pStyle w:val="BodyText"/>
      </w:pPr>
      <w:r>
        <w:t xml:space="preserve">This deficiency is likely to be flagged immediately by the reviewing engineer. It also interacts with the safety profile: a fractured or detached impeller component at 12,000 RPM in a vein presents an embolization hazard.</w:t>
      </w:r>
    </w:p>
    <w:p>
      <w:pPr>
        <w:pStyle w:val="BodyText"/>
      </w:pPr>
      <w:r>
        <w:rPr>
          <w:b/>
          <w:bCs/>
        </w:rPr>
        <w:t xml:space="preserve">Regulatory basis.</w:t>
      </w:r>
      <w:r>
        <w:t xml:space="preserve"> </w:t>
      </w:r>
      <w:r>
        <w:t xml:space="preserve">Special controls for 21 CFR 870.1250 (performance testing); general requirement to demonstrate safety and effectiveness under 510(k); engineering norms for rotating-component fatigue/durability validation.</w:t>
      </w:r>
    </w:p>
    <w:p>
      <w:pPr>
        <w:pStyle w:val="BodyText"/>
      </w:pPr>
      <w:r>
        <w:rPr>
          <w:b/>
          <w:bCs/>
        </w:rPr>
        <w:t xml:space="preserve">Recommendation.</w:t>
      </w:r>
      <w:r>
        <w:t xml:space="preserve"> </w:t>
      </w:r>
      <w:r>
        <w:t xml:space="preserve">(a) Redefine the fatigue test to reflect worst-case cumulative clinical use. At minimum, the test should run the impeller at maximum speed for a duration representing the maximum anticipated cumulative procedure time across the device’s intended use (e.g., multiple procedures’ worth of operation, or a justified worst-case single-procedure duration multiplied by a safety factor), and should be expressed in minutes of operation or total revolutions commensurate with clinical reality (not 500 revolutions). (b) Consider accelerated life testing and a defined failure criterion. (c) Reconcile the Device Description’s representation of the 500-cycle figure with the revised protocol. (d) Present the revised protocol to FDA at the Pre-Submission meeting (the cover letter’s Q3 invites this feedback).</w:t>
      </w:r>
    </w:p>
    <w:bookmarkEnd w:id="27"/>
    <w:bookmarkStart w:id="28" w:name="Xf824fd5fe3fad88e160afcbc04575a9c75c03be"/>
    <w:p>
      <w:pPr>
        <w:pStyle w:val="Heading3"/>
      </w:pPr>
      <w:r>
        <w:t xml:space="preserve">Issue 6 — Cover Letter Omits the Combination Product and IDE Questions</w:t>
      </w:r>
    </w:p>
    <w:p>
      <w:pPr>
        <w:pStyle w:val="FirstParagraph"/>
      </w:pPr>
      <w:r>
        <w:rPr>
          <w:b/>
          <w:bCs/>
        </w:rPr>
        <w:t xml:space="preserve">Issue.</w:t>
      </w:r>
      <w:r>
        <w:t xml:space="preserve"> </w:t>
      </w:r>
      <w:r>
        <w:t xml:space="preserve">Cover Letter §VI lists six specific questions for FDA. It does not include (a) whether the Device should be classified as a combination product, or (b) whether an IDE is required for the clinical study.</w:t>
      </w:r>
    </w:p>
    <w:p>
      <w:pPr>
        <w:pStyle w:val="BodyText"/>
      </w:pPr>
      <w:r>
        <w:rPr>
          <w:b/>
          <w:bCs/>
        </w:rPr>
        <w:t xml:space="preserve">Analysis.</w:t>
      </w:r>
      <w:r>
        <w:t xml:space="preserve"> </w:t>
      </w:r>
      <w:r>
        <w:t xml:space="preserve">Ms. Pressman specifically recommended adding both questions (email of May 12, 2025). Their omission means the package forgoes the opportunity to obtain FDA’s view on the two most consequential threshold questions before Clearfield commits to the pathway, the testing program, and the clinical study design. The Pre-Submission meeting is the appropriate and most cost-effective forum for these questions; raising them later (e.g., after enrollment begins, or in the 510(k) itself) is far more costly and disruptive. The email chain indicates the decision on whether to add these questions was left to Ms. Fessenden and had not been finalized as of May 12.</w:t>
      </w:r>
    </w:p>
    <w:p>
      <w:pPr>
        <w:pStyle w:val="BodyText"/>
      </w:pPr>
      <w:r>
        <w:rPr>
          <w:b/>
          <w:bCs/>
        </w:rPr>
        <w:t xml:space="preserve">Regulatory basis.</w:t>
      </w:r>
      <w:r>
        <w:t xml:space="preserve"> </w:t>
      </w:r>
      <w:r>
        <w:t xml:space="preserve">FDA Q-Submission Program guidance (June 2023) — the Pre-Submission is the designated mechanism for obtaining FDA feedback on proposed regulatory strategy before submission.</w:t>
      </w:r>
    </w:p>
    <w:p>
      <w:pPr>
        <w:pStyle w:val="BodyText"/>
      </w:pPr>
      <w:r>
        <w:rPr>
          <w:b/>
          <w:bCs/>
        </w:rPr>
        <w:t xml:space="preserve">Recommendation.</w:t>
      </w:r>
      <w:r>
        <w:t xml:space="preserve"> </w:t>
      </w:r>
      <w:r>
        <w:t xml:space="preserve">Add two questions to Cover Letter §VI: (a)</w:t>
      </w:r>
      <w:r>
        <w:t xml:space="preserve"> </w:t>
      </w:r>
      <w:r>
        <w:t xml:space="preserve">“</w:t>
      </w:r>
      <w:r>
        <w:t xml:space="preserve">Does FDA agree that the VascuClear 3000 is appropriately regulated as a device under product code GXD and not as a combination product under 21 CFR Part 3? If FDA’s view differs, what pathway and review assignment would FDA recommend?</w:t>
      </w:r>
      <w:r>
        <w:t xml:space="preserve">”</w:t>
      </w:r>
      <w:r>
        <w:t xml:space="preserve"> </w:t>
      </w:r>
      <w:r>
        <w:t xml:space="preserve">and (b)</w:t>
      </w:r>
      <w:r>
        <w:t xml:space="preserve"> </w:t>
      </w:r>
      <w:r>
        <w:t xml:space="preserve">“</w:t>
      </w:r>
      <w:r>
        <w:t xml:space="preserve">Does FDA agree that the proposed clinical study (prospective, single-arm, 60 patients, with concurrent tPA infusion) does not require an IDE, or would FDA consider an IDE necessary? If an IDE is required, would FDA consider the study significant risk?</w:t>
      </w:r>
      <w:r>
        <w:t xml:space="preserve">”</w:t>
      </w:r>
      <w:r>
        <w:t xml:space="preserve"> </w:t>
      </w:r>
      <w:r>
        <w:t xml:space="preserve">These should be added regardless of Clearfield’s stated position, which can be presented as the company’s view within the questions.</w:t>
      </w:r>
    </w:p>
    <w:p>
      <w:r>
        <w:pict>
          <v:rect style="width:0;height:1.5pt" o:hralign="center" o:hrstd="t" o:hr="t"/>
        </w:pict>
      </w:r>
    </w:p>
    <w:bookmarkEnd w:id="28"/>
    <w:bookmarkEnd w:id="29"/>
    <w:bookmarkStart w:id="39" w:name="Xd3fc3d499f38ad359367697ed6e212421aa51b9"/>
    <w:p>
      <w:pPr>
        <w:pStyle w:val="Heading2"/>
      </w:pPr>
      <w:r>
        <w:t xml:space="preserve">IV. Tier 2 — High Priority Issues (Address Before or at the Pre-Submission Meeting)</w:t>
      </w:r>
    </w:p>
    <w:bookmarkStart w:id="30" w:name="Xbd33ca2464d3e0d961dda464b0a55e0563ae5d2"/>
    <w:p>
      <w:pPr>
        <w:pStyle w:val="Heading3"/>
      </w:pPr>
      <w:r>
        <w:t xml:space="preserve">Issue 7 — Program Timeline Is Not Reconcilable with the Braddock Ventures Milestone</w:t>
      </w:r>
    </w:p>
    <w:p>
      <w:pPr>
        <w:pStyle w:val="FirstParagraph"/>
      </w:pPr>
      <w:r>
        <w:rPr>
          <w:b/>
          <w:bCs/>
        </w:rPr>
        <w:t xml:space="preserve">Issue.</w:t>
      </w:r>
      <w:r>
        <w:t xml:space="preserve"> </w:t>
      </w:r>
      <w:r>
        <w:t xml:space="preserve">The documents establish a timeline that cannot achieve 510(k) clearance by December 31, 2025 (the Braddock Ventures Series D milestone), yet the package proceeds as though it can.</w:t>
      </w:r>
    </w:p>
    <w:p>
      <w:pPr>
        <w:pStyle w:val="BodyText"/>
      </w:pPr>
      <w:r>
        <w:rPr>
          <w:b/>
          <w:bCs/>
        </w:rPr>
        <w:t xml:space="preserve">Analysis.</w:t>
      </w:r>
      <w:r>
        <w:t xml:space="preserve"> </w:t>
      </w:r>
      <w:r>
        <w:t xml:space="preserve">The timeline, assembled across documents:</w:t>
      </w:r>
      <w:r>
        <w:t xml:space="preserve"> </w:t>
      </w:r>
      <w:r>
        <w:t xml:space="preserve">- Cover letter dated May 19, 2025; Pre-Submission filing target June 15, 2025 (email of April 22, 2025).</w:t>
      </w:r>
      <w:r>
        <w:t xml:space="preserve"> </w:t>
      </w:r>
      <w:r>
        <w:t xml:space="preserve">- Q-Sub meeting ~75 days after FDA receipt (Cover Letter §VIII) → late August / early September 2025.</w:t>
      </w:r>
      <w:r>
        <w:t xml:space="preserve"> </w:t>
      </w:r>
      <w:r>
        <w:t xml:space="preserve">- Testing Plan §9.2:</w:t>
      </w:r>
      <w:r>
        <w:t xml:space="preserve"> </w:t>
      </w:r>
      <w:r>
        <w:t xml:space="preserve">“</w:t>
      </w:r>
      <w:r>
        <w:t xml:space="preserve">Target Testing Initiation: July 2025, following receipt of FDA feedback from the anticipated Q-Sub meeting (scheduled for August/September 2025).</w:t>
      </w:r>
      <w:r>
        <w:t xml:space="preserve">”</w:t>
      </w:r>
      <w:r>
        <w:t xml:space="preserve"> </w:t>
      </w:r>
      <w:r>
        <w:rPr>
          <w:b/>
          <w:bCs/>
        </w:rPr>
        <w:t xml:space="preserve">July 2025 precedes August/September 2025</w:t>
      </w:r>
      <w:r>
        <w:t xml:space="preserve"> </w:t>
      </w:r>
      <w:r>
        <w:t xml:space="preserve">— this is internally inconsistent (testing cannot both follow the Q-Sub meeting and start before it).</w:t>
      </w:r>
      <w:r>
        <w:t xml:space="preserve"> </w:t>
      </w:r>
      <w:r>
        <w:t xml:space="preserve">- Testing completion: November–December 2025 (Testing Plan §9.2).</w:t>
      </w:r>
      <w:r>
        <w:t xml:space="preserve"> </w:t>
      </w:r>
      <w:r>
        <w:t xml:space="preserve">- 510(k) submission:</w:t>
      </w:r>
      <w:r>
        <w:t xml:space="preserve"> </w:t>
      </w:r>
      <w:r>
        <w:t xml:space="preserve">“</w:t>
      </w:r>
      <w:r>
        <w:t xml:space="preserve">as early as practical following completion of all testing</w:t>
      </w:r>
      <w:r>
        <w:t xml:space="preserve">”</w:t>
      </w:r>
      <w:r>
        <w:t xml:space="preserve"> </w:t>
      </w:r>
      <w:r>
        <w:t xml:space="preserve">(Testing Plan §9.2).</w:t>
      </w:r>
      <w:r>
        <w:t xml:space="preserve"> </w:t>
      </w:r>
      <w:r>
        <w:t xml:space="preserve">- FDA 510(k) review: ~90 days minimum under MDUFA, frequently longer with Additional Information (AI) letters.</w:t>
      </w:r>
      <w:r>
        <w:t xml:space="preserve"> </w:t>
      </w:r>
      <w:r>
        <w:t xml:space="preserve">- Clinical study: first enrollment Q4 2025; enrollment completion Q2 2026; CSR finalization Q4 2026 (Clinical Synopsis §15).</w:t>
      </w:r>
    </w:p>
    <w:p>
      <w:pPr>
        <w:pStyle w:val="BodyText"/>
      </w:pPr>
      <w:r>
        <w:t xml:space="preserve">Even on the most optimistic reading (testing completes November 2025; 510(k) submitted December 2025), FDA clearance by December 31, 2025 is not achievable — FDA cannot clear a submission before it is submitted, and review takes months. If the clinical data is required for the 510(k) (which the synopsis says it is), the timeline is even further out, since the CSR is not finalized until Q4 2026.</w:t>
      </w:r>
    </w:p>
    <w:p>
      <w:pPr>
        <w:pStyle w:val="BodyText"/>
      </w:pPr>
      <w:r>
        <w:t xml:space="preserve">The email chain confirms the financial stakes: cash position $18.3M (April 30, 2025); monthly burn $1.52M; total program cost $4.2M; Braddock Ventures and Northgate Capital are</w:t>
      </w:r>
      <w:r>
        <w:t xml:space="preserve"> </w:t>
      </w:r>
      <w:r>
        <w:t xml:space="preserve">“</w:t>
      </w:r>
      <w:r>
        <w:t xml:space="preserve">tracking the regulatory timeline closely</w:t>
      </w:r>
      <w:r>
        <w:t xml:space="preserve">”</w:t>
      </w:r>
      <w:r>
        <w:t xml:space="preserve"> </w:t>
      </w:r>
      <w:r>
        <w:t xml:space="preserve">(Dr. Marsh, email of May 9, 2025). Ms. Pressman flagged that Kendrick &amp; Hale (corporate counsel) should be looped in if the pathway changes, because the milestone</w:t>
      </w:r>
      <w:r>
        <w:t xml:space="preserve"> </w:t>
      </w:r>
      <w:r>
        <w:t xml:space="preserve">“</w:t>
      </w:r>
      <w:r>
        <w:t xml:space="preserve">may not be achievable under an alternative pathway</w:t>
      </w:r>
      <w:r>
        <w:t xml:space="preserve">”</w:t>
      </w:r>
      <w:r>
        <w:t xml:space="preserve"> </w:t>
      </w:r>
      <w:r>
        <w:t xml:space="preserve">(email of May 12, 2025).</w:t>
      </w:r>
    </w:p>
    <w:p>
      <w:pPr>
        <w:pStyle w:val="BodyText"/>
      </w:pPr>
      <w:r>
        <w:rPr>
          <w:b/>
          <w:bCs/>
        </w:rPr>
        <w:t xml:space="preserve">Recommendation.</w:t>
      </w:r>
      <w:r>
        <w:t xml:space="preserve"> </w:t>
      </w:r>
      <w:r>
        <w:t xml:space="preserve">(a) Correct the internal inconsistency in the Testing Plan (testing initiation cannot precede the Q-Sub meeting it is said to follow). (b) Prepare a realistic, milestone-mapped timeline and present it to Dr. Okonjo and the board. (c) Escalate to Kendrick &amp; Hale LLP regarding the Braddock milestone and any need to renegotiate the term sheet or communicate with investors. (d) Consider whether a subset of testing (e.g., bench/biocompatibility) can support a 510(k) without the clinical study, or whether the clinical study can be deferred to post-clearance — but this interacts with Issues 1–3 (if FDA requires clinical data for SE, deferral is not viable). (e) Do not represent to FDA in the cover letter that the meeting is needed to meet the December 31, 2025 clearance milestone in a manner that implies the timeline is achievable; the cover letter’s request for an</w:t>
      </w:r>
      <w:r>
        <w:t xml:space="preserve"> </w:t>
      </w:r>
      <w:r>
        <w:t xml:space="preserve">“</w:t>
      </w:r>
      <w:r>
        <w:t xml:space="preserve">expedient</w:t>
      </w:r>
      <w:r>
        <w:t xml:space="preserve">”</w:t>
      </w:r>
      <w:r>
        <w:t xml:space="preserve"> </w:t>
      </w:r>
      <w:r>
        <w:t xml:space="preserve">meeting (§VIII) is fine, but internal expectations should be reset.</w:t>
      </w:r>
    </w:p>
    <w:bookmarkEnd w:id="30"/>
    <w:bookmarkStart w:id="31" w:name="X50d304fc3899f944aaf068ace5aa3bf736304ad"/>
    <w:p>
      <w:pPr>
        <w:pStyle w:val="Heading3"/>
      </w:pPr>
      <w:r>
        <w:t xml:space="preserve">Issue 8 — Predicate Comparison Table (Testing Plan Appendix A) Misstates the Predicate’s Cleared Indication</w:t>
      </w:r>
    </w:p>
    <w:p>
      <w:pPr>
        <w:pStyle w:val="FirstParagraph"/>
      </w:pPr>
      <w:r>
        <w:rPr>
          <w:b/>
          <w:bCs/>
        </w:rPr>
        <w:t xml:space="preserve">Issue.</w:t>
      </w:r>
      <w:r>
        <w:t xml:space="preserve"> </w:t>
      </w:r>
      <w:r>
        <w:t xml:space="preserve">Table A-1 in the Testing Plan (Appendix A) lists the predicate’s</w:t>
      </w:r>
      <w:r>
        <w:t xml:space="preserve"> </w:t>
      </w:r>
      <w:r>
        <w:t xml:space="preserve">“</w:t>
      </w:r>
      <w:r>
        <w:t xml:space="preserve">Intended Use Population</w:t>
      </w:r>
      <w:r>
        <w:t xml:space="preserve">”</w:t>
      </w:r>
      <w:r>
        <w:t xml:space="preserve"> </w:t>
      </w:r>
      <w:r>
        <w:t xml:space="preserve">as</w:t>
      </w:r>
      <w:r>
        <w:t xml:space="preserve"> </w:t>
      </w:r>
      <w:r>
        <w:t xml:space="preserve">“</w:t>
      </w:r>
      <w:r>
        <w:t xml:space="preserve">Adults with acute DVT, iliofemoral venous segment.</w:t>
      </w:r>
      <w:r>
        <w:t xml:space="preserve">”</w:t>
      </w:r>
      <w:r>
        <w:t xml:space="preserve"> </w:t>
      </w:r>
      <w:r>
        <w:t xml:space="preserve">This is incorrect.</w:t>
      </w:r>
    </w:p>
    <w:p>
      <w:pPr>
        <w:pStyle w:val="BodyText"/>
      </w:pPr>
      <w:r>
        <w:rPr>
          <w:b/>
          <w:bCs/>
        </w:rPr>
        <w:t xml:space="preserve">Analysis.</w:t>
      </w:r>
      <w:r>
        <w:t xml:space="preserve"> </w:t>
      </w:r>
      <w:r>
        <w:t xml:space="preserve">The ThrombEx 200’s cleared indication is</w:t>
      </w:r>
      <w:r>
        <w:t xml:space="preserve"> </w:t>
      </w:r>
      <w:r>
        <w:t xml:space="preserve">“</w:t>
      </w:r>
      <w:r>
        <w:t xml:space="preserve">the percutaneous removal of thrombus from the peripheral vasculature</w:t>
      </w:r>
      <w:r>
        <w:t xml:space="preserve">”</w:t>
      </w:r>
      <w:r>
        <w:t xml:space="preserve"> </w:t>
      </w:r>
      <w:r>
        <w:t xml:space="preserve">(K192847 Summary §2; Device Description §3.3). The predicate summary expressly states the indication</w:t>
      </w:r>
      <w:r>
        <w:t xml:space="preserve"> </w:t>
      </w:r>
      <w:r>
        <w:t xml:space="preserve">“</w:t>
      </w:r>
      <w:r>
        <w:t xml:space="preserve">is not limited to any specific vascular segment or anatomical region</w:t>
      </w:r>
      <w:r>
        <w:t xml:space="preserve">”</w:t>
      </w:r>
      <w:r>
        <w:t xml:space="preserve"> </w:t>
      </w:r>
      <w:r>
        <w:t xml:space="preserve">and</w:t>
      </w:r>
      <w:r>
        <w:t xml:space="preserve"> </w:t>
      </w:r>
      <w:r>
        <w:t xml:space="preserve">“</w:t>
      </w:r>
      <w:r>
        <w:t xml:space="preserve">encompasses the peripheral vasculature, including both the arterial and venous peripheral vascular systems.</w:t>
      </w:r>
      <w:r>
        <w:t xml:space="preserve">”</w:t>
      </w:r>
      <w:r>
        <w:t xml:space="preserve"> </w:t>
      </w:r>
      <w:r>
        <w:t xml:space="preserve">There is no DVT limitation, no symptom-onset window, and no iliofemoral restriction in the predicate’s cleared labeling. The Testing Plan’s Table A-1 therefore misrepresents the predicate’s cleared indication in a manner that makes the predicate appear more similar to the subject device than it is. This undermines the SE comparison and, if not corrected, could be viewed as a material misstatement in a submission to FDA.</w:t>
      </w:r>
    </w:p>
    <w:p>
      <w:pPr>
        <w:pStyle w:val="BodyText"/>
      </w:pPr>
      <w:r>
        <w:rPr>
          <w:b/>
          <w:bCs/>
        </w:rPr>
        <w:t xml:space="preserve">Recommendation.</w:t>
      </w:r>
      <w:r>
        <w:t xml:space="preserve"> </w:t>
      </w:r>
      <w:r>
        <w:t xml:space="preserve">Correct Table A-1 to reflect the predicate’s actual cleared indication verbatim (</w:t>
      </w:r>
      <w:r>
        <w:t xml:space="preserve">“</w:t>
      </w:r>
      <w:r>
        <w:t xml:space="preserve">percutaneous removal of thrombus from the peripheral vasculature,</w:t>
      </w:r>
      <w:r>
        <w:t xml:space="preserve">”</w:t>
      </w:r>
      <w:r>
        <w:t xml:space="preserve"> </w:t>
      </w:r>
      <w:r>
        <w:t xml:space="preserve">broad, arterial and venous, no DVT/symptom-onset limitation). Reconcile all comparison tables across the Device Description (§4.2) and the Testing Plan (Appendix A) so they are consistent with the K192847 summary.</w:t>
      </w:r>
    </w:p>
    <w:bookmarkEnd w:id="31"/>
    <w:bookmarkStart w:id="32" w:name="X172e2db67d66a3c4c57091b6e1c32d44ad38caf"/>
    <w:p>
      <w:pPr>
        <w:pStyle w:val="Heading3"/>
      </w:pPr>
      <w:r>
        <w:t xml:space="preserve">Issue 9 — Software Level of Concern (</w:t>
      </w:r>
      <w:r>
        <w:t xml:space="preserve">“</w:t>
      </w:r>
      <w:r>
        <w:t xml:space="preserve">Minor</w:t>
      </w:r>
      <w:r>
        <w:t xml:space="preserve">”</w:t>
      </w:r>
      <w:r>
        <w:t xml:space="preserve">) Is Likely Too Low and Inconsistent with the Predicate</w:t>
      </w:r>
    </w:p>
    <w:p>
      <w:pPr>
        <w:pStyle w:val="FirstParagraph"/>
      </w:pPr>
      <w:r>
        <w:rPr>
          <w:b/>
          <w:bCs/>
        </w:rPr>
        <w:t xml:space="preserve">Issue.</w:t>
      </w:r>
      <w:r>
        <w:t xml:space="preserve"> </w:t>
      </w:r>
      <w:r>
        <w:t xml:space="preserve">The Testing Plan (§5.2) classifies the console firmware as</w:t>
      </w:r>
      <w:r>
        <w:t xml:space="preserve"> </w:t>
      </w:r>
      <w:r>
        <w:t xml:space="preserve">“</w:t>
      </w:r>
      <w:r>
        <w:t xml:space="preserve">Minor</w:t>
      </w:r>
      <w:r>
        <w:t xml:space="preserve">”</w:t>
      </w:r>
      <w:r>
        <w:t xml:space="preserve"> </w:t>
      </w:r>
      <w:r>
        <w:t xml:space="preserve">level of concern, relying on independent hardware safety mechanisms. The predicate’s software was classified</w:t>
      </w:r>
      <w:r>
        <w:t xml:space="preserve"> </w:t>
      </w:r>
      <w:r>
        <w:t xml:space="preserve">“</w:t>
      </w:r>
      <w:r>
        <w:t xml:space="preserve">Moderate.</w:t>
      </w:r>
      <w:r>
        <w:t xml:space="preserve">”</w:t>
      </w:r>
    </w:p>
    <w:p>
      <w:pPr>
        <w:pStyle w:val="BodyText"/>
      </w:pPr>
      <w:r>
        <w:rPr>
          <w:b/>
          <w:bCs/>
        </w:rPr>
        <w:t xml:space="preserve">Analysis.</w:t>
      </w:r>
      <w:r>
        <w:t xml:space="preserve"> </w:t>
      </w:r>
      <w:r>
        <w:t xml:space="preserve">Three concerns. First, the VascuClear console software controls a 12,000 RPM rotating impeller in a patient’s blood vessel and an aspiration pump at −650 mmHg, and performs primary safety monitoring (over-speed detection at 12,500 RPM, over-pressure alarm at −700 mmHg, catheter-disconnect detection). A software failure that causes uncommanded impeller overspeed or sustained excessive aspiration could plausibly result in serious injury (vessel injury, hemolysis, blood loss). The</w:t>
      </w:r>
      <w:r>
        <w:t xml:space="preserve"> </w:t>
      </w:r>
      <w:r>
        <w:t xml:space="preserve">“</w:t>
      </w:r>
      <w:r>
        <w:t xml:space="preserve">Minor</w:t>
      </w:r>
      <w:r>
        <w:t xml:space="preserve">”</w:t>
      </w:r>
      <w:r>
        <w:t xml:space="preserve"> </w:t>
      </w:r>
      <w:r>
        <w:t xml:space="preserve">classification — reserved under the 2005 guidance for failures that</w:t>
      </w:r>
      <w:r>
        <w:t xml:space="preserve"> </w:t>
      </w:r>
      <w:r>
        <w:t xml:space="preserve">“</w:t>
      </w:r>
      <w:r>
        <w:t xml:space="preserve">would not be expected to cause injury</w:t>
      </w:r>
      <w:r>
        <w:t xml:space="preserve">”</w:t>
      </w:r>
      <w:r>
        <w:t xml:space="preserve"> </w:t>
      </w:r>
      <w:r>
        <w:t xml:space="preserve">— is difficult to defend where the software is the primary control for a high-speed rotating element, even with hardware backup.</w:t>
      </w:r>
    </w:p>
    <w:p>
      <w:pPr>
        <w:pStyle w:val="BodyText"/>
      </w:pPr>
      <w:r>
        <w:t xml:space="preserve">Second, the predicate (ThrombEx 200) — whose software controls only an aspiration pump with no rotating impeller — was classified</w:t>
      </w:r>
      <w:r>
        <w:t xml:space="preserve"> </w:t>
      </w:r>
      <w:r>
        <w:rPr>
          <w:b/>
          <w:bCs/>
        </w:rPr>
        <w:t xml:space="preserve">“</w:t>
      </w:r>
      <w:r>
        <w:rPr>
          <w:b/>
          <w:bCs/>
        </w:rPr>
        <w:t xml:space="preserve">Moderate</w:t>
      </w:r>
      <w:r>
        <w:rPr>
          <w:b/>
          <w:bCs/>
        </w:rPr>
        <w:t xml:space="preserve">”</w:t>
      </w:r>
      <w:r>
        <w:t xml:space="preserve"> </w:t>
      </w:r>
      <w:r>
        <w:t xml:space="preserve">(K192847 Summary §5.6). It is internally inconsistent for the VascuClear, which controls a more hazardous function, to claim a</w:t>
      </w:r>
      <w:r>
        <w:t xml:space="preserve"> </w:t>
      </w:r>
      <w:r>
        <w:rPr>
          <w:i/>
          <w:iCs/>
        </w:rPr>
        <w:t xml:space="preserve">lower</w:t>
      </w:r>
      <w:r>
        <w:t xml:space="preserve"> </w:t>
      </w:r>
      <w:r>
        <w:t xml:space="preserve">level of concern than its predicate.</w:t>
      </w:r>
    </w:p>
    <w:p>
      <w:pPr>
        <w:pStyle w:val="BodyText"/>
      </w:pPr>
      <w:r>
        <w:t xml:space="preserve">Third, the package references the 2005 FDA software guidance and the</w:t>
      </w:r>
      <w:r>
        <w:t xml:space="preserve"> </w:t>
      </w:r>
      <w:r>
        <w:t xml:space="preserve">“</w:t>
      </w:r>
      <w:r>
        <w:t xml:space="preserve">level of concern</w:t>
      </w:r>
      <w:r>
        <w:t xml:space="preserve">”</w:t>
      </w:r>
      <w:r>
        <w:t xml:space="preserve"> </w:t>
      </w:r>
      <w:r>
        <w:t xml:space="preserve">framework (Testing Plan §5; Device Description §2.3), while the cover letter (§V) and the predicate summary (§5.6) reference IEC 62304. FDA’s current approach (per the guidance</w:t>
      </w:r>
      <w:r>
        <w:t xml:space="preserve"> </w:t>
      </w:r>
      <w:r>
        <w:rPr>
          <w:i/>
          <w:iCs/>
        </w:rPr>
        <w:t xml:space="preserve">Content of Premarket Submissions for Device Software Functions</w:t>
      </w:r>
      <w:r>
        <w:t xml:space="preserve">) ties documentation level to the IEC 62304 software safety classification. The package should adopt a single, current framework consistently.</w:t>
      </w:r>
    </w:p>
    <w:p>
      <w:pPr>
        <w:pStyle w:val="BodyText"/>
      </w:pPr>
      <w:r>
        <w:rPr>
          <w:b/>
          <w:bCs/>
        </w:rPr>
        <w:t xml:space="preserve">Recommendation.</w:t>
      </w:r>
      <w:r>
        <w:t xml:space="preserve"> </w:t>
      </w:r>
      <w:r>
        <w:t xml:space="preserve">(a) Reassess the software safety classification;</w:t>
      </w:r>
      <w:r>
        <w:t xml:space="preserve"> </w:t>
      </w:r>
      <w:r>
        <w:t xml:space="preserve">“</w:t>
      </w:r>
      <w:r>
        <w:t xml:space="preserve">Moderate</w:t>
      </w:r>
      <w:r>
        <w:t xml:space="preserve">”</w:t>
      </w:r>
      <w:r>
        <w:t xml:space="preserve"> </w:t>
      </w:r>
      <w:r>
        <w:t xml:space="preserve">(or IEC 62304 Class B) is more defensible given the controlled hazards, and aligning with the predicate’s classification avoids an obvious inconsistency. (b) If</w:t>
      </w:r>
      <w:r>
        <w:t xml:space="preserve"> </w:t>
      </w:r>
      <w:r>
        <w:t xml:space="preserve">“</w:t>
      </w:r>
      <w:r>
        <w:t xml:space="preserve">Minor</w:t>
      </w:r>
      <w:r>
        <w:t xml:space="preserve">”</w:t>
      </w:r>
      <w:r>
        <w:t xml:space="preserve"> </w:t>
      </w:r>
      <w:r>
        <w:t xml:space="preserve">is retained, strengthen the rationale and be prepared to defend it; ensure the hazard analysis documents that hardware controls are truly independent and that software is not the sole mitigation for any serious-injury hazard. (c) Align all documents on a single software framework (recommend IEC 62304 with the FDA documentation-level mapping) and update the cover letter and Device Description accordingly. (d) The Testing Plan’s Q4 already invites FDA’s view on the level of concern — be prepared for FDA to disagree.</w:t>
      </w:r>
    </w:p>
    <w:bookmarkEnd w:id="32"/>
    <w:bookmarkStart w:id="33" w:name="Xee43463babafd1505f928f114537f8d7028442e"/>
    <w:p>
      <w:pPr>
        <w:pStyle w:val="Heading3"/>
      </w:pPr>
      <w:r>
        <w:t xml:space="preserve">Issue 10 — Simulated-Use Bench Testing Does Not Evaluate the Pharmacomechanical (Combined) Function</w:t>
      </w:r>
    </w:p>
    <w:p>
      <w:pPr>
        <w:pStyle w:val="FirstParagraph"/>
      </w:pPr>
      <w:r>
        <w:rPr>
          <w:b/>
          <w:bCs/>
        </w:rPr>
        <w:t xml:space="preserve">Issue.</w:t>
      </w:r>
      <w:r>
        <w:t xml:space="preserve"> </w:t>
      </w:r>
      <w:r>
        <w:t xml:space="preserve">The simulated-use bench test (Testing Plan §7) evaluates mechanical thrombectomy only;</w:t>
      </w:r>
      <w:r>
        <w:t xml:space="preserve"> </w:t>
      </w:r>
      <w:r>
        <w:t xml:space="preserve">“</w:t>
      </w:r>
      <w:r>
        <w:t xml:space="preserve">the thrombolytic infusion lumen is not activated during simulated-use bench testing</w:t>
      </w:r>
      <w:r>
        <w:t xml:space="preserve">”</w:t>
      </w:r>
      <w:r>
        <w:t xml:space="preserve"> </w:t>
      </w:r>
      <w:r>
        <w:t xml:space="preserve">and</w:t>
      </w:r>
      <w:r>
        <w:t xml:space="preserve"> </w:t>
      </w:r>
      <w:r>
        <w:t xml:space="preserve">“</w:t>
      </w:r>
      <w:r>
        <w:t xml:space="preserve">combined pharmacomechanical testing … is not included</w:t>
      </w:r>
      <w:r>
        <w:t xml:space="preserve">”</w:t>
      </w:r>
      <w:r>
        <w:t xml:space="preserve"> </w:t>
      </w:r>
      <w:r>
        <w:t xml:space="preserve">(§7.2).</w:t>
      </w:r>
    </w:p>
    <w:p>
      <w:pPr>
        <w:pStyle w:val="BodyText"/>
      </w:pPr>
      <w:r>
        <w:rPr>
          <w:b/>
          <w:bCs/>
        </w:rPr>
        <w:t xml:space="preserve">Analysis.</w:t>
      </w:r>
      <w:r>
        <w:t xml:space="preserve"> </w:t>
      </w:r>
      <w:r>
        <w:t xml:space="preserve">The Device’s indication and its</w:t>
      </w:r>
      <w:r>
        <w:t xml:space="preserve"> </w:t>
      </w:r>
      <w:r>
        <w:t xml:space="preserve">“</w:t>
      </w:r>
      <w:r>
        <w:t xml:space="preserve">key differentiating feature</w:t>
      </w:r>
      <w:r>
        <w:t xml:space="preserve">”</w:t>
      </w:r>
      <w:r>
        <w:t xml:space="preserve"> </w:t>
      </w:r>
      <w:r>
        <w:t xml:space="preserve">(Cover Letter §II) is</w:t>
      </w:r>
      <w:r>
        <w:t xml:space="preserve"> </w:t>
      </w:r>
      <w:r>
        <w:rPr>
          <w:i/>
          <w:iCs/>
        </w:rPr>
        <w:t xml:space="preserve">simultaneous</w:t>
      </w:r>
      <w:r>
        <w:t xml:space="preserve"> </w:t>
      </w:r>
      <w:r>
        <w:t xml:space="preserve">mechanical thrombus removal and local drug delivery. The bench test that purports to demonstrate thrombus removal efficacy does not exercise the feature that distinguishes the device and that is central to the indication. If the indication claims simultaneous pharmacomechanical thrombectomy, the bench program should include a condition that evaluates the combined function (e.g., mechanical thrombectomy with concurrent simulated infusion), or the package should explain why mechanical-only bench testing is adequate to support the combined indication. FDA is likely to ask why the claimed combined function is not bench-tested.</w:t>
      </w:r>
    </w:p>
    <w:p>
      <w:pPr>
        <w:pStyle w:val="BodyText"/>
      </w:pPr>
      <w:r>
        <w:rPr>
          <w:b/>
          <w:bCs/>
        </w:rPr>
        <w:t xml:space="preserve">Recommendation.</w:t>
      </w:r>
      <w:r>
        <w:t xml:space="preserve"> </w:t>
      </w:r>
      <w:r>
        <w:t xml:space="preserve">(a) Add a pharmacomechanical bench test condition (mechanical thrombectomy with concurrent infusion of a thrombolytic surrogate or tPA analog in the thrombus model) to evaluate the combined function, or (b) justify the mechanical-only approach and be prepared to defend it at the meeting. (c) Clarify in the Testing Plan how the bench data supports the</w:t>
      </w:r>
      <w:r>
        <w:t xml:space="preserve"> </w:t>
      </w:r>
      <w:r>
        <w:t xml:space="preserve">“</w:t>
      </w:r>
      <w:r>
        <w:t xml:space="preserve">simultaneous</w:t>
      </w:r>
      <w:r>
        <w:t xml:space="preserve">”</w:t>
      </w:r>
      <w:r>
        <w:t xml:space="preserve"> </w:t>
      </w:r>
      <w:r>
        <w:t xml:space="preserve">claim in the indication.</w:t>
      </w:r>
    </w:p>
    <w:bookmarkEnd w:id="33"/>
    <w:bookmarkStart w:id="34" w:name="X02389651c2866064fee1aed10ab9f8c1e605cbd"/>
    <w:p>
      <w:pPr>
        <w:pStyle w:val="Heading3"/>
      </w:pPr>
      <w:r>
        <w:t xml:space="preserve">Issue 11 — Drug Delivery Characterization Uses Saline Only; No Drug Compatibility Testing</w:t>
      </w:r>
    </w:p>
    <w:p>
      <w:pPr>
        <w:pStyle w:val="FirstParagraph"/>
      </w:pPr>
      <w:r>
        <w:rPr>
          <w:b/>
          <w:bCs/>
        </w:rPr>
        <w:t xml:space="preserve">Issue.</w:t>
      </w:r>
      <w:r>
        <w:t xml:space="preserve"> </w:t>
      </w:r>
      <w:r>
        <w:t xml:space="preserve">The drug delivery characterization (Testing Plan §8) uses normal saline as the test fluid. The IFU (§9) states that</w:t>
      </w:r>
      <w:r>
        <w:t xml:space="preserve"> </w:t>
      </w:r>
      <w:r>
        <w:t xml:space="preserve">“</w:t>
      </w:r>
      <w:r>
        <w:t xml:space="preserve">drug compatibility with catheter lumen materials has not been independently verified</w:t>
      </w:r>
      <w:r>
        <w:t xml:space="preserve">”</w:t>
      </w:r>
      <w:r>
        <w:t xml:space="preserve"> </w:t>
      </w:r>
      <w:r>
        <w:t xml:space="preserve">and that</w:t>
      </w:r>
      <w:r>
        <w:t xml:space="preserve"> </w:t>
      </w:r>
      <w:r>
        <w:t xml:space="preserve">“</w:t>
      </w:r>
      <w:r>
        <w:t xml:space="preserve">specific compatibility testing with individual thrombolytic agents … has not been performed.</w:t>
      </w:r>
      <w:r>
        <w:t xml:space="preserve">”</w:t>
      </w:r>
    </w:p>
    <w:p>
      <w:pPr>
        <w:pStyle w:val="BodyText"/>
      </w:pPr>
      <w:r>
        <w:rPr>
          <w:b/>
          <w:bCs/>
        </w:rPr>
        <w:t xml:space="preserve">Analysis.</w:t>
      </w:r>
      <w:r>
        <w:t xml:space="preserve"> </w:t>
      </w:r>
      <w:r>
        <w:t xml:space="preserve">If the Device is a combination product (Issue 1), or even if it is not, FDA may require characterization of the infusion lumen’s performance with representative thrombolytic agents (e.g., alteplase), including drug stability, adsorption/absorption to lumen materials (especially the PTFE liner and polyurethane), delivered-dose accuracy, and any interaction between the drug and the device materials. Saline flow testing verifies the lumen’s hydraulic performance but not its drug-delivery performance. The Testing Plan’s own Q6 acknowledges this uncertainty by asking FDA whether additional testing with tPA is needed.</w:t>
      </w:r>
    </w:p>
    <w:p>
      <w:pPr>
        <w:pStyle w:val="BodyText"/>
      </w:pPr>
      <w:r>
        <w:t xml:space="preserve">The IFU’s candid admission that compatibility has not been verified is appropriate for a draft, but it signals a gap that should be closed (or explicitly scoped with FDA) before the 510(k). The infusion lumen liner is PTFE and the shaft is polyurethane/Pebax; protein adsorption to these surfaces and dose-delivery accuracy are legitimate review topics.</w:t>
      </w:r>
    </w:p>
    <w:p>
      <w:pPr>
        <w:pStyle w:val="BodyText"/>
      </w:pPr>
      <w:r>
        <w:rPr>
          <w:b/>
          <w:bCs/>
        </w:rPr>
        <w:t xml:space="preserve">Recommendation.</w:t>
      </w:r>
      <w:r>
        <w:t xml:space="preserve"> </w:t>
      </w:r>
      <w:r>
        <w:t xml:space="preserve">(a) Propose drug-delivery characterization with at least one representative thrombolytic (alteplase), including delivered-dose accuracy, recovery, and material compatibility, or (b) obtain FDA’s concurrence at the Pre-Submission meeting that saline-only characterization is acceptable (the Testing Plan’s Q6 does this — be prepared for FDA to require more). (c) Reconcile the IFU’s compatibility disclaimer with whatever testing is ultimately performed.</w:t>
      </w:r>
    </w:p>
    <w:bookmarkEnd w:id="34"/>
    <w:bookmarkStart w:id="35" w:name="Xe70f11ec9c54b817bda82054e3d11aa76488e90"/>
    <w:p>
      <w:pPr>
        <w:pStyle w:val="Heading3"/>
      </w:pPr>
      <w:r>
        <w:t xml:space="preserve">Issue 12 — Clinical Study Design May Be Insufficient; Short Follow-Up; No DSMB</w:t>
      </w:r>
    </w:p>
    <w:p>
      <w:pPr>
        <w:pStyle w:val="FirstParagraph"/>
      </w:pPr>
      <w:r>
        <w:rPr>
          <w:b/>
          <w:bCs/>
        </w:rPr>
        <w:t xml:space="preserve">Issue.</w:t>
      </w:r>
      <w:r>
        <w:t xml:space="preserve"> </w:t>
      </w:r>
      <w:r>
        <w:t xml:space="preserve">The study is single-arm, 60 patients, 5 sites, with a primary endpoint of ≥50% thrombus removal at 24 hours and a performance goal that the lower 95% CI bound exceed 70% (Clinical Synopsis §§9, 11).</w:t>
      </w:r>
    </w:p>
    <w:p>
      <w:pPr>
        <w:pStyle w:val="BodyText"/>
      </w:pPr>
      <w:r>
        <w:rPr>
          <w:b/>
          <w:bCs/>
        </w:rPr>
        <w:t xml:space="preserve">Analysis.</w:t>
      </w:r>
      <w:r>
        <w:t xml:space="preserve"> </w:t>
      </w:r>
      <w:r>
        <w:t xml:space="preserve">Several concerns. (i)</w:t>
      </w:r>
      <w:r>
        <w:t xml:space="preserve"> </w:t>
      </w:r>
      <w:r>
        <w:rPr>
          <w:b/>
          <w:bCs/>
        </w:rPr>
        <w:t xml:space="preserve">Performance goal justification:</w:t>
      </w:r>
      <w:r>
        <w:t xml:space="preserve"> </w:t>
      </w:r>
      <w:r>
        <w:t xml:space="preserve">The 70% performance goal is not tied to an objective performance criterion (OPC) derived from prior studies or the predicate; the synopsis states the expected success rate is 80% but does not cite the evidentiary basis for either figure. FDA may ask for justification. (ii)</w:t>
      </w:r>
      <w:r>
        <w:t xml:space="preserve"> </w:t>
      </w:r>
      <w:r>
        <w:rPr>
          <w:b/>
          <w:bCs/>
        </w:rPr>
        <w:t xml:space="preserve">Endpoint magnitude:</w:t>
      </w:r>
      <w:r>
        <w:t xml:space="preserve"> </w:t>
      </w:r>
      <w:r>
        <w:t xml:space="preserve">A ≥50% thrombus removal threshold is modest; FDA may question whether it demonstrates effectiveness. (iii)</w:t>
      </w:r>
      <w:r>
        <w:t xml:space="preserve"> </w:t>
      </w:r>
      <w:r>
        <w:rPr>
          <w:b/>
          <w:bCs/>
        </w:rPr>
        <w:t xml:space="preserve">Follow-up duration:</w:t>
      </w:r>
      <w:r>
        <w:t xml:space="preserve"> </w:t>
      </w:r>
      <w:r>
        <w:t xml:space="preserve">The study’s rationale emphasizes prevention of post-thrombotic syndrome (PTS) (§3), but follow-up ends at 30 days — far too short to assess PTS, which develops over months to years. The 30-day patency endpoint is a surrogate. (iv)</w:t>
      </w:r>
      <w:r>
        <w:t xml:space="preserve"> </w:t>
      </w:r>
      <w:r>
        <w:rPr>
          <w:b/>
          <w:bCs/>
        </w:rPr>
        <w:t xml:space="preserve">Single-arm adequacy:</w:t>
      </w:r>
      <w:r>
        <w:t xml:space="preserve"> </w:t>
      </w:r>
      <w:r>
        <w:t xml:space="preserve">If FDA requires clinical data as a</w:t>
      </w:r>
      <w:r>
        <w:t xml:space="preserve"> </w:t>
      </w:r>
      <w:r>
        <w:rPr>
          <w:i/>
          <w:iCs/>
        </w:rPr>
        <w:t xml:space="preserve">primary</w:t>
      </w:r>
      <w:r>
        <w:t xml:space="preserve"> </w:t>
      </w:r>
      <w:r>
        <w:t xml:space="preserve">(not merely supportive) basis for clearance — plausible given the technological differences (Issue 3) and potential combination product status (Issue 1) — a single-arm study without a comparator may be inadequate. (v)</w:t>
      </w:r>
      <w:r>
        <w:t xml:space="preserve"> </w:t>
      </w:r>
      <w:r>
        <w:rPr>
          <w:b/>
          <w:bCs/>
        </w:rPr>
        <w:t xml:space="preserve">No independent Data Safety Monitoring Board (DSMB):</w:t>
      </w:r>
      <w:r>
        <w:t xml:space="preserve"> </w:t>
      </w:r>
      <w:r>
        <w:t xml:space="preserve">Safety monitoring is by the Sponsor and CRO only (§12). For an investigational device study involving concurrent thrombolytic infusion, an independent DSMB is generally expected. (vi) The study’s characterization as</w:t>
      </w:r>
      <w:r>
        <w:t xml:space="preserve"> </w:t>
      </w:r>
      <w:r>
        <w:t xml:space="preserve">“</w:t>
      </w:r>
      <w:r>
        <w:t xml:space="preserve">post-clearance</w:t>
      </w:r>
      <w:r>
        <w:t xml:space="preserve">”</w:t>
      </w:r>
      <w:r>
        <w:t xml:space="preserve"> </w:t>
      </w:r>
      <w:r>
        <w:t xml:space="preserve">(Issue 2) compounds these concerns.</w:t>
      </w:r>
    </w:p>
    <w:p>
      <w:pPr>
        <w:pStyle w:val="BodyText"/>
      </w:pPr>
      <w:r>
        <w:rPr>
          <w:b/>
          <w:bCs/>
        </w:rPr>
        <w:t xml:space="preserve">Recommendation.</w:t>
      </w:r>
      <w:r>
        <w:t xml:space="preserve"> </w:t>
      </w:r>
      <w:r>
        <w:t xml:space="preserve">(a) Justify the performance goal with cited evidence (e.g., ATTRACT, CaVenT, or comparable thrombectomy study outcomes). (b) Consider extending follow-up (e.g., 6-month patency and PTS assessment) if feasible within the timeline, or justify the 30-day endpoint. (c) Add an independent DSMB. (d) Be prepared for FDA to require a different study design or additional patients if clinical data is treated as primary evidence. (e) Present the design candidly at the Pre-Submission meeting (cover letter Q4) and be prepared to modify.</w:t>
      </w:r>
    </w:p>
    <w:bookmarkEnd w:id="35"/>
    <w:bookmarkStart w:id="36" w:name="X4bad1f0cae2d6001c5e580fefaa7de539dec08b"/>
    <w:p>
      <w:pPr>
        <w:pStyle w:val="Heading3"/>
      </w:pPr>
      <w:r>
        <w:t xml:space="preserve">Issue 13 — MRI Safety Testing Is Not in the Testing Plan; IFU MRI Information Is Incomplete</w:t>
      </w:r>
    </w:p>
    <w:p>
      <w:pPr>
        <w:pStyle w:val="FirstParagraph"/>
      </w:pPr>
      <w:r>
        <w:rPr>
          <w:b/>
          <w:bCs/>
        </w:rPr>
        <w:t xml:space="preserve">Issue.</w:t>
      </w:r>
      <w:r>
        <w:t xml:space="preserve"> </w:t>
      </w:r>
      <w:r>
        <w:t xml:space="preserve">The IFU (§6) claims the catheter is</w:t>
      </w:r>
      <w:r>
        <w:t xml:space="preserve"> </w:t>
      </w:r>
      <w:r>
        <w:t xml:space="preserve">“</w:t>
      </w:r>
      <w:r>
        <w:t xml:space="preserve">MR Conditional</w:t>
      </w:r>
      <w:r>
        <w:t xml:space="preserve">”</w:t>
      </w:r>
      <w:r>
        <w:t xml:space="preserve"> </w:t>
      </w:r>
      <w:r>
        <w:t xml:space="preserve">but contains</w:t>
      </w:r>
      <w:r>
        <w:t xml:space="preserve"> </w:t>
      </w:r>
      <w:r>
        <w:t xml:space="preserve">“</w:t>
      </w:r>
      <w:r>
        <w:t xml:space="preserve">[TBD]</w:t>
      </w:r>
      <w:r>
        <w:t xml:space="preserve">”</w:t>
      </w:r>
      <w:r>
        <w:t xml:space="preserve"> </w:t>
      </w:r>
      <w:r>
        <w:t xml:space="preserve">placeholders for temperature rise and field strength. The Testing Plan contains no MRI compatibility testing.</w:t>
      </w:r>
    </w:p>
    <w:p>
      <w:pPr>
        <w:pStyle w:val="BodyText"/>
      </w:pPr>
      <w:r>
        <w:rPr>
          <w:b/>
          <w:bCs/>
        </w:rPr>
        <w:t xml:space="preserve">Analysis.</w:t>
      </w:r>
      <w:r>
        <w:t xml:space="preserve"> </w:t>
      </w:r>
      <w:r>
        <w:t xml:space="preserve">The catheter incorporates 316L stainless steel and nitinol (per the Device Description and Testing Plan §2.3) — ferromagnetic and conductive components that require MRI safety evaluation per ASTM F2503 / IEC 62570 to support an</w:t>
      </w:r>
      <w:r>
        <w:t xml:space="preserve"> </w:t>
      </w:r>
      <w:r>
        <w:t xml:space="preserve">“</w:t>
      </w:r>
      <w:r>
        <w:t xml:space="preserve">MR Conditional</w:t>
      </w:r>
      <w:r>
        <w:t xml:space="preserve">”</w:t>
      </w:r>
      <w:r>
        <w:t xml:space="preserve"> </w:t>
      </w:r>
      <w:r>
        <w:t xml:space="preserve">claim. The predicate summary does not address MRI (the predicate’s materials differ). A</w:t>
      </w:r>
      <w:r>
        <w:t xml:space="preserve"> </w:t>
      </w:r>
      <w:r>
        <w:t xml:space="preserve">“</w:t>
      </w:r>
      <w:r>
        <w:t xml:space="preserve">MR Conditional</w:t>
      </w:r>
      <w:r>
        <w:t xml:space="preserve">”</w:t>
      </w:r>
      <w:r>
        <w:t xml:space="preserve"> </w:t>
      </w:r>
      <w:r>
        <w:t xml:space="preserve">labeling claim without supporting test data is not defensible, and the IFU’s</w:t>
      </w:r>
      <w:r>
        <w:t xml:space="preserve"> </w:t>
      </w:r>
      <w:r>
        <w:t xml:space="preserve">“</w:t>
      </w:r>
      <w:r>
        <w:t xml:space="preserve">[TBD]</w:t>
      </w:r>
      <w:r>
        <w:t xml:space="preserve">”</w:t>
      </w:r>
      <w:r>
        <w:t xml:space="preserve"> </w:t>
      </w:r>
      <w:r>
        <w:t xml:space="preserve">values must be populated with tested results. The console is correctly labeled</w:t>
      </w:r>
      <w:r>
        <w:t xml:space="preserve"> </w:t>
      </w:r>
      <w:r>
        <w:t xml:space="preserve">“</w:t>
      </w:r>
      <w:r>
        <w:t xml:space="preserve">MR Unsafe.</w:t>
      </w:r>
      <w:r>
        <w:t xml:space="preserve">”</w:t>
      </w:r>
    </w:p>
    <w:p>
      <w:pPr>
        <w:pStyle w:val="BodyText"/>
      </w:pPr>
      <w:r>
        <w:rPr>
          <w:b/>
          <w:bCs/>
        </w:rPr>
        <w:t xml:space="preserve">Recommendation.</w:t>
      </w:r>
      <w:r>
        <w:t xml:space="preserve"> </w:t>
      </w:r>
      <w:r>
        <w:t xml:space="preserve">(a) Add MRI safety testing (per ASTM F2503, including magnetically induced displacement force, torque, RF heating, and artifact evaluation at 1.5 T and 3.0 T) to the Testing Plan. (b) Populate the IFU §6 placeholders with tested values once available. (c) If testing is not yet planned, either remove the</w:t>
      </w:r>
      <w:r>
        <w:t xml:space="preserve"> </w:t>
      </w:r>
      <w:r>
        <w:t xml:space="preserve">“</w:t>
      </w:r>
      <w:r>
        <w:t xml:space="preserve">MR Conditional</w:t>
      </w:r>
      <w:r>
        <w:t xml:space="preserve">”</w:t>
      </w:r>
      <w:r>
        <w:t xml:space="preserve"> </w:t>
      </w:r>
      <w:r>
        <w:t xml:space="preserve">claim from the draft IFU or flag it as contingent on testing in the Pre-Submission discussion.</w:t>
      </w:r>
    </w:p>
    <w:bookmarkEnd w:id="36"/>
    <w:bookmarkStart w:id="37" w:name="X81e9739bf1df2c99619c83b77d83eb2bedd5327"/>
    <w:p>
      <w:pPr>
        <w:pStyle w:val="Heading3"/>
      </w:pPr>
      <w:r>
        <w:t xml:space="preserve">Issue 14 — EMC Testing (IEC 60601-1-2) Is Not Addressed</w:t>
      </w:r>
    </w:p>
    <w:p>
      <w:pPr>
        <w:pStyle w:val="FirstParagraph"/>
      </w:pPr>
      <w:r>
        <w:rPr>
          <w:b/>
          <w:bCs/>
        </w:rPr>
        <w:t xml:space="preserve">Issue.</w:t>
      </w:r>
      <w:r>
        <w:t xml:space="preserve"> </w:t>
      </w:r>
      <w:r>
        <w:t xml:space="preserve">The Testing Plan’s electrical safety section (§4) addresses IEC 60601-1 but does not address electromagnetic compatibility (IEC 60601-1-2). The console is an AC-powered electromechanical device with a motor and touchscreen.</w:t>
      </w:r>
    </w:p>
    <w:p>
      <w:pPr>
        <w:pStyle w:val="BodyText"/>
      </w:pPr>
      <w:r>
        <w:rPr>
          <w:b/>
          <w:bCs/>
        </w:rPr>
        <w:t xml:space="preserve">Analysis.</w:t>
      </w:r>
      <w:r>
        <w:t xml:space="preserve"> </w:t>
      </w:r>
      <w:r>
        <w:t xml:space="preserve">The predicate’s 510(k) summary (§5.3) documents a full IEC 60601-1-2:2014 EMC test battery (radiated/conducted emissions, ESD immunity, radiated RF immunity, EFT/burst, surge, conducted RF immunity, power-frequency magnetic field immunity, voltage dips/interruptions). EMC testing is a standard expectation for powered medical electrical equipment. Its omission from the VascuClear testing plan is a gap relative to both the predicate and the applicable collateral standard. Pinnacle Standards Testing is identified for IEC 60601-1 testing and is presumably capable of EMC testing as well.</w:t>
      </w:r>
    </w:p>
    <w:p>
      <w:pPr>
        <w:pStyle w:val="BodyText"/>
      </w:pPr>
      <w:r>
        <w:rPr>
          <w:b/>
          <w:bCs/>
        </w:rPr>
        <w:t xml:space="preserve">Recommendation.</w:t>
      </w:r>
      <w:r>
        <w:t xml:space="preserve"> </w:t>
      </w:r>
      <w:r>
        <w:t xml:space="preserve">Add IEC 60601-1-2:2014 (Edition 4) EMC testing to the Testing Plan §4, to be performed at Pinnacle. Confirm the intended use environment (cath lab / IR suite) for the EMC immunity/emissions classification.</w:t>
      </w:r>
    </w:p>
    <w:bookmarkEnd w:id="37"/>
    <w:bookmarkStart w:id="38" w:name="Xcf56aa59461a909fcd71dc68ddb3e64bf8d8ec5"/>
    <w:p>
      <w:pPr>
        <w:pStyle w:val="Heading3"/>
      </w:pPr>
      <w:r>
        <w:t xml:space="preserve">Issue 15 — Shelf-Life / Sterile Barrier Validation Is Not Addressed</w:t>
      </w:r>
    </w:p>
    <w:p>
      <w:pPr>
        <w:pStyle w:val="FirstParagraph"/>
      </w:pPr>
      <w:r>
        <w:rPr>
          <w:b/>
          <w:bCs/>
        </w:rPr>
        <w:t xml:space="preserve">Issue.</w:t>
      </w:r>
      <w:r>
        <w:t xml:space="preserve"> </w:t>
      </w:r>
      <w:r>
        <w:t xml:space="preserve">The Testing Plan’s sterilization section (§6) addresses EtO process validation and residuals but does not address shelf-life validation or sterile barrier system (SBS) / package integrity testing.</w:t>
      </w:r>
    </w:p>
    <w:p>
      <w:pPr>
        <w:pStyle w:val="BodyText"/>
      </w:pPr>
      <w:r>
        <w:rPr>
          <w:b/>
          <w:bCs/>
        </w:rPr>
        <w:t xml:space="preserve">Analysis.</w:t>
      </w:r>
      <w:r>
        <w:t xml:space="preserve"> </w:t>
      </w:r>
      <w:r>
        <w:t xml:space="preserve">The predicate summary (§5.4) documents shelf-life validation (ASTM F1980 accelerated aging, 2-year shelf life) and package integrity testing (ASTM D4169 distribution simulation; ASTM F2095 seal strength). Shelf-life/SBS validation is a standard expectation for terminally sterilized single-use devices and is required to support an expiration date on the label (the IFU references an expiration date, §8.1, §12). Its omission is a gap.</w:t>
      </w:r>
    </w:p>
    <w:p>
      <w:pPr>
        <w:pStyle w:val="BodyText"/>
      </w:pPr>
      <w:r>
        <w:rPr>
          <w:b/>
          <w:bCs/>
        </w:rPr>
        <w:t xml:space="preserve">Recommendation.</w:t>
      </w:r>
      <w:r>
        <w:t xml:space="preserve"> </w:t>
      </w:r>
      <w:r>
        <w:t xml:space="preserve">Add shelf-life validation (ASTM F1980 accelerated aging and real-time aging, as appropriate) and SBS/package integrity testing (ASTM D4169, ASTM F2095, and visual/dye-penetration leak testing) to the Testing Plan, with a defined target shelf life. Coordinate with Whitecrest or a qualified packaging lab.</w:t>
      </w:r>
    </w:p>
    <w:p>
      <w:r>
        <w:pict>
          <v:rect style="width:0;height:1.5pt" o:hralign="center" o:hrstd="t" o:hr="t"/>
        </w:pict>
      </w:r>
    </w:p>
    <w:bookmarkEnd w:id="38"/>
    <w:bookmarkEnd w:id="39"/>
    <w:bookmarkStart w:id="49" w:name="Xd54b0b9c6d9407811cd9ecbae25a792721f8bf8"/>
    <w:p>
      <w:pPr>
        <w:pStyle w:val="Heading2"/>
      </w:pPr>
      <w:r>
        <w:t xml:space="preserve">V. Tier 3 — Medium Priority Issues (Reconcile for a Coherent Package)</w:t>
      </w:r>
    </w:p>
    <w:bookmarkStart w:id="40" w:name="X943958bb9e6da20e4f79dc8a8a79c226e36a6aa"/>
    <w:p>
      <w:pPr>
        <w:pStyle w:val="Heading3"/>
      </w:pPr>
      <w:r>
        <w:t xml:space="preserve">Issue 16 — Hemocompatibility Testing Should Address Impeller-Specific Hemolysis Under Worst-Case Operation</w:t>
      </w:r>
    </w:p>
    <w:p>
      <w:pPr>
        <w:pStyle w:val="FirstParagraph"/>
      </w:pPr>
      <w:r>
        <w:t xml:space="preserve">The hemocompatibility battery (Testing Plan §2.2, ISO 10993-4) includes hemolysis (direct/indirect contact), complement activation, and thrombogenicity. For a device with a 12,000 RPM rotating impeller in direct contact with blood, hemolysis is a specific, well-recognized hazard that static extract-based ISO 10993-4 testing may not adequately capture. Recommend adding dynamic hemolysis testing with the impeller operating at worst-case speed in blood or a blood analog, distinct from the static biocompatibility extracts. The particulate generation test (§3.3) addresses particulates but not hemolysis. The predicate generated only −250 to −350 mmHg with no rotating element; the VascuClear’s −650 mmHg powered aspiration plus rotating impeller presents a different hemocompatibility profile.</w:t>
      </w:r>
    </w:p>
    <w:bookmarkEnd w:id="40"/>
    <w:bookmarkStart w:id="41" w:name="X7e41bb32f3d09e40d4a397a70dc14fad450c7de"/>
    <w:p>
      <w:pPr>
        <w:pStyle w:val="Heading3"/>
      </w:pPr>
      <w:r>
        <w:t xml:space="preserve">Issue 17 — Console Reprocessing Validation Is Not Addressed</w:t>
      </w:r>
    </w:p>
    <w:p>
      <w:pPr>
        <w:pStyle w:val="FirstParagraph"/>
      </w:pPr>
      <w:r>
        <w:t xml:space="preserve">The IFU (§11) provides cleaning instructions for the reusable console, but the Testing Plan does not include reprocessing validation. FDA guidance (</w:t>
      </w:r>
      <w:r>
        <w:rPr>
          <w:i/>
          <w:iCs/>
        </w:rPr>
        <w:t xml:space="preserve">Reprocessing Medical Devices in Health Care Settings: Validation Methods and Labeling</w:t>
      </w:r>
      <w:r>
        <w:t xml:space="preserve">) expects validated reprocessing instructions for reusable devices. The console contacts the procedural field (drive cable, aspiration tubing connections). Add reprocessing validation (cleaning/disinfection efficacy) and ensure the IFU instructions are validated, not merely descriptive.</w:t>
      </w:r>
    </w:p>
    <w:bookmarkEnd w:id="41"/>
    <w:bookmarkStart w:id="42" w:name="Xd71c6cc8ff0dfe4efde2ebf933bcc114f022006"/>
    <w:p>
      <w:pPr>
        <w:pStyle w:val="Heading3"/>
      </w:pPr>
      <w:r>
        <w:t xml:space="preserve">Issue 18 — Console Dimensions and Weight Are Inconsistent Across Documents</w:t>
      </w:r>
    </w:p>
    <w:p>
      <w:pPr>
        <w:pStyle w:val="FirstParagraph"/>
      </w:pPr>
      <w:r>
        <w:t xml:space="preserve">The Device Description (§2.3) states the console is</w:t>
      </w:r>
      <w:r>
        <w:t xml:space="preserve"> </w:t>
      </w:r>
      <w:r>
        <w:t xml:space="preserve">“</w:t>
      </w:r>
      <w:r>
        <w:t xml:space="preserve">approximately 40 cm (W) × 35 cm (D) × 20 cm (H)</w:t>
      </w:r>
      <w:r>
        <w:t xml:space="preserve">”</w:t>
      </w:r>
      <w:r>
        <w:t xml:space="preserve"> </w:t>
      </w:r>
      <w:r>
        <w:t xml:space="preserve">and</w:t>
      </w:r>
      <w:r>
        <w:t xml:space="preserve"> </w:t>
      </w:r>
      <w:r>
        <w:t xml:space="preserve">“</w:t>
      </w:r>
      <w:r>
        <w:t xml:space="preserve">approximately 15 kilograms.</w:t>
      </w:r>
      <w:r>
        <w:t xml:space="preserve">”</w:t>
      </w:r>
      <w:r>
        <w:t xml:space="preserve"> </w:t>
      </w:r>
      <w:r>
        <w:t xml:space="preserve">The IFU (§13) states</w:t>
      </w:r>
      <w:r>
        <w:t xml:space="preserve"> </w:t>
      </w:r>
      <w:r>
        <w:t xml:space="preserve">“</w:t>
      </w:r>
      <w:r>
        <w:t xml:space="preserve">30 cm × 25 cm × 15 cm</w:t>
      </w:r>
      <w:r>
        <w:t xml:space="preserve">”</w:t>
      </w:r>
      <w:r>
        <w:t xml:space="preserve"> </w:t>
      </w:r>
      <w:r>
        <w:t xml:space="preserve">and</w:t>
      </w:r>
      <w:r>
        <w:t xml:space="preserve"> </w:t>
      </w:r>
      <w:r>
        <w:t xml:space="preserve">“</w:t>
      </w:r>
      <w:r>
        <w:t xml:space="preserve">4.5 kg.</w:t>
      </w:r>
      <w:r>
        <w:t xml:space="preserve">”</w:t>
      </w:r>
      <w:r>
        <w:t xml:space="preserve"> </w:t>
      </w:r>
      <w:r>
        <w:t xml:space="preserve">These are materially different (15 kg vs. 4.5 kg; 40×35×20 cm vs. 30×25×15 cm). Reconcile to a single specification set; the discrepancy will be noticed and erodes confidence in the technical content.</w:t>
      </w:r>
    </w:p>
    <w:bookmarkEnd w:id="42"/>
    <w:bookmarkStart w:id="43" w:name="X7d99a31450c8813c6dbbe276dfc1d6561e4b635"/>
    <w:p>
      <w:pPr>
        <w:pStyle w:val="Heading3"/>
      </w:pPr>
      <w:r>
        <w:t xml:space="preserve">Issue 19 — Impeller Material Is Inconsistent Across Documents</w:t>
      </w:r>
    </w:p>
    <w:p>
      <w:pPr>
        <w:pStyle w:val="FirstParagraph"/>
      </w:pPr>
      <w:r>
        <w:t xml:space="preserve">The Device Description (§2.2) states the impeller is</w:t>
      </w:r>
      <w:r>
        <w:t xml:space="preserve"> </w:t>
      </w:r>
      <w:r>
        <w:t xml:space="preserve">“</w:t>
      </w:r>
      <w:r>
        <w:t xml:space="preserve">medical-grade stainless steel (316L)</w:t>
      </w:r>
      <w:r>
        <w:t xml:space="preserve">”</w:t>
      </w:r>
      <w:r>
        <w:t xml:space="preserve"> </w:t>
      </w:r>
      <w:r>
        <w:t xml:space="preserve">and that</w:t>
      </w:r>
      <w:r>
        <w:t xml:space="preserve"> </w:t>
      </w:r>
      <w:r>
        <w:t xml:space="preserve">“</w:t>
      </w:r>
      <w:r>
        <w:t xml:space="preserve">certain structural components … incorporate nitinol.</w:t>
      </w:r>
      <w:r>
        <w:t xml:space="preserve">”</w:t>
      </w:r>
      <w:r>
        <w:t xml:space="preserve"> </w:t>
      </w:r>
      <w:r>
        <w:t xml:space="preserve">The Testing Plan (§2.3) lists the</w:t>
      </w:r>
      <w:r>
        <w:t xml:space="preserve"> </w:t>
      </w:r>
      <w:r>
        <w:t xml:space="preserve">“</w:t>
      </w:r>
      <w:r>
        <w:t xml:space="preserve">Helical Impeller</w:t>
      </w:r>
      <w:r>
        <w:t xml:space="preserve">”</w:t>
      </w:r>
      <w:r>
        <w:t xml:space="preserve"> </w:t>
      </w:r>
      <w:r>
        <w:t xml:space="preserve">as</w:t>
      </w:r>
      <w:r>
        <w:t xml:space="preserve"> </w:t>
      </w:r>
      <w:r>
        <w:t xml:space="preserve">“</w:t>
      </w:r>
      <w:r>
        <w:t xml:space="preserve">Nitinol (nickel-titanium alloy)</w:t>
      </w:r>
      <w:r>
        <w:t xml:space="preserve">”</w:t>
      </w:r>
      <w:r>
        <w:t xml:space="preserve"> </w:t>
      </w:r>
      <w:r>
        <w:t xml:space="preserve">and the</w:t>
      </w:r>
      <w:r>
        <w:t xml:space="preserve"> </w:t>
      </w:r>
      <w:r>
        <w:t xml:space="preserve">“</w:t>
      </w:r>
      <w:r>
        <w:t xml:space="preserve">Impeller Housing</w:t>
      </w:r>
      <w:r>
        <w:t xml:space="preserve">”</w:t>
      </w:r>
      <w:r>
        <w:t xml:space="preserve"> </w:t>
      </w:r>
      <w:r>
        <w:t xml:space="preserve">as</w:t>
      </w:r>
      <w:r>
        <w:t xml:space="preserve"> </w:t>
      </w:r>
      <w:r>
        <w:t xml:space="preserve">“</w:t>
      </w:r>
      <w:r>
        <w:t xml:space="preserve">Stainless steel 316L.</w:t>
      </w:r>
      <w:r>
        <w:t xml:space="preserve">”</w:t>
      </w:r>
      <w:r>
        <w:t xml:space="preserve"> </w:t>
      </w:r>
      <w:r>
        <w:t xml:space="preserve">Thus the impeller is described as stainless steel in one document and nitinol in another. This matters for biocompatibility: nitinol leaches nickel, a known sensitizer, which is relevant to the sensitization endpoint (included) and to the chemical characterization (ISO 10993-18). Reconcile the material assignment and ensure the biocompatibility test articles reflect the actual impeller material.</w:t>
      </w:r>
    </w:p>
    <w:bookmarkEnd w:id="43"/>
    <w:bookmarkStart w:id="44" w:name="Xbbf503570b338a0fae493f08f344efca879926c"/>
    <w:p>
      <w:pPr>
        <w:pStyle w:val="Heading3"/>
      </w:pPr>
      <w:r>
        <w:t xml:space="preserve">Issue 20 — Material Lists in Exclusion Criteria / Contraindications Are Inconsistent</w:t>
      </w:r>
    </w:p>
    <w:p>
      <w:pPr>
        <w:pStyle w:val="FirstParagraph"/>
      </w:pPr>
      <w:r>
        <w:t xml:space="preserve">The Clinical Synopsis exclusion criterion 6 lists</w:t>
      </w:r>
      <w:r>
        <w:t xml:space="preserve"> </w:t>
      </w:r>
      <w:r>
        <w:t xml:space="preserve">“</w:t>
      </w:r>
      <w:r>
        <w:t xml:space="preserve">polyurethane and silicone.</w:t>
      </w:r>
      <w:r>
        <w:t xml:space="preserve">”</w:t>
      </w:r>
      <w:r>
        <w:t xml:space="preserve"> </w:t>
      </w:r>
      <w:r>
        <w:t xml:space="preserve">The IFU contraindications (§3) list</w:t>
      </w:r>
      <w:r>
        <w:t xml:space="preserve"> </w:t>
      </w:r>
      <w:r>
        <w:t xml:space="preserve">“</w:t>
      </w:r>
      <w:r>
        <w:t xml:space="preserve">polyurethane, stainless steel, and barium sulfate.</w:t>
      </w:r>
      <w:r>
        <w:t xml:space="preserve">”</w:t>
      </w:r>
      <w:r>
        <w:t xml:space="preserve"> </w:t>
      </w:r>
      <w:r>
        <w:t xml:space="preserve">The Device Description / Testing Plan materials (§2.3) are polyurethane/Pebax, 316L stainless steel, nitinol, PTFE, hydrophilic coating, and adhesives — none of which is</w:t>
      </w:r>
      <w:r>
        <w:t xml:space="preserve"> </w:t>
      </w:r>
      <w:r>
        <w:t xml:space="preserve">“</w:t>
      </w:r>
      <w:r>
        <w:t xml:space="preserve">silicone,</w:t>
      </w:r>
      <w:r>
        <w:t xml:space="preserve">”</w:t>
      </w:r>
      <w:r>
        <w:t xml:space="preserve"> </w:t>
      </w:r>
      <w:r>
        <w:t xml:space="preserve">and</w:t>
      </w:r>
      <w:r>
        <w:t xml:space="preserve"> </w:t>
      </w:r>
      <w:r>
        <w:t xml:space="preserve">“</w:t>
      </w:r>
      <w:r>
        <w:t xml:space="preserve">barium sulfate</w:t>
      </w:r>
      <w:r>
        <w:t xml:space="preserve">”</w:t>
      </w:r>
      <w:r>
        <w:t xml:space="preserve"> </w:t>
      </w:r>
      <w:r>
        <w:t xml:space="preserve">appears only in the predicate’s marker band, not the VascuClear. Reconcile the patient-contacting material list across the IFU, Clinical Synopsis, and Device Description so the contraindications/exclusion criteria accurately reflect the VascuClear’s actual materials.</w:t>
      </w:r>
    </w:p>
    <w:bookmarkEnd w:id="44"/>
    <w:bookmarkStart w:id="45" w:name="Xe5ebe1b8c5425fd91f64754320fc830c06f14ea"/>
    <w:p>
      <w:pPr>
        <w:pStyle w:val="Heading3"/>
      </w:pPr>
      <w:r>
        <w:t xml:space="preserve">Issue 21 — Contact Information Is Inconsistent Across Documents</w:t>
      </w:r>
    </w:p>
    <w:p>
      <w:pPr>
        <w:pStyle w:val="FirstParagraph"/>
      </w:pPr>
      <w:r>
        <w:t xml:space="preserve">Linda Fessenden’s telephone is listed as (952) 555-0142 (Cover Letter §IX), (952) 555-0174 (Device Description cover page), and 1-800-555-0142 (IFU §15). Her email is</w:t>
      </w:r>
      <w:r>
        <w:t xml:space="preserve"> </w:t>
      </w:r>
      <w:r>
        <w:t xml:space="preserve">“</w:t>
      </w:r>
      <w:r>
        <w:t xml:space="preserve">l.fessenden@clearfieldmedical.com</w:t>
      </w:r>
      <w:r>
        <w:t xml:space="preserve">”</w:t>
      </w:r>
      <w:r>
        <w:t xml:space="preserve"> </w:t>
      </w:r>
      <w:r>
        <w:t xml:space="preserve">(Cover Letter) but</w:t>
      </w:r>
      <w:r>
        <w:t xml:space="preserve"> </w:t>
      </w:r>
      <w:r>
        <w:t xml:space="preserve">“</w:t>
      </w:r>
      <w:r>
        <w:t xml:space="preserve">lfessenden@clearfieldmed.com</w:t>
      </w:r>
      <w:r>
        <w:t xml:space="preserve">”</w:t>
      </w:r>
      <w:r>
        <w:t xml:space="preserve"> </w:t>
      </w:r>
      <w:r>
        <w:t xml:space="preserve">in the email chain. The company general line is (952) 555-0140 (Cover Letter letterhead). Reconcile all contact information to a single, correct set; FDA correspondence and the public record should be consistent.</w:t>
      </w:r>
    </w:p>
    <w:bookmarkEnd w:id="45"/>
    <w:bookmarkStart w:id="46" w:name="X50da3e0008b0b40537c78422ea01826e955c0ec"/>
    <w:p>
      <w:pPr>
        <w:pStyle w:val="Heading3"/>
      </w:pPr>
      <w:r>
        <w:t xml:space="preserve">Issue 22 — Aspiration Pressure Magnitude Differs Substantially from the Predicate</w:t>
      </w:r>
    </w:p>
    <w:p>
      <w:pPr>
        <w:pStyle w:val="FirstParagraph"/>
      </w:pPr>
      <w:r>
        <w:t xml:space="preserve">The predicate generates −250 to −350 mmHg via Bernoulli-effect (K192847 Summary §5.2). The VascuClear generates up to −650 mmHg via a powered pump — roughly double the predicate’s vacuum. The SE discussion (Device Description §4.3) does not address the safety implications of the substantially higher aspiration pressure (vessel collapse, endothelial injury, hemolysis). The IFU warning (§4.3) flags excessive pressure risks but the SE narrative should acknowledge the magnitude difference and explain how the testing (aspiration flow verification, vessel wall integrity in bench testing) addresses it.</w:t>
      </w:r>
    </w:p>
    <w:bookmarkEnd w:id="46"/>
    <w:bookmarkStart w:id="47" w:name="X991eaf6c8743c8c0edd63e06356df049c9be5e4"/>
    <w:p>
      <w:pPr>
        <w:pStyle w:val="Heading3"/>
      </w:pPr>
      <w:r>
        <w:t xml:space="preserve">Issue 23 — No Reference Predicate Identified for the Drug Delivery / Pharmacomechanical Feature</w:t>
      </w:r>
    </w:p>
    <w:p>
      <w:pPr>
        <w:pStyle w:val="FirstParagraph"/>
      </w:pPr>
      <w:r>
        <w:t xml:space="preserve">The package identifies the ThrombEx 200 as the</w:t>
      </w:r>
      <w:r>
        <w:t xml:space="preserve"> </w:t>
      </w:r>
      <w:r>
        <w:t xml:space="preserve">“</w:t>
      </w:r>
      <w:r>
        <w:t xml:space="preserve">sole proposed predicate</w:t>
      </w:r>
      <w:r>
        <w:t xml:space="preserve">”</w:t>
      </w:r>
      <w:r>
        <w:t xml:space="preserve"> </w:t>
      </w:r>
      <w:r>
        <w:t xml:space="preserve">with</w:t>
      </w:r>
      <w:r>
        <w:t xml:space="preserve"> </w:t>
      </w:r>
      <w:r>
        <w:t xml:space="preserve">“</w:t>
      </w:r>
      <w:r>
        <w:t xml:space="preserve">No secondary or reference predicates</w:t>
      </w:r>
      <w:r>
        <w:t xml:space="preserve">”</w:t>
      </w:r>
      <w:r>
        <w:t xml:space="preserve"> </w:t>
      </w:r>
      <w:r>
        <w:t xml:space="preserve">(Device Description §3.1). Given the predicate’s complete lack of drug delivery capability, the package should proactively identify at least one cleared reference device that has an integrated infusion lumen for local drug delivery in the vasculature (even under a different product code, e.g., an infusion catheter), to provide precedent for the novel feature. The cover letter’s Q6 and the Device Description’s Q4 invite FDA to recommend additional predicates, but proactively proposing one strengthens the package and demonstrates diligence.</w:t>
      </w:r>
    </w:p>
    <w:bookmarkEnd w:id="47"/>
    <w:bookmarkStart w:id="48" w:name="Xd5d1611e72450b287b2361bf310d7cf0d2d749d"/>
    <w:p>
      <w:pPr>
        <w:pStyle w:val="Heading3"/>
      </w:pPr>
      <w:r>
        <w:t xml:space="preserve">Issue 24 — Software Framework Reference Is Inconsistent (2005 Guidance vs. IEC 62304)</w:t>
      </w:r>
    </w:p>
    <w:p>
      <w:pPr>
        <w:pStyle w:val="FirstParagraph"/>
      </w:pPr>
      <w:r>
        <w:t xml:space="preserve">The cover letter (§V) and predicate summary (§5.6) reference IEC 62304; the Testing Plan (§5) and Device Description (§2.3) reference the 2005 FDA software guidance and the</w:t>
      </w:r>
      <w:r>
        <w:t xml:space="preserve"> </w:t>
      </w:r>
      <w:r>
        <w:t xml:space="preserve">“</w:t>
      </w:r>
      <w:r>
        <w:t xml:space="preserve">level of concern</w:t>
      </w:r>
      <w:r>
        <w:t xml:space="preserve">”</w:t>
      </w:r>
      <w:r>
        <w:t xml:space="preserve"> </w:t>
      </w:r>
      <w:r>
        <w:t xml:space="preserve">framework. FDA’s current guidance (</w:t>
      </w:r>
      <w:r>
        <w:rPr>
          <w:i/>
          <w:iCs/>
        </w:rPr>
        <w:t xml:space="preserve">Content of Premarket Submissions for Device Software Functions</w:t>
      </w:r>
      <w:r>
        <w:t xml:space="preserve">) maps documentation level to the IEC 62304 software safety class. Adopt a single, current framework consistently across all documents (recommend IEC 62304 with the FDA documentation-level mapping), and update the Testing Plan’s Q4 accordingly. (This overlaps with Issue 9 but is listed separately because the framework inconsistency is distinct from the classification level.)</w:t>
      </w:r>
    </w:p>
    <w:p>
      <w:r>
        <w:pict>
          <v:rect style="width:0;height:1.5pt" o:hralign="center" o:hrstd="t" o:hr="t"/>
        </w:pict>
      </w:r>
    </w:p>
    <w:bookmarkEnd w:id="48"/>
    <w:bookmarkEnd w:id="49"/>
    <w:bookmarkStart w:id="50" w:name="vi.-cross-cutting-observations"/>
    <w:p>
      <w:pPr>
        <w:pStyle w:val="Heading2"/>
      </w:pPr>
      <w:r>
        <w:t xml:space="preserve">VI. Cross-Cutting Observations</w:t>
      </w:r>
    </w:p>
    <w:p>
      <w:pPr>
        <w:numPr>
          <w:ilvl w:val="0"/>
          <w:numId w:val="1002"/>
        </w:numPr>
      </w:pPr>
      <w:r>
        <w:rPr>
          <w:b/>
          <w:bCs/>
        </w:rPr>
        <w:t xml:space="preserve">The two threshold questions drive everything else.</w:t>
      </w:r>
      <w:r>
        <w:t xml:space="preserve"> </w:t>
      </w:r>
      <w:r>
        <w:t xml:space="preserve">The combination product determination (Issue 1) and the IDE determination (Issue 2) are not isolated technical points; they determine the review center, the pathway, the special controls, the clinical evidence expectations, and the timeline. Several Tier 2 issues (drug delivery characterization, clinical study design, bench testing of the combined function) become more or less acute depending on how FDA answers these questions. Resolving Issues 1 and 2 at the Pre-Submission meeting should be the package’s principal objective.</w:t>
      </w:r>
    </w:p>
    <w:p>
      <w:pPr>
        <w:numPr>
          <w:ilvl w:val="0"/>
          <w:numId w:val="1002"/>
        </w:numPr>
      </w:pPr>
      <w:r>
        <w:rPr>
          <w:b/>
          <w:bCs/>
        </w:rPr>
        <w:t xml:space="preserve">The package is internally inconsistent in ways that will undermine credibility.</w:t>
      </w:r>
      <w:r>
        <w:t xml:space="preserve"> </w:t>
      </w:r>
      <w:r>
        <w:t xml:space="preserve">The contact-duration contradiction (Issue 4), the predicate indication misstatement (Issue 8), the console dimensions (Issue 18), the impeller material (Issue 19), the timeline (Issue 7), and the contact information (Issue 21) are all the kind of cross-document discrepancies that a careful reviewer — at FDA or elsewhere — will notice and that cumulatively suggest the package was assembled under time pressure without a final consistency pass. A reconciliation pass is essential before filing.</w:t>
      </w:r>
    </w:p>
    <w:p>
      <w:pPr>
        <w:numPr>
          <w:ilvl w:val="0"/>
          <w:numId w:val="1002"/>
        </w:numPr>
      </w:pPr>
      <w:r>
        <w:rPr>
          <w:b/>
          <w:bCs/>
        </w:rPr>
        <w:t xml:space="preserve">The SE argument is the package’s structural vulnerability.</w:t>
      </w:r>
      <w:r>
        <w:t xml:space="preserve"> </w:t>
      </w:r>
      <w:r>
        <w:t xml:space="preserve">The predicate is, by its own summary, a device defined by what it</w:t>
      </w:r>
      <w:r>
        <w:t xml:space="preserve"> </w:t>
      </w:r>
      <w:r>
        <w:rPr>
          <w:i/>
          <w:iCs/>
        </w:rPr>
        <w:t xml:space="preserve">lacks</w:t>
      </w:r>
      <w:r>
        <w:t xml:space="preserve"> </w:t>
      </w:r>
      <w:r>
        <w:t xml:space="preserve">(no impeller, no maceration, no drug delivery). The subject device is defined by what it</w:t>
      </w:r>
      <w:r>
        <w:t xml:space="preserve"> </w:t>
      </w:r>
      <w:r>
        <w:rPr>
          <w:i/>
          <w:iCs/>
        </w:rPr>
        <w:t xml:space="preserve">adds</w:t>
      </w:r>
      <w:r>
        <w:t xml:space="preserve"> </w:t>
      </w:r>
      <w:r>
        <w:t xml:space="preserve">(impeller, maceration, drug delivery). The current SE narrative treats these as variations rather than as the central question. The package should reframe the SE discussion to engage the new-questions-of-safety-and-effectiveness analysis head-on, supported by reference predicates and a robust testing rationale, rather than asserting the conclusion.</w:t>
      </w:r>
    </w:p>
    <w:p>
      <w:pPr>
        <w:numPr>
          <w:ilvl w:val="0"/>
          <w:numId w:val="1002"/>
        </w:numPr>
      </w:pPr>
      <w:r>
        <w:rPr>
          <w:b/>
          <w:bCs/>
        </w:rPr>
        <w:t xml:space="preserve">The timeline and the milestone are in conflict, and this is a corporate-governance matter.</w:t>
      </w:r>
      <w:r>
        <w:t xml:space="preserve"> </w:t>
      </w:r>
      <w:r>
        <w:t xml:space="preserve">The December 31, 2025 clearance milestone is not achievable on the documents’ own timeline. This should be communicated to Dr. Okonjo and the board, and Kendrick &amp; Hale should be engaged regarding the Braddock term sheet. This is outside the scope of the FDA submission but is the most consequential strategic issue and should not be deferred.</w:t>
      </w:r>
    </w:p>
    <w:p>
      <w:pPr>
        <w:numPr>
          <w:ilvl w:val="0"/>
          <w:numId w:val="1002"/>
        </w:numPr>
      </w:pPr>
      <w:r>
        <w:rPr>
          <w:b/>
          <w:bCs/>
        </w:rPr>
        <w:t xml:space="preserve">The</w:t>
      </w:r>
      <w:r>
        <w:rPr>
          <w:b/>
          <w:bCs/>
        </w:rPr>
        <w:t xml:space="preserve"> </w:t>
      </w:r>
      <w:r>
        <w:rPr>
          <w:b/>
          <w:bCs/>
        </w:rPr>
        <w:t xml:space="preserve">“</w:t>
      </w:r>
      <w:r>
        <w:rPr>
          <w:b/>
          <w:bCs/>
        </w:rPr>
        <w:t xml:space="preserve">post-clearance</w:t>
      </w:r>
      <w:r>
        <w:rPr>
          <w:b/>
          <w:bCs/>
        </w:rPr>
        <w:t xml:space="preserve">”</w:t>
      </w:r>
      <w:r>
        <w:rPr>
          <w:b/>
          <w:bCs/>
        </w:rPr>
        <w:t xml:space="preserve"> </w:t>
      </w:r>
      <w:r>
        <w:rPr>
          <w:b/>
          <w:bCs/>
        </w:rPr>
        <w:t xml:space="preserve">clinical study framing should be removed.</w:t>
      </w:r>
      <w:r>
        <w:t xml:space="preserve"> </w:t>
      </w:r>
      <w:r>
        <w:t xml:space="preserve">It is contradicted by the study’s stated purpose and creates a misleading impression. The study is a pre-clearance clinical investigation; the package should say so and address the IDE/IRB framework candidly (Issue 2).</w:t>
      </w:r>
    </w:p>
    <w:p>
      <w:r>
        <w:pict>
          <v:rect style="width:0;height:1.5pt" o:hralign="center" o:hrstd="t" o:hr="t"/>
        </w:pict>
      </w:r>
    </w:p>
    <w:bookmarkEnd w:id="50"/>
    <w:bookmarkStart w:id="51" w:name="X74dacd7029255066de4c53e493718f6564a39cb"/>
    <w:p>
      <w:pPr>
        <w:pStyle w:val="Heading2"/>
      </w:pPr>
      <w:r>
        <w:t xml:space="preserve">VII. Recommended Next Steps and Prioritization</w:t>
      </w:r>
    </w:p>
    <w:p>
      <w:pPr>
        <w:pStyle w:val="FirstParagraph"/>
      </w:pPr>
      <w:r>
        <w:rPr>
          <w:b/>
          <w:bCs/>
        </w:rPr>
        <w:t xml:space="preserve">Before the May 19 internal review deadline / June 15 filing:</w:t>
      </w:r>
    </w:p>
    <w:p>
      <w:pPr>
        <w:pStyle w:val="Compact"/>
        <w:numPr>
          <w:ilvl w:val="0"/>
          <w:numId w:val="1003"/>
        </w:numPr>
      </w:pPr>
      <w:r>
        <w:rPr>
          <w:b/>
          <w:bCs/>
        </w:rPr>
        <w:t xml:space="preserve">Decide and add the two threshold questions</w:t>
      </w:r>
      <w:r>
        <w:t xml:space="preserve"> </w:t>
      </w:r>
      <w:r>
        <w:t xml:space="preserve">(combination product; IDE) to the cover letter (Issues 1, 2, 6). This is the single highest-value action.</w:t>
      </w:r>
    </w:p>
    <w:p>
      <w:pPr>
        <w:pStyle w:val="Compact"/>
        <w:numPr>
          <w:ilvl w:val="0"/>
          <w:numId w:val="1003"/>
        </w:numPr>
      </w:pPr>
      <w:r>
        <w:rPr>
          <w:b/>
          <w:bCs/>
        </w:rPr>
        <w:t xml:space="preserve">Reconcile the biocompatibility contact duration</w:t>
      </w:r>
      <w:r>
        <w:t xml:space="preserve"> </w:t>
      </w:r>
      <w:r>
        <w:t xml:space="preserve">(Issue 4): either re-scope to prolonged contact (and add the excluded endpoints) or remove the 72-hour indwell claim. This cannot be left internally contradictory in a submission to FDA.</w:t>
      </w:r>
    </w:p>
    <w:p>
      <w:pPr>
        <w:pStyle w:val="Compact"/>
        <w:numPr>
          <w:ilvl w:val="0"/>
          <w:numId w:val="1003"/>
        </w:numPr>
      </w:pPr>
      <w:r>
        <w:rPr>
          <w:b/>
          <w:bCs/>
        </w:rPr>
        <w:t xml:space="preserve">Revise the impeller fatigue protocol</w:t>
      </w:r>
      <w:r>
        <w:t xml:space="preserve"> </w:t>
      </w:r>
      <w:r>
        <w:t xml:space="preserve">(Issue 5) to a clinically meaningful duration/cycle count.</w:t>
      </w:r>
    </w:p>
    <w:p>
      <w:pPr>
        <w:pStyle w:val="Compact"/>
        <w:numPr>
          <w:ilvl w:val="0"/>
          <w:numId w:val="1003"/>
        </w:numPr>
      </w:pPr>
      <w:r>
        <w:rPr>
          <w:b/>
          <w:bCs/>
        </w:rPr>
        <w:t xml:space="preserve">Correct the predicate indication in Table A-1</w:t>
      </w:r>
      <w:r>
        <w:t xml:space="preserve"> </w:t>
      </w:r>
      <w:r>
        <w:t xml:space="preserve">(Issue 8) and reconcile all comparison tables.</w:t>
      </w:r>
    </w:p>
    <w:p>
      <w:pPr>
        <w:pStyle w:val="Compact"/>
        <w:numPr>
          <w:ilvl w:val="0"/>
          <w:numId w:val="1003"/>
        </w:numPr>
      </w:pPr>
      <w:r>
        <w:rPr>
          <w:b/>
          <w:bCs/>
        </w:rPr>
        <w:t xml:space="preserve">Conduct a full cross-document consistency pass</w:t>
      </w:r>
      <w:r>
        <w:t xml:space="preserve"> </w:t>
      </w:r>
      <w:r>
        <w:t xml:space="preserve">(Issues 18–21) on dimensions, materials, and contact information.</w:t>
      </w:r>
    </w:p>
    <w:p>
      <w:pPr>
        <w:pStyle w:val="Compact"/>
        <w:numPr>
          <w:ilvl w:val="0"/>
          <w:numId w:val="1003"/>
        </w:numPr>
      </w:pPr>
      <w:r>
        <w:rPr>
          <w:b/>
          <w:bCs/>
        </w:rPr>
        <w:t xml:space="preserve">Reassess the software classification</w:t>
      </w:r>
      <w:r>
        <w:t xml:space="preserve"> </w:t>
      </w:r>
      <w:r>
        <w:t xml:space="preserve">(Issue 9) and align the framework (Issue 24).</w:t>
      </w:r>
    </w:p>
    <w:p>
      <w:pPr>
        <w:pStyle w:val="Compact"/>
        <w:numPr>
          <w:ilvl w:val="0"/>
          <w:numId w:val="1003"/>
        </w:numPr>
      </w:pPr>
      <w:r>
        <w:rPr>
          <w:b/>
          <w:bCs/>
        </w:rPr>
        <w:t xml:space="preserve">Add EMC, shelf-life/SBS, and MRI testing</w:t>
      </w:r>
      <w:r>
        <w:t xml:space="preserve"> </w:t>
      </w:r>
      <w:r>
        <w:t xml:space="preserve">to the Testing Plan (Issues 13–15).</w:t>
      </w:r>
    </w:p>
    <w:p>
      <w:pPr>
        <w:pStyle w:val="Compact"/>
        <w:numPr>
          <w:ilvl w:val="0"/>
          <w:numId w:val="1003"/>
        </w:numPr>
      </w:pPr>
      <w:r>
        <w:rPr>
          <w:b/>
          <w:bCs/>
        </w:rPr>
        <w:t xml:space="preserve">Prepare a realistic timeline and escalate the milestone issue</w:t>
      </w:r>
      <w:r>
        <w:t xml:space="preserve"> </w:t>
      </w:r>
      <w:r>
        <w:t xml:space="preserve">to Dr. Okonjo, the board, and Kendrick &amp; Hale (Issue 7).</w:t>
      </w:r>
    </w:p>
    <w:p>
      <w:pPr>
        <w:pStyle w:val="FirstParagraph"/>
      </w:pPr>
      <w:r>
        <w:rPr>
          <w:b/>
          <w:bCs/>
        </w:rPr>
        <w:t xml:space="preserve">For discussion at the Pre-Submission meeting (cover letter questions):</w:t>
      </w:r>
    </w:p>
    <w:p>
      <w:pPr>
        <w:pStyle w:val="Compact"/>
        <w:numPr>
          <w:ilvl w:val="0"/>
          <w:numId w:val="1004"/>
        </w:numPr>
      </w:pPr>
      <w:r>
        <w:t xml:space="preserve">Present the strengthened SE argument and any reference predicates (Issues 3, 23).</w:t>
      </w:r>
    </w:p>
    <w:p>
      <w:pPr>
        <w:pStyle w:val="Compact"/>
        <w:numPr>
          <w:ilvl w:val="0"/>
          <w:numId w:val="1004"/>
        </w:numPr>
      </w:pPr>
      <w:r>
        <w:t xml:space="preserve">Present the pharmacomechanical bench testing approach (Issue 10) and drug delivery characterization (Issue 11).</w:t>
      </w:r>
    </w:p>
    <w:p>
      <w:pPr>
        <w:pStyle w:val="Compact"/>
        <w:numPr>
          <w:ilvl w:val="0"/>
          <w:numId w:val="1004"/>
        </w:numPr>
      </w:pPr>
      <w:r>
        <w:t xml:space="preserve">Present the clinical study design candidly, with performance-goal justification and DSMB (Issue 12).</w:t>
      </w:r>
    </w:p>
    <w:p>
      <w:pPr>
        <w:pStyle w:val="Compact"/>
        <w:numPr>
          <w:ilvl w:val="0"/>
          <w:numId w:val="1004"/>
        </w:numPr>
      </w:pPr>
      <w:r>
        <w:t xml:space="preserve">Confirm the biocompatibility endpoints, software classification, and testing scope with FDA (Issues 4, 9).</w:t>
      </w:r>
    </w:p>
    <w:p>
      <w:pPr>
        <w:pStyle w:val="FirstParagraph"/>
      </w:pPr>
      <w:r>
        <w:rPr>
          <w:b/>
          <w:bCs/>
        </w:rPr>
        <w:t xml:space="preserve">Items that can be finalized post-meeting but should be flagged now:</w:t>
      </w:r>
    </w:p>
    <w:p>
      <w:pPr>
        <w:pStyle w:val="Compact"/>
        <w:numPr>
          <w:ilvl w:val="0"/>
          <w:numId w:val="1005"/>
        </w:numPr>
      </w:pPr>
      <w:r>
        <w:t xml:space="preserve">Console reprocessing validation (Issue 17); impeller-specific hemolysis (Issue 16); aspiration pressure safety narrative (Issue 22).</w:t>
      </w:r>
    </w:p>
    <w:p>
      <w:r>
        <w:pict>
          <v:rect style="width:0;height:1.5pt" o:hralign="center" o:hrstd="t" o:hr="t"/>
        </w:pict>
      </w:r>
    </w:p>
    <w:bookmarkEnd w:id="51"/>
    <w:bookmarkStart w:id="52" w:name="viii.-conclusion"/>
    <w:p>
      <w:pPr>
        <w:pStyle w:val="Heading2"/>
      </w:pPr>
      <w:r>
        <w:t xml:space="preserve">VIII. Conclusion</w:t>
      </w:r>
    </w:p>
    <w:p>
      <w:pPr>
        <w:pStyle w:val="FirstParagraph"/>
      </w:pPr>
      <w:r>
        <w:t xml:space="preserve">The draft Pre-Submission package reflects substantial effort and a generally well-organized presentation, but it contains six critical issues that, if not addressed before filing, risk an unfavorable or non-actionable FDA response at the Pre-Submission meeting — most importantly, the failure to ask FDA the two threshold questions (combination product; IDE) that the internal correspondence has already identified as open. The substantial equivalence argument, the biocompatibility contact-duration classification, and the impeller fatigue protocol each require substantive revision. The program timeline is not reconcilable with the Braddock milestone and should be escalated as a corporate-governance matter. I am available to discuss any of the foregoing and to assist with revisions to the cover letter and supporting documents.</w:t>
      </w:r>
    </w:p>
    <w:p>
      <w:pPr>
        <w:pStyle w:val="BodyText"/>
      </w:pPr>
      <w:r>
        <w:t xml:space="preserve">Respectfully submitted,</w:t>
      </w:r>
    </w:p>
    <w:p>
      <w:pPr>
        <w:pStyle w:val="BodyText"/>
      </w:pPr>
      <w:r>
        <w:rPr>
          <w:b/>
          <w:bCs/>
        </w:rPr>
        <w:t xml:space="preserve">Daniel J. Yoo</w:t>
      </w:r>
      <w:r>
        <w:t xml:space="preserve"> </w:t>
      </w:r>
      <w:r>
        <w:t xml:space="preserve">Senior Associate</w:t>
      </w:r>
      <w:r>
        <w:t xml:space="preserve"> </w:t>
      </w:r>
      <w:r>
        <w:t xml:space="preserve">Hargrove, Templeton &amp; Bliss LLP</w:t>
      </w:r>
      <w:r>
        <w:t xml:space="preserve"> </w:t>
      </w:r>
      <w:r>
        <w:t xml:space="preserve">1750 K Street NW, Suite 900</w:t>
      </w:r>
      <w:r>
        <w:t xml:space="preserve"> </w:t>
      </w:r>
      <w:r>
        <w:t xml:space="preserve">Washington, DC 20006</w:t>
      </w:r>
      <w:r>
        <w:t xml:space="preserve"> </w:t>
      </w:r>
      <w:r>
        <w:t xml:space="preserve">(202) 555-0387 | dyoo@htblaw.com</w:t>
      </w:r>
    </w:p>
    <w:p>
      <w:r>
        <w:pict>
          <v:rect style="width:0;height:1.5pt" o:hralign="center" o:hrstd="t" o:hr="t"/>
        </w:pict>
      </w:r>
    </w:p>
    <w:bookmarkEnd w:id="52"/>
    <w:bookmarkStart w:id="53" w:name="appendix-a-consolidated-issue-table"/>
    <w:p>
      <w:pPr>
        <w:pStyle w:val="Heading2"/>
      </w:pPr>
      <w:r>
        <w:t xml:space="preserve">Appendix A — Consolidated Issue Table</w:t>
      </w:r>
    </w:p>
    <w:tbl>
      <w:tblPr>
        <w:tblStyle w:val="Table"/>
        <w:tblW w:type="pct" w:w="5000"/>
        <w:jc w:val="left"/>
        <w:tblLayout w:type="fixed"/>
        <w:tblLook w:firstRow="1" w:lastRow="0" w:firstColumn="0" w:lastColumn="0" w:noHBand="0" w:noVBand="0" w:val="0020"/>
      </w:tblPr>
      <w:tblGrid>
        <w:gridCol w:w="354"/>
        <w:gridCol w:w="709"/>
        <w:gridCol w:w="827"/>
        <w:gridCol w:w="2482"/>
        <w:gridCol w:w="3546"/>
      </w:tblGrid>
      <w:tr>
        <w:trPr>
          <w:tblHeader w:val="on"/>
        </w:trPr>
        <w:tc>
          <w:tcPr/>
          <w:p>
            <w:pPr>
              <w:pStyle w:val="Compact"/>
              <w:jc w:val="left"/>
            </w:pPr>
            <w:r>
              <w:t xml:space="preserve">#</w:t>
            </w:r>
          </w:p>
        </w:tc>
        <w:tc>
          <w:tcPr/>
          <w:p>
            <w:pPr>
              <w:pStyle w:val="Compact"/>
              <w:jc w:val="left"/>
            </w:pPr>
            <w:r>
              <w:t xml:space="preserve">Tier</w:t>
            </w:r>
          </w:p>
        </w:tc>
        <w:tc>
          <w:tcPr/>
          <w:p>
            <w:pPr>
              <w:pStyle w:val="Compact"/>
              <w:jc w:val="left"/>
            </w:pPr>
            <w:r>
              <w:t xml:space="preserve">Issue</w:t>
            </w:r>
          </w:p>
        </w:tc>
        <w:tc>
          <w:tcPr/>
          <w:p>
            <w:pPr>
              <w:pStyle w:val="Compact"/>
              <w:jc w:val="left"/>
            </w:pPr>
            <w:r>
              <w:t xml:space="preserve">Primary Document(s)</w:t>
            </w:r>
          </w:p>
        </w:tc>
        <w:tc>
          <w:tcPr/>
          <w:p>
            <w:pPr>
              <w:pStyle w:val="Compact"/>
              <w:jc w:val="left"/>
            </w:pPr>
            <w:r>
              <w:t xml:space="preserve">Recommended Action (Summary)</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Combination product classification unresolved; not asked of FDA</w:t>
            </w:r>
          </w:p>
        </w:tc>
        <w:tc>
          <w:tcPr/>
          <w:p>
            <w:pPr>
              <w:pStyle w:val="Compact"/>
              <w:jc w:val="left"/>
            </w:pPr>
            <w:r>
              <w:t xml:space="preserve">Cover Letter; Device Description; IFU; Clinical Synopsis</w:t>
            </w:r>
          </w:p>
        </w:tc>
        <w:tc>
          <w:tcPr/>
          <w:p>
            <w:pPr>
              <w:pStyle w:val="Compact"/>
              <w:jc w:val="left"/>
            </w:pPr>
            <w:r>
              <w:t xml:space="preserve">Add question to FDA; state position; request concurrence</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IDE requirement unresolved;</w:t>
            </w:r>
            <w:r>
              <w:t xml:space="preserve"> </w:t>
            </w:r>
            <w:r>
              <w:t xml:space="preserve">“</w:t>
            </w:r>
            <w:r>
              <w:t xml:space="preserve">post-clearance</w:t>
            </w:r>
            <w:r>
              <w:t xml:space="preserve">”</w:t>
            </w:r>
            <w:r>
              <w:t xml:space="preserve"> </w:t>
            </w:r>
            <w:r>
              <w:t xml:space="preserve">framing contradicted</w:t>
            </w:r>
          </w:p>
        </w:tc>
        <w:tc>
          <w:tcPr/>
          <w:p>
            <w:pPr>
              <w:pStyle w:val="Compact"/>
              <w:jc w:val="left"/>
            </w:pPr>
            <w:r>
              <w:t xml:space="preserve">Clinical Synopsis §6; Cover Letter</w:t>
            </w:r>
          </w:p>
        </w:tc>
        <w:tc>
          <w:tcPr/>
          <w:p>
            <w:pPr>
              <w:pStyle w:val="Compact"/>
              <w:jc w:val="left"/>
            </w:pPr>
            <w:r>
              <w:t xml:space="preserve">Add question to FDA; remove</w:t>
            </w:r>
            <w:r>
              <w:t xml:space="preserve"> </w:t>
            </w:r>
            <w:r>
              <w:t xml:space="preserve">“</w:t>
            </w:r>
            <w:r>
              <w:t xml:space="preserve">post-clearance</w:t>
            </w:r>
            <w:r>
              <w:t xml:space="preserve">”</w:t>
            </w:r>
            <w:r>
              <w:t xml:space="preserve"> </w:t>
            </w:r>
            <w:r>
              <w:t xml:space="preserve">characterization</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SE argument weak; predicate lacks impeller + drug delivery</w:t>
            </w:r>
          </w:p>
        </w:tc>
        <w:tc>
          <w:tcPr/>
          <w:p>
            <w:pPr>
              <w:pStyle w:val="Compact"/>
              <w:jc w:val="left"/>
            </w:pPr>
            <w:r>
              <w:t xml:space="preserve">Device Description §§4–5</w:t>
            </w:r>
          </w:p>
        </w:tc>
        <w:tc>
          <w:tcPr/>
          <w:p>
            <w:pPr>
              <w:pStyle w:val="Compact"/>
              <w:jc w:val="left"/>
            </w:pPr>
            <w:r>
              <w:t xml:space="preserve">Identify reference predicates; reframe SE; engage new-questions analysis</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Biocompatibility contact duration misclassified (limited vs. 72h prolonged)</w:t>
            </w:r>
          </w:p>
        </w:tc>
        <w:tc>
          <w:tcPr/>
          <w:p>
            <w:pPr>
              <w:pStyle w:val="Compact"/>
              <w:jc w:val="left"/>
            </w:pPr>
            <w:r>
              <w:t xml:space="preserve">Testing Plan §2; IFU §1, §8.4; Device Description §2.2</w:t>
            </w:r>
          </w:p>
        </w:tc>
        <w:tc>
          <w:tcPr/>
          <w:p>
            <w:pPr>
              <w:pStyle w:val="Compact"/>
              <w:jc w:val="left"/>
            </w:pPr>
            <w:r>
              <w:t xml:space="preserve">Re-scope to prolonged (add endpoints) or remove 72h claim; fix EtO limits</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Impeller fatigue test (500 revolutions ≈ 2.5 sec) inadequate</w:t>
            </w:r>
          </w:p>
        </w:tc>
        <w:tc>
          <w:tcPr/>
          <w:p>
            <w:pPr>
              <w:pStyle w:val="Compact"/>
              <w:jc w:val="left"/>
            </w:pPr>
            <w:r>
              <w:t xml:space="preserve">Testing Plan §3.3; Device Description §2.2</w:t>
            </w:r>
          </w:p>
        </w:tc>
        <w:tc>
          <w:tcPr/>
          <w:p>
            <w:pPr>
              <w:pStyle w:val="Compact"/>
              <w:jc w:val="left"/>
            </w:pPr>
            <w:r>
              <w:t xml:space="preserve">Redefine to clinically meaningful duration/cycle count</w:t>
            </w:r>
          </w:p>
        </w:tc>
      </w:tr>
      <w:tr>
        <w:tc>
          <w:tcPr/>
          <w:p>
            <w:pPr>
              <w:pStyle w:val="Compact"/>
              <w:jc w:val="left"/>
            </w:pPr>
            <w:r>
              <w:t xml:space="preserve">6</w:t>
            </w:r>
          </w:p>
        </w:tc>
        <w:tc>
          <w:tcPr/>
          <w:p>
            <w:pPr>
              <w:pStyle w:val="Compact"/>
              <w:jc w:val="left"/>
            </w:pPr>
            <w:r>
              <w:t xml:space="preserve">Critical</w:t>
            </w:r>
          </w:p>
        </w:tc>
        <w:tc>
          <w:tcPr/>
          <w:p>
            <w:pPr>
              <w:pStyle w:val="Compact"/>
              <w:jc w:val="left"/>
            </w:pPr>
            <w:r>
              <w:t xml:space="preserve">Cover letter omits combination product &amp; IDE questions</w:t>
            </w:r>
          </w:p>
        </w:tc>
        <w:tc>
          <w:tcPr/>
          <w:p>
            <w:pPr>
              <w:pStyle w:val="Compact"/>
              <w:jc w:val="left"/>
            </w:pPr>
            <w:r>
              <w:t xml:space="preserve">Cover Letter §VI</w:t>
            </w:r>
          </w:p>
        </w:tc>
        <w:tc>
          <w:tcPr/>
          <w:p>
            <w:pPr>
              <w:pStyle w:val="Compact"/>
              <w:jc w:val="left"/>
            </w:pPr>
            <w:r>
              <w:t xml:space="preserve">Add both questions before filing</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Timeline not reconcilable with Braddock milestone; internal date inconsistency</w:t>
            </w:r>
          </w:p>
        </w:tc>
        <w:tc>
          <w:tcPr/>
          <w:p>
            <w:pPr>
              <w:pStyle w:val="Compact"/>
              <w:jc w:val="left"/>
            </w:pPr>
            <w:r>
              <w:t xml:space="preserve">Testing Plan §9.2; Cover Letter; emails</w:t>
            </w:r>
          </w:p>
        </w:tc>
        <w:tc>
          <w:tcPr/>
          <w:p>
            <w:pPr>
              <w:pStyle w:val="Compact"/>
              <w:jc w:val="left"/>
            </w:pPr>
            <w:r>
              <w:t xml:space="preserve">Correct dates; prepare realistic timeline; escalate to board/Kendrick &amp; Hale</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Predicate indication misstated in Table A-1</w:t>
            </w:r>
          </w:p>
        </w:tc>
        <w:tc>
          <w:tcPr/>
          <w:p>
            <w:pPr>
              <w:pStyle w:val="Compact"/>
              <w:jc w:val="left"/>
            </w:pPr>
            <w:r>
              <w:t xml:space="preserve">Testing Plan App. A</w:t>
            </w:r>
          </w:p>
        </w:tc>
        <w:tc>
          <w:tcPr/>
          <w:p>
            <w:pPr>
              <w:pStyle w:val="Compact"/>
              <w:jc w:val="left"/>
            </w:pPr>
            <w:r>
              <w:t xml:space="preserve">Correct to verbatim predicate indication; reconcile all tables</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Software</w:t>
            </w:r>
            <w:r>
              <w:t xml:space="preserve"> </w:t>
            </w:r>
            <w:r>
              <w:t xml:space="preserve">“</w:t>
            </w:r>
            <w:r>
              <w:t xml:space="preserve">Minor</w:t>
            </w:r>
            <w:r>
              <w:t xml:space="preserve">”</w:t>
            </w:r>
            <w:r>
              <w:t xml:space="preserve"> </w:t>
            </w:r>
            <w:r>
              <w:t xml:space="preserve">likely too low; inconsistent with predicate (</w:t>
            </w:r>
            <w:r>
              <w:t xml:space="preserve">“</w:t>
            </w:r>
            <w:r>
              <w:t xml:space="preserve">Moderate</w:t>
            </w:r>
            <w:r>
              <w:t xml:space="preserve">”</w:t>
            </w:r>
            <w:r>
              <w:t xml:space="preserve">)</w:t>
            </w:r>
          </w:p>
        </w:tc>
        <w:tc>
          <w:tcPr/>
          <w:p>
            <w:pPr>
              <w:pStyle w:val="Compact"/>
              <w:jc w:val="left"/>
            </w:pPr>
            <w:r>
              <w:t xml:space="preserve">Testing Plan §5; Device Description §2.3</w:t>
            </w:r>
          </w:p>
        </w:tc>
        <w:tc>
          <w:tcPr/>
          <w:p>
            <w:pPr>
              <w:pStyle w:val="Compact"/>
              <w:jc w:val="left"/>
            </w:pPr>
            <w:r>
              <w:t xml:space="preserve">Reassess to Moderate/Class B; align framework</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Bench testing omits pharmacomechanical (combined) function</w:t>
            </w:r>
          </w:p>
        </w:tc>
        <w:tc>
          <w:tcPr/>
          <w:p>
            <w:pPr>
              <w:pStyle w:val="Compact"/>
              <w:jc w:val="left"/>
            </w:pPr>
            <w:r>
              <w:t xml:space="preserve">Testing Plan §7</w:t>
            </w:r>
          </w:p>
        </w:tc>
        <w:tc>
          <w:tcPr/>
          <w:p>
            <w:pPr>
              <w:pStyle w:val="Compact"/>
              <w:jc w:val="left"/>
            </w:pPr>
            <w:r>
              <w:t xml:space="preserve">Add combined-function bench condition or justify mechanical-only</w:t>
            </w:r>
          </w:p>
        </w:tc>
      </w:tr>
      <w:tr>
        <w:tc>
          <w:tcPr/>
          <w:p>
            <w:pPr>
              <w:pStyle w:val="Compact"/>
              <w:jc w:val="left"/>
            </w:pPr>
            <w:r>
              <w:t xml:space="preserve">11</w:t>
            </w:r>
          </w:p>
        </w:tc>
        <w:tc>
          <w:tcPr/>
          <w:p>
            <w:pPr>
              <w:pStyle w:val="Compact"/>
              <w:jc w:val="left"/>
            </w:pPr>
            <w:r>
              <w:t xml:space="preserve">High</w:t>
            </w:r>
          </w:p>
        </w:tc>
        <w:tc>
          <w:tcPr/>
          <w:p>
            <w:pPr>
              <w:pStyle w:val="Compact"/>
              <w:jc w:val="left"/>
            </w:pPr>
            <w:r>
              <w:t xml:space="preserve">Drug delivery characterization saline-only; no compatibility testing</w:t>
            </w:r>
          </w:p>
        </w:tc>
        <w:tc>
          <w:tcPr/>
          <w:p>
            <w:pPr>
              <w:pStyle w:val="Compact"/>
              <w:jc w:val="left"/>
            </w:pPr>
            <w:r>
              <w:t xml:space="preserve">Testing Plan §8; IFU §9</w:t>
            </w:r>
          </w:p>
        </w:tc>
        <w:tc>
          <w:tcPr/>
          <w:p>
            <w:pPr>
              <w:pStyle w:val="Compact"/>
              <w:jc w:val="left"/>
            </w:pPr>
            <w:r>
              <w:t xml:space="preserve">Add tPA characterization or obtain FDA concurrence; reconcile IFU</w:t>
            </w:r>
          </w:p>
        </w:tc>
      </w:tr>
      <w:tr>
        <w:tc>
          <w:tcPr/>
          <w:p>
            <w:pPr>
              <w:pStyle w:val="Compact"/>
              <w:jc w:val="left"/>
            </w:pPr>
            <w:r>
              <w:t xml:space="preserve">12</w:t>
            </w:r>
          </w:p>
        </w:tc>
        <w:tc>
          <w:tcPr/>
          <w:p>
            <w:pPr>
              <w:pStyle w:val="Compact"/>
              <w:jc w:val="left"/>
            </w:pPr>
            <w:r>
              <w:t xml:space="preserve">High</w:t>
            </w:r>
          </w:p>
        </w:tc>
        <w:tc>
          <w:tcPr/>
          <w:p>
            <w:pPr>
              <w:pStyle w:val="Compact"/>
              <w:jc w:val="left"/>
            </w:pPr>
            <w:r>
              <w:t xml:space="preserve">Clinical study design concerns (performance goal, follow-up, no DSMB)</w:t>
            </w:r>
          </w:p>
        </w:tc>
        <w:tc>
          <w:tcPr/>
          <w:p>
            <w:pPr>
              <w:pStyle w:val="Compact"/>
              <w:jc w:val="left"/>
            </w:pPr>
            <w:r>
              <w:t xml:space="preserve">Clinical Synopsis §§9–12</w:t>
            </w:r>
          </w:p>
        </w:tc>
        <w:tc>
          <w:tcPr/>
          <w:p>
            <w:pPr>
              <w:pStyle w:val="Compact"/>
              <w:jc w:val="left"/>
            </w:pPr>
            <w:r>
              <w:t xml:space="preserve">Justify PG; extend follow-up; add DSMB; prepare for design changes</w:t>
            </w:r>
          </w:p>
        </w:tc>
      </w:tr>
      <w:tr>
        <w:tc>
          <w:tcPr/>
          <w:p>
            <w:pPr>
              <w:pStyle w:val="Compact"/>
              <w:jc w:val="left"/>
            </w:pPr>
            <w:r>
              <w:t xml:space="preserve">13</w:t>
            </w:r>
          </w:p>
        </w:tc>
        <w:tc>
          <w:tcPr/>
          <w:p>
            <w:pPr>
              <w:pStyle w:val="Compact"/>
              <w:jc w:val="left"/>
            </w:pPr>
            <w:r>
              <w:t xml:space="preserve">High</w:t>
            </w:r>
          </w:p>
        </w:tc>
        <w:tc>
          <w:tcPr/>
          <w:p>
            <w:pPr>
              <w:pStyle w:val="Compact"/>
              <w:jc w:val="left"/>
            </w:pPr>
            <w:r>
              <w:t xml:space="preserve">MRI safety testing absent; IFU has [TBD] placeholders</w:t>
            </w:r>
          </w:p>
        </w:tc>
        <w:tc>
          <w:tcPr/>
          <w:p>
            <w:pPr>
              <w:pStyle w:val="Compact"/>
              <w:jc w:val="left"/>
            </w:pPr>
            <w:r>
              <w:t xml:space="preserve">IFU §6; Testing Plan</w:t>
            </w:r>
          </w:p>
        </w:tc>
        <w:tc>
          <w:tcPr/>
          <w:p>
            <w:pPr>
              <w:pStyle w:val="Compact"/>
              <w:jc w:val="left"/>
            </w:pPr>
            <w:r>
              <w:t xml:space="preserve">Add ASTM F2503 MRI testing; populate IFU</w:t>
            </w:r>
          </w:p>
        </w:tc>
      </w:tr>
      <w:tr>
        <w:tc>
          <w:tcPr/>
          <w:p>
            <w:pPr>
              <w:pStyle w:val="Compact"/>
              <w:jc w:val="left"/>
            </w:pPr>
            <w:r>
              <w:t xml:space="preserve">14</w:t>
            </w:r>
          </w:p>
        </w:tc>
        <w:tc>
          <w:tcPr/>
          <w:p>
            <w:pPr>
              <w:pStyle w:val="Compact"/>
              <w:jc w:val="left"/>
            </w:pPr>
            <w:r>
              <w:t xml:space="preserve">High</w:t>
            </w:r>
          </w:p>
        </w:tc>
        <w:tc>
          <w:tcPr/>
          <w:p>
            <w:pPr>
              <w:pStyle w:val="Compact"/>
              <w:jc w:val="left"/>
            </w:pPr>
            <w:r>
              <w:t xml:space="preserve">EMC testing (IEC 60601-1-2) not addressed</w:t>
            </w:r>
          </w:p>
        </w:tc>
        <w:tc>
          <w:tcPr/>
          <w:p>
            <w:pPr>
              <w:pStyle w:val="Compact"/>
              <w:jc w:val="left"/>
            </w:pPr>
            <w:r>
              <w:t xml:space="preserve">Testing Plan §4</w:t>
            </w:r>
          </w:p>
        </w:tc>
        <w:tc>
          <w:tcPr/>
          <w:p>
            <w:pPr>
              <w:pStyle w:val="Compact"/>
              <w:jc w:val="left"/>
            </w:pPr>
            <w:r>
              <w:t xml:space="preserve">Add IEC 60601-1-2:2014 EMC testing at Pinnacle</w:t>
            </w:r>
          </w:p>
        </w:tc>
      </w:tr>
      <w:tr>
        <w:tc>
          <w:tcPr/>
          <w:p>
            <w:pPr>
              <w:pStyle w:val="Compact"/>
              <w:jc w:val="left"/>
            </w:pPr>
            <w:r>
              <w:t xml:space="preserve">15</w:t>
            </w:r>
          </w:p>
        </w:tc>
        <w:tc>
          <w:tcPr/>
          <w:p>
            <w:pPr>
              <w:pStyle w:val="Compact"/>
              <w:jc w:val="left"/>
            </w:pPr>
            <w:r>
              <w:t xml:space="preserve">High</w:t>
            </w:r>
          </w:p>
        </w:tc>
        <w:tc>
          <w:tcPr/>
          <w:p>
            <w:pPr>
              <w:pStyle w:val="Compact"/>
              <w:jc w:val="left"/>
            </w:pPr>
            <w:r>
              <w:t xml:space="preserve">Shelf-life / sterile barrier validation not addressed</w:t>
            </w:r>
          </w:p>
        </w:tc>
        <w:tc>
          <w:tcPr/>
          <w:p>
            <w:pPr>
              <w:pStyle w:val="Compact"/>
              <w:jc w:val="left"/>
            </w:pPr>
            <w:r>
              <w:t xml:space="preserve">Testing Plan §6</w:t>
            </w:r>
          </w:p>
        </w:tc>
        <w:tc>
          <w:tcPr/>
          <w:p>
            <w:pPr>
              <w:pStyle w:val="Compact"/>
              <w:jc w:val="left"/>
            </w:pPr>
            <w:r>
              <w:t xml:space="preserve">Add ASTM F1980 / D4169 / F2095 validation</w:t>
            </w:r>
          </w:p>
        </w:tc>
      </w:tr>
      <w:tr>
        <w:tc>
          <w:tcPr/>
          <w:p>
            <w:pPr>
              <w:pStyle w:val="Compact"/>
              <w:jc w:val="left"/>
            </w:pPr>
            <w:r>
              <w:t xml:space="preserve">16</w:t>
            </w:r>
          </w:p>
        </w:tc>
        <w:tc>
          <w:tcPr/>
          <w:p>
            <w:pPr>
              <w:pStyle w:val="Compact"/>
              <w:jc w:val="left"/>
            </w:pPr>
            <w:r>
              <w:t xml:space="preserve">Medium</w:t>
            </w:r>
          </w:p>
        </w:tc>
        <w:tc>
          <w:tcPr/>
          <w:p>
            <w:pPr>
              <w:pStyle w:val="Compact"/>
              <w:jc w:val="left"/>
            </w:pPr>
            <w:r>
              <w:t xml:space="preserve">Hemocompatibility should address impeller-specific dynamic hemolysis</w:t>
            </w:r>
          </w:p>
        </w:tc>
        <w:tc>
          <w:tcPr/>
          <w:p>
            <w:pPr>
              <w:pStyle w:val="Compact"/>
              <w:jc w:val="left"/>
            </w:pPr>
            <w:r>
              <w:t xml:space="preserve">Testing Plan §2.2</w:t>
            </w:r>
          </w:p>
        </w:tc>
        <w:tc>
          <w:tcPr/>
          <w:p>
            <w:pPr>
              <w:pStyle w:val="Compact"/>
              <w:jc w:val="left"/>
            </w:pPr>
            <w:r>
              <w:t xml:space="preserve">Add dynamic hemolysis test at worst-case impeller speed</w:t>
            </w:r>
          </w:p>
        </w:tc>
      </w:tr>
      <w:tr>
        <w:tc>
          <w:tcPr/>
          <w:p>
            <w:pPr>
              <w:pStyle w:val="Compact"/>
              <w:jc w:val="left"/>
            </w:pPr>
            <w:r>
              <w:t xml:space="preserve">17</w:t>
            </w:r>
          </w:p>
        </w:tc>
        <w:tc>
          <w:tcPr/>
          <w:p>
            <w:pPr>
              <w:pStyle w:val="Compact"/>
              <w:jc w:val="left"/>
            </w:pPr>
            <w:r>
              <w:t xml:space="preserve">Medium</w:t>
            </w:r>
          </w:p>
        </w:tc>
        <w:tc>
          <w:tcPr/>
          <w:p>
            <w:pPr>
              <w:pStyle w:val="Compact"/>
              <w:jc w:val="left"/>
            </w:pPr>
            <w:r>
              <w:t xml:space="preserve">Console reprocessing validation not addressed</w:t>
            </w:r>
          </w:p>
        </w:tc>
        <w:tc>
          <w:tcPr/>
          <w:p>
            <w:pPr>
              <w:pStyle w:val="Compact"/>
              <w:jc w:val="left"/>
            </w:pPr>
            <w:r>
              <w:t xml:space="preserve">IFU §11; Testing Plan</w:t>
            </w:r>
          </w:p>
        </w:tc>
        <w:tc>
          <w:tcPr/>
          <w:p>
            <w:pPr>
              <w:pStyle w:val="Compact"/>
              <w:jc w:val="left"/>
            </w:pPr>
            <w:r>
              <w:t xml:space="preserve">Add reprocessing validation per FDA guidance</w:t>
            </w:r>
          </w:p>
        </w:tc>
      </w:tr>
      <w:tr>
        <w:tc>
          <w:tcPr/>
          <w:p>
            <w:pPr>
              <w:pStyle w:val="Compact"/>
              <w:jc w:val="left"/>
            </w:pPr>
            <w:r>
              <w:t xml:space="preserve">18</w:t>
            </w:r>
          </w:p>
        </w:tc>
        <w:tc>
          <w:tcPr/>
          <w:p>
            <w:pPr>
              <w:pStyle w:val="Compact"/>
              <w:jc w:val="left"/>
            </w:pPr>
            <w:r>
              <w:t xml:space="preserve">Medium</w:t>
            </w:r>
          </w:p>
        </w:tc>
        <w:tc>
          <w:tcPr/>
          <w:p>
            <w:pPr>
              <w:pStyle w:val="Compact"/>
              <w:jc w:val="left"/>
            </w:pPr>
            <w:r>
              <w:t xml:space="preserve">Console dimensions/weight inconsistent (15 kg vs 4.5 kg)</w:t>
            </w:r>
          </w:p>
        </w:tc>
        <w:tc>
          <w:tcPr/>
          <w:p>
            <w:pPr>
              <w:pStyle w:val="Compact"/>
              <w:jc w:val="left"/>
            </w:pPr>
            <w:r>
              <w:t xml:space="preserve">Device Description §2.3; IFU §13</w:t>
            </w:r>
          </w:p>
        </w:tc>
        <w:tc>
          <w:tcPr/>
          <w:p>
            <w:pPr>
              <w:pStyle w:val="Compact"/>
              <w:jc w:val="left"/>
            </w:pPr>
            <w:r>
              <w:t xml:space="preserve">Reconcile to single specification</w:t>
            </w:r>
          </w:p>
        </w:tc>
      </w:tr>
      <w:tr>
        <w:tc>
          <w:tcPr/>
          <w:p>
            <w:pPr>
              <w:pStyle w:val="Compact"/>
              <w:jc w:val="left"/>
            </w:pPr>
            <w:r>
              <w:t xml:space="preserve">19</w:t>
            </w:r>
          </w:p>
        </w:tc>
        <w:tc>
          <w:tcPr/>
          <w:p>
            <w:pPr>
              <w:pStyle w:val="Compact"/>
              <w:jc w:val="left"/>
            </w:pPr>
            <w:r>
              <w:t xml:space="preserve">Medium</w:t>
            </w:r>
          </w:p>
        </w:tc>
        <w:tc>
          <w:tcPr/>
          <w:p>
            <w:pPr>
              <w:pStyle w:val="Compact"/>
              <w:jc w:val="left"/>
            </w:pPr>
            <w:r>
              <w:t xml:space="preserve">Impeller material inconsistent (316L vs nitinol)</w:t>
            </w:r>
          </w:p>
        </w:tc>
        <w:tc>
          <w:tcPr/>
          <w:p>
            <w:pPr>
              <w:pStyle w:val="Compact"/>
              <w:jc w:val="left"/>
            </w:pPr>
            <w:r>
              <w:t xml:space="preserve">Device Description §2.2; Testing Plan §2.3</w:t>
            </w:r>
          </w:p>
        </w:tc>
        <w:tc>
          <w:tcPr/>
          <w:p>
            <w:pPr>
              <w:pStyle w:val="Compact"/>
              <w:jc w:val="left"/>
            </w:pPr>
            <w:r>
              <w:t xml:space="preserve">Reconcile material; align biocompatibility test articles</w:t>
            </w:r>
          </w:p>
        </w:tc>
      </w:tr>
      <w:tr>
        <w:tc>
          <w:tcPr/>
          <w:p>
            <w:pPr>
              <w:pStyle w:val="Compact"/>
              <w:jc w:val="left"/>
            </w:pPr>
            <w:r>
              <w:t xml:space="preserve">20</w:t>
            </w:r>
          </w:p>
        </w:tc>
        <w:tc>
          <w:tcPr/>
          <w:p>
            <w:pPr>
              <w:pStyle w:val="Compact"/>
              <w:jc w:val="left"/>
            </w:pPr>
            <w:r>
              <w:t xml:space="preserve">Medium</w:t>
            </w:r>
          </w:p>
        </w:tc>
        <w:tc>
          <w:tcPr/>
          <w:p>
            <w:pPr>
              <w:pStyle w:val="Compact"/>
              <w:jc w:val="left"/>
            </w:pPr>
            <w:r>
              <w:t xml:space="preserve">Material lists in exclusion/contraindications inconsistent</w:t>
            </w:r>
          </w:p>
        </w:tc>
        <w:tc>
          <w:tcPr/>
          <w:p>
            <w:pPr>
              <w:pStyle w:val="Compact"/>
              <w:jc w:val="left"/>
            </w:pPr>
            <w:r>
              <w:t xml:space="preserve">Clinical Synopsis §7.3; IFU §3; Testing Plan §2.3</w:t>
            </w:r>
          </w:p>
        </w:tc>
        <w:tc>
          <w:tcPr/>
          <w:p>
            <w:pPr>
              <w:pStyle w:val="Compact"/>
              <w:jc w:val="left"/>
            </w:pPr>
            <w:r>
              <w:t xml:space="preserve">Reconcile to actual VascuClear materials</w:t>
            </w:r>
          </w:p>
        </w:tc>
      </w:tr>
      <w:tr>
        <w:tc>
          <w:tcPr/>
          <w:p>
            <w:pPr>
              <w:pStyle w:val="Compact"/>
              <w:jc w:val="left"/>
            </w:pPr>
            <w:r>
              <w:t xml:space="preserve">21</w:t>
            </w:r>
          </w:p>
        </w:tc>
        <w:tc>
          <w:tcPr/>
          <w:p>
            <w:pPr>
              <w:pStyle w:val="Compact"/>
              <w:jc w:val="left"/>
            </w:pPr>
            <w:r>
              <w:t xml:space="preserve">Medium</w:t>
            </w:r>
          </w:p>
        </w:tc>
        <w:tc>
          <w:tcPr/>
          <w:p>
            <w:pPr>
              <w:pStyle w:val="Compact"/>
              <w:jc w:val="left"/>
            </w:pPr>
            <w:r>
              <w:t xml:space="preserve">Contact information inconsistent across documents</w:t>
            </w:r>
          </w:p>
        </w:tc>
        <w:tc>
          <w:tcPr/>
          <w:p>
            <w:pPr>
              <w:pStyle w:val="Compact"/>
              <w:jc w:val="left"/>
            </w:pPr>
            <w:r>
              <w:t xml:space="preserve">Cover Letter; Device Description; IFU; emails</w:t>
            </w:r>
          </w:p>
        </w:tc>
        <w:tc>
          <w:tcPr/>
          <w:p>
            <w:pPr>
              <w:pStyle w:val="Compact"/>
              <w:jc w:val="left"/>
            </w:pPr>
            <w:r>
              <w:t xml:space="preserve">Reconcile to single correct set</w:t>
            </w:r>
          </w:p>
        </w:tc>
      </w:tr>
      <w:tr>
        <w:tc>
          <w:tcPr/>
          <w:p>
            <w:pPr>
              <w:pStyle w:val="Compact"/>
              <w:jc w:val="left"/>
            </w:pPr>
            <w:r>
              <w:t xml:space="preserve">22</w:t>
            </w:r>
          </w:p>
        </w:tc>
        <w:tc>
          <w:tcPr/>
          <w:p>
            <w:pPr>
              <w:pStyle w:val="Compact"/>
              <w:jc w:val="left"/>
            </w:pPr>
            <w:r>
              <w:t xml:space="preserve">Medium</w:t>
            </w:r>
          </w:p>
        </w:tc>
        <w:tc>
          <w:tcPr/>
          <w:p>
            <w:pPr>
              <w:pStyle w:val="Compact"/>
              <w:jc w:val="left"/>
            </w:pPr>
            <w:r>
              <w:t xml:space="preserve">Aspiration pressure (−650 mmHg) ~2× predicate; not addressed in SE</w:t>
            </w:r>
          </w:p>
        </w:tc>
        <w:tc>
          <w:tcPr/>
          <w:p>
            <w:pPr>
              <w:pStyle w:val="Compact"/>
              <w:jc w:val="left"/>
            </w:pPr>
            <w:r>
              <w:t xml:space="preserve">Device Description §4.3; IFU §4.3</w:t>
            </w:r>
          </w:p>
        </w:tc>
        <w:tc>
          <w:tcPr/>
          <w:p>
            <w:pPr>
              <w:pStyle w:val="Compact"/>
              <w:jc w:val="left"/>
            </w:pPr>
            <w:r>
              <w:t xml:space="preserve">Address magnitude difference and safety in SE narrative</w:t>
            </w:r>
          </w:p>
        </w:tc>
      </w:tr>
      <w:tr>
        <w:tc>
          <w:tcPr/>
          <w:p>
            <w:pPr>
              <w:pStyle w:val="Compact"/>
              <w:jc w:val="left"/>
            </w:pPr>
            <w:r>
              <w:t xml:space="preserve">23</w:t>
            </w:r>
          </w:p>
        </w:tc>
        <w:tc>
          <w:tcPr/>
          <w:p>
            <w:pPr>
              <w:pStyle w:val="Compact"/>
              <w:jc w:val="left"/>
            </w:pPr>
            <w:r>
              <w:t xml:space="preserve">Medium</w:t>
            </w:r>
          </w:p>
        </w:tc>
        <w:tc>
          <w:tcPr/>
          <w:p>
            <w:pPr>
              <w:pStyle w:val="Compact"/>
              <w:jc w:val="left"/>
            </w:pPr>
            <w:r>
              <w:t xml:space="preserve">No reference predicate for drug delivery feature</w:t>
            </w:r>
          </w:p>
        </w:tc>
        <w:tc>
          <w:tcPr/>
          <w:p>
            <w:pPr>
              <w:pStyle w:val="Compact"/>
              <w:jc w:val="left"/>
            </w:pPr>
            <w:r>
              <w:t xml:space="preserve">Device Description §3.1</w:t>
            </w:r>
          </w:p>
        </w:tc>
        <w:tc>
          <w:tcPr/>
          <w:p>
            <w:pPr>
              <w:pStyle w:val="Compact"/>
              <w:jc w:val="left"/>
            </w:pPr>
            <w:r>
              <w:t xml:space="preserve">Proactively identify a cleared infusion-catheter reference device</w:t>
            </w:r>
          </w:p>
        </w:tc>
      </w:tr>
      <w:tr>
        <w:tc>
          <w:tcPr/>
          <w:p>
            <w:pPr>
              <w:pStyle w:val="Compact"/>
              <w:jc w:val="left"/>
            </w:pPr>
            <w:r>
              <w:t xml:space="preserve">24</w:t>
            </w:r>
          </w:p>
        </w:tc>
        <w:tc>
          <w:tcPr/>
          <w:p>
            <w:pPr>
              <w:pStyle w:val="Compact"/>
              <w:jc w:val="left"/>
            </w:pPr>
            <w:r>
              <w:t xml:space="preserve">Medium</w:t>
            </w:r>
          </w:p>
        </w:tc>
        <w:tc>
          <w:tcPr/>
          <w:p>
            <w:pPr>
              <w:pStyle w:val="Compact"/>
              <w:jc w:val="left"/>
            </w:pPr>
            <w:r>
              <w:t xml:space="preserve">Software framework inconsistent (2005 guidance vs IEC 62304)</w:t>
            </w:r>
          </w:p>
        </w:tc>
        <w:tc>
          <w:tcPr/>
          <w:p>
            <w:pPr>
              <w:pStyle w:val="Compact"/>
              <w:jc w:val="left"/>
            </w:pPr>
            <w:r>
              <w:t xml:space="preserve">Cover Letter; Testing Plan §5; Device Description §2.3</w:t>
            </w:r>
          </w:p>
        </w:tc>
        <w:tc>
          <w:tcPr/>
          <w:p>
            <w:pPr>
              <w:pStyle w:val="Compact"/>
              <w:jc w:val="left"/>
            </w:pPr>
            <w:r>
              <w:t xml:space="preserve">Adopt single current framework (IEC 62304 + FDA mapping)</w:t>
            </w:r>
          </w:p>
        </w:tc>
      </w:tr>
    </w:tbl>
    <w:p>
      <w:r>
        <w:pict>
          <v:rect style="width:0;height:1.5pt" o:hralign="center" o:hrstd="t" o:hr="t"/>
        </w:pict>
      </w:r>
    </w:p>
    <w:p>
      <w:pPr>
        <w:pStyle w:val="FirstParagraph"/>
      </w:pPr>
      <w:r>
        <w:rPr>
          <w:i/>
          <w:iCs/>
        </w:rPr>
        <w:t xml:space="preserve">This memorandum is prepared as attorney work product in anticipation of litigation/regulatory proceedings and contains attorney-client privileged communications. It is intended solely for the named recipients and should not be forwarded without the consent of Hargrove, Templeton &amp; Bliss LLP.</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2026-06-28T10:17:11Z</dcterms:created>
  <dcterms:modified xsi:type="dcterms:W3CDTF">2026-06-28T10:17:11Z</dcterms:modified>
</cp:coreProperties>
</file>

<file path=docProps/custom.xml><?xml version="1.0" encoding="utf-8"?>
<Properties xmlns="http://schemas.openxmlformats.org/officeDocument/2006/custom-properties" xmlns:vt="http://schemas.openxmlformats.org/officeDocument/2006/docPropsVTypes"/>
</file>