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50" w:name="memorandum"/>
    <w:p>
      <w:pPr>
        <w:pStyle w:val="Heading1"/>
      </w:pPr>
      <w:r>
        <w:t xml:space="preserve">MEMORANDUM</w:t>
      </w:r>
    </w:p>
    <w:p>
      <w:pPr>
        <w:pStyle w:val="FirstParagraph"/>
      </w:pPr>
      <w:r>
        <w:rPr>
          <w:b/>
          <w:bCs/>
        </w:rPr>
        <w:t xml:space="preserve">TO:</w:t>
      </w:r>
      <w:r>
        <w:t xml:space="preserve"> </w:t>
      </w:r>
      <w:r>
        <w:t xml:space="preserve">Linda Fessenden, Vice President, Regulatory Affairs, Clearfield Medical Devices, Inc.; Katherine</w:t>
      </w:r>
      <w:r>
        <w:t xml:space="preserve"> </w:t>
      </w:r>
      <w:r>
        <w:t xml:space="preserve">“</w:t>
      </w:r>
      <w:r>
        <w:t xml:space="preserve">Kate</w:t>
      </w:r>
      <w:r>
        <w:t xml:space="preserve">”</w:t>
      </w:r>
      <w:r>
        <w:t xml:space="preserve"> </w:t>
      </w:r>
      <w:r>
        <w:t xml:space="preserve">Pressman, Partner, Hargrove, Templeton &amp; Bliss LLP</w:t>
      </w:r>
    </w:p>
    <w:p>
      <w:pPr>
        <w:pStyle w:val="BodyText"/>
      </w:pPr>
      <w:r>
        <w:rPr>
          <w:b/>
          <w:bCs/>
        </w:rPr>
        <w:t xml:space="preserve">FROM:</w:t>
      </w:r>
      <w:r>
        <w:t xml:space="preserve"> </w:t>
      </w:r>
      <w:r>
        <w:t xml:space="preserve">Daniel J. Yoo, Senior Associate, Hargrove, Templeton &amp; Bliss LLP</w:t>
      </w:r>
    </w:p>
    <w:p>
      <w:pPr>
        <w:pStyle w:val="BodyText"/>
      </w:pPr>
      <w:r>
        <w:rPr>
          <w:b/>
          <w:bCs/>
        </w:rPr>
        <w:t xml:space="preserve">CC:</w:t>
      </w:r>
      <w:r>
        <w:t xml:space="preserve"> </w:t>
      </w:r>
      <w:r>
        <w:t xml:space="preserve">Dr. Evelyn Marsh, RAC, Principal Consultant, Ridgepoint Consulting Group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Prioritized Issue Memorandum — Review of Draft Pre-Submission (Q-Sub) Package for the VascuClear 3000 Thrombectomy System</w:t>
      </w:r>
    </w:p>
    <w:p>
      <w:r>
        <w:pict>
          <v:rect style="width:0;height:1.5pt" o:hralign="center" o:hrstd="t" o:hr="t"/>
        </w:pict>
      </w:r>
    </w:p>
    <w:bookmarkStart w:id="21" w:name="i.-introduction-and-scope"/>
    <w:p>
      <w:pPr>
        <w:pStyle w:val="Heading2"/>
      </w:pPr>
      <w:r>
        <w:t xml:space="preserve">I. Introduction and Scope</w:t>
      </w:r>
    </w:p>
    <w:p>
      <w:pPr>
        <w:pStyle w:val="FirstParagraph"/>
      </w:pPr>
      <w:r>
        <w:t xml:space="preserve">At Kate’s request, I have conducted a comprehensive review of the draft Pre-Submission (Q-Sub) package for the VascuClear 3000 Thrombectomy System (the</w:t>
      </w:r>
      <w:r>
        <w:t xml:space="preserve"> </w:t>
      </w:r>
      <w:r>
        <w:t xml:space="preserve">“</w:t>
      </w:r>
      <w:r>
        <w:t xml:space="preserve">Device</w:t>
      </w:r>
      <w:r>
        <w:t xml:space="preserve">”</w:t>
      </w:r>
      <w:r>
        <w:t xml:space="preserve">) in advance of the June 15, 2025 filing target. This memorandum identifies regulatory, scientific, and strategic deficiencies that should be addressed before the package is finalized. It supplements, and does not replace, the ongoing discussion between Linda, Kate, and Evelyn regarding the combination-product and IDE questions; where those threshold issues remain unresolved, I have restated them here in the context of the complete package so that all open items appear in one place.</w:t>
      </w:r>
    </w:p>
    <w:p>
      <w:pPr>
        <w:pStyle w:val="BodyText"/>
      </w:pPr>
      <w:r>
        <w:rPr>
          <w:b/>
          <w:bCs/>
        </w:rPr>
        <w:t xml:space="preserve">Documents reviewed:</w:t>
      </w:r>
    </w:p>
    <w:p>
      <w:pPr>
        <w:pStyle w:val="Compact"/>
        <w:numPr>
          <w:ilvl w:val="0"/>
          <w:numId w:val="1001"/>
        </w:numPr>
      </w:pPr>
      <w:r>
        <w:t xml:space="preserve">Pre-Submission Cover Letter (</w:t>
      </w:r>
      <w:r>
        <w:rPr>
          <w:rStyle w:val="VerbatimChar"/>
        </w:rPr>
        <w:t xml:space="preserve">presub-cover-letter.docx</w:t>
      </w:r>
      <w:r>
        <w:t xml:space="preserve">)</w:t>
      </w:r>
    </w:p>
    <w:p>
      <w:pPr>
        <w:pStyle w:val="Compact"/>
        <w:numPr>
          <w:ilvl w:val="0"/>
          <w:numId w:val="1001"/>
        </w:numPr>
      </w:pPr>
      <w:r>
        <w:t xml:space="preserve">Device Description and Predicate Comparison (</w:t>
      </w:r>
      <w:r>
        <w:rPr>
          <w:rStyle w:val="VerbatimChar"/>
        </w:rPr>
        <w:t xml:space="preserve">device-description-predicate-comparison.docx</w:t>
      </w:r>
      <w:r>
        <w:t xml:space="preserve">)</w:t>
      </w:r>
    </w:p>
    <w:p>
      <w:pPr>
        <w:pStyle w:val="Compact"/>
        <w:numPr>
          <w:ilvl w:val="0"/>
          <w:numId w:val="1001"/>
        </w:numPr>
      </w:pPr>
      <w:r>
        <w:t xml:space="preserve">Proposed Testing Plan (</w:t>
      </w:r>
      <w:r>
        <w:rPr>
          <w:rStyle w:val="VerbatimChar"/>
        </w:rPr>
        <w:t xml:space="preserve">proposed-testing-plan.docx</w:t>
      </w:r>
      <w:r>
        <w:t xml:space="preserve">)</w:t>
      </w:r>
    </w:p>
    <w:p>
      <w:pPr>
        <w:pStyle w:val="Compact"/>
        <w:numPr>
          <w:ilvl w:val="0"/>
          <w:numId w:val="1001"/>
        </w:numPr>
      </w:pPr>
      <w:r>
        <w:t xml:space="preserve">Clinical Study Synopsis (</w:t>
      </w:r>
      <w:r>
        <w:rPr>
          <w:rStyle w:val="VerbatimChar"/>
        </w:rPr>
        <w:t xml:space="preserve">clinical-study-synopsis.docx</w:t>
      </w:r>
      <w:r>
        <w:t xml:space="preserve">)</w:t>
      </w:r>
    </w:p>
    <w:p>
      <w:pPr>
        <w:pStyle w:val="Compact"/>
        <w:numPr>
          <w:ilvl w:val="0"/>
          <w:numId w:val="1001"/>
        </w:numPr>
      </w:pPr>
      <w:r>
        <w:t xml:space="preserve">Draft Instructions for Use (</w:t>
      </w:r>
      <w:r>
        <w:rPr>
          <w:rStyle w:val="VerbatimChar"/>
        </w:rPr>
        <w:t xml:space="preserve">draft-ifu-vasculear-3000.docx</w:t>
      </w:r>
      <w:r>
        <w:t xml:space="preserve">)</w:t>
      </w:r>
    </w:p>
    <w:p>
      <w:pPr>
        <w:pStyle w:val="Compact"/>
        <w:numPr>
          <w:ilvl w:val="0"/>
          <w:numId w:val="1001"/>
        </w:numPr>
      </w:pPr>
      <w:r>
        <w:t xml:space="preserve">ThrombEx 200 (K192847) 510(k) Summary (</w:t>
      </w:r>
      <w:r>
        <w:rPr>
          <w:rStyle w:val="VerbatimChar"/>
        </w:rPr>
        <w:t xml:space="preserve">thrombex-200-510k-summary.docx</w:t>
      </w:r>
      <w:r>
        <w:t xml:space="preserve">)</w:t>
      </w:r>
    </w:p>
    <w:p>
      <w:pPr>
        <w:pStyle w:val="Compact"/>
        <w:numPr>
          <w:ilvl w:val="0"/>
          <w:numId w:val="1001"/>
        </w:numPr>
      </w:pPr>
      <w:r>
        <w:t xml:space="preserve">Internal email chain re: Regulatory Pathway &amp; Clinical Study Strategy (Apr. 22 – May 12, 2025)</w:t>
      </w:r>
    </w:p>
    <w:p>
      <w:pPr>
        <w:pStyle w:val="FirstParagraph"/>
      </w:pPr>
      <w:r>
        <w:rPr>
          <w:b/>
          <w:bCs/>
        </w:rPr>
        <w:t xml:space="preserve">Context.</w:t>
      </w:r>
      <w:r>
        <w:t xml:space="preserve"> </w:t>
      </w:r>
      <w:r>
        <w:t xml:space="preserve">The package proposes a traditional 510(k) under product code GXD (21 CFR 870.1250) with the ThrombEx 200 (K192847) as the sole predicate. The Braddock Ventures Series D term sheet requires 510(k) clearance by December 31, 2025. Clearfield’s cash position ($18.3M as of Apr. 30, 2025) and burn rate ($1.52M/month) leave limited margin for delay. These commercial realities heighten the importance of resolving the threshold regulatory questions</w:t>
      </w:r>
      <w:r>
        <w:t xml:space="preserve"> </w:t>
      </w:r>
      <w:r>
        <w:rPr>
          <w:i/>
          <w:iCs/>
        </w:rPr>
        <w:t xml:space="preserve">before</w:t>
      </w:r>
      <w:r>
        <w:t xml:space="preserve"> </w:t>
      </w:r>
      <w:r>
        <w:t xml:space="preserve">the package is submitted, because a mid-course pathway change (e.g., combination-product designation or an IDE requirement) would likely render the December 31 milestone unachievable and would carry corporate and financing consequences that should be surfaced to Kendrick &amp; Hale.</w:t>
      </w:r>
    </w:p>
    <w:bookmarkEnd w:id="21"/>
    <w:bookmarkStart w:id="22" w:name="ii.-executive-summary"/>
    <w:p>
      <w:pPr>
        <w:pStyle w:val="Heading2"/>
      </w:pPr>
      <w:r>
        <w:t xml:space="preserve">II. Executive Summary</w:t>
      </w:r>
    </w:p>
    <w:p>
      <w:pPr>
        <w:pStyle w:val="FirstParagraph"/>
      </w:pPr>
      <w:r>
        <w:t xml:space="preserve">The package is well-organized and reflects genuine effort, but it contains a number of deficiencies that fall into four tiers. The most serious are</w:t>
      </w:r>
      <w:r>
        <w:t xml:space="preserve"> </w:t>
      </w:r>
      <w:r>
        <w:rPr>
          <w:b/>
          <w:bCs/>
        </w:rPr>
        <w:t xml:space="preserve">threshold pathway questions that remain unresolved and, critically, are not posed to FDA in the cover letter</w:t>
      </w:r>
      <w:r>
        <w:t xml:space="preserve">, together with several</w:t>
      </w:r>
      <w:r>
        <w:t xml:space="preserve"> </w:t>
      </w:r>
      <w:r>
        <w:rPr>
          <w:b/>
          <w:bCs/>
        </w:rPr>
        <w:t xml:space="preserve">scientific/testing deficiencies that FDA is likely to flag at the Pre-Submission meeting</w:t>
      </w:r>
      <w:r>
        <w:t xml:space="preserve">. The table below summarizes the issues by priority. Each is discussed in detail in Sections III–VI.</w:t>
      </w:r>
    </w:p>
    <w:tbl>
      <w:tblPr>
        <w:tblStyle w:val="Table"/>
        <w:tblW w:type="pct" w:w="5000"/>
        <w:jc w:val="left"/>
        <w:tblLayout w:type="fixed"/>
        <w:tblLook w:firstRow="1" w:lastRow="0" w:firstColumn="0" w:lastColumn="0" w:noHBand="0" w:noVBand="0" w:val="0020"/>
      </w:tblPr>
      <w:tblGrid>
        <w:gridCol w:w="625"/>
        <w:gridCol w:w="2084"/>
        <w:gridCol w:w="1458"/>
        <w:gridCol w:w="3751"/>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One-line summary</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Combination-product classification</w:t>
            </w:r>
          </w:p>
        </w:tc>
        <w:tc>
          <w:tcPr/>
          <w:p>
            <w:pPr>
              <w:pStyle w:val="Compact"/>
              <w:jc w:val="left"/>
            </w:pPr>
            <w:r>
              <w:t xml:space="preserve">Device has a drug-delivery lumen and a co-primary drug-delivery claim; status not raised with FDA</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IDE requirement /</w:t>
            </w:r>
            <w:r>
              <w:t xml:space="preserve"> </w:t>
            </w:r>
            <w:r>
              <w:t xml:space="preserve">“</w:t>
            </w:r>
            <w:r>
              <w:t xml:space="preserve">post-clearance</w:t>
            </w:r>
            <w:r>
              <w:t xml:space="preserve">”</w:t>
            </w:r>
            <w:r>
              <w:t xml:space="preserve"> </w:t>
            </w:r>
            <w:r>
              <w:t xml:space="preserve">contradiction</w:t>
            </w:r>
          </w:p>
        </w:tc>
        <w:tc>
          <w:tcPr/>
          <w:p>
            <w:pPr>
              <w:pStyle w:val="Compact"/>
              <w:jc w:val="left"/>
            </w:pPr>
            <w:r>
              <w:t xml:space="preserve">Study labeled</w:t>
            </w:r>
            <w:r>
              <w:t xml:space="preserve"> </w:t>
            </w:r>
            <w:r>
              <w:t xml:space="preserve">“</w:t>
            </w:r>
            <w:r>
              <w:t xml:space="preserve">post-clearance</w:t>
            </w:r>
            <w:r>
              <w:t xml:space="preserve">”</w:t>
            </w:r>
            <w:r>
              <w:t xml:space="preserve"> </w:t>
            </w:r>
            <w:r>
              <w:t xml:space="preserve">but scheduled before clearance and intended to support the 510(k)</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Substantial equivalence / predicate selection</w:t>
            </w:r>
          </w:p>
        </w:tc>
        <w:tc>
          <w:tcPr/>
          <w:p>
            <w:pPr>
              <w:pStyle w:val="Compact"/>
              <w:jc w:val="left"/>
            </w:pPr>
            <w:r>
              <w:t xml:space="preserve">Predicate is purely mechanical with no drug delivery and no rotating element; NQSE risk</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Biocompatibility contact-duration mismatch</w:t>
            </w:r>
          </w:p>
        </w:tc>
        <w:tc>
          <w:tcPr/>
          <w:p>
            <w:pPr>
              <w:pStyle w:val="Compact"/>
              <w:jc w:val="left"/>
            </w:pPr>
            <w:r>
              <w:t xml:space="preserve">Testing based on &lt;24h</w:t>
            </w:r>
            <w:r>
              <w:t xml:space="preserve"> </w:t>
            </w:r>
            <w:r>
              <w:t xml:space="preserve">“</w:t>
            </w:r>
            <w:r>
              <w:t xml:space="preserve">limited</w:t>
            </w:r>
            <w:r>
              <w:t xml:space="preserve">”</w:t>
            </w:r>
            <w:r>
              <w:t xml:space="preserve"> </w:t>
            </w:r>
            <w:r>
              <w:t xml:space="preserve">contact; IFU permits 72-hour indwell (</w:t>
            </w:r>
            <w:r>
              <w:t xml:space="preserve">“</w:t>
            </w:r>
            <w:r>
              <w:t xml:space="preserve">prolonged</w:t>
            </w:r>
            <w:r>
              <w:t xml:space="preserve">”</w:t>
            </w:r>
            <w:r>
              <w:t xml:space="preserve">)</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Impeller fatigue testing</w:t>
            </w:r>
          </w:p>
        </w:tc>
        <w:tc>
          <w:tcPr/>
          <w:p>
            <w:pPr>
              <w:pStyle w:val="Compact"/>
              <w:jc w:val="left"/>
            </w:pPr>
            <w:r>
              <w:t xml:space="preserve">500 revolutions at 12,000 RPM = ~2.5 seconds; not a fatigue test</w:t>
            </w:r>
          </w:p>
        </w:tc>
      </w:tr>
      <w:tr>
        <w:tc>
          <w:tcPr/>
          <w:p>
            <w:pPr>
              <w:pStyle w:val="Compact"/>
              <w:jc w:val="left"/>
            </w:pPr>
            <w:r>
              <w:t xml:space="preserve">6</w:t>
            </w:r>
          </w:p>
        </w:tc>
        <w:tc>
          <w:tcPr/>
          <w:p>
            <w:pPr>
              <w:pStyle w:val="Compact"/>
              <w:jc w:val="left"/>
            </w:pPr>
            <w:r>
              <w:t xml:space="preserve">High</w:t>
            </w:r>
          </w:p>
        </w:tc>
        <w:tc>
          <w:tcPr/>
          <w:p>
            <w:pPr>
              <w:pStyle w:val="Compact"/>
              <w:jc w:val="left"/>
            </w:pPr>
            <w:r>
              <w:t xml:space="preserve">Software documentation level</w:t>
            </w:r>
          </w:p>
        </w:tc>
        <w:tc>
          <w:tcPr/>
          <w:p>
            <w:pPr>
              <w:pStyle w:val="Compact"/>
              <w:jc w:val="left"/>
            </w:pPr>
            <w:r>
              <w:t xml:space="preserve">“</w:t>
            </w:r>
            <w:r>
              <w:t xml:space="preserve">Minor</w:t>
            </w:r>
            <w:r>
              <w:t xml:space="preserve">”</w:t>
            </w:r>
            <w:r>
              <w:t xml:space="preserve"> </w:t>
            </w:r>
            <w:r>
              <w:t xml:space="preserve">likely too low; 2005 guidance outdated; predicate was</w:t>
            </w:r>
            <w:r>
              <w:t xml:space="preserve"> </w:t>
            </w:r>
            <w:r>
              <w:t xml:space="preserve">“</w:t>
            </w:r>
            <w:r>
              <w:t xml:space="preserve">Moderate</w:t>
            </w:r>
            <w:r>
              <w:t xml:space="preserve">”</w:t>
            </w:r>
          </w:p>
        </w:tc>
      </w:tr>
      <w:tr>
        <w:tc>
          <w:tcPr/>
          <w:p>
            <w:pPr>
              <w:pStyle w:val="Compact"/>
              <w:jc w:val="left"/>
            </w:pPr>
            <w:r>
              <w:t xml:space="preserve">7</w:t>
            </w:r>
          </w:p>
        </w:tc>
        <w:tc>
          <w:tcPr/>
          <w:p>
            <w:pPr>
              <w:pStyle w:val="Compact"/>
              <w:jc w:val="left"/>
            </w:pPr>
            <w:r>
              <w:t xml:space="preserve">High</w:t>
            </w:r>
          </w:p>
        </w:tc>
        <w:tc>
          <w:tcPr/>
          <w:p>
            <w:pPr>
              <w:pStyle w:val="Compact"/>
              <w:jc w:val="left"/>
            </w:pPr>
            <w:r>
              <w:t xml:space="preserve">Drug-delivery characterization</w:t>
            </w:r>
          </w:p>
        </w:tc>
        <w:tc>
          <w:tcPr/>
          <w:p>
            <w:pPr>
              <w:pStyle w:val="Compact"/>
              <w:jc w:val="left"/>
            </w:pPr>
            <w:r>
              <w:t xml:space="preserve">Saline only; no tPA; no drug-device interaction/compatibility testing</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Pharmacomechanical bench testing absent</w:t>
            </w:r>
          </w:p>
        </w:tc>
        <w:tc>
          <w:tcPr/>
          <w:p>
            <w:pPr>
              <w:pStyle w:val="Compact"/>
              <w:jc w:val="left"/>
            </w:pPr>
            <w:r>
              <w:t xml:space="preserve">Simulated-use test runs mechanical thrombectomy only; infusion lumen not activated</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Clinical study design</w:t>
            </w:r>
          </w:p>
        </w:tc>
        <w:tc>
          <w:tcPr/>
          <w:p>
            <w:pPr>
              <w:pStyle w:val="Compact"/>
              <w:jc w:val="left"/>
            </w:pPr>
            <w:r>
              <w:t xml:space="preserve">Unjustified performance goal; 30-day follow-up too short for PTS; tPA dose/bleeding controls</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Timeline infeasibility</w:t>
            </w:r>
          </w:p>
        </w:tc>
        <w:tc>
          <w:tcPr/>
          <w:p>
            <w:pPr>
              <w:pStyle w:val="Compact"/>
              <w:jc w:val="left"/>
            </w:pPr>
            <w:r>
              <w:t xml:space="preserve">Clinical CSR Q4 2026 vs. Dec. 31, 2025 clearance milestone; data cannot support the 510(k) in time</w:t>
            </w:r>
          </w:p>
        </w:tc>
      </w:tr>
      <w:tr>
        <w:tc>
          <w:tcPr/>
          <w:p>
            <w:pPr>
              <w:pStyle w:val="Compact"/>
              <w:jc w:val="left"/>
            </w:pPr>
            <w:r>
              <w:t xml:space="preserve">11</w:t>
            </w:r>
          </w:p>
        </w:tc>
        <w:tc>
          <w:tcPr/>
          <w:p>
            <w:pPr>
              <w:pStyle w:val="Compact"/>
              <w:jc w:val="left"/>
            </w:pPr>
            <w:r>
              <w:t xml:space="preserve">Medium</w:t>
            </w:r>
          </w:p>
        </w:tc>
        <w:tc>
          <w:tcPr/>
          <w:p>
            <w:pPr>
              <w:pStyle w:val="Compact"/>
              <w:jc w:val="left"/>
            </w:pPr>
            <w:r>
              <w:t xml:space="preserve">EMC testing omitted</w:t>
            </w:r>
          </w:p>
        </w:tc>
        <w:tc>
          <w:tcPr/>
          <w:p>
            <w:pPr>
              <w:pStyle w:val="Compact"/>
              <w:jc w:val="left"/>
            </w:pPr>
            <w:r>
              <w:t xml:space="preserve">IEC 60601-1-2 not in the electrical-safety plan</w:t>
            </w:r>
          </w:p>
        </w:tc>
      </w:tr>
      <w:tr>
        <w:tc>
          <w:tcPr/>
          <w:p>
            <w:pPr>
              <w:pStyle w:val="Compact"/>
              <w:jc w:val="left"/>
            </w:pPr>
            <w:r>
              <w:t xml:space="preserve">12</w:t>
            </w:r>
          </w:p>
        </w:tc>
        <w:tc>
          <w:tcPr/>
          <w:p>
            <w:pPr>
              <w:pStyle w:val="Compact"/>
              <w:jc w:val="left"/>
            </w:pPr>
            <w:r>
              <w:t xml:space="preserve">Medium</w:t>
            </w:r>
          </w:p>
        </w:tc>
        <w:tc>
          <w:tcPr/>
          <w:p>
            <w:pPr>
              <w:pStyle w:val="Compact"/>
              <w:jc w:val="left"/>
            </w:pPr>
            <w:r>
              <w:t xml:space="preserve">Shelf-life / packaging validation omitted</w:t>
            </w:r>
          </w:p>
        </w:tc>
        <w:tc>
          <w:tcPr/>
          <w:p>
            <w:pPr>
              <w:pStyle w:val="Compact"/>
              <w:jc w:val="left"/>
            </w:pPr>
            <w:r>
              <w:t xml:space="preserve">No accelerated aging or distribution simulation</w:t>
            </w:r>
          </w:p>
        </w:tc>
      </w:tr>
      <w:tr>
        <w:tc>
          <w:tcPr/>
          <w:p>
            <w:pPr>
              <w:pStyle w:val="Compact"/>
              <w:jc w:val="left"/>
            </w:pPr>
            <w:r>
              <w:t xml:space="preserve">13</w:t>
            </w:r>
          </w:p>
        </w:tc>
        <w:tc>
          <w:tcPr/>
          <w:p>
            <w:pPr>
              <w:pStyle w:val="Compact"/>
              <w:jc w:val="left"/>
            </w:pPr>
            <w:r>
              <w:t xml:space="preserve">Medium</w:t>
            </w:r>
          </w:p>
        </w:tc>
        <w:tc>
          <w:tcPr/>
          <w:p>
            <w:pPr>
              <w:pStyle w:val="Compact"/>
              <w:jc w:val="left"/>
            </w:pPr>
            <w:r>
              <w:t xml:space="preserve">MRI safety testing incomplete</w:t>
            </w:r>
          </w:p>
        </w:tc>
        <w:tc>
          <w:tcPr/>
          <w:p>
            <w:pPr>
              <w:pStyle w:val="Compact"/>
              <w:jc w:val="left"/>
            </w:pPr>
            <w:r>
              <w:t xml:space="preserve">IFU has</w:t>
            </w:r>
            <w:r>
              <w:t xml:space="preserve"> </w:t>
            </w:r>
            <w:r>
              <w:t xml:space="preserve">“</w:t>
            </w:r>
            <w:r>
              <w:t xml:space="preserve">[TBD]</w:t>
            </w:r>
            <w:r>
              <w:t xml:space="preserve">”</w:t>
            </w:r>
            <w:r>
              <w:t xml:space="preserve"> </w:t>
            </w:r>
            <w:r>
              <w:t xml:space="preserve">values; MRI testing absent from plan</w:t>
            </w:r>
          </w:p>
        </w:tc>
      </w:tr>
      <w:tr>
        <w:tc>
          <w:tcPr/>
          <w:p>
            <w:pPr>
              <w:pStyle w:val="Compact"/>
              <w:jc w:val="left"/>
            </w:pPr>
            <w:r>
              <w:t xml:space="preserve">14</w:t>
            </w:r>
          </w:p>
        </w:tc>
        <w:tc>
          <w:tcPr/>
          <w:p>
            <w:pPr>
              <w:pStyle w:val="Compact"/>
              <w:jc w:val="left"/>
            </w:pPr>
            <w:r>
              <w:t xml:space="preserve">Medium</w:t>
            </w:r>
          </w:p>
        </w:tc>
        <w:tc>
          <w:tcPr/>
          <w:p>
            <w:pPr>
              <w:pStyle w:val="Compact"/>
              <w:jc w:val="left"/>
            </w:pPr>
            <w:r>
              <w:t xml:space="preserve">Dynamic hemolysis not specifically tested</w:t>
            </w:r>
          </w:p>
        </w:tc>
        <w:tc>
          <w:tcPr/>
          <w:p>
            <w:pPr>
              <w:pStyle w:val="Compact"/>
              <w:jc w:val="left"/>
            </w:pPr>
            <w:r>
              <w:t xml:space="preserve">Rotating impeller at 12,000 RPM in blood; only static-contact hemocompatibility planned</w:t>
            </w:r>
          </w:p>
        </w:tc>
      </w:tr>
      <w:tr>
        <w:tc>
          <w:tcPr/>
          <w:p>
            <w:pPr>
              <w:pStyle w:val="Compact"/>
              <w:jc w:val="left"/>
            </w:pPr>
            <w:r>
              <w:t xml:space="preserve">15</w:t>
            </w:r>
          </w:p>
        </w:tc>
        <w:tc>
          <w:tcPr/>
          <w:p>
            <w:pPr>
              <w:pStyle w:val="Compact"/>
              <w:jc w:val="left"/>
            </w:pPr>
            <w:r>
              <w:t xml:space="preserve">Medium</w:t>
            </w:r>
          </w:p>
        </w:tc>
        <w:tc>
          <w:tcPr/>
          <w:p>
            <w:pPr>
              <w:pStyle w:val="Compact"/>
              <w:jc w:val="left"/>
            </w:pPr>
            <w:r>
              <w:t xml:space="preserve">Internal inconsistencies</w:t>
            </w:r>
          </w:p>
        </w:tc>
        <w:tc>
          <w:tcPr/>
          <w:p>
            <w:pPr>
              <w:pStyle w:val="Compact"/>
              <w:jc w:val="left"/>
            </w:pPr>
            <w:r>
              <w:t xml:space="preserve">Console size/weight; predicate indication in Table A-1; impeller material; aspiration pressure; IFU materials</w:t>
            </w:r>
          </w:p>
        </w:tc>
      </w:tr>
      <w:tr>
        <w:tc>
          <w:tcPr/>
          <w:p>
            <w:pPr>
              <w:pStyle w:val="Compact"/>
              <w:jc w:val="left"/>
            </w:pPr>
            <w:r>
              <w:t xml:space="preserve">16</w:t>
            </w:r>
          </w:p>
        </w:tc>
        <w:tc>
          <w:tcPr/>
          <w:p>
            <w:pPr>
              <w:pStyle w:val="Compact"/>
              <w:jc w:val="left"/>
            </w:pPr>
            <w:r>
              <w:t xml:space="preserve">Lower</w:t>
            </w:r>
          </w:p>
        </w:tc>
        <w:tc>
          <w:tcPr/>
          <w:p>
            <w:pPr>
              <w:pStyle w:val="Compact"/>
              <w:jc w:val="left"/>
            </w:pPr>
            <w:r>
              <w:t xml:space="preserve">Cover letter omits counsel’s recommended questions</w:t>
            </w:r>
          </w:p>
        </w:tc>
        <w:tc>
          <w:tcPr/>
          <w:p>
            <w:pPr>
              <w:pStyle w:val="Compact"/>
              <w:jc w:val="left"/>
            </w:pPr>
            <w:r>
              <w:t xml:space="preserve">Combination-product and IDE questions not in Section VI</w:t>
            </w:r>
          </w:p>
        </w:tc>
      </w:tr>
      <w:tr>
        <w:tc>
          <w:tcPr/>
          <w:p>
            <w:pPr>
              <w:pStyle w:val="Compact"/>
              <w:jc w:val="left"/>
            </w:pPr>
            <w:r>
              <w:t xml:space="preserve">17</w:t>
            </w:r>
          </w:p>
        </w:tc>
        <w:tc>
          <w:tcPr/>
          <w:p>
            <w:pPr>
              <w:pStyle w:val="Compact"/>
              <w:jc w:val="left"/>
            </w:pPr>
            <w:r>
              <w:t xml:space="preserve">Lower</w:t>
            </w:r>
          </w:p>
        </w:tc>
        <w:tc>
          <w:tcPr/>
          <w:p>
            <w:pPr>
              <w:pStyle w:val="Compact"/>
              <w:jc w:val="left"/>
            </w:pPr>
            <w:r>
              <w:t xml:space="preserve">SE</w:t>
            </w:r>
            <w:r>
              <w:t xml:space="preserve"> </w:t>
            </w:r>
            <w:r>
              <w:t xml:space="preserve">“</w:t>
            </w:r>
            <w:r>
              <w:t xml:space="preserve">narrowing</w:t>
            </w:r>
            <w:r>
              <w:t xml:space="preserve">”</w:t>
            </w:r>
            <w:r>
              <w:t xml:space="preserve"> </w:t>
            </w:r>
            <w:r>
              <w:t xml:space="preserve">argument misstates the drug-delivery claim</w:t>
            </w:r>
          </w:p>
        </w:tc>
        <w:tc>
          <w:tcPr/>
          <w:p>
            <w:pPr>
              <w:pStyle w:val="Compact"/>
              <w:jc w:val="left"/>
            </w:pPr>
            <w:r>
              <w:t xml:space="preserve">Drug delivery is an addition, not a narrowing</w:t>
            </w:r>
          </w:p>
        </w:tc>
      </w:tr>
      <w:tr>
        <w:tc>
          <w:tcPr/>
          <w:p>
            <w:pPr>
              <w:pStyle w:val="Compact"/>
              <w:jc w:val="left"/>
            </w:pPr>
            <w:r>
              <w:t xml:space="preserve">18</w:t>
            </w:r>
          </w:p>
        </w:tc>
        <w:tc>
          <w:tcPr/>
          <w:p>
            <w:pPr>
              <w:pStyle w:val="Compact"/>
              <w:jc w:val="left"/>
            </w:pPr>
            <w:r>
              <w:t xml:space="preserve">Lower</w:t>
            </w:r>
          </w:p>
        </w:tc>
        <w:tc>
          <w:tcPr/>
          <w:p>
            <w:pPr>
              <w:pStyle w:val="Compact"/>
              <w:jc w:val="left"/>
            </w:pPr>
            <w:r>
              <w:t xml:space="preserve">Aspiration-pressure magnitude difference unaddressed</w:t>
            </w:r>
          </w:p>
        </w:tc>
        <w:tc>
          <w:tcPr/>
          <w:p>
            <w:pPr>
              <w:pStyle w:val="Compact"/>
              <w:jc w:val="left"/>
            </w:pPr>
            <w:r>
              <w:t xml:space="preserve">−650 mmHg vs. predicate ~−300 mmHg</w:t>
            </w:r>
          </w:p>
        </w:tc>
      </w:tr>
      <w:tr>
        <w:tc>
          <w:tcPr/>
          <w:p>
            <w:pPr>
              <w:pStyle w:val="Compact"/>
              <w:jc w:val="left"/>
            </w:pPr>
            <w:r>
              <w:t xml:space="preserve">19</w:t>
            </w:r>
          </w:p>
        </w:tc>
        <w:tc>
          <w:tcPr/>
          <w:p>
            <w:pPr>
              <w:pStyle w:val="Compact"/>
              <w:jc w:val="left"/>
            </w:pPr>
            <w:r>
              <w:t xml:space="preserve">Lower</w:t>
            </w:r>
          </w:p>
        </w:tc>
        <w:tc>
          <w:tcPr/>
          <w:p>
            <w:pPr>
              <w:pStyle w:val="Compact"/>
              <w:jc w:val="left"/>
            </w:pPr>
            <w:r>
              <w:t xml:space="preserve">Bench vs. clinical threshold disconnect</w:t>
            </w:r>
          </w:p>
        </w:tc>
        <w:tc>
          <w:tcPr/>
          <w:p>
            <w:pPr>
              <w:pStyle w:val="Compact"/>
              <w:jc w:val="left"/>
            </w:pPr>
            <w:r>
              <w:t xml:space="preserve">80% bench removal vs. 50% clinical primary endpoint</w:t>
            </w:r>
          </w:p>
        </w:tc>
      </w:tr>
      <w:tr>
        <w:tc>
          <w:tcPr/>
          <w:p>
            <w:pPr>
              <w:pStyle w:val="Compact"/>
              <w:jc w:val="left"/>
            </w:pPr>
            <w:r>
              <w:t xml:space="preserve">20</w:t>
            </w:r>
          </w:p>
        </w:tc>
        <w:tc>
          <w:tcPr/>
          <w:p>
            <w:pPr>
              <w:pStyle w:val="Compact"/>
              <w:jc w:val="left"/>
            </w:pPr>
            <w:r>
              <w:t xml:space="preserve">Lower</w:t>
            </w:r>
          </w:p>
        </w:tc>
        <w:tc>
          <w:tcPr/>
          <w:p>
            <w:pPr>
              <w:pStyle w:val="Compact"/>
              <w:jc w:val="left"/>
            </w:pPr>
            <w:r>
              <w:t xml:space="preserve">Applied-part classification</w:t>
            </w:r>
          </w:p>
        </w:tc>
        <w:tc>
          <w:tcPr/>
          <w:p>
            <w:pPr>
              <w:pStyle w:val="Compact"/>
              <w:jc w:val="left"/>
            </w:pPr>
            <w:r>
              <w:t xml:space="preserve">Type BF for direct circulating-blood contact — confirm adequacy</w:t>
            </w:r>
          </w:p>
        </w:tc>
      </w:tr>
      <w:tr>
        <w:tc>
          <w:tcPr/>
          <w:p>
            <w:pPr>
              <w:pStyle w:val="Compact"/>
              <w:jc w:val="left"/>
            </w:pPr>
            <w:r>
              <w:t xml:space="preserve">21</w:t>
            </w:r>
          </w:p>
        </w:tc>
        <w:tc>
          <w:tcPr/>
          <w:p>
            <w:pPr>
              <w:pStyle w:val="Compact"/>
              <w:jc w:val="left"/>
            </w:pPr>
            <w:r>
              <w:t xml:space="preserve">Lower</w:t>
            </w:r>
          </w:p>
        </w:tc>
        <w:tc>
          <w:tcPr/>
          <w:p>
            <w:pPr>
              <w:pStyle w:val="Compact"/>
              <w:jc w:val="left"/>
            </w:pPr>
            <w:r>
              <w:t xml:space="preserve">Coating / adhesive chemistries undefined</w:t>
            </w:r>
          </w:p>
        </w:tc>
        <w:tc>
          <w:tcPr/>
          <w:p>
            <w:pPr>
              <w:pStyle w:val="Compact"/>
              <w:jc w:val="left"/>
            </w:pPr>
            <w:r>
              <w:t xml:space="preserve">Hydrophilic coating and adhesives not yet characterized; delamination not addressed</w:t>
            </w:r>
          </w:p>
        </w:tc>
      </w:tr>
    </w:tbl>
    <w:bookmarkEnd w:id="22"/>
    <w:bookmarkStart w:id="28" w:name="iii.-priority-1-critical-issues"/>
    <w:p>
      <w:pPr>
        <w:pStyle w:val="Heading2"/>
      </w:pPr>
      <w:r>
        <w:t xml:space="preserve">III. Priority 1 — Critical Issues</w:t>
      </w:r>
    </w:p>
    <w:bookmarkStart w:id="23" w:name="Xbad4a625f4b5f892b26e4734cc952e1c05e1454"/>
    <w:p>
      <w:pPr>
        <w:pStyle w:val="Heading3"/>
      </w:pPr>
      <w:r>
        <w:t xml:space="preserve">Issue 1 — Combination-Product Classification Is Unresolved and Not Raised with FDA</w:t>
      </w:r>
    </w:p>
    <w:p>
      <w:pPr>
        <w:pStyle w:val="FirstParagraph"/>
      </w:pPr>
      <w:r>
        <w:rPr>
          <w:b/>
          <w:bCs/>
        </w:rPr>
        <w:t xml:space="preserve">Where it appears.</w:t>
      </w:r>
      <w:r>
        <w:t xml:space="preserve"> </w:t>
      </w:r>
      <w:r>
        <w:t xml:space="preserve">Cover Letter §§ II, IV, VII; Device Description §§ 2.1, 2.4, 5.1; Draft IFU §§ 1, 2, 9; Clinical Synopsis §§ 2, 4.1, 8.2; email chain (Apr. 22 – May 12, 2025).</w:t>
      </w:r>
    </w:p>
    <w:p>
      <w:pPr>
        <w:pStyle w:val="BodyText"/>
      </w:pPr>
      <w:r>
        <w:rPr>
          <w:b/>
          <w:bCs/>
        </w:rPr>
        <w:t xml:space="preserve">The issue.</w:t>
      </w:r>
      <w:r>
        <w:t xml:space="preserve"> </w:t>
      </w:r>
      <w:r>
        <w:t xml:space="preserve">The VascuClear 3000 incorporates a proprietary integrated thrombolytic infusion lumen that is</w:t>
      </w:r>
      <w:r>
        <w:t xml:space="preserve"> </w:t>
      </w:r>
      <w:r>
        <w:t xml:space="preserve">“</w:t>
      </w:r>
      <w:r>
        <w:t xml:space="preserve">purpose-built</w:t>
      </w:r>
      <w:r>
        <w:t xml:space="preserve">”</w:t>
      </w:r>
      <w:r>
        <w:t xml:space="preserve"> </w:t>
      </w:r>
      <w:r>
        <w:t xml:space="preserve">for the local delivery of tPA, and the proposed indication for use claims</w:t>
      </w:r>
      <w:r>
        <w:t xml:space="preserve"> </w:t>
      </w:r>
      <w:r>
        <w:t xml:space="preserve">“</w:t>
      </w:r>
      <w:r>
        <w:t xml:space="preserve">simultaneous local delivery of physician-specified thrombolytic agents</w:t>
      </w:r>
      <w:r>
        <w:t xml:space="preserve">”</w:t>
      </w:r>
      <w:r>
        <w:t xml:space="preserve"> </w:t>
      </w:r>
      <w:r>
        <w:t xml:space="preserve">as a therapeutic function. The cover letter and device description assert a traditional 510(k) pathway under GXD and do not address 21 CFR Part 3 at all.</w:t>
      </w:r>
    </w:p>
    <w:p>
      <w:pPr>
        <w:pStyle w:val="BodyText"/>
      </w:pPr>
      <w:r>
        <w:t xml:space="preserve">Evelyn’s position — that the device is not a combination product because the drug is physician-supplied and not co-packaged — is a reasonable</w:t>
      </w:r>
      <w:r>
        <w:t xml:space="preserve"> </w:t>
      </w:r>
      <w:r>
        <w:rPr>
          <w:i/>
          <w:iCs/>
        </w:rPr>
        <w:t xml:space="preserve">argument</w:t>
      </w:r>
      <w:r>
        <w:t xml:space="preserve">, but it is not a certainty, and the package treats it as one. The distinction Kate drew in the May 5 email is the crux: a general-purpose infusion pump is indicated for fluid delivery</w:t>
      </w:r>
      <w:r>
        <w:t xml:space="preserve"> </w:t>
      </w:r>
      <w:r>
        <w:rPr>
          <w:i/>
          <w:iCs/>
        </w:rPr>
        <w:t xml:space="preserve">without reference to any specific drug or therapeutic effect</w:t>
      </w:r>
      <w:r>
        <w:t xml:space="preserve">, whereas the VascuClear’s indication expressly claims a therapeutic drug-delivery function. Under 21 CFR 3.2(e)(3), a device packaged separately that, according to its proposed labeling, is intended for use with an approved drug</w:t>
      </w:r>
      <w:r>
        <w:t xml:space="preserve"> </w:t>
      </w:r>
      <w:r>
        <w:rPr>
          <w:i/>
          <w:iCs/>
        </w:rPr>
        <w:t xml:space="preserve">where both are required to achieve the intended use</w:t>
      </w:r>
      <w:r>
        <w:t xml:space="preserve"> </w:t>
      </w:r>
      <w:r>
        <w:t xml:space="preserve">can be a combination product. The co-primary</w:t>
      </w:r>
      <w:r>
        <w:t xml:space="preserve"> </w:t>
      </w:r>
      <w:r>
        <w:t xml:space="preserve">“</w:t>
      </w:r>
      <w:r>
        <w:t xml:space="preserve">simultaneous local delivery</w:t>
      </w:r>
      <w:r>
        <w:t xml:space="preserve">”</w:t>
      </w:r>
      <w:r>
        <w:t xml:space="preserve"> </w:t>
      </w:r>
      <w:r>
        <w:t xml:space="preserve">language in the indication is the kind of claim that can trigger that analysis.</w:t>
      </w:r>
    </w:p>
    <w:p>
      <w:pPr>
        <w:pStyle w:val="BodyText"/>
      </w:pPr>
      <w:r>
        <w:t xml:space="preserve">The predicate 510(k) summary confirms there is</w:t>
      </w:r>
      <w:r>
        <w:t xml:space="preserve"> </w:t>
      </w:r>
      <w:r>
        <w:rPr>
          <w:b/>
          <w:bCs/>
        </w:rPr>
        <w:t xml:space="preserve">no predicate precedent</w:t>
      </w:r>
      <w:r>
        <w:t xml:space="preserve"> </w:t>
      </w:r>
      <w:r>
        <w:t xml:space="preserve">for a pharmacomechanical device in this lineage: the ThrombEx 200 is flagged</w:t>
      </w:r>
      <w:r>
        <w:t xml:space="preserve"> </w:t>
      </w:r>
      <w:r>
        <w:t xml:space="preserve">“</w:t>
      </w:r>
      <w:r>
        <w:t xml:space="preserve">Combination Product: No,</w:t>
      </w:r>
      <w:r>
        <w:t xml:space="preserve">”</w:t>
      </w:r>
      <w:r>
        <w:t xml:space="preserve"> </w:t>
      </w:r>
      <w:r>
        <w:t xml:space="preserve">and its summary repeatedly emphasizes that the device</w:t>
      </w:r>
      <w:r>
        <w:t xml:space="preserve"> </w:t>
      </w:r>
      <w:r>
        <w:t xml:space="preserve">“</w:t>
      </w:r>
      <w:r>
        <w:t xml:space="preserve">does not deliver any pharmaceutical agents, thrombolytic drugs, or therapeutic substances.</w:t>
      </w:r>
      <w:r>
        <w:t xml:space="preserve">”</w:t>
      </w:r>
      <w:r>
        <w:t xml:space="preserve"> </w:t>
      </w:r>
      <w:r>
        <w:t xml:space="preserve">Evelyn herself acknowledged she has not done an exhaustive search of the OCP database.</w:t>
      </w:r>
    </w:p>
    <w:p>
      <w:pPr>
        <w:pStyle w:val="BodyText"/>
      </w:pPr>
      <w:r>
        <w:rPr>
          <w:b/>
          <w:bCs/>
        </w:rPr>
        <w:t xml:space="preserve">Why it matters.</w:t>
      </w:r>
      <w:r>
        <w:t xml:space="preserve"> </w:t>
      </w:r>
      <w:r>
        <w:t xml:space="preserve">If FDA (or the Office of Combination Products, via a Request for Designation) concludes the VascuClear 3000 is a combination product, the review division, the data requirements (including drug-device interaction data and possibly CDER consult), and the timeline can all change materially. Discovering this</w:t>
      </w:r>
      <w:r>
        <w:t xml:space="preserve"> </w:t>
      </w:r>
      <w:r>
        <w:rPr>
          <w:i/>
          <w:iCs/>
        </w:rPr>
        <w:t xml:space="preserve">after</w:t>
      </w:r>
      <w:r>
        <w:t xml:space="preserve"> </w:t>
      </w:r>
      <w:r>
        <w:t xml:space="preserve">committing to the 510(k) pathway — or worse, after the Pre-Submission meeting has already framed the discussion around a standalone-device 510(k) — would be costly.</w:t>
      </w:r>
    </w:p>
    <w:p>
      <w:pPr>
        <w:pStyle w:val="BodyText"/>
      </w:pPr>
      <w:r>
        <w:rPr>
          <w:b/>
          <w:bCs/>
        </w:rPr>
        <w:t xml:space="preserve">Recommendation.</w:t>
      </w:r>
    </w:p>
    <w:p>
      <w:pPr>
        <w:pStyle w:val="Compact"/>
        <w:numPr>
          <w:ilvl w:val="0"/>
          <w:numId w:val="1002"/>
        </w:numPr>
      </w:pPr>
      <w:r>
        <w:rPr>
          <w:b/>
          <w:bCs/>
        </w:rPr>
        <w:t xml:space="preserve">Add a direct question to the cover letter</w:t>
      </w:r>
      <w:r>
        <w:t xml:space="preserve"> </w:t>
      </w:r>
      <w:r>
        <w:t xml:space="preserve">asking FDA whether the VascuClear 3000, as designed and as labeled, should be classified as a combination product under 21 CFR Part 3, and whether Clearfield should obtain a formal designation from OCP via a Request for Designation (RFD) before proceeding. This is the</w:t>
      </w:r>
      <w:r>
        <w:t xml:space="preserve"> </w:t>
      </w:r>
      <w:r>
        <w:t xml:space="preserve">“</w:t>
      </w:r>
      <w:r>
        <w:t xml:space="preserve">cheap insurance</w:t>
      </w:r>
      <w:r>
        <w:t xml:space="preserve">”</w:t>
      </w:r>
      <w:r>
        <w:t xml:space="preserve"> </w:t>
      </w:r>
      <w:r>
        <w:t xml:space="preserve">Kate described, and I agree.</w:t>
      </w:r>
    </w:p>
    <w:p>
      <w:pPr>
        <w:pStyle w:val="Compact"/>
        <w:numPr>
          <w:ilvl w:val="0"/>
          <w:numId w:val="1002"/>
        </w:numPr>
      </w:pPr>
      <w:r>
        <w:rPr>
          <w:b/>
          <w:bCs/>
        </w:rPr>
        <w:t xml:space="preserve">Prepare a written combination-product analysis</w:t>
      </w:r>
      <w:r>
        <w:t xml:space="preserve"> </w:t>
      </w:r>
      <w:r>
        <w:t xml:space="preserve">(21 CFR 3.2(e) analysis) for the file now, regardless of the decision to ask FDA, so the position is documented and defensible.</w:t>
      </w:r>
    </w:p>
    <w:p>
      <w:pPr>
        <w:pStyle w:val="Compact"/>
        <w:numPr>
          <w:ilvl w:val="0"/>
          <w:numId w:val="1002"/>
        </w:numPr>
      </w:pPr>
      <w:r>
        <w:rPr>
          <w:b/>
          <w:bCs/>
        </w:rPr>
        <w:t xml:space="preserve">Consider filing an RFD with OCP</w:t>
      </w:r>
      <w:r>
        <w:t xml:space="preserve"> </w:t>
      </w:r>
      <w:r>
        <w:t xml:space="preserve">in parallel with the Pre-Submission; an RFD yields a binding designation within ~60 days and would remove the ambiguity before the 510(k) is committed.</w:t>
      </w:r>
    </w:p>
    <w:p>
      <w:pPr>
        <w:pStyle w:val="Compact"/>
        <w:numPr>
          <w:ilvl w:val="0"/>
          <w:numId w:val="1002"/>
        </w:numPr>
      </w:pPr>
      <w:r>
        <w:t xml:space="preserve">If the indication is to be revised to de-emphasize drug delivery (Evelyn’s suggestion), that revision must be carried consistently through the cover letter, device description, IFU, and clinical synopsis — currently all four present drug delivery as a co-primary function.</w:t>
      </w:r>
    </w:p>
    <w:bookmarkEnd w:id="23"/>
    <w:bookmarkStart w:id="24" w:name="X6458760408f764f567f4956e2aece9462f8bd2d"/>
    <w:p>
      <w:pPr>
        <w:pStyle w:val="Heading3"/>
      </w:pPr>
      <w:r>
        <w:t xml:space="preserve">Issue 2 — IDE Requirement and the</w:t>
      </w:r>
      <w:r>
        <w:t xml:space="preserve"> </w:t>
      </w:r>
      <w:r>
        <w:t xml:space="preserve">“</w:t>
      </w:r>
      <w:r>
        <w:t xml:space="preserve">Post-Clearance</w:t>
      </w:r>
      <w:r>
        <w:t xml:space="preserve">”</w:t>
      </w:r>
      <w:r>
        <w:t xml:space="preserve"> </w:t>
      </w:r>
      <w:r>
        <w:t xml:space="preserve">Contradiction</w:t>
      </w:r>
    </w:p>
    <w:p>
      <w:pPr>
        <w:pStyle w:val="FirstParagraph"/>
      </w:pPr>
      <w:r>
        <w:rPr>
          <w:b/>
          <w:bCs/>
        </w:rPr>
        <w:t xml:space="preserve">Where it appears.</w:t>
      </w:r>
      <w:r>
        <w:t xml:space="preserve"> </w:t>
      </w:r>
      <w:r>
        <w:t xml:space="preserve">Clinical Synopsis §§ 5 (</w:t>
      </w:r>
      <w:r>
        <w:t xml:space="preserve">“</w:t>
      </w:r>
      <w:r>
        <w:t xml:space="preserve">Study Characterization</w:t>
      </w:r>
      <w:r>
        <w:t xml:space="preserve">”</w:t>
      </w:r>
      <w:r>
        <w:t xml:space="preserve">), 6 (</w:t>
      </w:r>
      <w:r>
        <w:t xml:space="preserve">“</w:t>
      </w:r>
      <w:r>
        <w:t xml:space="preserve">Regulatory Status and IDE Determination</w:t>
      </w:r>
      <w:r>
        <w:t xml:space="preserve">”</w:t>
      </w:r>
      <w:r>
        <w:t xml:space="preserve">), 3, 15; email chain (Apr. 22 – May 12, 2025); Cover Letter § VI, Q4.</w:t>
      </w:r>
    </w:p>
    <w:p>
      <w:pPr>
        <w:pStyle w:val="BodyText"/>
      </w:pPr>
      <w:r>
        <w:rPr>
          <w:b/>
          <w:bCs/>
        </w:rPr>
        <w:t xml:space="preserve">The issue.</w:t>
      </w:r>
      <w:r>
        <w:t xml:space="preserve"> </w:t>
      </w:r>
      <w:r>
        <w:t xml:space="preserve">The synopsis states that</w:t>
      </w:r>
      <w:r>
        <w:t xml:space="preserve"> </w:t>
      </w:r>
      <w:r>
        <w:t xml:space="preserve">“</w:t>
      </w:r>
      <w:r>
        <w:t xml:space="preserve">an IDE is not anticipated</w:t>
      </w:r>
      <w:r>
        <w:t xml:space="preserve">”</w:t>
      </w:r>
      <w:r>
        <w:t xml:space="preserve"> </w:t>
      </w:r>
      <w:r>
        <w:t xml:space="preserve">because the study</w:t>
      </w:r>
      <w:r>
        <w:t xml:space="preserve"> </w:t>
      </w:r>
      <w:r>
        <w:t xml:space="preserve">“</w:t>
      </w:r>
      <w:r>
        <w:t xml:space="preserve">is designed as a post-clearance data collection effort</w:t>
      </w:r>
      <w:r>
        <w:t xml:space="preserve">”</w:t>
      </w:r>
      <w:r>
        <w:t xml:space="preserve"> </w:t>
      </w:r>
      <w:r>
        <w:t xml:space="preserve">and the Device</w:t>
      </w:r>
      <w:r>
        <w:t xml:space="preserve"> </w:t>
      </w:r>
      <w:r>
        <w:t xml:space="preserve">“</w:t>
      </w:r>
      <w:r>
        <w:t xml:space="preserve">is expected to have received 510(k) clearance prior to study initiation.</w:t>
      </w:r>
      <w:r>
        <w:t xml:space="preserve">”</w:t>
      </w:r>
      <w:r>
        <w:t xml:space="preserve"> </w:t>
      </w:r>
      <w:r>
        <w:t xml:space="preserve">This characterization is internally inconsistent with the rest of the package in two respects:</w:t>
      </w:r>
    </w:p>
    <w:p>
      <w:pPr>
        <w:numPr>
          <w:ilvl w:val="0"/>
          <w:numId w:val="1003"/>
        </w:numPr>
      </w:pPr>
      <w:r>
        <w:rPr>
          <w:b/>
          <w:bCs/>
        </w:rPr>
        <w:t xml:space="preserve">The study is intended to support the 510(k).</w:t>
      </w:r>
      <w:r>
        <w:t xml:space="preserve"> </w:t>
      </w:r>
      <w:r>
        <w:t xml:space="preserve">Synopsis § 3 says the data</w:t>
      </w:r>
      <w:r>
        <w:t xml:space="preserve"> </w:t>
      </w:r>
      <w:r>
        <w:t xml:space="preserve">“</w:t>
      </w:r>
      <w:r>
        <w:t xml:space="preserve">is intended to support the 510(k) submission</w:t>
      </w:r>
      <w:r>
        <w:t xml:space="preserve">”</w:t>
      </w:r>
      <w:r>
        <w:t xml:space="preserve">; the cover letter (§ VI, Q4) asks FDA whether the study</w:t>
      </w:r>
      <w:r>
        <w:t xml:space="preserve"> </w:t>
      </w:r>
      <w:r>
        <w:t xml:space="preserve">“</w:t>
      </w:r>
      <w:r>
        <w:t xml:space="preserve">provides adequate supportive evidence for the 510(k) submission.</w:t>
      </w:r>
      <w:r>
        <w:t xml:space="preserve">”</w:t>
      </w:r>
      <w:r>
        <w:t xml:space="preserve"> </w:t>
      </w:r>
      <w:r>
        <w:t xml:space="preserve">Data that supports a premarket submission is, by definition, generated</w:t>
      </w:r>
      <w:r>
        <w:t xml:space="preserve"> </w:t>
      </w:r>
      <w:r>
        <w:rPr>
          <w:i/>
          <w:iCs/>
        </w:rPr>
        <w:t xml:space="preserve">before</w:t>
      </w:r>
      <w:r>
        <w:t xml:space="preserve"> </w:t>
      </w:r>
      <w:r>
        <w:t xml:space="preserve">clearance. It cannot simultaneously be</w:t>
      </w:r>
      <w:r>
        <w:t xml:space="preserve"> </w:t>
      </w:r>
      <w:r>
        <w:t xml:space="preserve">“</w:t>
      </w:r>
      <w:r>
        <w:t xml:space="preserve">post-clearance.</w:t>
      </w:r>
      <w:r>
        <w:t xml:space="preserve">”</w:t>
      </w:r>
    </w:p>
    <w:p>
      <w:pPr>
        <w:numPr>
          <w:ilvl w:val="0"/>
          <w:numId w:val="1003"/>
        </w:numPr>
      </w:pPr>
      <w:r>
        <w:rPr>
          <w:b/>
          <w:bCs/>
        </w:rPr>
        <w:t xml:space="preserve">The timeline places enrollment before clearance.</w:t>
      </w:r>
      <w:r>
        <w:t xml:space="preserve"> </w:t>
      </w:r>
      <w:r>
        <w:t xml:space="preserve">The synopsis schedules first-patient enrollment in Q4 2025 and the clinical study report (CSR) in Q4 2026. The testing plan schedules test completion in November–December 2025 and 510(k) submission</w:t>
      </w:r>
      <w:r>
        <w:t xml:space="preserve"> </w:t>
      </w:r>
      <w:r>
        <w:t xml:space="preserve">“</w:t>
      </w:r>
      <w:r>
        <w:t xml:space="preserve">as early as practical</w:t>
      </w:r>
      <w:r>
        <w:t xml:space="preserve">”</w:t>
      </w:r>
      <w:r>
        <w:t xml:space="preserve"> </w:t>
      </w:r>
      <w:r>
        <w:t xml:space="preserve">thereafter, with a clearance target of December 31, 2025. Enrollment therefore begins</w:t>
      </w:r>
      <w:r>
        <w:t xml:space="preserve"> </w:t>
      </w:r>
      <w:r>
        <w:rPr>
          <w:i/>
          <w:iCs/>
        </w:rPr>
        <w:t xml:space="preserve">before</w:t>
      </w:r>
      <w:r>
        <w:t xml:space="preserve"> </w:t>
      </w:r>
      <w:r>
        <w:t xml:space="preserve">the 510(k) is even submitted, let alone cleared.</w:t>
      </w:r>
    </w:p>
    <w:p>
      <w:pPr>
        <w:pStyle w:val="FirstParagraph"/>
      </w:pPr>
      <w:r>
        <w:t xml:space="preserve">Under 21 CFR 812.3(m), an</w:t>
      </w:r>
      <w:r>
        <w:t xml:space="preserve"> </w:t>
      </w:r>
      <w:r>
        <w:t xml:space="preserve">“</w:t>
      </w:r>
      <w:r>
        <w:t xml:space="preserve">investigational device</w:t>
      </w:r>
      <w:r>
        <w:t xml:space="preserve">”</w:t>
      </w:r>
      <w:r>
        <w:t xml:space="preserve"> </w:t>
      </w:r>
      <w:r>
        <w:t xml:space="preserve">is a device that is the object of a clinical investigation. The VascuClear 3000 has not received 510(k) clearance. A prospective study of an uncleared device that administers tPA through the device’s lumen at specified doses (0.5–1.0 mg/hr alteplase, per Synopsis § 8.2) is a clinical investigation of an investigational device. Whether an IDE is required then turns on the significant-risk (SR) / non-significant-risk (NSR) determination: a rotating 12,000-RPM impeller in a venous vessel combined with thrombolytic infusion plausibly presents</w:t>
      </w:r>
      <w:r>
        <w:t xml:space="preserve"> </w:t>
      </w:r>
      <w:r>
        <w:t xml:space="preserve">“</w:t>
      </w:r>
      <w:r>
        <w:t xml:space="preserve">a potential for serious risk to the health, safety, or welfare of a subject</w:t>
      </w:r>
      <w:r>
        <w:t xml:space="preserve">”</w:t>
      </w:r>
      <w:r>
        <w:t xml:space="preserve"> </w:t>
      </w:r>
      <w:r>
        <w:t xml:space="preserve">(21 CFR 812.3(m)(4)), which would make it an SR study requiring an FDA-approved IDE. Even if NSR, the abbreviated IDE requirements of 21 CFR 812.2(b) still apply, and the IRB — not the sponsor — makes the SR/NSR call. The synopsis’s statement that</w:t>
      </w:r>
      <w:r>
        <w:t xml:space="preserve"> </w:t>
      </w:r>
      <w:r>
        <w:t xml:space="preserve">“</w:t>
      </w:r>
      <w:r>
        <w:t xml:space="preserve">the study is not considered a significant risk device study</w:t>
      </w:r>
      <w:r>
        <w:t xml:space="preserve">”</w:t>
      </w:r>
      <w:r>
        <w:t xml:space="preserve"> </w:t>
      </w:r>
      <w:r>
        <w:t xml:space="preserve">is a sponsor assertion, not a determination.</w:t>
      </w:r>
    </w:p>
    <w:p>
      <w:pPr>
        <w:pStyle w:val="BodyText"/>
      </w:pPr>
      <w:r>
        <w:rPr>
          <w:b/>
          <w:bCs/>
        </w:rPr>
        <w:t xml:space="preserve">Why it matters.</w:t>
      </w:r>
      <w:r>
        <w:t xml:space="preserve"> </w:t>
      </w:r>
      <w:r>
        <w:t xml:space="preserve">Proceeding on the assumption that no IDE is needed, without confirming with FDA, risks an FDA hold or inspection after enrollment has begun — the exact outcome Kate flagged as</w:t>
      </w:r>
      <w:r>
        <w:t xml:space="preserve"> </w:t>
      </w:r>
      <w:r>
        <w:t xml:space="preserve">“</w:t>
      </w:r>
      <w:r>
        <w:t xml:space="preserve">better to know now than after we’ve started enrolling.</w:t>
      </w:r>
      <w:r>
        <w:t xml:space="preserve">”</w:t>
      </w:r>
      <w:r>
        <w:t xml:space="preserve"> </w:t>
      </w:r>
      <w:r>
        <w:t xml:space="preserve">An IDE requirement would also extend the timeline well beyond the December 31, 2025 milestone.</w:t>
      </w:r>
    </w:p>
    <w:p>
      <w:pPr>
        <w:pStyle w:val="BodyText"/>
      </w:pPr>
      <w:r>
        <w:rPr>
          <w:b/>
          <w:bCs/>
        </w:rPr>
        <w:t xml:space="preserve">Recommendation.</w:t>
      </w:r>
    </w:p>
    <w:p>
      <w:pPr>
        <w:pStyle w:val="Compact"/>
        <w:numPr>
          <w:ilvl w:val="0"/>
          <w:numId w:val="1004"/>
        </w:numPr>
      </w:pPr>
      <w:r>
        <w:rPr>
          <w:b/>
          <w:bCs/>
        </w:rPr>
        <w:t xml:space="preserve">Add a direct question to the cover letter</w:t>
      </w:r>
      <w:r>
        <w:t xml:space="preserve"> </w:t>
      </w:r>
      <w:r>
        <w:t xml:space="preserve">asking FDA whether an IDE is required for the proposed study as designed, and, if so, what the sponsor must do to obtain IDE approval before enrollment.</w:t>
      </w:r>
    </w:p>
    <w:p>
      <w:pPr>
        <w:pStyle w:val="Compact"/>
        <w:numPr>
          <w:ilvl w:val="0"/>
          <w:numId w:val="1004"/>
        </w:numPr>
      </w:pPr>
      <w:r>
        <w:rPr>
          <w:b/>
          <w:bCs/>
        </w:rPr>
        <w:t xml:space="preserve">Correct the</w:t>
      </w:r>
      <w:r>
        <w:rPr>
          <w:b/>
          <w:bCs/>
        </w:rPr>
        <w:t xml:space="preserve"> </w:t>
      </w:r>
      <w:r>
        <w:rPr>
          <w:b/>
          <w:bCs/>
        </w:rPr>
        <w:t xml:space="preserve">“</w:t>
      </w:r>
      <w:r>
        <w:rPr>
          <w:b/>
          <w:bCs/>
        </w:rPr>
        <w:t xml:space="preserve">post-clearance</w:t>
      </w:r>
      <w:r>
        <w:rPr>
          <w:b/>
          <w:bCs/>
        </w:rPr>
        <w:t xml:space="preserve">”</w:t>
      </w:r>
      <w:r>
        <w:rPr>
          <w:b/>
          <w:bCs/>
        </w:rPr>
        <w:t xml:space="preserve"> </w:t>
      </w:r>
      <w:r>
        <w:rPr>
          <w:b/>
          <w:bCs/>
        </w:rPr>
        <w:t xml:space="preserve">characterization</w:t>
      </w:r>
      <w:r>
        <w:t xml:space="preserve"> </w:t>
      </w:r>
      <w:r>
        <w:t xml:space="preserve">in Synopsis §§ 5 and 6. The study is a pre-clearance (investigational) study intended to generate supportive evidence for the 510(k). The language must be reconciled across the synopsis and cover letter.</w:t>
      </w:r>
    </w:p>
    <w:p>
      <w:pPr>
        <w:pStyle w:val="Compact"/>
        <w:numPr>
          <w:ilvl w:val="0"/>
          <w:numId w:val="1004"/>
        </w:numPr>
      </w:pPr>
      <w:r>
        <w:rPr>
          <w:b/>
          <w:bCs/>
        </w:rPr>
        <w:t xml:space="preserve">Prepare an SR/NSR analysis</w:t>
      </w:r>
      <w:r>
        <w:t xml:space="preserve"> </w:t>
      </w:r>
      <w:r>
        <w:t xml:space="preserve">for the file and plan for IRB SR/NSR determinations at each site; do not represent the NSR outcome as settled.</w:t>
      </w:r>
    </w:p>
    <w:p>
      <w:pPr>
        <w:pStyle w:val="Compact"/>
        <w:numPr>
          <w:ilvl w:val="0"/>
          <w:numId w:val="1004"/>
        </w:numPr>
      </w:pPr>
      <w:r>
        <w:rPr>
          <w:b/>
          <w:bCs/>
        </w:rPr>
        <w:t xml:space="preserve">Reconcile the timeline</w:t>
      </w:r>
      <w:r>
        <w:t xml:space="preserve"> </w:t>
      </w:r>
      <w:r>
        <w:t xml:space="preserve">(see Issue 10): the CSR (Q4 2026) cannot produce data in time to support a 510(k) that must clear by December 31, 2025. The team must decide, before June 15, whether the 510(k) will (a) be submitted on bench/predicate data alone, with the clinical study genuinely post-clearance, or (b) include clinical data, in which case the clearance milestone must move.</w:t>
      </w:r>
    </w:p>
    <w:bookmarkEnd w:id="24"/>
    <w:bookmarkStart w:id="25" w:name="X1d6fa30c3a00a788c2eba8a3f1c1a29ba2b09ef"/>
    <w:p>
      <w:pPr>
        <w:pStyle w:val="Heading3"/>
      </w:pPr>
      <w:r>
        <w:t xml:space="preserve">Issue 3 — Substantial Equivalence: Predicate Lacks Drug Delivery and Any Rotating Element</w:t>
      </w:r>
    </w:p>
    <w:p>
      <w:pPr>
        <w:pStyle w:val="FirstParagraph"/>
      </w:pPr>
      <w:r>
        <w:rPr>
          <w:b/>
          <w:bCs/>
        </w:rPr>
        <w:t xml:space="preserve">Where it appears.</w:t>
      </w:r>
      <w:r>
        <w:t xml:space="preserve"> </w:t>
      </w:r>
      <w:r>
        <w:t xml:space="preserve">Device Description §§ 3, 4, 5; Cover Letter § III; Testing Plan App. A; ThrombEx 200 510(k) Summary §§ 2, 3, 4, 6.</w:t>
      </w:r>
    </w:p>
    <w:p>
      <w:pPr>
        <w:pStyle w:val="BodyText"/>
      </w:pPr>
      <w:r>
        <w:rPr>
          <w:b/>
          <w:bCs/>
        </w:rPr>
        <w:t xml:space="preserve">The issue.</w:t>
      </w:r>
      <w:r>
        <w:t xml:space="preserve"> </w:t>
      </w:r>
      <w:r>
        <w:t xml:space="preserve">The sole predicate, the ThrombEx 200 (K192847), is an 8 Fr, 55 cm, single-lumen, purely mechanical aspiration catheter. Per its 510(k) summary, it has</w:t>
      </w:r>
      <w:r>
        <w:t xml:space="preserve"> </w:t>
      </w:r>
      <w:r>
        <w:t xml:space="preserve">“</w:t>
      </w:r>
      <w:r>
        <w:t xml:space="preserve">no rotating impeller, no mechanical maceration component, no helical element,</w:t>
      </w:r>
      <w:r>
        <w:t xml:space="preserve">”</w:t>
      </w:r>
      <w:r>
        <w:t xml:space="preserve"> </w:t>
      </w:r>
      <w:r>
        <w:t xml:space="preserve">“</w:t>
      </w:r>
      <w:r>
        <w:t xml:space="preserve">no drug delivery lumen,</w:t>
      </w:r>
      <w:r>
        <w:t xml:space="preserve">”</w:t>
      </w:r>
      <w:r>
        <w:t xml:space="preserve"> </w:t>
      </w:r>
      <w:r>
        <w:t xml:space="preserve">and is</w:t>
      </w:r>
      <w:r>
        <w:t xml:space="preserve"> </w:t>
      </w:r>
      <w:r>
        <w:t xml:space="preserve">“</w:t>
      </w:r>
      <w:r>
        <w:t xml:space="preserve">not indicated for use in conjunction with any drug delivery or drug infusion procedure.</w:t>
      </w:r>
      <w:r>
        <w:t xml:space="preserve">”</w:t>
      </w:r>
      <w:r>
        <w:t xml:space="preserve"> </w:t>
      </w:r>
      <w:r>
        <w:t xml:space="preserve">Its own predicate (AspirVac, K171034) was likewise a single-lumen manual aspiration catheter with no rotating parts and no drug delivery. The entire predicate chain is mechanical-aspiration-only.</w:t>
      </w:r>
    </w:p>
    <w:p>
      <w:pPr>
        <w:pStyle w:val="BodyText"/>
      </w:pPr>
      <w:r>
        <w:t xml:space="preserve">The VascuClear 3000 differs from this predicate in four material respects: (a) a</w:t>
      </w:r>
      <w:r>
        <w:t xml:space="preserve"> </w:t>
      </w:r>
      <w:r>
        <w:rPr>
          <w:b/>
          <w:bCs/>
        </w:rPr>
        <w:t xml:space="preserve">rotating helical impeller</w:t>
      </w:r>
      <w:r>
        <w:t xml:space="preserve"> </w:t>
      </w:r>
      <w:r>
        <w:t xml:space="preserve">(mechanical maceration) versus Bernoulli-effect aspiration; (b) an</w:t>
      </w:r>
      <w:r>
        <w:t xml:space="preserve"> </w:t>
      </w:r>
      <w:r>
        <w:rPr>
          <w:b/>
          <w:bCs/>
        </w:rPr>
        <w:t xml:space="preserve">integrated drug-delivery lumen</w:t>
      </w:r>
      <w:r>
        <w:t xml:space="preserve"> </w:t>
      </w:r>
      <w:r>
        <w:t xml:space="preserve">with no predicate analog; (c) a larger profile (10 Fr / 65 cm vs. 8 Fr / 55 cm); and (d) an electromechanical console with embedded firmware versus a simpler saline-jet control unit. The SE argument asserts these differences</w:t>
      </w:r>
      <w:r>
        <w:t xml:space="preserve"> </w:t>
      </w:r>
      <w:r>
        <w:t xml:space="preserve">“</w:t>
      </w:r>
      <w:r>
        <w:t xml:space="preserve">do not raise new questions of safety and effectiveness.</w:t>
      </w:r>
      <w:r>
        <w:t xml:space="preserve">”</w:t>
      </w:r>
    </w:p>
    <w:p>
      <w:pPr>
        <w:pStyle w:val="BodyText"/>
      </w:pPr>
      <w:r>
        <w:t xml:space="preserve">The drug-delivery lumen is the most exposed element. A new technological characteristic that introduces a</w:t>
      </w:r>
      <w:r>
        <w:t xml:space="preserve"> </w:t>
      </w:r>
      <w:r>
        <w:rPr>
          <w:i/>
          <w:iCs/>
        </w:rPr>
        <w:t xml:space="preserve">new mechanism of action or a new intended-use element</w:t>
      </w:r>
      <w:r>
        <w:t xml:space="preserve"> </w:t>
      </w:r>
      <w:r>
        <w:t xml:space="preserve">(here, therapeutic drug delivery) is precisely the kind of difference that can constitute a</w:t>
      </w:r>
      <w:r>
        <w:t xml:space="preserve"> </w:t>
      </w:r>
      <w:r>
        <w:t xml:space="preserve">“</w:t>
      </w:r>
      <w:r>
        <w:t xml:space="preserve">new question of safety and effectiveness</w:t>
      </w:r>
      <w:r>
        <w:t xml:space="preserve">”</w:t>
      </w:r>
      <w:r>
        <w:t xml:space="preserve"> </w:t>
      </w:r>
      <w:r>
        <w:t xml:space="preserve">(NQSE) and defeat 510(k) eligibility. The package offers no predicate or reference device that supplies drug delivery, and the rotating-impeller mechanism, while used in other cleared devices, is not supplied by</w:t>
      </w:r>
      <w:r>
        <w:t xml:space="preserve"> </w:t>
      </w:r>
      <w:r>
        <w:rPr>
          <w:i/>
          <w:iCs/>
        </w:rPr>
        <w:t xml:space="preserve">this</w:t>
      </w:r>
      <w:r>
        <w:t xml:space="preserve"> </w:t>
      </w:r>
      <w:r>
        <w:t xml:space="preserve">predicate. The</w:t>
      </w:r>
      <w:r>
        <w:t xml:space="preserve"> </w:t>
      </w:r>
      <w:r>
        <w:t xml:space="preserve">“</w:t>
      </w:r>
      <w:r>
        <w:t xml:space="preserve">narrowing of indication</w:t>
      </w:r>
      <w:r>
        <w:t xml:space="preserve">”</w:t>
      </w:r>
      <w:r>
        <w:t xml:space="preserve"> </w:t>
      </w:r>
      <w:r>
        <w:t xml:space="preserve">argument (Device Description § 5.1) addresses only the anatomical/population scope; it does not — and cannot — characterize the addition of a drug-delivery function as a</w:t>
      </w:r>
      <w:r>
        <w:t xml:space="preserve"> </w:t>
      </w:r>
      <w:r>
        <w:t xml:space="preserve">“</w:t>
      </w:r>
      <w:r>
        <w:t xml:space="preserve">narrowing</w:t>
      </w:r>
      <w:r>
        <w:t xml:space="preserve">”</w:t>
      </w:r>
      <w:r>
        <w:t xml:space="preserve"> </w:t>
      </w:r>
      <w:r>
        <w:t xml:space="preserve">(see Issue 17).</w:t>
      </w:r>
    </w:p>
    <w:p>
      <w:pPr>
        <w:pStyle w:val="BodyText"/>
      </w:pPr>
      <w:r>
        <w:rPr>
          <w:b/>
          <w:bCs/>
        </w:rPr>
        <w:t xml:space="preserve">Why it matters.</w:t>
      </w:r>
      <w:r>
        <w:t xml:space="preserve"> </w:t>
      </w:r>
      <w:r>
        <w:t xml:space="preserve">If FDA concludes the drug-delivery lumen (or the impeller mechanism, in combination with drug delivery) raises an NQSE, the device is not eligible for 510(k) clearance on this predicate, and the pathway collapses. This is the single greatest threat to the regulatory strategy and is intertwined with the combination-product question (Issue 1).</w:t>
      </w:r>
    </w:p>
    <w:p>
      <w:pPr>
        <w:pStyle w:val="BodyText"/>
      </w:pPr>
      <w:r>
        <w:rPr>
          <w:b/>
          <w:bCs/>
        </w:rPr>
        <w:t xml:space="preserve">Recommendation.</w:t>
      </w:r>
    </w:p>
    <w:p>
      <w:pPr>
        <w:pStyle w:val="Compact"/>
        <w:numPr>
          <w:ilvl w:val="0"/>
          <w:numId w:val="1005"/>
        </w:numPr>
      </w:pPr>
      <w:r>
        <w:rPr>
          <w:b/>
          <w:bCs/>
        </w:rPr>
        <w:t xml:space="preserve">Identify at least one reference device</w:t>
      </w:r>
      <w:r>
        <w:t xml:space="preserve"> </w:t>
      </w:r>
      <w:r>
        <w:t xml:space="preserve">that has been cleared with a drug-delivery / infusion lumen for thrombectomy or analogous intravascular use, and one that uses a rotating/impeller mechanism, to support the</w:t>
      </w:r>
      <w:r>
        <w:t xml:space="preserve"> </w:t>
      </w:r>
      <w:r>
        <w:t xml:space="preserve">“</w:t>
      </w:r>
      <w:r>
        <w:t xml:space="preserve">different technological characteristics that do not raise NQSE</w:t>
      </w:r>
      <w:r>
        <w:t xml:space="preserve">”</w:t>
      </w:r>
      <w:r>
        <w:t xml:space="preserve"> </w:t>
      </w:r>
      <w:r>
        <w:t xml:space="preserve">prong. Be prepared for FDA to ask for these.</w:t>
      </w:r>
    </w:p>
    <w:p>
      <w:pPr>
        <w:pStyle w:val="Compact"/>
        <w:numPr>
          <w:ilvl w:val="0"/>
          <w:numId w:val="1005"/>
        </w:numPr>
      </w:pPr>
      <w:r>
        <w:rPr>
          <w:b/>
          <w:bCs/>
        </w:rPr>
        <w:t xml:space="preserve">Frame the SE discussion candidly</w:t>
      </w:r>
      <w:r>
        <w:t xml:space="preserve">: acknowledge that drug delivery is an</w:t>
      </w:r>
      <w:r>
        <w:t xml:space="preserve"> </w:t>
      </w:r>
      <w:r>
        <w:rPr>
          <w:i/>
          <w:iCs/>
        </w:rPr>
        <w:t xml:space="preserve">additional</w:t>
      </w:r>
      <w:r>
        <w:t xml:space="preserve"> </w:t>
      </w:r>
      <w:r>
        <w:t xml:space="preserve">feature, not a narrowing, and explain how it is supported by reference devices and by the drug-delivery characterization and pharmacomechanical bench testing (which currently do not exist — see Issues 7 and 8).</w:t>
      </w:r>
    </w:p>
    <w:p>
      <w:pPr>
        <w:pStyle w:val="Compact"/>
        <w:numPr>
          <w:ilvl w:val="0"/>
          <w:numId w:val="1005"/>
        </w:numPr>
      </w:pPr>
      <w:r>
        <w:rPr>
          <w:b/>
          <w:bCs/>
        </w:rPr>
        <w:t xml:space="preserve">Add a cover-letter question</w:t>
      </w:r>
      <w:r>
        <w:t xml:space="preserve"> </w:t>
      </w:r>
      <w:r>
        <w:t xml:space="preserve">asking FDA whether the technological differences — specifically the integrated drug-delivery lumen and the rotating impeller — raise new questions of safety and effectiveness, and whether additional predicates or reference devices are recommended. (The device-description document already asks a version of this at Q2/Q4; ensure the cover letter cross-references it rather than glossing over it.)</w:t>
      </w:r>
    </w:p>
    <w:p>
      <w:pPr>
        <w:pStyle w:val="Compact"/>
        <w:numPr>
          <w:ilvl w:val="0"/>
          <w:numId w:val="1005"/>
        </w:numPr>
      </w:pPr>
      <w:r>
        <w:rPr>
          <w:b/>
          <w:bCs/>
        </w:rPr>
        <w:t xml:space="preserve">Stress-test the fallback</w:t>
      </w:r>
      <w:r>
        <w:t xml:space="preserve">: if FDA signals NQSE, what is the alternative pathway (e.g., de novo, or a different predicate family)? The team should have a contingency before the meeting.</w:t>
      </w:r>
    </w:p>
    <w:bookmarkEnd w:id="25"/>
    <w:bookmarkStart w:id="26" w:name="X53040bd834d64ff13ad39c1c2e4c38250cf1ebb"/>
    <w:p>
      <w:pPr>
        <w:pStyle w:val="Heading3"/>
      </w:pPr>
      <w:r>
        <w:t xml:space="preserve">Issue 4 — Biocompatibility Contact-Duration Mismatch (&lt;24h</w:t>
      </w:r>
      <w:r>
        <w:t xml:space="preserve"> </w:t>
      </w:r>
      <w:r>
        <w:t xml:space="preserve">“</w:t>
      </w:r>
      <w:r>
        <w:t xml:space="preserve">Limited</w:t>
      </w:r>
      <w:r>
        <w:t xml:space="preserve">”</w:t>
      </w:r>
      <w:r>
        <w:t xml:space="preserve"> </w:t>
      </w:r>
      <w:r>
        <w:t xml:space="preserve">vs. 72-Hour Indwell)</w:t>
      </w:r>
    </w:p>
    <w:p>
      <w:pPr>
        <w:pStyle w:val="FirstParagraph"/>
      </w:pPr>
      <w:r>
        <w:rPr>
          <w:b/>
          <w:bCs/>
        </w:rPr>
        <w:t xml:space="preserve">Where it appears.</w:t>
      </w:r>
      <w:r>
        <w:t xml:space="preserve"> </w:t>
      </w:r>
      <w:r>
        <w:t xml:space="preserve">Testing Plan §§ 2.1, 2.2; Device Description § 2.2 and comparison table (</w:t>
      </w:r>
      <w:r>
        <w:t xml:space="preserve">“</w:t>
      </w:r>
      <w:r>
        <w:t xml:space="preserve">Device Contact Duration</w:t>
      </w:r>
      <w:r>
        <w:t xml:space="preserve">”</w:t>
      </w:r>
      <w:r>
        <w:t xml:space="preserve"> </w:t>
      </w:r>
      <w:r>
        <w:t xml:space="preserve">/</w:t>
      </w:r>
      <w:r>
        <w:t xml:space="preserve"> </w:t>
      </w:r>
      <w:r>
        <w:t xml:space="preserve">“</w:t>
      </w:r>
      <w:r>
        <w:t xml:space="preserve">Biocompatibility</w:t>
      </w:r>
      <w:r>
        <w:t xml:space="preserve">”</w:t>
      </w:r>
      <w:r>
        <w:t xml:space="preserve"> </w:t>
      </w:r>
      <w:r>
        <w:t xml:space="preserve">rows); Draft IFU §§ 1, 8.4; Clinical Synopsis § 8.2 (step 8).</w:t>
      </w:r>
    </w:p>
    <w:p>
      <w:pPr>
        <w:pStyle w:val="BodyText"/>
      </w:pPr>
      <w:r>
        <w:rPr>
          <w:b/>
          <w:bCs/>
        </w:rPr>
        <w:t xml:space="preserve">The issue.</w:t>
      </w:r>
      <w:r>
        <w:t xml:space="preserve"> </w:t>
      </w:r>
      <w:r>
        <w:t xml:space="preserve">The biocompatibility program classifies the VascuClear Catheter as a blood-contacting device with</w:t>
      </w:r>
      <w:r>
        <w:t xml:space="preserve"> </w:t>
      </w:r>
      <w:r>
        <w:rPr>
          <w:b/>
          <w:bCs/>
        </w:rPr>
        <w:t xml:space="preserve">“</w:t>
      </w:r>
      <w:r>
        <w:rPr>
          <w:b/>
          <w:bCs/>
        </w:rPr>
        <w:t xml:space="preserve">limited</w:t>
      </w:r>
      <w:r>
        <w:rPr>
          <w:b/>
          <w:bCs/>
        </w:rPr>
        <w:t xml:space="preserve">”</w:t>
      </w:r>
      <w:r>
        <w:rPr>
          <w:b/>
          <w:bCs/>
        </w:rPr>
        <w:t xml:space="preserve"> </w:t>
      </w:r>
      <w:r>
        <w:rPr>
          <w:b/>
          <w:bCs/>
        </w:rPr>
        <w:t xml:space="preserve">contact duration (less than 24 hours)</w:t>
      </w:r>
      <w:r>
        <w:t xml:space="preserve"> </w:t>
      </w:r>
      <w:r>
        <w:t xml:space="preserve">per ISO 10993-1:2018 Table A.1, and on that basis</w:t>
      </w:r>
      <w:r>
        <w:t xml:space="preserve"> </w:t>
      </w:r>
      <w:r>
        <w:rPr>
          <w:b/>
          <w:bCs/>
        </w:rPr>
        <w:t xml:space="preserve">excludes</w:t>
      </w:r>
      <w:r>
        <w:t xml:space="preserve"> </w:t>
      </w:r>
      <w:r>
        <w:t xml:space="preserve">subchronic systemic toxicity (ISO 10993-11), implantation testing (ISO 10993-6), genotoxicity (ISO 10993-3), and chronic systemic toxicity.</w:t>
      </w:r>
    </w:p>
    <w:p>
      <w:pPr>
        <w:pStyle w:val="BodyText"/>
      </w:pPr>
      <w:r>
        <w:t xml:space="preserve">At the same time, the IFU (§§ 1, 8.4), the device description (§ 2.2), and the clinical synopsis (§ 8.2, step 8) all state that the catheter</w:t>
      </w:r>
      <w:r>
        <w:t xml:space="preserve"> </w:t>
      </w:r>
      <w:r>
        <w:rPr>
          <w:b/>
          <w:bCs/>
        </w:rPr>
        <w:t xml:space="preserve">“</w:t>
      </w:r>
      <w:r>
        <w:rPr>
          <w:b/>
          <w:bCs/>
        </w:rPr>
        <w:t xml:space="preserve">may remain in situ for up to 72 hours</w:t>
      </w:r>
      <w:r>
        <w:rPr>
          <w:b/>
          <w:bCs/>
        </w:rPr>
        <w:t xml:space="preserve">”</w:t>
      </w:r>
      <w:r>
        <w:t xml:space="preserve"> </w:t>
      </w:r>
      <w:r>
        <w:t xml:space="preserve">for extended thrombolytic infusion therapy. Seventy-two hours falls squarely in the</w:t>
      </w:r>
      <w:r>
        <w:t xml:space="preserve"> </w:t>
      </w:r>
      <w:r>
        <w:rPr>
          <w:b/>
          <w:bCs/>
        </w:rPr>
        <w:t xml:space="preserve">“</w:t>
      </w:r>
      <w:r>
        <w:rPr>
          <w:b/>
          <w:bCs/>
        </w:rPr>
        <w:t xml:space="preserve">prolonged</w:t>
      </w:r>
      <w:r>
        <w:rPr>
          <w:b/>
          <w:bCs/>
        </w:rPr>
        <w:t xml:space="preserve">”</w:t>
      </w:r>
      <w:r>
        <w:t xml:space="preserve"> </w:t>
      </w:r>
      <w:r>
        <w:t xml:space="preserve">contact-duration category (&gt;24 hours to 30 days) under ISO 10993-1, not</w:t>
      </w:r>
      <w:r>
        <w:t xml:space="preserve"> </w:t>
      </w:r>
      <w:r>
        <w:t xml:space="preserve">“</w:t>
      </w:r>
      <w:r>
        <w:t xml:space="preserve">limited.</w:t>
      </w:r>
      <w:r>
        <w:t xml:space="preserve">”</w:t>
      </w:r>
      <w:r>
        <w:t xml:space="preserve"> </w:t>
      </w:r>
      <w:r>
        <w:t xml:space="preserve">The device-description comparison table even records both facts side by side —</w:t>
      </w:r>
      <w:r>
        <w:t xml:space="preserve"> </w:t>
      </w:r>
      <w:r>
        <w:t xml:space="preserve">“</w:t>
      </w:r>
      <w:r>
        <w:t xml:space="preserve">Up to 72 hours (per draft IFU)</w:t>
      </w:r>
      <w:r>
        <w:t xml:space="preserve">”</w:t>
      </w:r>
      <w:r>
        <w:t xml:space="preserve"> </w:t>
      </w:r>
      <w:r>
        <w:t xml:space="preserve">next to</w:t>
      </w:r>
      <w:r>
        <w:t xml:space="preserve"> </w:t>
      </w:r>
      <w:r>
        <w:t xml:space="preserve">“</w:t>
      </w:r>
      <w:r>
        <w:t xml:space="preserve">contact duration classified as</w:t>
      </w:r>
      <w:r>
        <w:t xml:space="preserve"> </w:t>
      </w:r>
      <w:r>
        <w:t xml:space="preserve">‘</w:t>
      </w:r>
      <w:r>
        <w:t xml:space="preserve">limited</w:t>
      </w:r>
      <w:r>
        <w:t xml:space="preserve">’</w:t>
      </w:r>
      <w:r>
        <w:t xml:space="preserve"> </w:t>
      </w:r>
      <w:r>
        <w:t xml:space="preserve">(&lt;24 hours)</w:t>
      </w:r>
      <w:r>
        <w:t xml:space="preserve">”</w:t>
      </w:r>
      <w:r>
        <w:t xml:space="preserve"> </w:t>
      </w:r>
      <w:r>
        <w:t xml:space="preserve">— without reconciling them.</w:t>
      </w:r>
    </w:p>
    <w:p>
      <w:pPr>
        <w:pStyle w:val="BodyText"/>
      </w:pPr>
      <w:r>
        <w:rPr>
          <w:b/>
          <w:bCs/>
        </w:rPr>
        <w:t xml:space="preserve">Why it matters.</w:t>
      </w:r>
      <w:r>
        <w:t xml:space="preserve"> </w:t>
      </w:r>
      <w:r>
        <w:t xml:space="preserve">This is a clear, internally documented contradiction. If the device is labeled for up to 72-hour indwell, the biocompatibility endpoints must be selected for</w:t>
      </w:r>
      <w:r>
        <w:t xml:space="preserve"> </w:t>
      </w:r>
      <w:r>
        <w:rPr>
          <w:i/>
          <w:iCs/>
        </w:rPr>
        <w:t xml:space="preserve">prolonged</w:t>
      </w:r>
      <w:r>
        <w:t xml:space="preserve"> </w:t>
      </w:r>
      <w:r>
        <w:t xml:space="preserve">blood contact, which adds subchronic systemic toxicity and, depending on the materials and the indwell mechanism, may require implantation and genotoxicity endpoints. FDA reviews biocompatibility against the</w:t>
      </w:r>
      <w:r>
        <w:t xml:space="preserve"> </w:t>
      </w:r>
      <w:r>
        <w:rPr>
          <w:i/>
          <w:iCs/>
        </w:rPr>
        <w:t xml:space="preserve">labeled</w:t>
      </w:r>
      <w:r>
        <w:t xml:space="preserve"> </w:t>
      </w:r>
      <w:r>
        <w:t xml:space="preserve">maximum contact duration and will flag this immediately. The excluded endpoints may need to be added, which extends the biocompatibility timeline (currently the 12–16 week critical path) and could require additional animal testing.</w:t>
      </w:r>
    </w:p>
    <w:p>
      <w:pPr>
        <w:pStyle w:val="BodyText"/>
      </w:pPr>
      <w:r>
        <w:rPr>
          <w:b/>
          <w:bCs/>
        </w:rPr>
        <w:t xml:space="preserve">Recommendation.</w:t>
      </w:r>
    </w:p>
    <w:p>
      <w:pPr>
        <w:pStyle w:val="Compact"/>
        <w:numPr>
          <w:ilvl w:val="0"/>
          <w:numId w:val="1006"/>
        </w:numPr>
      </w:pPr>
      <w:r>
        <w:rPr>
          <w:b/>
          <w:bCs/>
        </w:rPr>
        <w:t xml:space="preserve">Reconcile the contact duration before filing.</w:t>
      </w:r>
      <w:r>
        <w:t xml:space="preserve"> </w:t>
      </w:r>
      <w:r>
        <w:t xml:space="preserve">Either (a) remove the 72-hour extended-infusion claim from the IFU, device description, and clinical synopsis and cap indwell at &lt;24 hours (preserving the</w:t>
      </w:r>
      <w:r>
        <w:t xml:space="preserve"> </w:t>
      </w:r>
      <w:r>
        <w:t xml:space="preserve">“</w:t>
      </w:r>
      <w:r>
        <w:t xml:space="preserve">limited</w:t>
      </w:r>
      <w:r>
        <w:t xml:space="preserve">”</w:t>
      </w:r>
      <w:r>
        <w:t xml:space="preserve"> </w:t>
      </w:r>
      <w:r>
        <w:t xml:space="preserve">classification and the current endpoint set), or (b) retain the 72-hour claim and reclassify the biocompatibility program as</w:t>
      </w:r>
      <w:r>
        <w:t xml:space="preserve"> </w:t>
      </w:r>
      <w:r>
        <w:t xml:space="preserve">“</w:t>
      </w:r>
      <w:r>
        <w:t xml:space="preserve">prolonged,</w:t>
      </w:r>
      <w:r>
        <w:t xml:space="preserve">”</w:t>
      </w:r>
      <w:r>
        <w:t xml:space="preserve"> </w:t>
      </w:r>
      <w:r>
        <w:t xml:space="preserve">adding the required endpoints (at minimum subchronic systemic toxicity; evaluate implantation and genotoxicity with the toxicologist).</w:t>
      </w:r>
    </w:p>
    <w:p>
      <w:pPr>
        <w:pStyle w:val="Compact"/>
        <w:numPr>
          <w:ilvl w:val="0"/>
          <w:numId w:val="1006"/>
        </w:numPr>
      </w:pPr>
      <w:r>
        <w:t xml:space="preserve">If option (b),</w:t>
      </w:r>
      <w:r>
        <w:t xml:space="preserve"> </w:t>
      </w:r>
      <w:r>
        <w:rPr>
          <w:b/>
          <w:bCs/>
        </w:rPr>
        <w:t xml:space="preserve">update the testing plan, the comparison table, and the testing timeline/cost</w:t>
      </w:r>
      <w:r>
        <w:t xml:space="preserve"> </w:t>
      </w:r>
      <w:r>
        <w:t xml:space="preserve">accordingly, and add a cover-letter question confirming the endpoint set for the corrected contact duration.</w:t>
      </w:r>
    </w:p>
    <w:p>
      <w:pPr>
        <w:pStyle w:val="Compact"/>
        <w:numPr>
          <w:ilvl w:val="0"/>
          <w:numId w:val="1006"/>
        </w:numPr>
      </w:pPr>
      <w:r>
        <w:t xml:space="preserve">Note that the predicate was also classified</w:t>
      </w:r>
      <w:r>
        <w:t xml:space="preserve"> </w:t>
      </w:r>
      <w:r>
        <w:t xml:space="preserve">“</w:t>
      </w:r>
      <w:r>
        <w:t xml:space="preserve">limited (&lt;24 hours)</w:t>
      </w:r>
      <w:r>
        <w:t xml:space="preserve">”</w:t>
      </w:r>
      <w:r>
        <w:t xml:space="preserve"> </w:t>
      </w:r>
      <w:r>
        <w:t xml:space="preserve">and was used for</w:t>
      </w:r>
      <w:r>
        <w:t xml:space="preserve"> </w:t>
      </w:r>
      <w:r>
        <w:t xml:space="preserve">“</w:t>
      </w:r>
      <w:r>
        <w:t xml:space="preserve">acute use only</w:t>
      </w:r>
      <w:r>
        <w:t xml:space="preserve">”</w:t>
      </w:r>
      <w:r>
        <w:t xml:space="preserve"> </w:t>
      </w:r>
      <w:r>
        <w:t xml:space="preserve">(procedural); the 72-hour indwell is a</w:t>
      </w:r>
      <w:r>
        <w:t xml:space="preserve"> </w:t>
      </w:r>
      <w:r>
        <w:rPr>
          <w:i/>
          <w:iCs/>
        </w:rPr>
        <w:t xml:space="preserve">new</w:t>
      </w:r>
      <w:r>
        <w:t xml:space="preserve"> </w:t>
      </w:r>
      <w:r>
        <w:t xml:space="preserve">use profile with no predicate support, which compounds the SE exposure (Issue 3).</w:t>
      </w:r>
    </w:p>
    <w:bookmarkEnd w:id="26"/>
    <w:bookmarkStart w:id="27" w:name="Xe8b7659ebe7501c6f583d115bffcac681f47713"/>
    <w:p>
      <w:pPr>
        <w:pStyle w:val="Heading3"/>
      </w:pPr>
      <w:r>
        <w:t xml:space="preserve">Issue 5 — Impeller Fatigue Testing Is Grossly Inadequate (500 Revolutions ≈ 2.5 Seconds)</w:t>
      </w:r>
    </w:p>
    <w:p>
      <w:pPr>
        <w:pStyle w:val="FirstParagraph"/>
      </w:pPr>
      <w:r>
        <w:rPr>
          <w:b/>
          <w:bCs/>
        </w:rPr>
        <w:t xml:space="preserve">Where it appears.</w:t>
      </w:r>
      <w:r>
        <w:t xml:space="preserve"> </w:t>
      </w:r>
      <w:r>
        <w:t xml:space="preserve">Testing Plan § 3.3 (</w:t>
      </w:r>
      <w:r>
        <w:t xml:space="preserve">“</w:t>
      </w:r>
      <w:r>
        <w:t xml:space="preserve">Impeller Fatigue Testing</w:t>
      </w:r>
      <w:r>
        <w:t xml:space="preserve">”</w:t>
      </w:r>
      <w:r>
        <w:t xml:space="preserve">); Device Description § 2.2 (</w:t>
      </w:r>
      <w:r>
        <w:t xml:space="preserve">“</w:t>
      </w:r>
      <w:r>
        <w:t xml:space="preserve">500 complete activation cycles</w:t>
      </w:r>
      <w:r>
        <w:t xml:space="preserve">”</w:t>
      </w:r>
      <w:r>
        <w:t xml:space="preserve">).</w:t>
      </w:r>
    </w:p>
    <w:p>
      <w:pPr>
        <w:pStyle w:val="BodyText"/>
      </w:pPr>
      <w:r>
        <w:rPr>
          <w:b/>
          <w:bCs/>
        </w:rPr>
        <w:t xml:space="preserve">The issue.</w:t>
      </w:r>
      <w:r>
        <w:t xml:space="preserve"> </w:t>
      </w:r>
      <w:r>
        <w:t xml:space="preserve">The testing plan states that the impeller</w:t>
      </w:r>
      <w:r>
        <w:t xml:space="preserve"> </w:t>
      </w:r>
      <w:r>
        <w:t xml:space="preserve">“</w:t>
      </w:r>
      <w:r>
        <w:t xml:space="preserve">shall undergo fatigue testing for a minimum of 500 rotational cycles at maximum rated speed (12,000 RPM),</w:t>
      </w:r>
      <w:r>
        <w:t xml:space="preserve">”</w:t>
      </w:r>
      <w:r>
        <w:t xml:space="preserve"> </w:t>
      </w:r>
      <w:r>
        <w:t xml:space="preserve">and defines</w:t>
      </w:r>
      <w:r>
        <w:t xml:space="preserve"> </w:t>
      </w:r>
      <w:r>
        <w:t xml:space="preserve">“</w:t>
      </w:r>
      <w:r>
        <w:t xml:space="preserve">one rotational cycle</w:t>
      </w:r>
      <w:r>
        <w:t xml:space="preserve">”</w:t>
      </w:r>
      <w:r>
        <w:t xml:space="preserve"> </w:t>
      </w:r>
      <w:r>
        <w:t xml:space="preserve">as</w:t>
      </w:r>
      <w:r>
        <w:t xml:space="preserve"> </w:t>
      </w:r>
      <w:r>
        <w:t xml:space="preserve">“</w:t>
      </w:r>
      <w:r>
        <w:t xml:space="preserve">one complete revolution (360°) of the impeller.</w:t>
      </w:r>
      <w:r>
        <w:t xml:space="preserve">”</w:t>
      </w:r>
      <w:r>
        <w:t xml:space="preserve"> </w:t>
      </w:r>
      <w:r>
        <w:t xml:space="preserve">At 12,000 revolutions per minute, 500 revolutions is completed in</w:t>
      </w:r>
      <w:r>
        <w:t xml:space="preserve"> </w:t>
      </w:r>
      <w:r>
        <w:rPr>
          <w:b/>
          <w:bCs/>
        </w:rPr>
        <w:t xml:space="preserve">500 ÷ 12,000 = 0.0417 minutes ≈ 2.5 seconds</w:t>
      </w:r>
      <w:r>
        <w:t xml:space="preserve">. A 2.5-second run is not a fatigue test in any meaningful sense.</w:t>
      </w:r>
    </w:p>
    <w:p>
      <w:pPr>
        <w:pStyle w:val="BodyText"/>
      </w:pPr>
      <w:r>
        <w:t xml:space="preserve">For context, a single 15-minute thrombectomy procedure at 12,000 RPM comprises 180,000 revolutions; a realistic worst-case cumulative-use fatigue test should represent multiple procedures’ worth of run-time (hundreds of thousands to millions of revolutions, or an equivalent run-time basis). The predicate’s own fatigue testing — for a device with</w:t>
      </w:r>
      <w:r>
        <w:t xml:space="preserve"> </w:t>
      </w:r>
      <w:r>
        <w:rPr>
          <w:i/>
          <w:iCs/>
        </w:rPr>
        <w:t xml:space="preserve">no</w:t>
      </w:r>
      <w:r>
        <w:t xml:space="preserve"> </w:t>
      </w:r>
      <w:r>
        <w:t xml:space="preserve">rotating part — included 50,000 flexural cycles and 100 insertion/withdrawal cycles; the VascuClear’s rotating-element</w:t>
      </w:r>
      <w:r>
        <w:t xml:space="preserve"> </w:t>
      </w:r>
      <w:r>
        <w:t xml:space="preserve">“</w:t>
      </w:r>
      <w:r>
        <w:t xml:space="preserve">fatigue</w:t>
      </w:r>
      <w:r>
        <w:t xml:space="preserve">”</w:t>
      </w:r>
      <w:r>
        <w:t xml:space="preserve"> </w:t>
      </w:r>
      <w:r>
        <w:t xml:space="preserve">test is orders of magnitude less demanding than the predicate’s non-rotating fatigue test. The device description’s reference to</w:t>
      </w:r>
      <w:r>
        <w:t xml:space="preserve"> </w:t>
      </w:r>
      <w:r>
        <w:t xml:space="preserve">“</w:t>
      </w:r>
      <w:r>
        <w:t xml:space="preserve">500 complete activation cycles</w:t>
      </w:r>
      <w:r>
        <w:t xml:space="preserve">”</w:t>
      </w:r>
      <w:r>
        <w:t xml:space="preserve"> </w:t>
      </w:r>
      <w:r>
        <w:t xml:space="preserve">is ambiguous and should not be relied upon; the testing plan’s definition controls, and it is indefensible.</w:t>
      </w:r>
    </w:p>
    <w:p>
      <w:pPr>
        <w:pStyle w:val="BodyText"/>
      </w:pPr>
      <w:r>
        <w:rPr>
          <w:b/>
          <w:bCs/>
        </w:rPr>
        <w:t xml:space="preserve">Why it matters.</w:t>
      </w:r>
      <w:r>
        <w:t xml:space="preserve"> </w:t>
      </w:r>
      <w:r>
        <w:t xml:space="preserve">FDA will immediately recognize that 500 revolutions at 12,000 RPM is ~2.5 seconds and will not accept it as fatigue validation for a rotating intravascular element whose failure (fracture, detachment, particulate generation) could embolize fragments into the venous system and pulmonary circulation. This is the kind of deficiency that undermines the credibility of the entire testing plan.</w:t>
      </w:r>
    </w:p>
    <w:p>
      <w:pPr>
        <w:pStyle w:val="BodyText"/>
      </w:pPr>
      <w:r>
        <w:rPr>
          <w:b/>
          <w:bCs/>
        </w:rPr>
        <w:t xml:space="preserve">Recommendation.</w:t>
      </w:r>
    </w:p>
    <w:p>
      <w:pPr>
        <w:pStyle w:val="Compact"/>
        <w:numPr>
          <w:ilvl w:val="0"/>
          <w:numId w:val="1007"/>
        </w:numPr>
      </w:pPr>
      <w:r>
        <w:rPr>
          <w:b/>
          <w:bCs/>
        </w:rPr>
        <w:t xml:space="preserve">Redesign the impeller fatigue test</w:t>
      </w:r>
      <w:r>
        <w:t xml:space="preserve"> </w:t>
      </w:r>
      <w:r>
        <w:t xml:space="preserve">on a run-time or high-cycle-count basis representing worst-case cumulative clinical use (e.g., operate at maximum speed for a duration equivalent to multiple maximum-length procedures, plus safety margin; or a cycle count in the hundreds of thousands). Define the rationale and acceptance criteria accordingly.</w:t>
      </w:r>
    </w:p>
    <w:p>
      <w:pPr>
        <w:pStyle w:val="Compact"/>
        <w:numPr>
          <w:ilvl w:val="0"/>
          <w:numId w:val="1007"/>
        </w:numPr>
      </w:pPr>
      <w:r>
        <w:rPr>
          <w:b/>
          <w:bCs/>
        </w:rPr>
        <w:t xml:space="preserve">Clarify the</w:t>
      </w:r>
      <w:r>
        <w:rPr>
          <w:b/>
          <w:bCs/>
        </w:rPr>
        <w:t xml:space="preserve"> </w:t>
      </w:r>
      <w:r>
        <w:rPr>
          <w:b/>
          <w:bCs/>
        </w:rPr>
        <w:t xml:space="preserve">“</w:t>
      </w:r>
      <w:r>
        <w:rPr>
          <w:b/>
          <w:bCs/>
        </w:rPr>
        <w:t xml:space="preserve">activation cycle</w:t>
      </w:r>
      <w:r>
        <w:rPr>
          <w:b/>
          <w:bCs/>
        </w:rPr>
        <w:t xml:space="preserve">”</w:t>
      </w:r>
      <w:r>
        <w:rPr>
          <w:b/>
          <w:bCs/>
        </w:rPr>
        <w:t xml:space="preserve"> </w:t>
      </w:r>
      <w:r>
        <w:rPr>
          <w:b/>
          <w:bCs/>
        </w:rPr>
        <w:t xml:space="preserve">terminology</w:t>
      </w:r>
      <w:r>
        <w:t xml:space="preserve"> </w:t>
      </w:r>
      <w:r>
        <w:t xml:space="preserve">in the device description so it is consistent with the testing plan and reflects a meaningful durability envelope.</w:t>
      </w:r>
    </w:p>
    <w:p>
      <w:pPr>
        <w:pStyle w:val="Compact"/>
        <w:numPr>
          <w:ilvl w:val="0"/>
          <w:numId w:val="1007"/>
        </w:numPr>
      </w:pPr>
      <w:r>
        <w:rPr>
          <w:b/>
          <w:bCs/>
        </w:rPr>
        <w:t xml:space="preserve">Re-examine the particulate-generation test</w:t>
      </w:r>
      <w:r>
        <w:t xml:space="preserve"> </w:t>
      </w:r>
      <w:r>
        <w:t xml:space="preserve">(§ 3.3) in light of the corrected fatigue protocol; a 10-minute run is more reasonable than the fatigue test, but should align with the cumulative-use rationale.</w:t>
      </w:r>
    </w:p>
    <w:bookmarkEnd w:id="27"/>
    <w:bookmarkEnd w:id="28"/>
    <w:bookmarkStart w:id="34" w:name="iv.-priority-2-high-severity-issues"/>
    <w:p>
      <w:pPr>
        <w:pStyle w:val="Heading2"/>
      </w:pPr>
      <w:r>
        <w:t xml:space="preserve">IV. Priority 2 — High-Severity Issues</w:t>
      </w:r>
    </w:p>
    <w:bookmarkStart w:id="29" w:name="X5889e032c21bc31d808ddb6d15e3039068bcd18"/>
    <w:p>
      <w:pPr>
        <w:pStyle w:val="Heading3"/>
      </w:pPr>
      <w:r>
        <w:t xml:space="preserve">Issue 6 — Software Documentation Level (</w:t>
      </w:r>
      <w:r>
        <w:t xml:space="preserve">“</w:t>
      </w:r>
      <w:r>
        <w:t xml:space="preserve">Minor</w:t>
      </w:r>
      <w:r>
        <w:t xml:space="preserve">”</w:t>
      </w:r>
      <w:r>
        <w:t xml:space="preserve">) Is Likely Too Low and Relies on Outdated Guidance</w:t>
      </w:r>
    </w:p>
    <w:p>
      <w:pPr>
        <w:pStyle w:val="FirstParagraph"/>
      </w:pPr>
      <w:r>
        <w:rPr>
          <w:b/>
          <w:bCs/>
        </w:rPr>
        <w:t xml:space="preserve">Where it appears.</w:t>
      </w:r>
      <w:r>
        <w:t xml:space="preserve"> </w:t>
      </w:r>
      <w:r>
        <w:t xml:space="preserve">Testing Plan §§ 5.1–5.3; Device Description § 2.3; ThrombEx 200 510(k) Summary § 5.6.</w:t>
      </w:r>
    </w:p>
    <w:p>
      <w:pPr>
        <w:pStyle w:val="BodyText"/>
      </w:pPr>
      <w:r>
        <w:rPr>
          <w:b/>
          <w:bCs/>
        </w:rPr>
        <w:t xml:space="preserve">The issue.</w:t>
      </w:r>
      <w:r>
        <w:t xml:space="preserve"> </w:t>
      </w:r>
      <w:r>
        <w:t xml:space="preserve">The console firmware is classified</w:t>
      </w:r>
      <w:r>
        <w:t xml:space="preserve"> </w:t>
      </w:r>
      <w:r>
        <w:t xml:space="preserve">“</w:t>
      </w:r>
      <w:r>
        <w:t xml:space="preserve">Minor</w:t>
      </w:r>
      <w:r>
        <w:t xml:space="preserve">”</w:t>
      </w:r>
      <w:r>
        <w:t xml:space="preserve"> </w:t>
      </w:r>
      <w:r>
        <w:t xml:space="preserve">level of concern under FDA’s 2005 software guidance, on the rationale that independent hardware safety mechanisms (a mechanical over-speed governor and a hardware pressure relief valve) mitigate software-failure risks. The plan therefore proposes to withhold hazard analysis, detailed architecture, and unresolved-anomaly documentation from the submission.</w:t>
      </w:r>
    </w:p>
    <w:p>
      <w:pPr>
        <w:pStyle w:val="BodyText"/>
      </w:pPr>
      <w:r>
        <w:t xml:space="preserve">Three concerns:</w:t>
      </w:r>
    </w:p>
    <w:p>
      <w:pPr>
        <w:numPr>
          <w:ilvl w:val="0"/>
          <w:numId w:val="1008"/>
        </w:numPr>
      </w:pPr>
      <w:r>
        <w:rPr>
          <w:b/>
          <w:bCs/>
        </w:rPr>
        <w:t xml:space="preserve">The classification is aggressive for the hazard profile.</w:t>
      </w:r>
      <w:r>
        <w:t xml:space="preserve"> </w:t>
      </w:r>
      <w:r>
        <w:t xml:space="preserve">The software directly controls a 12,000-RPM rotating impeller inside a blood vessel and an aspiration pump to −650 mmHg, and it</w:t>
      </w:r>
      <w:r>
        <w:t xml:space="preserve"> </w:t>
      </w:r>
      <w:r>
        <w:rPr>
          <w:i/>
          <w:iCs/>
        </w:rPr>
        <w:t xml:space="preserve">itself</w:t>
      </w:r>
      <w:r>
        <w:t xml:space="preserve"> </w:t>
      </w:r>
      <w:r>
        <w:t xml:space="preserve">performs safety-monitoring functions (over-speed detection at 12,500 RPM, over-pressure alarm at −700 mmHg, catheter-disconnect detection). If the software is a safety monitor</w:t>
      </w:r>
      <w:r>
        <w:t xml:space="preserve"> </w:t>
      </w:r>
      <w:r>
        <w:rPr>
          <w:i/>
          <w:iCs/>
        </w:rPr>
        <w:t xml:space="preserve">and</w:t>
      </w:r>
      <w:r>
        <w:t xml:space="preserve"> </w:t>
      </w:r>
      <w:r>
        <w:t xml:space="preserve">the hardware is the independent backup, the independence and adequacy of those hardware mechanisms must be rigorously demonstrated; otherwise the software is effectively the mitigation, which points to a higher level. A software-driven overspeed or uncontrolled aspiration event could cause vessel perforation, hemolysis, or impeller fracture with embolization — serious injury.</w:t>
      </w:r>
    </w:p>
    <w:p>
      <w:pPr>
        <w:numPr>
          <w:ilvl w:val="0"/>
          <w:numId w:val="1008"/>
        </w:numPr>
      </w:pPr>
      <w:r>
        <w:rPr>
          <w:b/>
          <w:bCs/>
        </w:rPr>
        <w:t xml:space="preserve">The predicate was classified</w:t>
      </w:r>
      <w:r>
        <w:rPr>
          <w:b/>
          <w:bCs/>
        </w:rPr>
        <w:t xml:space="preserve"> </w:t>
      </w:r>
      <w:r>
        <w:rPr>
          <w:b/>
          <w:bCs/>
        </w:rPr>
        <w:t xml:space="preserve">“</w:t>
      </w:r>
      <w:r>
        <w:rPr>
          <w:b/>
          <w:bCs/>
        </w:rPr>
        <w:t xml:space="preserve">Moderate.</w:t>
      </w:r>
      <w:r>
        <w:rPr>
          <w:b/>
          <w:bCs/>
        </w:rPr>
        <w:t xml:space="preserve">”</w:t>
      </w:r>
      <w:r>
        <w:t xml:space="preserve"> </w:t>
      </w:r>
      <w:r>
        <w:t xml:space="preserve">The ThrombEx 200 — a simpler device with</w:t>
      </w:r>
      <w:r>
        <w:t xml:space="preserve"> </w:t>
      </w:r>
      <w:r>
        <w:rPr>
          <w:i/>
          <w:iCs/>
        </w:rPr>
        <w:t xml:space="preserve">no</w:t>
      </w:r>
      <w:r>
        <w:t xml:space="preserve"> </w:t>
      </w:r>
      <w:r>
        <w:t xml:space="preserve">rotating impeller and a less complex control task — was assigned</w:t>
      </w:r>
      <w:r>
        <w:t xml:space="preserve"> </w:t>
      </w:r>
      <w:r>
        <w:t xml:space="preserve">“</w:t>
      </w:r>
      <w:r>
        <w:t xml:space="preserve">Moderate</w:t>
      </w:r>
      <w:r>
        <w:t xml:space="preserve">”</w:t>
      </w:r>
      <w:r>
        <w:t xml:space="preserve"> </w:t>
      </w:r>
      <w:r>
        <w:t xml:space="preserve">level of concern. It will be difficult to justify a</w:t>
      </w:r>
      <w:r>
        <w:t xml:space="preserve"> </w:t>
      </w:r>
      <w:r>
        <w:rPr>
          <w:i/>
          <w:iCs/>
        </w:rPr>
        <w:t xml:space="preserve">lower</w:t>
      </w:r>
      <w:r>
        <w:t xml:space="preserve"> </w:t>
      </w:r>
      <w:r>
        <w:t xml:space="preserve">documentation level for the VascuClear 3000, which has more complex software controlling a more hazardous mechanism. FDA is likely to question the inconsistency.</w:t>
      </w:r>
    </w:p>
    <w:p>
      <w:pPr>
        <w:numPr>
          <w:ilvl w:val="0"/>
          <w:numId w:val="1008"/>
        </w:numPr>
      </w:pPr>
      <w:r>
        <w:rPr>
          <w:b/>
          <w:bCs/>
        </w:rPr>
        <w:t xml:space="preserve">The 2005 guidance is outdated.</w:t>
      </w:r>
      <w:r>
        <w:t xml:space="preserve"> </w:t>
      </w:r>
      <w:r>
        <w:t xml:space="preserve">FDA’s current guidance,</w:t>
      </w:r>
      <w:r>
        <w:t xml:space="preserve"> </w:t>
      </w:r>
      <w:r>
        <w:rPr>
          <w:i/>
          <w:iCs/>
        </w:rPr>
        <w:t xml:space="preserve">Content of Premarket Submissions for Device Software Functions</w:t>
      </w:r>
      <w:r>
        <w:t xml:space="preserve"> </w:t>
      </w:r>
      <w:r>
        <w:t xml:space="preserve">(2023), replaced the</w:t>
      </w:r>
      <w:r>
        <w:t xml:space="preserve"> </w:t>
      </w:r>
      <w:r>
        <w:t xml:space="preserve">“</w:t>
      </w:r>
      <w:r>
        <w:t xml:space="preserve">level of concern</w:t>
      </w:r>
      <w:r>
        <w:t xml:space="preserve">”</w:t>
      </w:r>
      <w:r>
        <w:t xml:space="preserve"> </w:t>
      </w:r>
      <w:r>
        <w:t xml:space="preserve">framework with a risk-based</w:t>
      </w:r>
      <w:r>
        <w:t xml:space="preserve"> </w:t>
      </w:r>
      <w:r>
        <w:t xml:space="preserve">“</w:t>
      </w:r>
      <w:r>
        <w:t xml:space="preserve">Documentation Level</w:t>
      </w:r>
      <w:r>
        <w:t xml:space="preserve">”</w:t>
      </w:r>
      <w:r>
        <w:t xml:space="preserve"> </w:t>
      </w:r>
      <w:r>
        <w:t xml:space="preserve">(Basic or Enhanced). The plan should reference the current guidance and determine the documentation level under it.</w:t>
      </w:r>
    </w:p>
    <w:p>
      <w:pPr>
        <w:pStyle w:val="FirstParagraph"/>
      </w:pPr>
      <w:r>
        <w:rPr>
          <w:b/>
          <w:bCs/>
        </w:rPr>
        <w:t xml:space="preserve">Recommendation.</w:t>
      </w:r>
    </w:p>
    <w:p>
      <w:pPr>
        <w:pStyle w:val="Compact"/>
        <w:numPr>
          <w:ilvl w:val="0"/>
          <w:numId w:val="1009"/>
        </w:numPr>
      </w:pPr>
      <w:r>
        <w:rPr>
          <w:b/>
          <w:bCs/>
        </w:rPr>
        <w:t xml:space="preserve">Reassess the documentation level</w:t>
      </w:r>
      <w:r>
        <w:t xml:space="preserve"> </w:t>
      </w:r>
      <w:r>
        <w:t xml:space="preserve">under the 2023 guidance; plan for at least</w:t>
      </w:r>
      <w:r>
        <w:t xml:space="preserve"> </w:t>
      </w:r>
      <w:r>
        <w:t xml:space="preserve">“</w:t>
      </w:r>
      <w:r>
        <w:t xml:space="preserve">Enhanced</w:t>
      </w:r>
      <w:r>
        <w:t xml:space="preserve">”</w:t>
      </w:r>
      <w:r>
        <w:t xml:space="preserve"> </w:t>
      </w:r>
      <w:r>
        <w:t xml:space="preserve">(≈ Moderate) documentation, including hazard analysis, to avoid a likely FDA request.</w:t>
      </w:r>
    </w:p>
    <w:p>
      <w:pPr>
        <w:pStyle w:val="Compact"/>
        <w:numPr>
          <w:ilvl w:val="0"/>
          <w:numId w:val="1009"/>
        </w:numPr>
      </w:pPr>
      <w:r>
        <w:rPr>
          <w:b/>
          <w:bCs/>
        </w:rPr>
        <w:t xml:space="preserve">Validate the independence of the hardware safety mechanisms</w:t>
      </w:r>
      <w:r>
        <w:t xml:space="preserve"> </w:t>
      </w:r>
      <w:r>
        <w:t xml:space="preserve">and document that validation; if the hardware is the basis for a lower level, that basis must be demonstrable, not asserted.</w:t>
      </w:r>
    </w:p>
    <w:p>
      <w:pPr>
        <w:pStyle w:val="Compact"/>
        <w:numPr>
          <w:ilvl w:val="0"/>
          <w:numId w:val="1009"/>
        </w:numPr>
      </w:pPr>
      <w:r>
        <w:rPr>
          <w:b/>
          <w:bCs/>
        </w:rPr>
        <w:t xml:space="preserve">Update the guidance citation</w:t>
      </w:r>
      <w:r>
        <w:t xml:space="preserve"> </w:t>
      </w:r>
      <w:r>
        <w:t xml:space="preserve">from the 2005 guidance to the 2023 guidance throughout the testing plan and device description.</w:t>
      </w:r>
    </w:p>
    <w:p>
      <w:pPr>
        <w:pStyle w:val="Compact"/>
        <w:numPr>
          <w:ilvl w:val="0"/>
          <w:numId w:val="1009"/>
        </w:numPr>
      </w:pPr>
      <w:r>
        <w:rPr>
          <w:b/>
          <w:bCs/>
        </w:rPr>
        <w:t xml:space="preserve">Include a hazard analysis</w:t>
      </w:r>
      <w:r>
        <w:t xml:space="preserve"> </w:t>
      </w:r>
      <w:r>
        <w:t xml:space="preserve">in the submission rather than withholding it; even at Basic level, a summary hazard analysis supports the documentation-level determination.</w:t>
      </w:r>
    </w:p>
    <w:bookmarkEnd w:id="29"/>
    <w:bookmarkStart w:id="30" w:name="Xedd9dd0459941a06dec91fdd8ba46e45de778c5"/>
    <w:p>
      <w:pPr>
        <w:pStyle w:val="Heading3"/>
      </w:pPr>
      <w:r>
        <w:t xml:space="preserve">Issue 7 — Drug-Delivery Characterization Uses Saline Only; No Drug-Device Interaction or Compatibility Testing</w:t>
      </w:r>
    </w:p>
    <w:p>
      <w:pPr>
        <w:pStyle w:val="FirstParagraph"/>
      </w:pPr>
      <w:r>
        <w:rPr>
          <w:b/>
          <w:bCs/>
        </w:rPr>
        <w:t xml:space="preserve">Where it appears.</w:t>
      </w:r>
      <w:r>
        <w:t xml:space="preserve"> </w:t>
      </w:r>
      <w:r>
        <w:t xml:space="preserve">Testing Plan § 8; Draft IFU § 9; Cover Letter § VI (Q6 in the testing-plan document).</w:t>
      </w:r>
    </w:p>
    <w:p>
      <w:pPr>
        <w:pStyle w:val="BodyText"/>
      </w:pPr>
      <w:r>
        <w:rPr>
          <w:b/>
          <w:bCs/>
        </w:rPr>
        <w:t xml:space="preserve">The issue.</w:t>
      </w:r>
      <w:r>
        <w:t xml:space="preserve"> </w:t>
      </w:r>
      <w:r>
        <w:t xml:space="preserve">The drug-delivery characterization (§ 8) uses normal saline as the sole test fluid and verifies flow-rate accuracy, infusion pressure, and lumen patency. It does</w:t>
      </w:r>
      <w:r>
        <w:t xml:space="preserve"> </w:t>
      </w:r>
      <w:r>
        <w:rPr>
          <w:b/>
          <w:bCs/>
        </w:rPr>
        <w:t xml:space="preserve">not</w:t>
      </w:r>
      <w:r>
        <w:t xml:space="preserve"> </w:t>
      </w:r>
      <w:r>
        <w:t xml:space="preserve">test with tPA/alteplase or any thrombolytic, and it does</w:t>
      </w:r>
      <w:r>
        <w:t xml:space="preserve"> </w:t>
      </w:r>
      <w:r>
        <w:rPr>
          <w:b/>
          <w:bCs/>
        </w:rPr>
        <w:t xml:space="preserve">not</w:t>
      </w:r>
      <w:r>
        <w:t xml:space="preserve"> </w:t>
      </w:r>
      <w:r>
        <w:t xml:space="preserve">evaluate drug-device interaction. The IFU (§ 9) candidly states that</w:t>
      </w:r>
      <w:r>
        <w:t xml:space="preserve"> </w:t>
      </w:r>
      <w:r>
        <w:t xml:space="preserve">“</w:t>
      </w:r>
      <w:r>
        <w:t xml:space="preserve">drug compatibility with catheter lumen materials has not been independently verified</w:t>
      </w:r>
      <w:r>
        <w:t xml:space="preserve">”</w:t>
      </w:r>
      <w:r>
        <w:t xml:space="preserve"> </w:t>
      </w:r>
      <w:r>
        <w:t xml:space="preserve">and that</w:t>
      </w:r>
      <w:r>
        <w:t xml:space="preserve"> </w:t>
      </w:r>
      <w:r>
        <w:t xml:space="preserve">“</w:t>
      </w:r>
      <w:r>
        <w:t xml:space="preserve">specific compatibility testing with individual thrombolytic agents, diluents, or drug formulations has not been performed.</w:t>
      </w:r>
      <w:r>
        <w:t xml:space="preserve">”</w:t>
      </w:r>
    </w:p>
    <w:p>
      <w:pPr>
        <w:pStyle w:val="BodyText"/>
      </w:pPr>
      <w:r>
        <w:t xml:space="preserve">tPA (alteplase) is a protein that can adsorb to catheter materials (the PTFE lumen liner, polyurethane, adhesives), potentially reducing the delivered dose below what the physician intends. Leachables from the catheter materials could also interact with the drug. If the device claims drug delivery as a function — and the indication does — the delivered-dose accuracy and drug-material compatibility should be characterized with the actual drug, not just saline. The testing plan itself flags this gap in its Question 6 to FDA.</w:t>
      </w:r>
    </w:p>
    <w:p>
      <w:pPr>
        <w:pStyle w:val="BodyText"/>
      </w:pPr>
      <w:r>
        <w:rPr>
          <w:b/>
          <w:bCs/>
        </w:rPr>
        <w:t xml:space="preserve">Why it matters.</w:t>
      </w:r>
      <w:r>
        <w:t xml:space="preserve"> </w:t>
      </w:r>
      <w:r>
        <w:t xml:space="preserve">This gap is significant on its own and is amplified by the combination-product question (Issue 1): if the device is deemed a combination product, drug-device interaction and delivered-dose data are expected. Even as a standalone device, FDA may require compatibility/adsorption data to support a drug-delivery claim. The IFU’s admission that compatibility is unverified is a labeling weakness that FDA may require corrected.</w:t>
      </w:r>
    </w:p>
    <w:p>
      <w:pPr>
        <w:pStyle w:val="BodyText"/>
      </w:pPr>
      <w:r>
        <w:rPr>
          <w:b/>
          <w:bCs/>
        </w:rPr>
        <w:t xml:space="preserve">Recommendation.</w:t>
      </w:r>
    </w:p>
    <w:p>
      <w:pPr>
        <w:pStyle w:val="Compact"/>
        <w:numPr>
          <w:ilvl w:val="0"/>
          <w:numId w:val="1010"/>
        </w:numPr>
      </w:pPr>
      <w:r>
        <w:rPr>
          <w:b/>
          <w:bCs/>
        </w:rPr>
        <w:t xml:space="preserve">Add drug-device interaction testing</w:t>
      </w:r>
      <w:r>
        <w:t xml:space="preserve"> </w:t>
      </w:r>
      <w:r>
        <w:t xml:space="preserve">with alteplase (and consider reteplase/tenecteplase given the IFU lists them): adsorption/recovery testing (delivered dose vs. input dose), and compatibility with the PTFE liner and other lumen materials under clinically relevant concentrations and dwell times.</w:t>
      </w:r>
    </w:p>
    <w:p>
      <w:pPr>
        <w:pStyle w:val="Compact"/>
        <w:numPr>
          <w:ilvl w:val="0"/>
          <w:numId w:val="1010"/>
        </w:numPr>
      </w:pPr>
      <w:r>
        <w:rPr>
          <w:b/>
          <w:bCs/>
        </w:rPr>
        <w:t xml:space="preserve">Add leachables interaction</w:t>
      </w:r>
      <w:r>
        <w:t xml:space="preserve"> </w:t>
      </w:r>
      <w:r>
        <w:t xml:space="preserve">consideration (coordinate with the ISO 10993-18 chemical characterization).</w:t>
      </w:r>
    </w:p>
    <w:p>
      <w:pPr>
        <w:pStyle w:val="Compact"/>
        <w:numPr>
          <w:ilvl w:val="0"/>
          <w:numId w:val="1010"/>
        </w:numPr>
      </w:pPr>
      <w:r>
        <w:rPr>
          <w:b/>
          <w:bCs/>
        </w:rPr>
        <w:t xml:space="preserve">Resolve the IFU § 9 statement</w:t>
      </w:r>
      <w:r>
        <w:t xml:space="preserve"> </w:t>
      </w:r>
      <w:r>
        <w:t xml:space="preserve">— either perform the compatibility testing and update the labeling, or narrow the drug-delivery claim so the labeling is supportable.</w:t>
      </w:r>
    </w:p>
    <w:p>
      <w:pPr>
        <w:pStyle w:val="Compact"/>
        <w:numPr>
          <w:ilvl w:val="0"/>
          <w:numId w:val="1010"/>
        </w:numPr>
      </w:pPr>
      <w:r>
        <w:t xml:space="preserve">Pose the testing-plan’s Question 6 to FDA explicitly and be prepared to add tPA-based testing.</w:t>
      </w:r>
    </w:p>
    <w:bookmarkEnd w:id="30"/>
    <w:bookmarkStart w:id="31" w:name="X70ff3fe9734fa5517b593f60aa828886098f20e"/>
    <w:p>
      <w:pPr>
        <w:pStyle w:val="Heading3"/>
      </w:pPr>
      <w:r>
        <w:t xml:space="preserve">Issue 8 — Simulated-Use Bench Testing Excludes the Pharmacomechanical Function</w:t>
      </w:r>
    </w:p>
    <w:p>
      <w:pPr>
        <w:pStyle w:val="FirstParagraph"/>
      </w:pPr>
      <w:r>
        <w:rPr>
          <w:b/>
          <w:bCs/>
        </w:rPr>
        <w:t xml:space="preserve">Where it appears.</w:t>
      </w:r>
      <w:r>
        <w:t xml:space="preserve"> </w:t>
      </w:r>
      <w:r>
        <w:t xml:space="preserve">Testing Plan § 7.2 (final paragraph); Device Description § 4.4.</w:t>
      </w:r>
    </w:p>
    <w:p>
      <w:pPr>
        <w:pStyle w:val="BodyText"/>
      </w:pPr>
      <w:r>
        <w:rPr>
          <w:b/>
          <w:bCs/>
        </w:rPr>
        <w:t xml:space="preserve">The issue.</w:t>
      </w:r>
      <w:r>
        <w:t xml:space="preserve"> </w:t>
      </w:r>
      <w:r>
        <w:t xml:space="preserve">The simulated-use bench test evaluates mechanical thrombectomy only. The plan expressly states:</w:t>
      </w:r>
      <w:r>
        <w:t xml:space="preserve"> </w:t>
      </w:r>
      <w:r>
        <w:t xml:space="preserve">“</w:t>
      </w:r>
      <w:r>
        <w:t xml:space="preserve">The thrombolytic infusion lumen is not activated during simulated-use bench testing. Combined pharmacomechanical testing (simultaneous mechanical thrombectomy with concurrent thrombolytic agent delivery) is not included in this bench test protocol.</w:t>
      </w:r>
      <w:r>
        <w:t xml:space="preserve">”</w:t>
      </w:r>
      <w:r>
        <w:t xml:space="preserve"> </w:t>
      </w:r>
      <w:r>
        <w:t xml:space="preserve">Yet the</w:t>
      </w:r>
      <w:r>
        <w:t xml:space="preserve"> </w:t>
      </w:r>
      <w:r>
        <w:rPr>
          <w:i/>
          <w:iCs/>
        </w:rPr>
        <w:t xml:space="preserve">core differentiating feature</w:t>
      </w:r>
      <w:r>
        <w:t xml:space="preserve"> </w:t>
      </w:r>
      <w:r>
        <w:t xml:space="preserve">of the device — the feature that distinguishes it from the predicate and that is claimed in the indication — is simultaneous pharmacomechanical thrombectomy.</w:t>
      </w:r>
    </w:p>
    <w:p>
      <w:pPr>
        <w:pStyle w:val="BodyText"/>
      </w:pPr>
      <w:r>
        <w:rPr>
          <w:b/>
          <w:bCs/>
        </w:rPr>
        <w:t xml:space="preserve">Why it matters.</w:t>
      </w:r>
      <w:r>
        <w:t xml:space="preserve"> </w:t>
      </w:r>
      <w:r>
        <w:t xml:space="preserve">The bench program does not validate the claimed pharmacomechanical function. It cannot demonstrate that simultaneous drug delivery and mechanical maceration work together as intended, or that concurrent infusion does not interfere with aspiration (e.g., infused fluid diluting/removing thrombus or drug before it acts, or altering impeller performance). FDA is likely to ask how the claimed combined function is supported by bench data.</w:t>
      </w:r>
    </w:p>
    <w:p>
      <w:pPr>
        <w:pStyle w:val="BodyText"/>
      </w:pPr>
      <w:r>
        <w:rPr>
          <w:b/>
          <w:bCs/>
        </w:rPr>
        <w:t xml:space="preserve">Recommendation.</w:t>
      </w:r>
    </w:p>
    <w:p>
      <w:pPr>
        <w:pStyle w:val="Compact"/>
        <w:numPr>
          <w:ilvl w:val="0"/>
          <w:numId w:val="1011"/>
        </w:numPr>
      </w:pPr>
      <w:r>
        <w:rPr>
          <w:b/>
          <w:bCs/>
        </w:rPr>
        <w:t xml:space="preserve">Add a combined pharmacomechanical bench test</w:t>
      </w:r>
      <w:r>
        <w:t xml:space="preserve"> </w:t>
      </w:r>
      <w:r>
        <w:t xml:space="preserve">that activates the impeller/aspiration and the infusion lumen simultaneously in the vascular model, with endpoints for combined thrombus removal and for any interaction effects (e.g., aspirated-fluid composition, drug recovery).</w:t>
      </w:r>
    </w:p>
    <w:p>
      <w:pPr>
        <w:pStyle w:val="Compact"/>
        <w:numPr>
          <w:ilvl w:val="0"/>
          <w:numId w:val="1011"/>
        </w:numPr>
      </w:pPr>
      <w:r>
        <w:t xml:space="preserve">If a true thrombolytic cannot be used in the bench model, use a validated surrogate that allows assessment of the combined function and drug distribution, and justify the surrogate to FDA.</w:t>
      </w:r>
    </w:p>
    <w:p>
      <w:pPr>
        <w:pStyle w:val="Compact"/>
        <w:numPr>
          <w:ilvl w:val="0"/>
          <w:numId w:val="1011"/>
        </w:numPr>
      </w:pPr>
      <w:r>
        <w:t xml:space="preserve">Cross-reference this test in the SE discussion (Issue 3) so the</w:t>
      </w:r>
      <w:r>
        <w:t xml:space="preserve"> </w:t>
      </w:r>
      <w:r>
        <w:t xml:space="preserve">“</w:t>
      </w:r>
      <w:r>
        <w:t xml:space="preserve">additional feature</w:t>
      </w:r>
      <w:r>
        <w:t xml:space="preserve">”</w:t>
      </w:r>
      <w:r>
        <w:t xml:space="preserve"> </w:t>
      </w:r>
      <w:r>
        <w:t xml:space="preserve">is actually supported by data.</w:t>
      </w:r>
    </w:p>
    <w:bookmarkEnd w:id="31"/>
    <w:bookmarkStart w:id="32" w:name="Xfe076f40be0f2ac7c8d82b82de482e5a1e32382"/>
    <w:p>
      <w:pPr>
        <w:pStyle w:val="Heading3"/>
      </w:pPr>
      <w:r>
        <w:t xml:space="preserve">Issue 9 — Clinical Study Design: Performance Goal, Follow-Up Duration, and tPA Dosing Controls</w:t>
      </w:r>
    </w:p>
    <w:p>
      <w:pPr>
        <w:pStyle w:val="FirstParagraph"/>
      </w:pPr>
      <w:r>
        <w:rPr>
          <w:b/>
          <w:bCs/>
        </w:rPr>
        <w:t xml:space="preserve">Where it appears.</w:t>
      </w:r>
      <w:r>
        <w:t xml:space="preserve"> </w:t>
      </w:r>
      <w:r>
        <w:t xml:space="preserve">Clinical Synopsis §§ 9, 11, 8.2, 10.</w:t>
      </w:r>
    </w:p>
    <w:p>
      <w:pPr>
        <w:pStyle w:val="BodyText"/>
      </w:pPr>
      <w:r>
        <w:rPr>
          <w:b/>
          <w:bCs/>
        </w:rPr>
        <w:t xml:space="preserve">The issue.</w:t>
      </w:r>
      <w:r>
        <w:t xml:space="preserve"> </w:t>
      </w:r>
      <w:r>
        <w:t xml:space="preserve">Several aspects of the clinical design are likely to draw FDA comment:</w:t>
      </w:r>
    </w:p>
    <w:p>
      <w:pPr>
        <w:numPr>
          <w:ilvl w:val="0"/>
          <w:numId w:val="1012"/>
        </w:numPr>
      </w:pPr>
      <w:r>
        <w:rPr>
          <w:b/>
          <w:bCs/>
        </w:rPr>
        <w:t xml:space="preserve">Unjustified performance goal.</w:t>
      </w:r>
      <w:r>
        <w:t xml:space="preserve"> </w:t>
      </w:r>
      <w:r>
        <w:t xml:space="preserve">The primary endpoint is ≥50% thrombus removal at 24 hours, with a performance goal that the lower bound of the exact 95% CI exceed 70%. The 70% threshold and the 50% removal definition are not tied to a cited objective performance criterion (OPC) or historical control. The synopsis cites the ATTRACT (Vedantham 2017), CaVenT (Enden 2012), and Comerota 2019 studies in its references but does not use them to justify the performance goal. FDA typically expects the performance goal to be grounded in published literature or predicate data.</w:t>
      </w:r>
    </w:p>
    <w:p>
      <w:pPr>
        <w:numPr>
          <w:ilvl w:val="0"/>
          <w:numId w:val="1012"/>
        </w:numPr>
      </w:pPr>
      <w:r>
        <w:rPr>
          <w:b/>
          <w:bCs/>
        </w:rPr>
        <w:t xml:space="preserve">30-day follow-up is too short for the stated rationale.</w:t>
      </w:r>
      <w:r>
        <w:t xml:space="preserve"> </w:t>
      </w:r>
      <w:r>
        <w:t xml:space="preserve">The study rationale (§ 3) emphasizes prevention of post-thrombotic syndrome (PTS), which develops over months to years. A 30-day follow-up cannot assess PTS, the principal long-term outcome for iliofemoral DVT intervention. The ATTRACT and CaVenT trials followed patients for 24 months and 5 years, respectively. The 30-day window measures only acute patency and early safety.</w:t>
      </w:r>
    </w:p>
    <w:p>
      <w:pPr>
        <w:numPr>
          <w:ilvl w:val="0"/>
          <w:numId w:val="1012"/>
        </w:numPr>
      </w:pPr>
      <w:r>
        <w:rPr>
          <w:b/>
          <w:bCs/>
        </w:rPr>
        <w:t xml:space="preserve">tPA dosing and bleeding controls are underspecified.</w:t>
      </w:r>
      <w:r>
        <w:t xml:space="preserve"> </w:t>
      </w:r>
      <w:r>
        <w:t xml:space="preserve">The protocol infuses alteplase at 0.5–1.0 mg/hr with extended infusion up to 72 hours (§ 8.2). At 1.0 mg/hr for 72 hours, the cumulative dose reaches 72 mg — a substantial thrombolytic exposure with real bleeding risk. The synopsis defines</w:t>
      </w:r>
      <w:r>
        <w:t xml:space="preserve"> </w:t>
      </w:r>
      <w:r>
        <w:t xml:space="preserve">“</w:t>
      </w:r>
      <w:r>
        <w:t xml:space="preserve">major bleeding</w:t>
      </w:r>
      <w:r>
        <w:t xml:space="preserve">”</w:t>
      </w:r>
      <w:r>
        <w:t xml:space="preserve"> </w:t>
      </w:r>
      <w:r>
        <w:t xml:space="preserve">as a safety endpoint but does not specify a maximum cumulative tPA dose cap, fibrinogen-based stopping rules, or dose-adjustment criteria, even though the IFU (§ 8.4) references fibrinogen monitoring during extended infusion. The ATTRACT and CaVenT protocols employed explicit dose caps and stopping rules.</w:t>
      </w:r>
    </w:p>
    <w:p>
      <w:pPr>
        <w:numPr>
          <w:ilvl w:val="0"/>
          <w:numId w:val="1012"/>
        </w:numPr>
      </w:pPr>
      <w:r>
        <w:rPr>
          <w:b/>
          <w:bCs/>
        </w:rPr>
        <w:t xml:space="preserve">Bench vs. clinical threshold disconnect.</w:t>
      </w:r>
      <w:r>
        <w:t xml:space="preserve"> </w:t>
      </w:r>
      <w:r>
        <w:t xml:space="preserve">The bench acceptance criterion is ≥80% thrombus removal (Testing Plan § 7.2); the clinical primary endpoint is ≥50% removal. The gap should be explained, or FDA may question why the clinical bar is set well below the bench target.</w:t>
      </w:r>
    </w:p>
    <w:p>
      <w:pPr>
        <w:pStyle w:val="FirstParagraph"/>
      </w:pPr>
      <w:r>
        <w:rPr>
          <w:b/>
          <w:bCs/>
        </w:rPr>
        <w:t xml:space="preserve">Recommendation.</w:t>
      </w:r>
    </w:p>
    <w:p>
      <w:pPr>
        <w:pStyle w:val="Compact"/>
        <w:numPr>
          <w:ilvl w:val="0"/>
          <w:numId w:val="1013"/>
        </w:numPr>
      </w:pPr>
      <w:r>
        <w:rPr>
          <w:b/>
          <w:bCs/>
        </w:rPr>
        <w:t xml:space="preserve">Justify the performance goal</w:t>
      </w:r>
      <w:r>
        <w:t xml:space="preserve"> </w:t>
      </w:r>
      <w:r>
        <w:t xml:space="preserve">with literature-based OPC/historical control data (use the cited trials); pre-specify and document the basis.</w:t>
      </w:r>
    </w:p>
    <w:p>
      <w:pPr>
        <w:pStyle w:val="Compact"/>
        <w:numPr>
          <w:ilvl w:val="0"/>
          <w:numId w:val="1013"/>
        </w:numPr>
      </w:pPr>
      <w:r>
        <w:rPr>
          <w:b/>
          <w:bCs/>
        </w:rPr>
        <w:t xml:space="preserve">Extend follow-up</w:t>
      </w:r>
      <w:r>
        <w:t xml:space="preserve"> </w:t>
      </w:r>
      <w:r>
        <w:t xml:space="preserve">to at least 6–12 months to capture PTS-relevant outcomes (e.g., Villalta score), or explicitly scope the study to acute patency/safety and acknowledge the PTS limitation in the rationale.</w:t>
      </w:r>
    </w:p>
    <w:p>
      <w:pPr>
        <w:pStyle w:val="Compact"/>
        <w:numPr>
          <w:ilvl w:val="0"/>
          <w:numId w:val="1013"/>
        </w:numPr>
      </w:pPr>
      <w:r>
        <w:rPr>
          <w:b/>
          <w:bCs/>
        </w:rPr>
        <w:t xml:space="preserve">Add explicit tPA dose caps, fibrinogen-based stopping rules, and bleeding-management criteria</w:t>
      </w:r>
      <w:r>
        <w:t xml:space="preserve"> </w:t>
      </w:r>
      <w:r>
        <w:t xml:space="preserve">to the protocol, consistent with the IFU and with published pharmacomechanical thrombolysis protocols.</w:t>
      </w:r>
    </w:p>
    <w:p>
      <w:pPr>
        <w:pStyle w:val="Compact"/>
        <w:numPr>
          <w:ilvl w:val="0"/>
          <w:numId w:val="1013"/>
        </w:numPr>
      </w:pPr>
      <w:r>
        <w:rPr>
          <w:b/>
          <w:bCs/>
        </w:rPr>
        <w:t xml:space="preserve">Reconcile or explain the 80% (bench) vs. 50% (clinical) thresholds.</w:t>
      </w:r>
    </w:p>
    <w:bookmarkEnd w:id="32"/>
    <w:bookmarkStart w:id="33" w:name="Xc233075e1d3854ab78bc9ee965a7b56b8d4f327"/>
    <w:p>
      <w:pPr>
        <w:pStyle w:val="Heading3"/>
      </w:pPr>
      <w:r>
        <w:t xml:space="preserve">Issue 10 — Timeline Infeasibility: Clinical Data Cannot Support a December 31, 2025 Clearance</w:t>
      </w:r>
    </w:p>
    <w:p>
      <w:pPr>
        <w:pStyle w:val="FirstParagraph"/>
      </w:pPr>
      <w:r>
        <w:rPr>
          <w:b/>
          <w:bCs/>
        </w:rPr>
        <w:t xml:space="preserve">Where it appears.</w:t>
      </w:r>
      <w:r>
        <w:t xml:space="preserve"> </w:t>
      </w:r>
      <w:r>
        <w:t xml:space="preserve">Testing Plan § 9.2; Clinical Synopsis § 15; email chain (Evelyn, May 9); Cover Letter § VIII.</w:t>
      </w:r>
    </w:p>
    <w:p>
      <w:pPr>
        <w:pStyle w:val="BodyText"/>
      </w:pPr>
      <w:r>
        <w:rPr>
          <w:b/>
          <w:bCs/>
        </w:rPr>
        <w:t xml:space="preserve">The issue.</w:t>
      </w:r>
      <w:r>
        <w:t xml:space="preserve"> </w:t>
      </w:r>
      <w:r>
        <w:t xml:space="preserve">The testing plan schedules test completion in November–December 2025 and 510(k) submission</w:t>
      </w:r>
      <w:r>
        <w:t xml:space="preserve"> </w:t>
      </w:r>
      <w:r>
        <w:t xml:space="preserve">“</w:t>
      </w:r>
      <w:r>
        <w:t xml:space="preserve">as early as practical</w:t>
      </w:r>
      <w:r>
        <w:t xml:space="preserve">”</w:t>
      </w:r>
      <w:r>
        <w:t xml:space="preserve"> </w:t>
      </w:r>
      <w:r>
        <w:t xml:space="preserve">thereafter. FDA’s 510(k) review clock is 90 days (and routinely longer with additional-information requests). The clinical synopsis schedules first-patient enrollment in Q4 2025, enrollment completion in Q2 2026, and the CSR in</w:t>
      </w:r>
      <w:r>
        <w:t xml:space="preserve"> </w:t>
      </w:r>
      <w:r>
        <w:rPr>
          <w:b/>
          <w:bCs/>
        </w:rPr>
        <w:t xml:space="preserve">Q4 2026</w:t>
      </w:r>
      <w:r>
        <w:t xml:space="preserve">. The Braddock Ventures milestone requires clearance by</w:t>
      </w:r>
      <w:r>
        <w:t xml:space="preserve"> </w:t>
      </w:r>
      <w:r>
        <w:rPr>
          <w:b/>
          <w:bCs/>
        </w:rPr>
        <w:t xml:space="preserve">December 31, 2025</w:t>
      </w:r>
      <w:r>
        <w:t xml:space="preserve">.</w:t>
      </w:r>
    </w:p>
    <w:p>
      <w:pPr>
        <w:pStyle w:val="BodyText"/>
      </w:pPr>
      <w:r>
        <w:t xml:space="preserve">These timelines are mutually incompatible in two ways:</w:t>
      </w:r>
    </w:p>
    <w:p>
      <w:pPr>
        <w:pStyle w:val="Compact"/>
        <w:numPr>
          <w:ilvl w:val="0"/>
          <w:numId w:val="1014"/>
        </w:numPr>
      </w:pPr>
      <w:r>
        <w:rPr>
          <w:b/>
          <w:bCs/>
        </w:rPr>
        <w:t xml:space="preserve">A 510(k) submitted in December 2025 cannot clear by December 31, 2025</w:t>
      </w:r>
      <w:r>
        <w:t xml:space="preserve"> </w:t>
      </w:r>
      <w:r>
        <w:t xml:space="preserve">— the 90-day review alone runs past year-end, before any AI requests.</w:t>
      </w:r>
    </w:p>
    <w:p>
      <w:pPr>
        <w:pStyle w:val="Compact"/>
        <w:numPr>
          <w:ilvl w:val="0"/>
          <w:numId w:val="1014"/>
        </w:numPr>
      </w:pPr>
      <w:r>
        <w:rPr>
          <w:b/>
          <w:bCs/>
        </w:rPr>
        <w:t xml:space="preserve">Clinical data (CSR Q4 2026) cannot be included in a 510(k) that must clear by December 31, 2025.</w:t>
      </w:r>
      <w:r>
        <w:t xml:space="preserve"> </w:t>
      </w:r>
      <w:r>
        <w:t xml:space="preserve">If the 510(k) is to include supportive clinical data (as the cover letter and synopsis contemplate), clearance cannot occur until well into 2026 at the earliest.</w:t>
      </w:r>
    </w:p>
    <w:p>
      <w:pPr>
        <w:pStyle w:val="FirstParagraph"/>
      </w:pPr>
      <w:r>
        <w:t xml:space="preserve">Evelyn’s May 9 statement that the clinical data</w:t>
      </w:r>
      <w:r>
        <w:t xml:space="preserve"> </w:t>
      </w:r>
      <w:r>
        <w:t xml:space="preserve">“</w:t>
      </w:r>
      <w:r>
        <w:t xml:space="preserve">should be available to support the 510(k) filing</w:t>
      </w:r>
      <w:r>
        <w:t xml:space="preserve">”</w:t>
      </w:r>
      <w:r>
        <w:t xml:space="preserve"> </w:t>
      </w:r>
      <w:r>
        <w:t xml:space="preserve">is inconsistent with the synopsis’s own Q4 2026 CSR date.</w:t>
      </w:r>
    </w:p>
    <w:p>
      <w:pPr>
        <w:pStyle w:val="BodyText"/>
      </w:pPr>
      <w:r>
        <w:rPr>
          <w:b/>
          <w:bCs/>
        </w:rPr>
        <w:t xml:space="preserve">Why it matters.</w:t>
      </w:r>
      <w:r>
        <w:t xml:space="preserve"> </w:t>
      </w:r>
      <w:r>
        <w:t xml:space="preserve">The December 31, 2025 milestone appears unachievable under</w:t>
      </w:r>
      <w:r>
        <w:t xml:space="preserve"> </w:t>
      </w:r>
      <w:r>
        <w:rPr>
          <w:i/>
          <w:iCs/>
        </w:rPr>
        <w:t xml:space="preserve">any</w:t>
      </w:r>
      <w:r>
        <w:t xml:space="preserve"> </w:t>
      </w:r>
      <w:r>
        <w:t xml:space="preserve">of the plausible scenarios (with or without clinical data, with or without a pathway change). This is a commercial/financing issue as much as a regulatory one: the Braddock Ventures term sheet and the cash runway depend on it. Kate already flagged that Kendrick &amp; Hale should be looped in if the pathway or timeline shifts.</w:t>
      </w:r>
    </w:p>
    <w:p>
      <w:pPr>
        <w:pStyle w:val="BodyText"/>
      </w:pPr>
      <w:r>
        <w:rPr>
          <w:b/>
          <w:bCs/>
        </w:rPr>
        <w:t xml:space="preserve">Recommendation.</w:t>
      </w:r>
    </w:p>
    <w:p>
      <w:pPr>
        <w:pStyle w:val="Compact"/>
        <w:numPr>
          <w:ilvl w:val="0"/>
          <w:numId w:val="1015"/>
        </w:numPr>
      </w:pPr>
      <w:r>
        <w:rPr>
          <w:b/>
          <w:bCs/>
        </w:rPr>
        <w:t xml:space="preserve">Model the realistic timeline</w:t>
      </w:r>
      <w:r>
        <w:t xml:space="preserve"> </w:t>
      </w:r>
      <w:r>
        <w:t xml:space="preserve">for each scenario (bench-only 510(k); 510(k) with clinical data; combination-product pathway; IDE-required scenario) and identify the earliest achievable clearance date for each.</w:t>
      </w:r>
    </w:p>
    <w:p>
      <w:pPr>
        <w:pStyle w:val="Compact"/>
        <w:numPr>
          <w:ilvl w:val="0"/>
          <w:numId w:val="1015"/>
        </w:numPr>
      </w:pPr>
      <w:r>
        <w:rPr>
          <w:b/>
          <w:bCs/>
        </w:rPr>
        <w:t xml:space="preserve">Decide, before June 15, whether the 510(k) will include clinical data.</w:t>
      </w:r>
      <w:r>
        <w:t xml:space="preserve"> </w:t>
      </w:r>
      <w:r>
        <w:t xml:space="preserve">If yes, the December 31, 2025 milestone must be renegotiated (engage Kendrick &amp; Hale and notify Braddock Ventures/Northgate Capital). If no, recharacterize the clinical study as genuinely post-clearance and resolve the IDE question accordingly (Issue 2).</w:t>
      </w:r>
    </w:p>
    <w:p>
      <w:pPr>
        <w:pStyle w:val="Compact"/>
        <w:numPr>
          <w:ilvl w:val="0"/>
          <w:numId w:val="1015"/>
        </w:numPr>
      </w:pPr>
      <w:r>
        <w:rPr>
          <w:b/>
          <w:bCs/>
        </w:rPr>
        <w:t xml:space="preserve">Communicate timeline risk</w:t>
      </w:r>
      <w:r>
        <w:t xml:space="preserve"> </w:t>
      </w:r>
      <w:r>
        <w:t xml:space="preserve">to Dr. Okonjo and the board now; do not let the Pre-Submission go out implying a December 31, 2025 clearance is on track.</w:t>
      </w:r>
    </w:p>
    <w:p>
      <w:pPr>
        <w:pStyle w:val="Compact"/>
        <w:numPr>
          <w:ilvl w:val="0"/>
          <w:numId w:val="1015"/>
        </w:numPr>
      </w:pPr>
      <w:r>
        <w:rPr>
          <w:b/>
          <w:bCs/>
        </w:rPr>
        <w:t xml:space="preserve">Build contingency</w:t>
      </w:r>
      <w:r>
        <w:t xml:space="preserve"> </w:t>
      </w:r>
      <w:r>
        <w:t xml:space="preserve">for a pathway change (combination product or IDE), each of which extends the timeline further.</w:t>
      </w:r>
    </w:p>
    <w:bookmarkEnd w:id="33"/>
    <w:bookmarkEnd w:id="34"/>
    <w:bookmarkStart w:id="40" w:name="v.-priority-3-medium-severity-issues"/>
    <w:p>
      <w:pPr>
        <w:pStyle w:val="Heading2"/>
      </w:pPr>
      <w:r>
        <w:t xml:space="preserve">V. Priority 3 — Medium-Severity Issues</w:t>
      </w:r>
    </w:p>
    <w:bookmarkStart w:id="35" w:name="X4cdd522b7088632d0262e92627a2a21b9bc341a"/>
    <w:p>
      <w:pPr>
        <w:pStyle w:val="Heading3"/>
      </w:pPr>
      <w:r>
        <w:t xml:space="preserve">Issue 11 — Electromagnetic Compatibility (EMC) Testing Omitted</w:t>
      </w:r>
    </w:p>
    <w:p>
      <w:pPr>
        <w:pStyle w:val="FirstParagraph"/>
      </w:pPr>
      <w:r>
        <w:rPr>
          <w:b/>
          <w:bCs/>
        </w:rPr>
        <w:t xml:space="preserve">Where it appears.</w:t>
      </w:r>
      <w:r>
        <w:t xml:space="preserve"> </w:t>
      </w:r>
      <w:r>
        <w:t xml:space="preserve">Testing Plan § 4.</w:t>
      </w:r>
    </w:p>
    <w:p>
      <w:pPr>
        <w:pStyle w:val="BodyText"/>
      </w:pPr>
      <w:r>
        <w:t xml:space="preserve">The electrical-safety plan covers IEC 60601-1 but does</w:t>
      </w:r>
      <w:r>
        <w:t xml:space="preserve"> </w:t>
      </w:r>
      <w:r>
        <w:rPr>
          <w:b/>
          <w:bCs/>
        </w:rPr>
        <w:t xml:space="preserve">not</w:t>
      </w:r>
      <w:r>
        <w:t xml:space="preserve"> </w:t>
      </w:r>
      <w:r>
        <w:t xml:space="preserve">include IEC 60601-1-2 (EMC) testing. The VascuClear Console is an electromechanical device with a motor, drive electronics, and a touchscreen — a likely source of and susceptible to electromagnetic disturbances. The predicate’s 510(k) summary (§ 5.3) documents a full IEC 60601-1-2:2014 EMC battery (radiated/conducted emissions, ESD, radiated RF, EFT/burst, surge, conducted RF, magnetic field, voltage dips). FDA expects EMC data for powered medical electrical equipment.</w:t>
      </w:r>
      <w:r>
        <w:t xml:space="preserve"> </w:t>
      </w:r>
      <w:r>
        <w:rPr>
          <w:b/>
          <w:bCs/>
        </w:rPr>
        <w:t xml:space="preserve">Add IEC 60601-1-2 EMC testing</w:t>
      </w:r>
      <w:r>
        <w:t xml:space="preserve"> </w:t>
      </w:r>
      <w:r>
        <w:t xml:space="preserve">to the plan, performed at the NRTL.</w:t>
      </w:r>
    </w:p>
    <w:bookmarkEnd w:id="35"/>
    <w:bookmarkStart w:id="36" w:name="Xe0d10ea6dcc4b5e123faf78f4401df5f5e1616a"/>
    <w:p>
      <w:pPr>
        <w:pStyle w:val="Heading3"/>
      </w:pPr>
      <w:r>
        <w:t xml:space="preserve">Issue 12 — Shelf-Life and Packaging Validation Omitted</w:t>
      </w:r>
    </w:p>
    <w:p>
      <w:pPr>
        <w:pStyle w:val="FirstParagraph"/>
      </w:pPr>
      <w:r>
        <w:rPr>
          <w:b/>
          <w:bCs/>
        </w:rPr>
        <w:t xml:space="preserve">Where it appears.</w:t>
      </w:r>
      <w:r>
        <w:t xml:space="preserve"> </w:t>
      </w:r>
      <w:r>
        <w:t xml:space="preserve">Testing Plan § 6.</w:t>
      </w:r>
    </w:p>
    <w:p>
      <w:pPr>
        <w:pStyle w:val="BodyText"/>
      </w:pPr>
      <w:r>
        <w:t xml:space="preserve">The sterilization plan covers EtO process validation (ISO 11135) and residuals (ISO 10993-7) but does</w:t>
      </w:r>
      <w:r>
        <w:t xml:space="preserve"> </w:t>
      </w:r>
      <w:r>
        <w:rPr>
          <w:b/>
          <w:bCs/>
        </w:rPr>
        <w:t xml:space="preserve">not</w:t>
      </w:r>
      <w:r>
        <w:t xml:space="preserve"> </w:t>
      </w:r>
      <w:r>
        <w:t xml:space="preserve">include shelf-life/sterile-barrier validation or distribution simulation. The IFU (§ 12) references an expiration date, and the predicate’s summary (§ 5.4) documents accelerated aging (ASTM F1980, 2-year shelf life) and package integrity (ASTM D4169 distribution simulation; ASTM F2095 seal strength).</w:t>
      </w:r>
      <w:r>
        <w:t xml:space="preserve"> </w:t>
      </w:r>
      <w:r>
        <w:rPr>
          <w:b/>
          <w:bCs/>
        </w:rPr>
        <w:t xml:space="preserve">Add shelf-life (accelerated aging per ASTM F1980) and packaging/distribution validation (ASTM D4169, ASTM F2095)</w:t>
      </w:r>
      <w:r>
        <w:t xml:space="preserve"> </w:t>
      </w:r>
      <w:r>
        <w:t xml:space="preserve">to the plan, and establish the labeled shelf life.</w:t>
      </w:r>
    </w:p>
    <w:bookmarkEnd w:id="36"/>
    <w:bookmarkStart w:id="37" w:name="issue-13-mri-safety-testing-incomplete"/>
    <w:p>
      <w:pPr>
        <w:pStyle w:val="Heading3"/>
      </w:pPr>
      <w:r>
        <w:t xml:space="preserve">Issue 13 — MRI Safety Testing Incomplete</w:t>
      </w:r>
    </w:p>
    <w:p>
      <w:pPr>
        <w:pStyle w:val="FirstParagraph"/>
      </w:pPr>
      <w:r>
        <w:rPr>
          <w:b/>
          <w:bCs/>
        </w:rPr>
        <w:t xml:space="preserve">Where it appears.</w:t>
      </w:r>
      <w:r>
        <w:t xml:space="preserve"> </w:t>
      </w:r>
      <w:r>
        <w:t xml:space="preserve">Draft IFU § 6; Testing Plan (no MRI section).</w:t>
      </w:r>
    </w:p>
    <w:p>
      <w:pPr>
        <w:pStyle w:val="BodyText"/>
      </w:pPr>
      <w:r>
        <w:t xml:space="preserve">The IFU labels the catheter</w:t>
      </w:r>
      <w:r>
        <w:t xml:space="preserve"> </w:t>
      </w:r>
      <w:r>
        <w:t xml:space="preserve">“</w:t>
      </w:r>
      <w:r>
        <w:t xml:space="preserve">MR Conditional</w:t>
      </w:r>
      <w:r>
        <w:t xml:space="preserve">”</w:t>
      </w:r>
      <w:r>
        <w:t xml:space="preserve"> </w:t>
      </w:r>
      <w:r>
        <w:t xml:space="preserve">but contains</w:t>
      </w:r>
      <w:r>
        <w:t xml:space="preserve"> </w:t>
      </w:r>
      <w:r>
        <w:t xml:space="preserve">“</w:t>
      </w:r>
      <w:r>
        <w:t xml:space="preserve">[TBD]</w:t>
      </w:r>
      <w:r>
        <w:t xml:space="preserve">”</w:t>
      </w:r>
      <w:r>
        <w:t xml:space="preserve"> </w:t>
      </w:r>
      <w:r>
        <w:t xml:space="preserve">placeholders for the temperature rise and field strength, and the testing plan contains</w:t>
      </w:r>
      <w:r>
        <w:t xml:space="preserve"> </w:t>
      </w:r>
      <w:r>
        <w:rPr>
          <w:b/>
          <w:bCs/>
        </w:rPr>
        <w:t xml:space="preserve">no MRI safety testing</w:t>
      </w:r>
      <w:r>
        <w:t xml:space="preserve"> </w:t>
      </w:r>
      <w:r>
        <w:t xml:space="preserve">(e.g., per ASTM F2503 / IEC 62570). An MR Conditional claim must be supported by completed, documented testing.</w:t>
      </w:r>
      <w:r>
        <w:t xml:space="preserve"> </w:t>
      </w:r>
      <w:r>
        <w:rPr>
          <w:b/>
          <w:bCs/>
        </w:rPr>
        <w:t xml:space="preserve">Complete MRI safety testing</w:t>
      </w:r>
      <w:r>
        <w:t xml:space="preserve">, fill in the IFU values, and add the testing to the plan. (The console is correctly labeled MR Unsafe.)</w:t>
      </w:r>
    </w:p>
    <w:bookmarkEnd w:id="37"/>
    <w:bookmarkStart w:id="38" w:name="X40f7e7e0924de5f9749c5b89edb60bd582c6013"/>
    <w:p>
      <w:pPr>
        <w:pStyle w:val="Heading3"/>
      </w:pPr>
      <w:r>
        <w:t xml:space="preserve">Issue 14 — Dynamic Hemolysis from the Rotating Impeller Not Specifically Tested</w:t>
      </w:r>
    </w:p>
    <w:p>
      <w:pPr>
        <w:pStyle w:val="FirstParagraph"/>
      </w:pPr>
      <w:r>
        <w:rPr>
          <w:b/>
          <w:bCs/>
        </w:rPr>
        <w:t xml:space="preserve">Where it appears.</w:t>
      </w:r>
      <w:r>
        <w:t xml:space="preserve"> </w:t>
      </w:r>
      <w:r>
        <w:t xml:space="preserve">Testing Plan § 2.2 (hemocompatibility).</w:t>
      </w:r>
    </w:p>
    <w:p>
      <w:pPr>
        <w:pStyle w:val="BodyText"/>
      </w:pPr>
      <w:r>
        <w:t xml:space="preserve">The hemocompatibility battery (ISO 10993-4) includes hemolysis, complement activation, and thrombogenicity, but these are standard</w:t>
      </w:r>
      <w:r>
        <w:t xml:space="preserve"> </w:t>
      </w:r>
      <w:r>
        <w:rPr>
          <w:i/>
          <w:iCs/>
        </w:rPr>
        <w:t xml:space="preserve">static/contact</w:t>
      </w:r>
      <w:r>
        <w:t xml:space="preserve"> </w:t>
      </w:r>
      <w:r>
        <w:t xml:space="preserve">assessments. A rotating impeller at 12,000 RPM in circulating blood presents a distinct mechanical-hemolysis risk (shear-induced red-cell damage) that static testing may not capture.</w:t>
      </w:r>
      <w:r>
        <w:t xml:space="preserve"> </w:t>
      </w:r>
      <w:r>
        <w:rPr>
          <w:b/>
          <w:bCs/>
        </w:rPr>
        <w:t xml:space="preserve">Add a dynamic/operating hemolysis test</w:t>
      </w:r>
      <w:r>
        <w:t xml:space="preserve"> </w:t>
      </w:r>
      <w:r>
        <w:t xml:space="preserve">with the impeller running at clinical speeds in blood (or an agreed surrogate), distinct from the static ISO 10993-4 hemolysis assessment. This is especially relevant given the aspiration-pressure magnitude (Issue 18) and the particulate testing.</w:t>
      </w:r>
    </w:p>
    <w:bookmarkEnd w:id="38"/>
    <w:bookmarkStart w:id="39" w:name="X546c8bd5de3c256c2a8971b65b74d763cd58ff9"/>
    <w:p>
      <w:pPr>
        <w:pStyle w:val="Heading3"/>
      </w:pPr>
      <w:r>
        <w:t xml:space="preserve">Issue 15 — Internal Inconsistencies Across Documents</w:t>
      </w:r>
    </w:p>
    <w:p>
      <w:pPr>
        <w:pStyle w:val="FirstParagraph"/>
      </w:pPr>
      <w:r>
        <w:t xml:space="preserve">Several inconsistencies should be reconciled before filing, as each can undermine credibility on review:</w:t>
      </w:r>
    </w:p>
    <w:p>
      <w:pPr>
        <w:pStyle w:val="Compact"/>
        <w:numPr>
          <w:ilvl w:val="0"/>
          <w:numId w:val="1016"/>
        </w:numPr>
      </w:pPr>
      <w:r>
        <w:rPr>
          <w:b/>
          <w:bCs/>
        </w:rPr>
        <w:t xml:space="preserve">Console dimensions and weight.</w:t>
      </w:r>
      <w:r>
        <w:t xml:space="preserve"> </w:t>
      </w:r>
      <w:r>
        <w:t xml:space="preserve">Device Description § 2.3 states ~40 × 35 × 20 cm, ~15 kg; IFU § 13 states ~30 × 25 × 15 cm, ~4.5 kg. These differ materially. Reconcile to the as-built specification.</w:t>
      </w:r>
    </w:p>
    <w:p>
      <w:pPr>
        <w:pStyle w:val="Compact"/>
        <w:numPr>
          <w:ilvl w:val="0"/>
          <w:numId w:val="1016"/>
        </w:numPr>
      </w:pPr>
      <w:r>
        <w:rPr>
          <w:b/>
          <w:bCs/>
        </w:rPr>
        <w:t xml:space="preserve">Predicate intended-use population (Testing Plan App. A, Table A-1).</w:t>
      </w:r>
      <w:r>
        <w:t xml:space="preserve"> </w:t>
      </w:r>
      <w:r>
        <w:t xml:space="preserve">The table lists the ThrombEx 200’s</w:t>
      </w:r>
      <w:r>
        <w:t xml:space="preserve"> </w:t>
      </w:r>
      <w:r>
        <w:t xml:space="preserve">“</w:t>
      </w:r>
      <w:r>
        <w:t xml:space="preserve">Intended Use Population</w:t>
      </w:r>
      <w:r>
        <w:t xml:space="preserve">”</w:t>
      </w:r>
      <w:r>
        <w:t xml:space="preserve"> </w:t>
      </w:r>
      <w:r>
        <w:t xml:space="preserve">as</w:t>
      </w:r>
      <w:r>
        <w:t xml:space="preserve"> </w:t>
      </w:r>
      <w:r>
        <w:t xml:space="preserve">“</w:t>
      </w:r>
      <w:r>
        <w:t xml:space="preserve">Adults with acute DVT, iliofemoral venous segment.</w:t>
      </w:r>
      <w:r>
        <w:t xml:space="preserve">”</w:t>
      </w:r>
      <w:r>
        <w:t xml:space="preserve"> </w:t>
      </w:r>
      <w:r>
        <w:t xml:space="preserve">This is</w:t>
      </w:r>
      <w:r>
        <w:t xml:space="preserve"> </w:t>
      </w:r>
      <w:r>
        <w:rPr>
          <w:b/>
          <w:bCs/>
        </w:rPr>
        <w:t xml:space="preserve">incorrect</w:t>
      </w:r>
      <w:r>
        <w:t xml:space="preserve">. The predicate’s cleared indication (510(k) Summary § 2; Device Description § 3.3) is</w:t>
      </w:r>
      <w:r>
        <w:t xml:space="preserve"> </w:t>
      </w:r>
      <w:r>
        <w:t xml:space="preserve">“</w:t>
      </w:r>
      <w:r>
        <w:t xml:space="preserve">percutaneous removal of thrombus from the peripheral vasculature</w:t>
      </w:r>
      <w:r>
        <w:t xml:space="preserve">”</w:t>
      </w:r>
      <w:r>
        <w:t xml:space="preserve"> </w:t>
      </w:r>
      <w:r>
        <w:t xml:space="preserve">— broad, arterial</w:t>
      </w:r>
      <w:r>
        <w:t xml:space="preserve"> </w:t>
      </w:r>
      <w:r>
        <w:rPr>
          <w:i/>
          <w:iCs/>
        </w:rPr>
        <w:t xml:space="preserve">and</w:t>
      </w:r>
      <w:r>
        <w:t xml:space="preserve"> </w:t>
      </w:r>
      <w:r>
        <w:t xml:space="preserve">venous, with no DVT or iliofemoral limitation. Correct Table A-1; the misstatement overstates the predicate’s similarity.</w:t>
      </w:r>
    </w:p>
    <w:p>
      <w:pPr>
        <w:pStyle w:val="Compact"/>
        <w:numPr>
          <w:ilvl w:val="0"/>
          <w:numId w:val="1016"/>
        </w:numPr>
      </w:pPr>
      <w:r>
        <w:rPr>
          <w:b/>
          <w:bCs/>
        </w:rPr>
        <w:t xml:space="preserve">Impeller material.</w:t>
      </w:r>
      <w:r>
        <w:t xml:space="preserve"> </w:t>
      </w:r>
      <w:r>
        <w:t xml:space="preserve">Device Description § 2.2 describes the impeller as</w:t>
      </w:r>
      <w:r>
        <w:t xml:space="preserve"> </w:t>
      </w:r>
      <w:r>
        <w:t xml:space="preserve">“</w:t>
      </w:r>
      <w:r>
        <w:t xml:space="preserve">medical-grade stainless steel</w:t>
      </w:r>
      <w:r>
        <w:t xml:space="preserve">”</w:t>
      </w:r>
      <w:r>
        <w:t xml:space="preserve"> </w:t>
      </w:r>
      <w:r>
        <w:t xml:space="preserve">with nitinol in</w:t>
      </w:r>
      <w:r>
        <w:t xml:space="preserve"> </w:t>
      </w:r>
      <w:r>
        <w:t xml:space="preserve">“</w:t>
      </w:r>
      <w:r>
        <w:t xml:space="preserve">distal tip structural elements</w:t>
      </w:r>
      <w:r>
        <w:t xml:space="preserve">”</w:t>
      </w:r>
      <w:r>
        <w:t xml:space="preserve">; Testing Plan § 2.3 describes the impeller as</w:t>
      </w:r>
      <w:r>
        <w:t xml:space="preserve"> </w:t>
      </w:r>
      <w:r>
        <w:t xml:space="preserve">“</w:t>
      </w:r>
      <w:r>
        <w:t xml:space="preserve">Nitinol (nickel-titanium alloy)</w:t>
      </w:r>
      <w:r>
        <w:t xml:space="preserve">”</w:t>
      </w:r>
      <w:r>
        <w:t xml:space="preserve"> </w:t>
      </w:r>
      <w:r>
        <w:t xml:space="preserve">and the housing as</w:t>
      </w:r>
      <w:r>
        <w:t xml:space="preserve"> </w:t>
      </w:r>
      <w:r>
        <w:t xml:space="preserve">“</w:t>
      </w:r>
      <w:r>
        <w:t xml:space="preserve">Stainless steel 316L.</w:t>
      </w:r>
      <w:r>
        <w:t xml:space="preserve">”</w:t>
      </w:r>
      <w:r>
        <w:t xml:space="preserve"> </w:t>
      </w:r>
      <w:r>
        <w:t xml:space="preserve">These directly contradict each other on what the rotating impeller is made of. Reconcile. If the impeller is nitinol,</w:t>
      </w:r>
      <w:r>
        <w:t xml:space="preserve"> </w:t>
      </w:r>
      <w:r>
        <w:rPr>
          <w:b/>
          <w:bCs/>
        </w:rPr>
        <w:t xml:space="preserve">nickel release and nickel sensitization</w:t>
      </w:r>
      <w:r>
        <w:t xml:space="preserve"> </w:t>
      </w:r>
      <w:r>
        <w:t xml:space="preserve">must be addressed in biocompatibility (ISO 10993-18 / nickel-specific testing), and the IFU contraindications (§ 3), which list only</w:t>
      </w:r>
      <w:r>
        <w:t xml:space="preserve"> </w:t>
      </w:r>
      <w:r>
        <w:t xml:space="preserve">“</w:t>
      </w:r>
      <w:r>
        <w:t xml:space="preserve">stainless steel,</w:t>
      </w:r>
      <w:r>
        <w:t xml:space="preserve">”</w:t>
      </w:r>
      <w:r>
        <w:t xml:space="preserve"> </w:t>
      </w:r>
      <w:r>
        <w:t xml:space="preserve">must be updated to include nitinol/nickel.</w:t>
      </w:r>
    </w:p>
    <w:p>
      <w:pPr>
        <w:pStyle w:val="Compact"/>
        <w:numPr>
          <w:ilvl w:val="0"/>
          <w:numId w:val="1016"/>
        </w:numPr>
      </w:pPr>
      <w:r>
        <w:rPr>
          <w:b/>
          <w:bCs/>
        </w:rPr>
        <w:t xml:space="preserve">Predicate aspiration pressure</w:t>
      </w:r>
      <w:r>
        <w:rPr>
          <w:b/>
          <w:bCs/>
        </w:rPr>
        <w:t xml:space="preserve"> </w:t>
      </w:r>
      <w:r>
        <w:rPr>
          <w:b/>
          <w:bCs/>
        </w:rPr>
        <w:t xml:space="preserve">“</w:t>
      </w:r>
      <w:r>
        <w:rPr>
          <w:b/>
          <w:bCs/>
        </w:rPr>
        <w:t xml:space="preserve">not specified.</w:t>
      </w:r>
      <w:r>
        <w:rPr>
          <w:b/>
          <w:bCs/>
        </w:rPr>
        <w:t xml:space="preserve">”</w:t>
      </w:r>
      <w:r>
        <w:t xml:space="preserve"> </w:t>
      </w:r>
      <w:r>
        <w:t xml:space="preserve">The Device Description comparison table states the predicate’s maximum aspiration pressure is</w:t>
      </w:r>
      <w:r>
        <w:t xml:space="preserve"> </w:t>
      </w:r>
      <w:r>
        <w:t xml:space="preserve">“</w:t>
      </w:r>
      <w:r>
        <w:t xml:space="preserve">Not specified in publicly available 510(k) summary.</w:t>
      </w:r>
      <w:r>
        <w:t xml:space="preserve">”</w:t>
      </w:r>
      <w:r>
        <w:t xml:space="preserve"> </w:t>
      </w:r>
      <w:r>
        <w:t xml:space="preserve">It</w:t>
      </w:r>
      <w:r>
        <w:t xml:space="preserve"> </w:t>
      </w:r>
      <w:r>
        <w:rPr>
          <w:i/>
          <w:iCs/>
        </w:rPr>
        <w:t xml:space="preserve">is</w:t>
      </w:r>
      <w:r>
        <w:t xml:space="preserve"> </w:t>
      </w:r>
      <w:r>
        <w:t xml:space="preserve">specified: the 510(k) Summary § 5.2 reports a minimum of −300 mmHg and an operating range of −250 to −350 mmHg. Correct the table and address the magnitude difference (Issue 18).</w:t>
      </w:r>
    </w:p>
    <w:p>
      <w:pPr>
        <w:pStyle w:val="Compact"/>
        <w:numPr>
          <w:ilvl w:val="0"/>
          <w:numId w:val="1016"/>
        </w:numPr>
      </w:pPr>
      <w:r>
        <w:rPr>
          <w:b/>
          <w:bCs/>
        </w:rPr>
        <w:t xml:space="preserve">IFU material references.</w:t>
      </w:r>
      <w:r>
        <w:t xml:space="preserve"> </w:t>
      </w:r>
      <w:r>
        <w:t xml:space="preserve">IFU § 3 (contraindications) lists</w:t>
      </w:r>
      <w:r>
        <w:t xml:space="preserve"> </w:t>
      </w:r>
      <w:r>
        <w:t xml:space="preserve">“</w:t>
      </w:r>
      <w:r>
        <w:t xml:space="preserve">polyurethane, stainless steel, and barium sulfate</w:t>
      </w:r>
      <w:r>
        <w:t xml:space="preserve">”</w:t>
      </w:r>
      <w:r>
        <w:t xml:space="preserve">; the clinical synopsis exclusion criteria (§ 7.3) list</w:t>
      </w:r>
      <w:r>
        <w:t xml:space="preserve"> </w:t>
      </w:r>
      <w:r>
        <w:t xml:space="preserve">“</w:t>
      </w:r>
      <w:r>
        <w:t xml:space="preserve">polyurethane and silicone</w:t>
      </w:r>
      <w:r>
        <w:t xml:space="preserve">”</w:t>
      </w:r>
      <w:r>
        <w:t xml:space="preserve"> </w:t>
      </w:r>
      <w:r>
        <w:t xml:space="preserve">(silicone is not a documented catheter material anywhere else). IFU § 9 states the infusion lumen is</w:t>
      </w:r>
      <w:r>
        <w:t xml:space="preserve"> </w:t>
      </w:r>
      <w:r>
        <w:t xml:space="preserve">“</w:t>
      </w:r>
      <w:r>
        <w:t xml:space="preserve">medical-grade polyurethane,</w:t>
      </w:r>
      <w:r>
        <w:t xml:space="preserve">”</w:t>
      </w:r>
      <w:r>
        <w:t xml:space="preserve"> </w:t>
      </w:r>
      <w:r>
        <w:t xml:space="preserve">while the Testing Plan § 2.3 states the infusion lumen liner is PTFE. Reconcile all material references to the device description and testing plan.</w:t>
      </w:r>
    </w:p>
    <w:bookmarkEnd w:id="39"/>
    <w:bookmarkEnd w:id="40"/>
    <w:bookmarkStart w:id="47" w:name="X256db2a90755f6d08e4daae75528fe354dc2980"/>
    <w:p>
      <w:pPr>
        <w:pStyle w:val="Heading2"/>
      </w:pPr>
      <w:r>
        <w:t xml:space="preserve">VI. Priority 4 — Lower-Severity / Strategic Issues</w:t>
      </w:r>
    </w:p>
    <w:bookmarkStart w:id="41" w:name="Xb75c3301823aa1d2f354beb69ac8908dfd44811"/>
    <w:p>
      <w:pPr>
        <w:pStyle w:val="Heading3"/>
      </w:pPr>
      <w:r>
        <w:t xml:space="preserve">Issue 16 — Cover Letter Omits the Two Questions Recommended by Counsel</w:t>
      </w:r>
    </w:p>
    <w:p>
      <w:pPr>
        <w:pStyle w:val="FirstParagraph"/>
      </w:pPr>
      <w:r>
        <w:t xml:space="preserve">The cover letter’s Section VI poses six questions but does</w:t>
      </w:r>
      <w:r>
        <w:t xml:space="preserve"> </w:t>
      </w:r>
      <w:r>
        <w:rPr>
          <w:b/>
          <w:bCs/>
        </w:rPr>
        <w:t xml:space="preserve">not</w:t>
      </w:r>
      <w:r>
        <w:t xml:space="preserve"> </w:t>
      </w:r>
      <w:r>
        <w:t xml:space="preserve">include (a) the combination-product classification question or (b) the IDE-requirement question, both of which Kate recommended in the May 12 email. The Pre-Submission is the appropriate and most cost-effective venue to obtain FDA’s view on these threshold questions before the pathway is committed.</w:t>
      </w:r>
      <w:r>
        <w:t xml:space="preserve"> </w:t>
      </w:r>
      <w:r>
        <w:rPr>
          <w:b/>
          <w:bCs/>
        </w:rPr>
        <w:t xml:space="preserve">Add both questions</w:t>
      </w:r>
      <w:r>
        <w:t xml:space="preserve"> </w:t>
      </w:r>
      <w:r>
        <w:t xml:space="preserve">to Section VI (see Issues 1 and 2). Linda’s decision on whether to add them is the gating item for finalizing the package.</w:t>
      </w:r>
    </w:p>
    <w:bookmarkEnd w:id="41"/>
    <w:bookmarkStart w:id="42" w:name="Xe49c3654ceaebe7c01363f55f9b70ca65dbbf79"/>
    <w:p>
      <w:pPr>
        <w:pStyle w:val="Heading3"/>
      </w:pPr>
      <w:r>
        <w:t xml:space="preserve">Issue 17 — The SE</w:t>
      </w:r>
      <w:r>
        <w:t xml:space="preserve"> </w:t>
      </w:r>
      <w:r>
        <w:t xml:space="preserve">“</w:t>
      </w:r>
      <w:r>
        <w:t xml:space="preserve">Narrowing</w:t>
      </w:r>
      <w:r>
        <w:t xml:space="preserve">”</w:t>
      </w:r>
      <w:r>
        <w:t xml:space="preserve"> </w:t>
      </w:r>
      <w:r>
        <w:t xml:space="preserve">Argument Mischaracterizes the Drug-Delivery Claim</w:t>
      </w:r>
    </w:p>
    <w:p>
      <w:pPr>
        <w:pStyle w:val="FirstParagraph"/>
      </w:pPr>
      <w:r>
        <w:t xml:space="preserve">Device Description § 5.1 argues that the VascuClear’s indication is a</w:t>
      </w:r>
      <w:r>
        <w:t xml:space="preserve"> </w:t>
      </w:r>
      <w:r>
        <w:t xml:space="preserve">“</w:t>
      </w:r>
      <w:r>
        <w:t xml:space="preserve">narrowing</w:t>
      </w:r>
      <w:r>
        <w:t xml:space="preserve">”</w:t>
      </w:r>
      <w:r>
        <w:t xml:space="preserve"> </w:t>
      </w:r>
      <w:r>
        <w:t xml:space="preserve">of the predicate’s broader</w:t>
      </w:r>
      <w:r>
        <w:t xml:space="preserve"> </w:t>
      </w:r>
      <w:r>
        <w:t xml:space="preserve">“</w:t>
      </w:r>
      <w:r>
        <w:t xml:space="preserve">peripheral vasculature</w:t>
      </w:r>
      <w:r>
        <w:t xml:space="preserve">”</w:t>
      </w:r>
      <w:r>
        <w:t xml:space="preserve"> </w:t>
      </w:r>
      <w:r>
        <w:t xml:space="preserve">indication, supporting SE. The narrowing logic holds for the</w:t>
      </w:r>
      <w:r>
        <w:t xml:space="preserve"> </w:t>
      </w:r>
      <w:r>
        <w:rPr>
          <w:i/>
          <w:iCs/>
        </w:rPr>
        <w:t xml:space="preserve">anatomical/population</w:t>
      </w:r>
      <w:r>
        <w:t xml:space="preserve"> </w:t>
      </w:r>
      <w:r>
        <w:t xml:space="preserve">scope (iliofemoral DVT ⊂ peripheral vasculature). It does</w:t>
      </w:r>
      <w:r>
        <w:t xml:space="preserve"> </w:t>
      </w:r>
      <w:r>
        <w:rPr>
          <w:b/>
          <w:bCs/>
        </w:rPr>
        <w:t xml:space="preserve">not</w:t>
      </w:r>
      <w:r>
        <w:t xml:space="preserve"> </w:t>
      </w:r>
      <w:r>
        <w:t xml:space="preserve">hold for the drug-delivery function:</w:t>
      </w:r>
      <w:r>
        <w:t xml:space="preserve"> </w:t>
      </w:r>
      <w:r>
        <w:t xml:space="preserve">“</w:t>
      </w:r>
      <w:r>
        <w:t xml:space="preserve">simultaneous local delivery of physician-specified thrombolytic agents</w:t>
      </w:r>
      <w:r>
        <w:t xml:space="preserve">”</w:t>
      </w:r>
      <w:r>
        <w:t xml:space="preserve"> </w:t>
      </w:r>
      <w:r>
        <w:t xml:space="preserve">is an</w:t>
      </w:r>
      <w:r>
        <w:t xml:space="preserve"> </w:t>
      </w:r>
      <w:r>
        <w:rPr>
          <w:b/>
          <w:bCs/>
        </w:rPr>
        <w:t xml:space="preserve">addition</w:t>
      </w:r>
      <w:r>
        <w:t xml:space="preserve"> </w:t>
      </w:r>
      <w:r>
        <w:t xml:space="preserve">of a new therapeutic function that the predicate does not have. Presenting it as part of a</w:t>
      </w:r>
      <w:r>
        <w:t xml:space="preserve"> </w:t>
      </w:r>
      <w:r>
        <w:t xml:space="preserve">“</w:t>
      </w:r>
      <w:r>
        <w:t xml:space="preserve">narrowing</w:t>
      </w:r>
      <w:r>
        <w:t xml:space="preserve">”</w:t>
      </w:r>
      <w:r>
        <w:t xml:space="preserve"> </w:t>
      </w:r>
      <w:r>
        <w:t xml:space="preserve">is analytically incorrect and invites FDA to question the rigor of the SE analysis.</w:t>
      </w:r>
      <w:r>
        <w:t xml:space="preserve"> </w:t>
      </w:r>
      <w:r>
        <w:rPr>
          <w:b/>
          <w:bCs/>
        </w:rPr>
        <w:t xml:space="preserve">Reframe</w:t>
      </w:r>
      <w:r>
        <w:t xml:space="preserve">: acknowledge drug delivery as an additional feature and support it with reference devices and testing (Issues 3, 7, 8).</w:t>
      </w:r>
    </w:p>
    <w:bookmarkEnd w:id="42"/>
    <w:bookmarkStart w:id="43" w:name="X9a280648ead745f4fbecfc68e9837ac2cd71aa3"/>
    <w:p>
      <w:pPr>
        <w:pStyle w:val="Heading3"/>
      </w:pPr>
      <w:r>
        <w:t xml:space="preserve">Issue 18 — Aspiration-Pressure Magnitude Difference Is Unaddressed</w:t>
      </w:r>
    </w:p>
    <w:p>
      <w:pPr>
        <w:pStyle w:val="FirstParagraph"/>
      </w:pPr>
      <w:r>
        <w:t xml:space="preserve">The VascuClear’s maximum aspiration pressure is −650 mmHg; the predicate’s is ~−300 mmHg (range −250 to −350). The VascuClear therefore applies roughly</w:t>
      </w:r>
      <w:r>
        <w:t xml:space="preserve"> </w:t>
      </w:r>
      <w:r>
        <w:rPr>
          <w:b/>
          <w:bCs/>
        </w:rPr>
        <w:t xml:space="preserve">double</w:t>
      </w:r>
      <w:r>
        <w:t xml:space="preserve"> </w:t>
      </w:r>
      <w:r>
        <w:t xml:space="preserve">the predicate’s maximum negative pressure. The SE discussion does not address this magnitude difference or its safety implications (vessel collapse, endothelial injury, hemolysis).</w:t>
      </w:r>
      <w:r>
        <w:t xml:space="preserve"> </w:t>
      </w:r>
      <w:r>
        <w:rPr>
          <w:b/>
          <w:bCs/>
        </w:rPr>
        <w:t xml:space="preserve">Add a discussion</w:t>
      </w:r>
      <w:r>
        <w:t xml:space="preserve"> </w:t>
      </w:r>
      <w:r>
        <w:t xml:space="preserve">of the aspiration-pressure difference and the safety data (aspiration flow verification, dynamic hemolysis) that addresses it.</w:t>
      </w:r>
    </w:p>
    <w:bookmarkEnd w:id="43"/>
    <w:bookmarkStart w:id="44" w:name="X4c702890ffae28ea2364e56e87c293814630aec"/>
    <w:p>
      <w:pPr>
        <w:pStyle w:val="Heading3"/>
      </w:pPr>
      <w:r>
        <w:t xml:space="preserve">Issue 19 — Bench (80%) vs. Clinical (50%) Thrombus-Removal Threshold Disconnect</w:t>
      </w:r>
    </w:p>
    <w:p>
      <w:pPr>
        <w:pStyle w:val="FirstParagraph"/>
      </w:pPr>
      <w:r>
        <w:t xml:space="preserve">The bench acceptance criterion is ≥80% thrombus removal by weight after a single pass (Testing Plan § 7.2); the clinical primary endpoint is ≥50% thrombus removal at 24 hours (Synopsis § 9.1). The substantial gap should be explained (e.g., single-pass bench vs. multi-pass clinical; weight vs. venographic score; immediate vs. 24-hour assessment).</w:t>
      </w:r>
      <w:r>
        <w:t xml:space="preserve"> </w:t>
      </w:r>
      <w:r>
        <w:rPr>
          <w:b/>
          <w:bCs/>
        </w:rPr>
        <w:t xml:space="preserve">Add a bridging explanation</w:t>
      </w:r>
      <w:r>
        <w:t xml:space="preserve"> </w:t>
      </w:r>
      <w:r>
        <w:t xml:space="preserve">so the two thresholds appear coherent rather than arbitrary.</w:t>
      </w:r>
    </w:p>
    <w:bookmarkEnd w:id="44"/>
    <w:bookmarkStart w:id="45" w:name="X35ce3967840edc45c553d3b14fc05c8195b0938"/>
    <w:p>
      <w:pPr>
        <w:pStyle w:val="Heading3"/>
      </w:pPr>
      <w:r>
        <w:t xml:space="preserve">Issue 20 — Applied-Part Classification (Type BF) — Confirm Adequacy</w:t>
      </w:r>
    </w:p>
    <w:p>
      <w:pPr>
        <w:pStyle w:val="FirstParagraph"/>
      </w:pPr>
      <w:r>
        <w:t xml:space="preserve">The console is classified as Class I equipment with a</w:t>
      </w:r>
      <w:r>
        <w:t xml:space="preserve"> </w:t>
      </w:r>
      <w:r>
        <w:rPr>
          <w:b/>
          <w:bCs/>
        </w:rPr>
        <w:t xml:space="preserve">Type BF</w:t>
      </w:r>
      <w:r>
        <w:t xml:space="preserve"> </w:t>
      </w:r>
      <w:r>
        <w:t xml:space="preserve">applied part (Testing Plan § 4.1), reflecting direct contact with the patient’s blood via the catheter. Type BF is generally acceptable for non-cardiac vascular access; however, because the catheter is advanced in the venous system toward the central circulation,</w:t>
      </w:r>
      <w:r>
        <w:t xml:space="preserve"> </w:t>
      </w:r>
      <w:r>
        <w:rPr>
          <w:b/>
          <w:bCs/>
        </w:rPr>
        <w:t xml:space="preserve">confirm with the test lab</w:t>
      </w:r>
      <w:r>
        <w:t xml:space="preserve"> </w:t>
      </w:r>
      <w:r>
        <w:t xml:space="preserve">that Type BF (rather than Type CF) is appropriate for the worst-case anatomical position, and that the leakage-current limits are accordingly correct.</w:t>
      </w:r>
    </w:p>
    <w:bookmarkEnd w:id="45"/>
    <w:bookmarkStart w:id="46" w:name="X90f657813023a78c68123982e9ad13b4652df4f"/>
    <w:p>
      <w:pPr>
        <w:pStyle w:val="Heading3"/>
      </w:pPr>
      <w:r>
        <w:t xml:space="preserve">Issue 21 — Hydrophilic Coating and Adhesive Chemistries Undefined; Delamination Not Addressed</w:t>
      </w:r>
    </w:p>
    <w:p>
      <w:pPr>
        <w:pStyle w:val="FirstParagraph"/>
      </w:pPr>
      <w:r>
        <w:t xml:space="preserve">Testing Plan § 2.3 lists a hydrophilic coating and adhesives/bonding agents as materials to be characterized, but notes the coating chemistry is</w:t>
      </w:r>
      <w:r>
        <w:t xml:space="preserve"> </w:t>
      </w:r>
      <w:r>
        <w:t xml:space="preserve">“</w:t>
      </w:r>
      <w:r>
        <w:t xml:space="preserve">to be characterized</w:t>
      </w:r>
      <w:r>
        <w:t xml:space="preserve">”</w:t>
      </w:r>
      <w:r>
        <w:t xml:space="preserve"> </w:t>
      </w:r>
      <w:r>
        <w:t xml:space="preserve">and the adhesive formulations</w:t>
      </w:r>
      <w:r>
        <w:t xml:space="preserve"> </w:t>
      </w:r>
      <w:r>
        <w:t xml:space="preserve">“</w:t>
      </w:r>
      <w:r>
        <w:t xml:space="preserve">to be identified and characterized.</w:t>
      </w:r>
      <w:r>
        <w:t xml:space="preserve">”</w:t>
      </w:r>
      <w:r>
        <w:t xml:space="preserve"> </w:t>
      </w:r>
      <w:r>
        <w:t xml:space="preserve">Hydrophilic coatings can delaminate and generate particulates — a recognized risk for coated catheters. The particulate testing (§ 3.3) addresses impeller-generated particulates but not coating delamination specifically.</w:t>
      </w:r>
      <w:r>
        <w:t xml:space="preserve"> </w:t>
      </w:r>
      <w:r>
        <w:rPr>
          <w:b/>
          <w:bCs/>
        </w:rPr>
        <w:t xml:space="preserve">Define the coating and adhesive chemistries</w:t>
      </w:r>
      <w:r>
        <w:t xml:space="preserve">, complete the ISO 10993-18 characterization, and</w:t>
      </w:r>
      <w:r>
        <w:t xml:space="preserve"> </w:t>
      </w:r>
      <w:r>
        <w:rPr>
          <w:b/>
          <w:bCs/>
        </w:rPr>
        <w:t xml:space="preserve">add coating-integrity/delamination testing</w:t>
      </w:r>
      <w:r>
        <w:t xml:space="preserve"> </w:t>
      </w:r>
      <w:r>
        <w:t xml:space="preserve">(e.g., after simulated use and fatigue).</w:t>
      </w:r>
    </w:p>
    <w:bookmarkEnd w:id="46"/>
    <w:bookmarkEnd w:id="47"/>
    <w:bookmarkStart w:id="48" w:name="vii.-recommended-actions-and-next-steps"/>
    <w:p>
      <w:pPr>
        <w:pStyle w:val="Heading2"/>
      </w:pPr>
      <w:r>
        <w:t xml:space="preserve">VII. Recommended Actions and Next Steps</w:t>
      </w:r>
    </w:p>
    <w:p>
      <w:pPr>
        <w:pStyle w:val="FirstParagraph"/>
      </w:pPr>
      <w:r>
        <w:rPr>
          <w:b/>
          <w:bCs/>
        </w:rPr>
        <w:t xml:space="preserve">Gating decision (Linda, before June 15):</w:t>
      </w:r>
      <w:r>
        <w:t xml:space="preserve"> </w:t>
      </w:r>
      <w:r>
        <w:t xml:space="preserve">Whether to add the combination-product and IDE questions to the cover letter (Issues 1, 2, 16). I strongly recommend adding both. This is the single most consequential decision remaining for the package.</w:t>
      </w:r>
    </w:p>
    <w:p>
      <w:pPr>
        <w:pStyle w:val="BodyText"/>
      </w:pPr>
      <w:r>
        <w:rPr>
          <w:b/>
          <w:bCs/>
        </w:rPr>
        <w:t xml:space="preserve">Before filing (target: on or before June 15):</w:t>
      </w:r>
    </w:p>
    <w:p>
      <w:pPr>
        <w:pStyle w:val="Compact"/>
        <w:numPr>
          <w:ilvl w:val="0"/>
          <w:numId w:val="1017"/>
        </w:numPr>
      </w:pPr>
      <w:r>
        <w:t xml:space="preserve">Add the combination-product and IDE questions to the cover letter; prepare the underlying 21 CFR 3.2(e) and SR/NSR analyses for the file; consider an RFD to OCP (Issues 1, 2, 16).</w:t>
      </w:r>
    </w:p>
    <w:p>
      <w:pPr>
        <w:pStyle w:val="Compact"/>
        <w:numPr>
          <w:ilvl w:val="0"/>
          <w:numId w:val="1017"/>
        </w:numPr>
      </w:pPr>
      <w:r>
        <w:t xml:space="preserve">Correct the</w:t>
      </w:r>
      <w:r>
        <w:t xml:space="preserve"> </w:t>
      </w:r>
      <w:r>
        <w:t xml:space="preserve">“</w:t>
      </w:r>
      <w:r>
        <w:t xml:space="preserve">post-clearance</w:t>
      </w:r>
      <w:r>
        <w:t xml:space="preserve">”</w:t>
      </w:r>
      <w:r>
        <w:t xml:space="preserve"> </w:t>
      </w:r>
      <w:r>
        <w:t xml:space="preserve">characterization in the clinical synopsis and reconcile it with the cover letter (Issue 2).</w:t>
      </w:r>
    </w:p>
    <w:p>
      <w:pPr>
        <w:pStyle w:val="Compact"/>
        <w:numPr>
          <w:ilvl w:val="0"/>
          <w:numId w:val="1017"/>
        </w:numPr>
      </w:pPr>
      <w:r>
        <w:t xml:space="preserve">Reconcile the biocompatibility contact duration: either remove the 72-hour indwell claim or reclassify to</w:t>
      </w:r>
      <w:r>
        <w:t xml:space="preserve"> </w:t>
      </w:r>
      <w:r>
        <w:t xml:space="preserve">“</w:t>
      </w:r>
      <w:r>
        <w:t xml:space="preserve">prolonged</w:t>
      </w:r>
      <w:r>
        <w:t xml:space="preserve">”</w:t>
      </w:r>
      <w:r>
        <w:t xml:space="preserve"> </w:t>
      </w:r>
      <w:r>
        <w:t xml:space="preserve">and add endpoints (Issue 4).</w:t>
      </w:r>
    </w:p>
    <w:p>
      <w:pPr>
        <w:pStyle w:val="Compact"/>
        <w:numPr>
          <w:ilvl w:val="0"/>
          <w:numId w:val="1017"/>
        </w:numPr>
      </w:pPr>
      <w:r>
        <w:t xml:space="preserve">Redesign the impeller fatigue test on a meaningful run-time/cycle basis (Issue 5).</w:t>
      </w:r>
    </w:p>
    <w:p>
      <w:pPr>
        <w:pStyle w:val="Compact"/>
        <w:numPr>
          <w:ilvl w:val="0"/>
          <w:numId w:val="1017"/>
        </w:numPr>
      </w:pPr>
      <w:r>
        <w:t xml:space="preserve">Reconcile all internal inconsistencies (Issue 15), with priority on the impeller material (nickel/nitinol implications) and the predicate indication in Table A-1.</w:t>
      </w:r>
    </w:p>
    <w:p>
      <w:pPr>
        <w:pStyle w:val="Compact"/>
        <w:numPr>
          <w:ilvl w:val="0"/>
          <w:numId w:val="1017"/>
        </w:numPr>
      </w:pPr>
      <w:r>
        <w:t xml:space="preserve">Add EMC, shelf-life/packaging, MRI, dynamic hemolysis, and coating-delamination testing to the plan (Issues 11–14, 21).</w:t>
      </w:r>
    </w:p>
    <w:p>
      <w:pPr>
        <w:pStyle w:val="Compact"/>
        <w:numPr>
          <w:ilvl w:val="0"/>
          <w:numId w:val="1017"/>
        </w:numPr>
      </w:pPr>
      <w:r>
        <w:t xml:space="preserve">Add drug-device interaction testing and a pharmacomechanical bench test (Issues 7, 8).</w:t>
      </w:r>
    </w:p>
    <w:p>
      <w:pPr>
        <w:pStyle w:val="Compact"/>
        <w:numPr>
          <w:ilvl w:val="0"/>
          <w:numId w:val="1017"/>
        </w:numPr>
      </w:pPr>
      <w:r>
        <w:t xml:space="preserve">Reassess the software documentation level under the 2023 guidance and plan for Enhanced documentation (Issue 6).</w:t>
      </w:r>
    </w:p>
    <w:p>
      <w:pPr>
        <w:pStyle w:val="Compact"/>
        <w:numPr>
          <w:ilvl w:val="0"/>
          <w:numId w:val="1017"/>
        </w:numPr>
      </w:pPr>
      <w:r>
        <w:t xml:space="preserve">Strengthen the clinical protocol: justify the performance goal, extend follow-up or scope it honestly, add tPA dose caps/stopping rules (Issue 9).</w:t>
      </w:r>
    </w:p>
    <w:p>
      <w:pPr>
        <w:pStyle w:val="Compact"/>
        <w:numPr>
          <w:ilvl w:val="0"/>
          <w:numId w:val="1017"/>
        </w:numPr>
      </w:pPr>
      <w:r>
        <w:t xml:space="preserve">Reframe the SE argument to acknowledge drug delivery as an addition supported by reference devices and data (Issues 3, 17, 18, 19).</w:t>
      </w:r>
    </w:p>
    <w:p>
      <w:pPr>
        <w:pStyle w:val="FirstParagraph"/>
      </w:pPr>
      <w:r>
        <w:rPr>
          <w:b/>
          <w:bCs/>
        </w:rPr>
        <w:t xml:space="preserve">Strategic / commercial (separate workstream, engage Kendrick &amp; Hale):</w:t>
      </w:r>
    </w:p>
    <w:p>
      <w:pPr>
        <w:pStyle w:val="Compact"/>
        <w:numPr>
          <w:ilvl w:val="0"/>
          <w:numId w:val="1018"/>
        </w:numPr>
      </w:pPr>
      <w:r>
        <w:t xml:space="preserve">Model realistic clearance timelines for each pathway scenario and determine the earliest achievable clearance date (Issue 10).</w:t>
      </w:r>
    </w:p>
    <w:p>
      <w:pPr>
        <w:pStyle w:val="Compact"/>
        <w:numPr>
          <w:ilvl w:val="0"/>
          <w:numId w:val="1018"/>
        </w:numPr>
      </w:pPr>
      <w:r>
        <w:t xml:space="preserve">Decide whether the 510(k) will include clinical data; if yes, initiate milestone renegotiation with Braddock Ventures and notify Northgate Capital (Issue 10).</w:t>
      </w:r>
    </w:p>
    <w:p>
      <w:pPr>
        <w:pStyle w:val="Compact"/>
        <w:numPr>
          <w:ilvl w:val="0"/>
          <w:numId w:val="1018"/>
        </w:numPr>
      </w:pPr>
      <w:r>
        <w:t xml:space="preserve">Communicate timeline and pathway risk to Dr. Okonjo and the board before the Pre-Submission is filed.</w:t>
      </w:r>
    </w:p>
    <w:bookmarkEnd w:id="48"/>
    <w:bookmarkStart w:id="49" w:name="viii.-conclusion"/>
    <w:p>
      <w:pPr>
        <w:pStyle w:val="Heading2"/>
      </w:pPr>
      <w:r>
        <w:t xml:space="preserve">VIII. Conclusion</w:t>
      </w:r>
    </w:p>
    <w:p>
      <w:pPr>
        <w:pStyle w:val="FirstParagraph"/>
      </w:pPr>
      <w:r>
        <w:t xml:space="preserve">The package is a solid first draft, but it is not yet ready to file. The two threshold pathway questions — combination-product classification and IDE requirement — remain open and, as drafted, are not put to FDA, which is the principal strategic gap. Several scientific and testing deficiencies (biocompatibility contact duration, impeller fatigue, software level, drug-delivery and pharmacomechanical testing, EMC/shelf-life/MRI) are likely to be flagged by FDA at the Pre-Submission meeting and are better addressed now, while protocols can still be adjusted on FDA’s feedback rather than after studies have started. Finally, the December 31, 2025 clearance milestone appears infeasible under the timelines presented and should be addressed with management and corporate counsel before the package is submitted.</w:t>
      </w:r>
    </w:p>
    <w:p>
      <w:pPr>
        <w:pStyle w:val="BodyText"/>
      </w:pPr>
      <w:r>
        <w:t xml:space="preserve">I am available to discuss any of the above and to assist with revisions. Given the May 19 internal deadline, I would suggest a short call with Linda, Kate, and Evelyn this week to confirm the gating decision on the two cover-letter questions and to assign owners for the pre-filing corrections.</w:t>
      </w:r>
    </w:p>
    <w:p>
      <w:pPr>
        <w:pStyle w:val="BodyText"/>
      </w:pPr>
      <w:r>
        <w:t xml:space="preserve">Respectfully,</w:t>
      </w:r>
    </w:p>
    <w:p>
      <w:pPr>
        <w:pStyle w:val="BodyText"/>
      </w:pPr>
      <w:r>
        <w:rPr>
          <w:b/>
          <w:bCs/>
        </w:rPr>
        <w:t xml:space="preserve">Daniel J. Yoo</w:t>
      </w:r>
      <w:r>
        <w:t xml:space="preserve"> </w:t>
      </w:r>
      <w:r>
        <w:t xml:space="preserve">Senior Associate</w:t>
      </w:r>
      <w:r>
        <w:t xml:space="preserve"> </w:t>
      </w:r>
      <w:r>
        <w:t xml:space="preserve">Hargrove, Templeton &amp; Bliss LLP</w:t>
      </w:r>
      <w:r>
        <w:t xml:space="preserve"> </w:t>
      </w:r>
      <w:r>
        <w:t xml:space="preserve">1750 K Street NW, Suite 900</w:t>
      </w:r>
      <w:r>
        <w:t xml:space="preserve"> </w:t>
      </w:r>
      <w:r>
        <w:t xml:space="preserve">Washington, DC 20006</w:t>
      </w:r>
      <w:r>
        <w:t xml:space="preserve"> </w:t>
      </w:r>
      <w:r>
        <w:t xml:space="preserve">(202) 555-0387</w:t>
      </w:r>
      <w:r>
        <w:t xml:space="preserve"> </w:t>
      </w:r>
      <w:r>
        <w:t xml:space="preserve">dyoo@htblaw.com</w:t>
      </w:r>
    </w:p>
    <w:p>
      <w:pPr>
        <w:pStyle w:val="BodyText"/>
      </w:pPr>
      <w:r>
        <w:rPr>
          <w:i/>
          <w:iCs/>
        </w:rPr>
        <w:t xml:space="preserve">PRIVILEGED &amp; CONFIDENTIAL — ATTORNEY-CLIENT COMMUNICATION AND/OR ATTORNEY WORK PRODUCT. Prepared in anticipation of the May 19, 2025 internal review deadline. This memorandum addresses regulatory, scientific, and strategic deficiencies in the draft Pre-Submission package and is intended for the named recipients and their consultants. It does not constitute a regulatory submission to FDA.</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2026-06-28T18:19:43Z</dcterms:created>
  <dcterms:modified xsi:type="dcterms:W3CDTF">2026-06-28T18:19:43Z</dcterms:modified>
</cp:coreProperties>
</file>

<file path=docProps/custom.xml><?xml version="1.0" encoding="utf-8"?>
<Properties xmlns="http://schemas.openxmlformats.org/officeDocument/2006/custom-properties" xmlns:vt="http://schemas.openxmlformats.org/officeDocument/2006/docPropsVTypes"/>
</file>