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hargrove-templeton-bliss-llp"/>
    <w:p>
      <w:pPr>
        <w:pStyle w:val="Heading1"/>
      </w:pPr>
      <w:r>
        <w:t xml:space="preserve">HARGROVE, TEMPLETON &amp; BLISS LLP</w:t>
      </w:r>
    </w:p>
    <w:p>
      <w:pPr>
        <w:pStyle w:val="FirstParagraph"/>
      </w:pPr>
      <w:r>
        <w:rPr>
          <w:b/>
          <w:bCs/>
        </w:rPr>
        <w:t xml:space="preserve">1750 K Street NW, Suite 900, Washington, DC 20006 | Tel: (202) 555-0387</w:t>
      </w:r>
    </w:p>
    <w:p>
      <w:r>
        <w:pict>
          <v:rect style="width:0;height:1.5pt" o:hralign="center" o:hrstd="t" o:hr="t"/>
        </w:pict>
      </w:r>
    </w:p>
    <w:bookmarkStart w:id="20" w:name="Xb00a8ce9f01252ee933d31ffed2c10f1672bce1"/>
    <w:p>
      <w:pPr>
        <w:pStyle w:val="Heading2"/>
      </w:pPr>
      <w:r>
        <w:t xml:space="preserve">PRIVILEGED &amp; CONFIDENTIAL — ATTORNEY-CLIENT COMMUNICATION / ATTORNEY WORK PRODUCT</w:t>
      </w:r>
    </w:p>
    <w:p>
      <w:pPr>
        <w:pStyle w:val="FirstParagraph"/>
      </w:pPr>
      <w:r>
        <w:rPr>
          <w:b/>
          <w:bCs/>
        </w:rPr>
        <w:t xml:space="preserve">Prepared in anticipation of the finalization of Clearfield Medical Devices, Inc.’s Pre-Submission (Q-Sub) package to the U.S. Food and Drug Administration. This memorandum contains attorney work product and is subject to the attorney-client privilege. Do not distribute outside the circulation list without the express consent of the authors.</w:t>
      </w:r>
    </w:p>
    <w:p>
      <w:r>
        <w:pict>
          <v:rect style="width:0;height:1.5pt" o:hralign="center" o:hrstd="t" o:hr="t"/>
        </w:pict>
      </w:r>
    </w:p>
    <w:bookmarkEnd w:id="20"/>
    <w:bookmarkStart w:id="21" w:name="issue-memorandum"/>
    <w:p>
      <w:pPr>
        <w:pStyle w:val="Heading2"/>
      </w:pPr>
      <w:r>
        <w:t xml:space="preserve">ISSUE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Linda Fessenden, VP Regulatory Affairs, Clearfield Medical Devices, Inc.</w:t>
            </w:r>
          </w:p>
        </w:tc>
      </w:tr>
      <w:tr>
        <w:tc>
          <w:tcPr/>
          <w:p>
            <w:pPr>
              <w:pStyle w:val="Compact"/>
            </w:pPr>
          </w:p>
        </w:tc>
        <w:tc>
          <w:tcPr/>
          <w:p>
            <w:pPr>
              <w:pStyle w:val="Compact"/>
              <w:jc w:val="left"/>
            </w:pPr>
            <w:r>
              <w:t xml:space="preserve">Katherine</w:t>
            </w:r>
            <w:r>
              <w:t xml:space="preserve"> </w:t>
            </w:r>
            <w:r>
              <w:t xml:space="preserve">“</w:t>
            </w:r>
            <w:r>
              <w:t xml:space="preserve">Kate</w:t>
            </w:r>
            <w:r>
              <w:t xml:space="preserve">”</w:t>
            </w:r>
            <w:r>
              <w:t xml:space="preserve"> </w:t>
            </w:r>
            <w:r>
              <w:t xml:space="preserve">Pressman, Partner, Hargrove, Templeton &amp; Bliss LLP</w:t>
            </w:r>
          </w:p>
        </w:tc>
      </w:tr>
      <w:tr>
        <w:tc>
          <w:tcPr/>
          <w:p>
            <w:pPr>
              <w:pStyle w:val="Compact"/>
            </w:pPr>
          </w:p>
        </w:tc>
        <w:tc>
          <w:tcPr/>
          <w:p>
            <w:pPr>
              <w:pStyle w:val="Compact"/>
              <w:jc w:val="left"/>
            </w:pPr>
            <w:r>
              <w:t xml:space="preserve">Dr. Evelyn Marsh, RAC, Principal Consultant, Ridgepoint Consulting Group</w:t>
            </w:r>
          </w:p>
        </w:tc>
      </w:tr>
      <w:tr>
        <w:tc>
          <w:tcPr/>
          <w:p>
            <w:pPr>
              <w:pStyle w:val="Compact"/>
              <w:jc w:val="left"/>
            </w:pPr>
            <w:r>
              <w:rPr>
                <w:b/>
                <w:bCs/>
              </w:rPr>
              <w:t xml:space="preserve">FROM:</w:t>
            </w:r>
          </w:p>
        </w:tc>
        <w:tc>
          <w:tcPr/>
          <w:p>
            <w:pPr>
              <w:pStyle w:val="Compact"/>
              <w:jc w:val="left"/>
            </w:pPr>
            <w:r>
              <w:t xml:space="preserve">Daniel J. Yoo, Senior Associate, Hargrove, Templeton &amp; Bliss LLP</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Prioritized Review of Draft Pre-Submission (Q-Sub) Package — VascuClear 3000 Thrombectomy System</w:t>
            </w:r>
          </w:p>
        </w:tc>
      </w:tr>
      <w:tr>
        <w:tc>
          <w:tcPr/>
          <w:p>
            <w:pPr>
              <w:pStyle w:val="Compact"/>
              <w:jc w:val="left"/>
            </w:pPr>
            <w:r>
              <w:rPr>
                <w:b/>
                <w:bCs/>
              </w:rPr>
              <w:t xml:space="preserve">CLASSIFICATION:</w:t>
            </w:r>
          </w:p>
        </w:tc>
        <w:tc>
          <w:tcPr/>
          <w:p>
            <w:pPr>
              <w:pStyle w:val="Compact"/>
              <w:jc w:val="left"/>
            </w:pPr>
            <w:r>
              <w:t xml:space="preserve">Privileged &amp; Confidential — Attorney Work Product</w:t>
            </w:r>
          </w:p>
        </w:tc>
      </w:tr>
    </w:tbl>
    <w:p>
      <w:r>
        <w:pict>
          <v:rect style="width:0;height:1.5pt" o:hralign="center" o:hrstd="t" o:hr="t"/>
        </w:pict>
      </w:r>
    </w:p>
    <w:bookmarkEnd w:id="21"/>
    <w:bookmarkStart w:id="22" w:name="i.-purpose-and-scope-of-review"/>
    <w:p>
      <w:pPr>
        <w:pStyle w:val="Heading2"/>
      </w:pPr>
      <w:r>
        <w:t xml:space="preserve">I. Purpose and Scope of Review</w:t>
      </w:r>
    </w:p>
    <w:p>
      <w:pPr>
        <w:pStyle w:val="FirstParagraph"/>
      </w:pPr>
      <w:r>
        <w:t xml:space="preserve">At Kate Pressman’s request (email of May 12, 2025), I have conducted a comprehensive review of the draft Pre-Submission (Q-Sub) package prepared for the VascuClear 3000 Thrombectomy System (</w:t>
      </w:r>
      <w:r>
        <w:t xml:space="preserve">“</w:t>
      </w:r>
      <w:r>
        <w:t xml:space="preserve">VascuClear 3000</w:t>
      </w:r>
      <w:r>
        <w:t xml:space="preserve">”</w:t>
      </w:r>
      <w:r>
        <w:t xml:space="preserve"> </w:t>
      </w:r>
      <w:r>
        <w:t xml:space="preserve">or</w:t>
      </w:r>
      <w:r>
        <w:t xml:space="preserve"> </w:t>
      </w:r>
      <w:r>
        <w:t xml:space="preserve">“</w:t>
      </w:r>
      <w:r>
        <w:t xml:space="preserve">the Device</w:t>
      </w:r>
      <w:r>
        <w:t xml:space="preserve">”</w:t>
      </w:r>
      <w:r>
        <w:t xml:space="preserve">) in advance of the targeted June 15, 2025 filing date. The package consists of the following five enclosures plus the internal strategy correspondence:</w:t>
      </w:r>
    </w:p>
    <w:p>
      <w:pPr>
        <w:pStyle w:val="Compact"/>
        <w:numPr>
          <w:ilvl w:val="0"/>
          <w:numId w:val="1001"/>
        </w:numPr>
      </w:pPr>
      <w:r>
        <w:rPr>
          <w:b/>
          <w:bCs/>
        </w:rPr>
        <w:t xml:space="preserve">Pre-Submission Cover Letter</w:t>
      </w:r>
      <w:r>
        <w:t xml:space="preserve"> </w:t>
      </w:r>
      <w:r>
        <w:t xml:space="preserve">(presub-cover-letter.docx)</w:t>
      </w:r>
    </w:p>
    <w:p>
      <w:pPr>
        <w:pStyle w:val="Compact"/>
        <w:numPr>
          <w:ilvl w:val="0"/>
          <w:numId w:val="1001"/>
        </w:numPr>
      </w:pPr>
      <w:r>
        <w:rPr>
          <w:b/>
          <w:bCs/>
        </w:rPr>
        <w:t xml:space="preserve">Device Description and Predicate Comparison</w:t>
      </w:r>
      <w:r>
        <w:t xml:space="preserve"> </w:t>
      </w:r>
      <w:r>
        <w:t xml:space="preserve">(device-description-predicate-comparison.docx)</w:t>
      </w:r>
    </w:p>
    <w:p>
      <w:pPr>
        <w:pStyle w:val="Compact"/>
        <w:numPr>
          <w:ilvl w:val="0"/>
          <w:numId w:val="1001"/>
        </w:numPr>
      </w:pPr>
      <w:r>
        <w:rPr>
          <w:b/>
          <w:bCs/>
        </w:rPr>
        <w:t xml:space="preserve">Proposed Testing Plan</w:t>
      </w:r>
      <w:r>
        <w:t xml:space="preserve"> </w:t>
      </w:r>
      <w:r>
        <w:t xml:space="preserve">(proposed-testing-plan.docx)</w:t>
      </w:r>
    </w:p>
    <w:p>
      <w:pPr>
        <w:pStyle w:val="Compact"/>
        <w:numPr>
          <w:ilvl w:val="0"/>
          <w:numId w:val="1001"/>
        </w:numPr>
      </w:pPr>
      <w:r>
        <w:rPr>
          <w:b/>
          <w:bCs/>
        </w:rPr>
        <w:t xml:space="preserve">Clinical Study Synopsis</w:t>
      </w:r>
      <w:r>
        <w:t xml:space="preserve"> </w:t>
      </w:r>
      <w:r>
        <w:t xml:space="preserve">(clinical-study-synopsis.docx)</w:t>
      </w:r>
    </w:p>
    <w:p>
      <w:pPr>
        <w:pStyle w:val="Compact"/>
        <w:numPr>
          <w:ilvl w:val="0"/>
          <w:numId w:val="1001"/>
        </w:numPr>
      </w:pPr>
      <w:r>
        <w:rPr>
          <w:b/>
          <w:bCs/>
        </w:rPr>
        <w:t xml:space="preserve">Draft Instructions for Use</w:t>
      </w:r>
      <w:r>
        <w:t xml:space="preserve"> </w:t>
      </w:r>
      <w:r>
        <w:t xml:space="preserve">(draft-ifu-vasculear-3000.docx)</w:t>
      </w:r>
    </w:p>
    <w:p>
      <w:pPr>
        <w:pStyle w:val="Compact"/>
        <w:numPr>
          <w:ilvl w:val="0"/>
          <w:numId w:val="1001"/>
        </w:numPr>
      </w:pPr>
      <w:r>
        <w:rPr>
          <w:b/>
          <w:bCs/>
        </w:rPr>
        <w:t xml:space="preserve">ThrombEx 200 (K192847) 510(k) Summary</w:t>
      </w:r>
      <w:r>
        <w:t xml:space="preserve"> </w:t>
      </w:r>
      <w:r>
        <w:t xml:space="preserve">(thrombex-200-510k-summary.docx)</w:t>
      </w:r>
    </w:p>
    <w:p>
      <w:pPr>
        <w:pStyle w:val="Compact"/>
        <w:numPr>
          <w:ilvl w:val="0"/>
          <w:numId w:val="1001"/>
        </w:numPr>
      </w:pPr>
      <w:r>
        <w:rPr>
          <w:b/>
          <w:bCs/>
        </w:rPr>
        <w:t xml:space="preserve">Internal Email Chain — Regulatory Pathway &amp; Clinical Study Strategy</w:t>
      </w:r>
      <w:r>
        <w:t xml:space="preserve"> </w:t>
      </w:r>
      <w:r>
        <w:t xml:space="preserve">(internal-email-chain-reg-strategy.eml)</w:t>
      </w:r>
    </w:p>
    <w:p>
      <w:pPr>
        <w:pStyle w:val="FirstParagraph"/>
      </w:pPr>
      <w:r>
        <w:t xml:space="preserve">This memorandum identifies and prioritizes the regulatory, scientific, and strategic deficiencies I have identified. Issues are ranked in four tiers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Lower/Strategic</w:t>
      </w:r>
      <w:r>
        <w:t xml:space="preserve"> </w:t>
      </w:r>
      <w:r>
        <w:t xml:space="preserve">— based on (a) the potential to alter the regulatory pathway or trigger FDA rejection of the submission strategy, (b) the likelihood that FDA will raise the issue at the Pre-Submission meeting, and (c) the downstream impact on the 510(k) submission timeline and the Braddock Ventures Series D milestone (510(k) clearance by December 31, 2025).</w:t>
      </w:r>
    </w:p>
    <w:p>
      <w:pPr>
        <w:pStyle w:val="BodyText"/>
      </w:pPr>
      <w:r>
        <w:t xml:space="preserve">The three</w:t>
      </w:r>
      <w:r>
        <w:t xml:space="preserve"> </w:t>
      </w:r>
      <w:r>
        <w:rPr>
          <w:b/>
          <w:bCs/>
        </w:rPr>
        <w:t xml:space="preserve">Critical</w:t>
      </w:r>
      <w:r>
        <w:t xml:space="preserve"> </w:t>
      </w:r>
      <w:r>
        <w:t xml:space="preserve">issues are threshold questions that, depending on FDA’s response, could change the regulatory pathway, the reviewing office, the required evidentiary standard, or the feasibility of the December 31, 2025 clearance milestone. They should be resolved — or at minimum explicitly posed to FDA — before the package is filed.</w:t>
      </w:r>
    </w:p>
    <w:p>
      <w:r>
        <w:pict>
          <v:rect style="width:0;height:1.5pt" o:hralign="center" o:hrstd="t" o:hr="t"/>
        </w:pict>
      </w:r>
    </w:p>
    <w:bookmarkEnd w:id="22"/>
    <w:bookmarkStart w:id="23" w:name="ii.-executive-summary-priority-matrix"/>
    <w:p>
      <w:pPr>
        <w:pStyle w:val="Heading2"/>
      </w:pPr>
      <w:r>
        <w:t xml:space="preserve">II. Executive Summary —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Documents Affected</w:t>
            </w:r>
          </w:p>
        </w:tc>
        <w:tc>
          <w:tcPr/>
          <w:p>
            <w:pPr>
              <w:pStyle w:val="Compact"/>
              <w:jc w:val="left"/>
            </w:pPr>
            <w:r>
              <w:t xml:space="preserve">Core Risk</w:t>
            </w:r>
          </w:p>
        </w:tc>
      </w:tr>
      <w:tr>
        <w:tc>
          <w:tcPr/>
          <w:p>
            <w:pPr>
              <w:pStyle w:val="Compact"/>
              <w:jc w:val="left"/>
            </w:pPr>
            <w:r>
              <w:t xml:space="preserve">1</w:t>
            </w:r>
          </w:p>
        </w:tc>
        <w:tc>
          <w:tcPr/>
          <w:p>
            <w:pPr>
              <w:pStyle w:val="Compact"/>
              <w:jc w:val="left"/>
            </w:pPr>
            <w:r>
              <w:t xml:space="preserve">Combination product classification under 21 CFR Part 3</w:t>
            </w:r>
          </w:p>
        </w:tc>
        <w:tc>
          <w:tcPr/>
          <w:p>
            <w:pPr>
              <w:pStyle w:val="Compact"/>
              <w:jc w:val="left"/>
            </w:pPr>
            <w:r>
              <w:rPr>
                <w:b/>
                <w:bCs/>
              </w:rPr>
              <w:t xml:space="preserve">Critical</w:t>
            </w:r>
          </w:p>
        </w:tc>
        <w:tc>
          <w:tcPr/>
          <w:p>
            <w:pPr>
              <w:pStyle w:val="Compact"/>
              <w:jc w:val="left"/>
            </w:pPr>
            <w:r>
              <w:t xml:space="preserve">Cover Letter, Device Description, IFU, Clinical Synopsis</w:t>
            </w:r>
          </w:p>
        </w:tc>
        <w:tc>
          <w:tcPr/>
          <w:p>
            <w:pPr>
              <w:pStyle w:val="Compact"/>
              <w:jc w:val="left"/>
            </w:pPr>
            <w:r>
              <w:t xml:space="preserve">Could change pathway / reviewing office; cover letter does not ask FDA</w:t>
            </w:r>
          </w:p>
        </w:tc>
      </w:tr>
      <w:tr>
        <w:tc>
          <w:tcPr/>
          <w:p>
            <w:pPr>
              <w:pStyle w:val="Compact"/>
              <w:jc w:val="left"/>
            </w:pPr>
            <w:r>
              <w:t xml:space="preserve">2</w:t>
            </w:r>
          </w:p>
        </w:tc>
        <w:tc>
          <w:tcPr/>
          <w:p>
            <w:pPr>
              <w:pStyle w:val="Compact"/>
              <w:jc w:val="left"/>
            </w:pPr>
            <w:r>
              <w:t xml:space="preserve">IDE requirement;</w:t>
            </w:r>
            <w:r>
              <w:t xml:space="preserve"> </w:t>
            </w:r>
            <w:r>
              <w:t xml:space="preserve">“</w:t>
            </w:r>
            <w:r>
              <w:t xml:space="preserve">post-clearance</w:t>
            </w:r>
            <w:r>
              <w:t xml:space="preserve">”</w:t>
            </w:r>
            <w:r>
              <w:t xml:space="preserve"> </w:t>
            </w:r>
            <w:r>
              <w:t xml:space="preserve">mischaracterization</w:t>
            </w:r>
          </w:p>
        </w:tc>
        <w:tc>
          <w:tcPr/>
          <w:p>
            <w:pPr>
              <w:pStyle w:val="Compact"/>
              <w:jc w:val="left"/>
            </w:pPr>
            <w:r>
              <w:rPr>
                <w:b/>
                <w:bCs/>
              </w:rPr>
              <w:t xml:space="preserve">Critical</w:t>
            </w:r>
          </w:p>
        </w:tc>
        <w:tc>
          <w:tcPr/>
          <w:p>
            <w:pPr>
              <w:pStyle w:val="Compact"/>
              <w:jc w:val="left"/>
            </w:pPr>
            <w:r>
              <w:t xml:space="preserve">Clinical Synopsis, Cover Letter</w:t>
            </w:r>
          </w:p>
        </w:tc>
        <w:tc>
          <w:tcPr/>
          <w:p>
            <w:pPr>
              <w:pStyle w:val="Compact"/>
              <w:jc w:val="left"/>
            </w:pPr>
            <w:r>
              <w:t xml:space="preserve">Study begins before clearance; device is investigational; no IDE question posed to FDA</w:t>
            </w:r>
          </w:p>
        </w:tc>
      </w:tr>
      <w:tr>
        <w:tc>
          <w:tcPr/>
          <w:p>
            <w:pPr>
              <w:pStyle w:val="Compact"/>
              <w:jc w:val="left"/>
            </w:pPr>
            <w:r>
              <w:t xml:space="preserve">3</w:t>
            </w:r>
          </w:p>
        </w:tc>
        <w:tc>
          <w:tcPr/>
          <w:p>
            <w:pPr>
              <w:pStyle w:val="Compact"/>
              <w:jc w:val="left"/>
            </w:pPr>
            <w:r>
              <w:t xml:space="preserve">Substantial equivalence / predicate adequacy</w:t>
            </w:r>
          </w:p>
        </w:tc>
        <w:tc>
          <w:tcPr/>
          <w:p>
            <w:pPr>
              <w:pStyle w:val="Compact"/>
              <w:jc w:val="left"/>
            </w:pPr>
            <w:r>
              <w:rPr>
                <w:b/>
                <w:bCs/>
              </w:rPr>
              <w:t xml:space="preserve">Critical</w:t>
            </w:r>
          </w:p>
        </w:tc>
        <w:tc>
          <w:tcPr/>
          <w:p>
            <w:pPr>
              <w:pStyle w:val="Compact"/>
              <w:jc w:val="left"/>
            </w:pPr>
            <w:r>
              <w:t xml:space="preserve">Device Description, Cover Letter, 510(k) Summary</w:t>
            </w:r>
          </w:p>
        </w:tc>
        <w:tc>
          <w:tcPr/>
          <w:p>
            <w:pPr>
              <w:pStyle w:val="Compact"/>
              <w:jc w:val="left"/>
            </w:pPr>
            <w:r>
              <w:t xml:space="preserve">Predicate has no drug delivery and no impeller; new questions of SE likely; no reference predicates</w:t>
            </w:r>
          </w:p>
        </w:tc>
      </w:tr>
      <w:tr>
        <w:tc>
          <w:tcPr/>
          <w:p>
            <w:pPr>
              <w:pStyle w:val="Compact"/>
              <w:jc w:val="left"/>
            </w:pPr>
            <w:r>
              <w:t xml:space="preserve">4</w:t>
            </w:r>
          </w:p>
        </w:tc>
        <w:tc>
          <w:tcPr/>
          <w:p>
            <w:pPr>
              <w:pStyle w:val="Compact"/>
              <w:jc w:val="left"/>
            </w:pPr>
            <w:r>
              <w:t xml:space="preserve">Biocompatibility contact-duration contradiction (≤24 h vs. 72 h indwell)</w:t>
            </w:r>
          </w:p>
        </w:tc>
        <w:tc>
          <w:tcPr/>
          <w:p>
            <w:pPr>
              <w:pStyle w:val="Compact"/>
              <w:jc w:val="left"/>
            </w:pPr>
            <w:r>
              <w:rPr>
                <w:b/>
                <w:bCs/>
              </w:rPr>
              <w:t xml:space="preserve">High</w:t>
            </w:r>
          </w:p>
        </w:tc>
        <w:tc>
          <w:tcPr/>
          <w:p>
            <w:pPr>
              <w:pStyle w:val="Compact"/>
              <w:jc w:val="left"/>
            </w:pPr>
            <w:r>
              <w:t xml:space="preserve">Testing Plan, IFU, Device Description</w:t>
            </w:r>
          </w:p>
        </w:tc>
        <w:tc>
          <w:tcPr/>
          <w:p>
            <w:pPr>
              <w:pStyle w:val="Compact"/>
              <w:jc w:val="left"/>
            </w:pPr>
            <w:r>
              <w:t xml:space="preserve">Wrong ISO 10993-1 category; excluded endpoints required</w:t>
            </w:r>
          </w:p>
        </w:tc>
      </w:tr>
      <w:tr>
        <w:tc>
          <w:tcPr/>
          <w:p>
            <w:pPr>
              <w:pStyle w:val="Compact"/>
              <w:jc w:val="left"/>
            </w:pPr>
            <w:r>
              <w:t xml:space="preserve">5</w:t>
            </w:r>
          </w:p>
        </w:tc>
        <w:tc>
          <w:tcPr/>
          <w:p>
            <w:pPr>
              <w:pStyle w:val="Compact"/>
              <w:jc w:val="left"/>
            </w:pPr>
            <w:r>
              <w:t xml:space="preserve">Cover letter omits the two threshold questions counsel recommended</w:t>
            </w:r>
          </w:p>
        </w:tc>
        <w:tc>
          <w:tcPr/>
          <w:p>
            <w:pPr>
              <w:pStyle w:val="Compact"/>
              <w:jc w:val="left"/>
            </w:pPr>
            <w:r>
              <w:rPr>
                <w:b/>
                <w:bCs/>
              </w:rPr>
              <w:t xml:space="preserve">High</w:t>
            </w:r>
          </w:p>
        </w:tc>
        <w:tc>
          <w:tcPr/>
          <w:p>
            <w:pPr>
              <w:pStyle w:val="Compact"/>
              <w:jc w:val="left"/>
            </w:pPr>
            <w:r>
              <w:t xml:space="preserve">Cover Letter</w:t>
            </w:r>
          </w:p>
        </w:tc>
        <w:tc>
          <w:tcPr/>
          <w:p>
            <w:pPr>
              <w:pStyle w:val="Compact"/>
              <w:jc w:val="left"/>
            </w:pPr>
            <w:r>
              <w:t xml:space="preserve">FDA not asked the combination-product or IDE questions</w:t>
            </w:r>
          </w:p>
        </w:tc>
      </w:tr>
      <w:tr>
        <w:tc>
          <w:tcPr/>
          <w:p>
            <w:pPr>
              <w:pStyle w:val="Compact"/>
              <w:jc w:val="left"/>
            </w:pPr>
            <w:r>
              <w:t xml:space="preserve">6</w:t>
            </w:r>
          </w:p>
        </w:tc>
        <w:tc>
          <w:tcPr/>
          <w:p>
            <w:pPr>
              <w:pStyle w:val="Compact"/>
              <w:jc w:val="left"/>
            </w:pPr>
            <w:r>
              <w:t xml:space="preserve">Impeller fatigue testing inadequate (500 revolutions ≈ 2.5 s)</w:t>
            </w:r>
          </w:p>
        </w:tc>
        <w:tc>
          <w:tcPr/>
          <w:p>
            <w:pPr>
              <w:pStyle w:val="Compact"/>
              <w:jc w:val="left"/>
            </w:pPr>
            <w:r>
              <w:rPr>
                <w:b/>
                <w:bCs/>
              </w:rPr>
              <w:t xml:space="preserve">High</w:t>
            </w:r>
          </w:p>
        </w:tc>
        <w:tc>
          <w:tcPr/>
          <w:p>
            <w:pPr>
              <w:pStyle w:val="Compact"/>
              <w:jc w:val="left"/>
            </w:pPr>
            <w:r>
              <w:t xml:space="preserve">Testing Plan, Device Description</w:t>
            </w:r>
          </w:p>
        </w:tc>
        <w:tc>
          <w:tcPr/>
          <w:p>
            <w:pPr>
              <w:pStyle w:val="Compact"/>
              <w:jc w:val="left"/>
            </w:pPr>
            <w:r>
              <w:t xml:space="preserve">Fatigue test does not reflect clinical use</w:t>
            </w:r>
          </w:p>
        </w:tc>
      </w:tr>
      <w:tr>
        <w:tc>
          <w:tcPr/>
          <w:p>
            <w:pPr>
              <w:pStyle w:val="Compact"/>
              <w:jc w:val="left"/>
            </w:pPr>
            <w:r>
              <w:t xml:space="preserve">7</w:t>
            </w:r>
          </w:p>
        </w:tc>
        <w:tc>
          <w:tcPr/>
          <w:p>
            <w:pPr>
              <w:pStyle w:val="Compact"/>
              <w:jc w:val="left"/>
            </w:pPr>
            <w:r>
              <w:t xml:space="preserve">EMC testing (IEC 60601-1-2) omitted</w:t>
            </w:r>
          </w:p>
        </w:tc>
        <w:tc>
          <w:tcPr/>
          <w:p>
            <w:pPr>
              <w:pStyle w:val="Compact"/>
              <w:jc w:val="left"/>
            </w:pPr>
            <w:r>
              <w:rPr>
                <w:b/>
                <w:bCs/>
              </w:rPr>
              <w:t xml:space="preserve">High</w:t>
            </w:r>
          </w:p>
        </w:tc>
        <w:tc>
          <w:tcPr/>
          <w:p>
            <w:pPr>
              <w:pStyle w:val="Compact"/>
              <w:jc w:val="left"/>
            </w:pPr>
            <w:r>
              <w:t xml:space="preserve">Testing Plan</w:t>
            </w:r>
          </w:p>
        </w:tc>
        <w:tc>
          <w:tcPr/>
          <w:p>
            <w:pPr>
              <w:pStyle w:val="Compact"/>
              <w:jc w:val="left"/>
            </w:pPr>
            <w:r>
              <w:t xml:space="preserve">Predicate had full EMC; FDA will require it</w:t>
            </w:r>
          </w:p>
        </w:tc>
      </w:tr>
      <w:tr>
        <w:tc>
          <w:tcPr/>
          <w:p>
            <w:pPr>
              <w:pStyle w:val="Compact"/>
              <w:jc w:val="left"/>
            </w:pPr>
            <w:r>
              <w:t xml:space="preserve">8</w:t>
            </w:r>
          </w:p>
        </w:tc>
        <w:tc>
          <w:tcPr/>
          <w:p>
            <w:pPr>
              <w:pStyle w:val="Compact"/>
              <w:jc w:val="left"/>
            </w:pPr>
            <w:r>
              <w:t xml:space="preserve">Software level of concern (</w:t>
            </w:r>
            <w:r>
              <w:t xml:space="preserve">“</w:t>
            </w:r>
            <w:r>
              <w:t xml:space="preserve">Minor</w:t>
            </w:r>
            <w:r>
              <w:t xml:space="preserve">”</w:t>
            </w:r>
            <w:r>
              <w:t xml:space="preserve">) questionable; outdated 2005 guidance</w:t>
            </w:r>
          </w:p>
        </w:tc>
        <w:tc>
          <w:tcPr/>
          <w:p>
            <w:pPr>
              <w:pStyle w:val="Compact"/>
              <w:jc w:val="left"/>
            </w:pPr>
            <w:r>
              <w:rPr>
                <w:b/>
                <w:bCs/>
              </w:rPr>
              <w:t xml:space="preserve">High</w:t>
            </w:r>
          </w:p>
        </w:tc>
        <w:tc>
          <w:tcPr/>
          <w:p>
            <w:pPr>
              <w:pStyle w:val="Compact"/>
              <w:jc w:val="left"/>
            </w:pPr>
            <w:r>
              <w:t xml:space="preserve">Testing Plan, Device Description</w:t>
            </w:r>
          </w:p>
        </w:tc>
        <w:tc>
          <w:tcPr/>
          <w:p>
            <w:pPr>
              <w:pStyle w:val="Compact"/>
              <w:jc w:val="left"/>
            </w:pPr>
            <w:r>
              <w:t xml:space="preserve">Under-classification; wrong guidance framework</w:t>
            </w:r>
          </w:p>
        </w:tc>
      </w:tr>
      <w:tr>
        <w:tc>
          <w:tcPr/>
          <w:p>
            <w:pPr>
              <w:pStyle w:val="Compact"/>
              <w:jc w:val="left"/>
            </w:pPr>
            <w:r>
              <w:t xml:space="preserve">9</w:t>
            </w:r>
          </w:p>
        </w:tc>
        <w:tc>
          <w:tcPr/>
          <w:p>
            <w:pPr>
              <w:pStyle w:val="Compact"/>
              <w:jc w:val="left"/>
            </w:pPr>
            <w:r>
              <w:t xml:space="preserve">Clinical study design weaknesses</w:t>
            </w:r>
          </w:p>
        </w:tc>
        <w:tc>
          <w:tcPr/>
          <w:p>
            <w:pPr>
              <w:pStyle w:val="Compact"/>
              <w:jc w:val="left"/>
            </w:pPr>
            <w:r>
              <w:rPr>
                <w:b/>
                <w:bCs/>
              </w:rPr>
              <w:t xml:space="preserve">High</w:t>
            </w:r>
          </w:p>
        </w:tc>
        <w:tc>
          <w:tcPr/>
          <w:p>
            <w:pPr>
              <w:pStyle w:val="Compact"/>
              <w:jc w:val="left"/>
            </w:pPr>
            <w:r>
              <w:t xml:space="preserve">Clinical Synopsis</w:t>
            </w:r>
          </w:p>
        </w:tc>
        <w:tc>
          <w:tcPr/>
          <w:p>
            <w:pPr>
              <w:pStyle w:val="Compact"/>
              <w:jc w:val="left"/>
            </w:pPr>
            <w:r>
              <w:t xml:space="preserve">Single-arm, 30-day FU, unjustified PG, no DSMB</w:t>
            </w:r>
          </w:p>
        </w:tc>
      </w:tr>
      <w:tr>
        <w:tc>
          <w:tcPr/>
          <w:p>
            <w:pPr>
              <w:pStyle w:val="Compact"/>
              <w:jc w:val="left"/>
            </w:pPr>
            <w:r>
              <w:t xml:space="preserve">10</w:t>
            </w:r>
          </w:p>
        </w:tc>
        <w:tc>
          <w:tcPr/>
          <w:p>
            <w:pPr>
              <w:pStyle w:val="Compact"/>
              <w:jc w:val="left"/>
            </w:pPr>
            <w:r>
              <w:t xml:space="preserve">MRI safety testing absent; IFU contains [TBD] placeholders</w:t>
            </w:r>
          </w:p>
        </w:tc>
        <w:tc>
          <w:tcPr/>
          <w:p>
            <w:pPr>
              <w:pStyle w:val="Compact"/>
              <w:jc w:val="left"/>
            </w:pPr>
            <w:r>
              <w:rPr>
                <w:b/>
                <w:bCs/>
              </w:rPr>
              <w:t xml:space="preserve">Medium</w:t>
            </w:r>
          </w:p>
        </w:tc>
        <w:tc>
          <w:tcPr/>
          <w:p>
            <w:pPr>
              <w:pStyle w:val="Compact"/>
              <w:jc w:val="left"/>
            </w:pPr>
            <w:r>
              <w:t xml:space="preserve">IFU, Testing Plan</w:t>
            </w:r>
          </w:p>
        </w:tc>
        <w:tc>
          <w:tcPr/>
          <w:p>
            <w:pPr>
              <w:pStyle w:val="Compact"/>
              <w:jc w:val="left"/>
            </w:pPr>
            <w:r>
              <w:t xml:space="preserve">Incomplete labeling; no test data</w:t>
            </w:r>
          </w:p>
        </w:tc>
      </w:tr>
      <w:tr>
        <w:tc>
          <w:tcPr/>
          <w:p>
            <w:pPr>
              <w:pStyle w:val="Compact"/>
              <w:jc w:val="left"/>
            </w:pPr>
            <w:r>
              <w:t xml:space="preserve">11</w:t>
            </w:r>
          </w:p>
        </w:tc>
        <w:tc>
          <w:tcPr/>
          <w:p>
            <w:pPr>
              <w:pStyle w:val="Compact"/>
              <w:jc w:val="left"/>
            </w:pPr>
            <w:r>
              <w:t xml:space="preserve">Drug-compatibility testing gap (saline only; no tPA)</w:t>
            </w:r>
          </w:p>
        </w:tc>
        <w:tc>
          <w:tcPr/>
          <w:p>
            <w:pPr>
              <w:pStyle w:val="Compact"/>
              <w:jc w:val="left"/>
            </w:pPr>
            <w:r>
              <w:rPr>
                <w:b/>
                <w:bCs/>
              </w:rPr>
              <w:t xml:space="preserve">Medium</w:t>
            </w:r>
          </w:p>
        </w:tc>
        <w:tc>
          <w:tcPr/>
          <w:p>
            <w:pPr>
              <w:pStyle w:val="Compact"/>
              <w:jc w:val="left"/>
            </w:pPr>
            <w:r>
              <w:t xml:space="preserve">Testing Plan, IFU</w:t>
            </w:r>
          </w:p>
        </w:tc>
        <w:tc>
          <w:tcPr/>
          <w:p>
            <w:pPr>
              <w:pStyle w:val="Compact"/>
              <w:jc w:val="left"/>
            </w:pPr>
            <w:r>
              <w:t xml:space="preserve">IFU admits no compatibility testing</w:t>
            </w:r>
          </w:p>
        </w:tc>
      </w:tr>
      <w:tr>
        <w:tc>
          <w:tcPr/>
          <w:p>
            <w:pPr>
              <w:pStyle w:val="Compact"/>
              <w:jc w:val="left"/>
            </w:pPr>
            <w:r>
              <w:t xml:space="preserve">12</w:t>
            </w:r>
          </w:p>
        </w:tc>
        <w:tc>
          <w:tcPr/>
          <w:p>
            <w:pPr>
              <w:pStyle w:val="Compact"/>
              <w:jc w:val="left"/>
            </w:pPr>
            <w:r>
              <w:t xml:space="preserve">Shelf-life / expiration validation not in plan</w:t>
            </w:r>
          </w:p>
        </w:tc>
        <w:tc>
          <w:tcPr/>
          <w:p>
            <w:pPr>
              <w:pStyle w:val="Compact"/>
              <w:jc w:val="left"/>
            </w:pPr>
            <w:r>
              <w:rPr>
                <w:b/>
                <w:bCs/>
              </w:rPr>
              <w:t xml:space="preserve">Medium</w:t>
            </w:r>
          </w:p>
        </w:tc>
        <w:tc>
          <w:tcPr/>
          <w:p>
            <w:pPr>
              <w:pStyle w:val="Compact"/>
              <w:jc w:val="left"/>
            </w:pPr>
            <w:r>
              <w:t xml:space="preserve">Testing Plan, IFU</w:t>
            </w:r>
          </w:p>
        </w:tc>
        <w:tc>
          <w:tcPr/>
          <w:p>
            <w:pPr>
              <w:pStyle w:val="Compact"/>
              <w:jc w:val="left"/>
            </w:pPr>
            <w:r>
              <w:t xml:space="preserve">Predicate had it; FDA expects it</w:t>
            </w:r>
          </w:p>
        </w:tc>
      </w:tr>
      <w:tr>
        <w:tc>
          <w:tcPr/>
          <w:p>
            <w:pPr>
              <w:pStyle w:val="Compact"/>
              <w:jc w:val="left"/>
            </w:pPr>
            <w:r>
              <w:t xml:space="preserve">13</w:t>
            </w:r>
          </w:p>
        </w:tc>
        <w:tc>
          <w:tcPr/>
          <w:p>
            <w:pPr>
              <w:pStyle w:val="Compact"/>
              <w:jc w:val="left"/>
            </w:pPr>
            <w:r>
              <w:t xml:space="preserve">Console reprocessing validation not in plan</w:t>
            </w:r>
          </w:p>
        </w:tc>
        <w:tc>
          <w:tcPr/>
          <w:p>
            <w:pPr>
              <w:pStyle w:val="Compact"/>
              <w:jc w:val="left"/>
            </w:pPr>
            <w:r>
              <w:rPr>
                <w:b/>
                <w:bCs/>
              </w:rPr>
              <w:t xml:space="preserve">Medium</w:t>
            </w:r>
          </w:p>
        </w:tc>
        <w:tc>
          <w:tcPr/>
          <w:p>
            <w:pPr>
              <w:pStyle w:val="Compact"/>
              <w:jc w:val="left"/>
            </w:pPr>
            <w:r>
              <w:t xml:space="preserve">Testing Plan, IFU</w:t>
            </w:r>
          </w:p>
        </w:tc>
        <w:tc>
          <w:tcPr/>
          <w:p>
            <w:pPr>
              <w:pStyle w:val="Compact"/>
              <w:jc w:val="left"/>
            </w:pPr>
            <w:r>
              <w:t xml:space="preserve">Reusable device; FDA guidance applies</w:t>
            </w:r>
          </w:p>
        </w:tc>
      </w:tr>
      <w:tr>
        <w:tc>
          <w:tcPr/>
          <w:p>
            <w:pPr>
              <w:pStyle w:val="Compact"/>
              <w:jc w:val="left"/>
            </w:pPr>
            <w:r>
              <w:t xml:space="preserve">14</w:t>
            </w:r>
          </w:p>
        </w:tc>
        <w:tc>
          <w:tcPr/>
          <w:p>
            <w:pPr>
              <w:pStyle w:val="Compact"/>
              <w:jc w:val="left"/>
            </w:pPr>
            <w:r>
              <w:t xml:space="preserve">Impeller material inconsistency (316L SS vs. nitinol)</w:t>
            </w:r>
          </w:p>
        </w:tc>
        <w:tc>
          <w:tcPr/>
          <w:p>
            <w:pPr>
              <w:pStyle w:val="Compact"/>
              <w:jc w:val="left"/>
            </w:pPr>
            <w:r>
              <w:rPr>
                <w:b/>
                <w:bCs/>
              </w:rPr>
              <w:t xml:space="preserve">Medium</w:t>
            </w:r>
          </w:p>
        </w:tc>
        <w:tc>
          <w:tcPr/>
          <w:p>
            <w:pPr>
              <w:pStyle w:val="Compact"/>
              <w:jc w:val="left"/>
            </w:pPr>
            <w:r>
              <w:t xml:space="preserve">Device Description vs. Testing Plan</w:t>
            </w:r>
          </w:p>
        </w:tc>
        <w:tc>
          <w:tcPr/>
          <w:p>
            <w:pPr>
              <w:pStyle w:val="Compact"/>
              <w:jc w:val="left"/>
            </w:pPr>
            <w:r>
              <w:t xml:space="preserve">Affects biocompatibility, MRI, nickel release</w:t>
            </w:r>
          </w:p>
        </w:tc>
      </w:tr>
      <w:tr>
        <w:tc>
          <w:tcPr/>
          <w:p>
            <w:pPr>
              <w:pStyle w:val="Compact"/>
              <w:jc w:val="left"/>
            </w:pPr>
            <w:r>
              <w:t xml:space="preserve">15</w:t>
            </w:r>
          </w:p>
        </w:tc>
        <w:tc>
          <w:tcPr/>
          <w:p>
            <w:pPr>
              <w:pStyle w:val="Compact"/>
              <w:jc w:val="left"/>
            </w:pPr>
            <w:r>
              <w:t xml:space="preserve">Multiple cross-document inconsistencies</w:t>
            </w:r>
          </w:p>
        </w:tc>
        <w:tc>
          <w:tcPr/>
          <w:p>
            <w:pPr>
              <w:pStyle w:val="Compact"/>
              <w:jc w:val="left"/>
            </w:pPr>
            <w:r>
              <w:rPr>
                <w:b/>
                <w:bCs/>
              </w:rPr>
              <w:t xml:space="preserve">Medium</w:t>
            </w:r>
          </w:p>
        </w:tc>
        <w:tc>
          <w:tcPr/>
          <w:p>
            <w:pPr>
              <w:pStyle w:val="Compact"/>
              <w:jc w:val="left"/>
            </w:pPr>
            <w:r>
              <w:t xml:space="preserve">All</w:t>
            </w:r>
          </w:p>
        </w:tc>
        <w:tc>
          <w:tcPr/>
          <w:p>
            <w:pPr>
              <w:pStyle w:val="Compact"/>
              <w:jc w:val="left"/>
            </w:pPr>
            <w:r>
              <w:t xml:space="preserve">Credibility / accuracy</w:t>
            </w:r>
          </w:p>
        </w:tc>
      </w:tr>
      <w:tr>
        <w:tc>
          <w:tcPr/>
          <w:p>
            <w:pPr>
              <w:pStyle w:val="Compact"/>
              <w:jc w:val="left"/>
            </w:pPr>
            <w:r>
              <w:t xml:space="preserve">16</w:t>
            </w:r>
          </w:p>
        </w:tc>
        <w:tc>
          <w:tcPr/>
          <w:p>
            <w:pPr>
              <w:pStyle w:val="Compact"/>
              <w:jc w:val="left"/>
            </w:pPr>
            <w:r>
              <w:t xml:space="preserve">Predicate indication misrepresented in clinical synopsis table</w:t>
            </w:r>
          </w:p>
        </w:tc>
        <w:tc>
          <w:tcPr/>
          <w:p>
            <w:pPr>
              <w:pStyle w:val="Compact"/>
              <w:jc w:val="left"/>
            </w:pPr>
            <w:r>
              <w:rPr>
                <w:b/>
                <w:bCs/>
              </w:rPr>
              <w:t xml:space="preserve">Medium</w:t>
            </w:r>
          </w:p>
        </w:tc>
        <w:tc>
          <w:tcPr/>
          <w:p>
            <w:pPr>
              <w:pStyle w:val="Compact"/>
              <w:jc w:val="left"/>
            </w:pPr>
            <w:r>
              <w:t xml:space="preserve">Clinical Synopsis</w:t>
            </w:r>
          </w:p>
        </w:tc>
        <w:tc>
          <w:tcPr/>
          <w:p>
            <w:pPr>
              <w:pStyle w:val="Compact"/>
              <w:jc w:val="left"/>
            </w:pPr>
            <w:r>
              <w:t xml:space="preserve">Factual error vs. K192847 summary</w:t>
            </w:r>
          </w:p>
        </w:tc>
      </w:tr>
      <w:tr>
        <w:tc>
          <w:tcPr/>
          <w:p>
            <w:pPr>
              <w:pStyle w:val="Compact"/>
              <w:jc w:val="left"/>
            </w:pPr>
            <w:r>
              <w:t xml:space="preserve">17</w:t>
            </w:r>
          </w:p>
        </w:tc>
        <w:tc>
          <w:tcPr/>
          <w:p>
            <w:pPr>
              <w:pStyle w:val="Compact"/>
              <w:jc w:val="left"/>
            </w:pPr>
            <w:r>
              <w:t xml:space="preserve">Timeline / milestone risk (Dec 31, 2025 clearance)</w:t>
            </w:r>
          </w:p>
        </w:tc>
        <w:tc>
          <w:tcPr/>
          <w:p>
            <w:pPr>
              <w:pStyle w:val="Compact"/>
              <w:jc w:val="left"/>
            </w:pPr>
            <w:r>
              <w:rPr>
                <w:b/>
                <w:bCs/>
              </w:rPr>
              <w:t xml:space="preserve">Lower/Strategic</w:t>
            </w:r>
          </w:p>
        </w:tc>
        <w:tc>
          <w:tcPr/>
          <w:p>
            <w:pPr>
              <w:pStyle w:val="Compact"/>
              <w:jc w:val="left"/>
            </w:pPr>
            <w:r>
              <w:t xml:space="preserve">Testing Plan, Clinical Synopsis, Emails</w:t>
            </w:r>
          </w:p>
        </w:tc>
        <w:tc>
          <w:tcPr/>
          <w:p>
            <w:pPr>
              <w:pStyle w:val="Compact"/>
              <w:jc w:val="left"/>
            </w:pPr>
            <w:r>
              <w:t xml:space="preserve">Target appears unachievable</w:t>
            </w:r>
          </w:p>
        </w:tc>
      </w:tr>
      <w:tr>
        <w:tc>
          <w:tcPr/>
          <w:p>
            <w:pPr>
              <w:pStyle w:val="Compact"/>
              <w:jc w:val="left"/>
            </w:pPr>
            <w:r>
              <w:t xml:space="preserve">18</w:t>
            </w:r>
          </w:p>
        </w:tc>
        <w:tc>
          <w:tcPr/>
          <w:p>
            <w:pPr>
              <w:pStyle w:val="Compact"/>
              <w:jc w:val="left"/>
            </w:pPr>
            <w:r>
              <w:t xml:space="preserve">Human factors / usability validation not included</w:t>
            </w:r>
          </w:p>
        </w:tc>
        <w:tc>
          <w:tcPr/>
          <w:p>
            <w:pPr>
              <w:pStyle w:val="Compact"/>
              <w:jc w:val="left"/>
            </w:pPr>
            <w:r>
              <w:rPr>
                <w:b/>
                <w:bCs/>
              </w:rPr>
              <w:t xml:space="preserve">Lower/Strategic</w:t>
            </w:r>
          </w:p>
        </w:tc>
        <w:tc>
          <w:tcPr/>
          <w:p>
            <w:pPr>
              <w:pStyle w:val="Compact"/>
              <w:jc w:val="left"/>
            </w:pPr>
            <w:r>
              <w:t xml:space="preserve">Testing Plan</w:t>
            </w:r>
          </w:p>
        </w:tc>
        <w:tc>
          <w:tcPr/>
          <w:p>
            <w:pPr>
              <w:pStyle w:val="Compact"/>
              <w:jc w:val="left"/>
            </w:pPr>
            <w:r>
              <w:t xml:space="preserve">Touchscreen UI; FDA HF guidance</w:t>
            </w:r>
          </w:p>
        </w:tc>
      </w:tr>
      <w:tr>
        <w:tc>
          <w:tcPr/>
          <w:p>
            <w:pPr>
              <w:pStyle w:val="Compact"/>
              <w:jc w:val="left"/>
            </w:pPr>
            <w:r>
              <w:t xml:space="preserve">19</w:t>
            </w:r>
          </w:p>
        </w:tc>
        <w:tc>
          <w:tcPr/>
          <w:p>
            <w:pPr>
              <w:pStyle w:val="Compact"/>
              <w:jc w:val="left"/>
            </w:pPr>
            <w:r>
              <w:t xml:space="preserve">IEC 62304 not referenced for software lifecycle</w:t>
            </w:r>
          </w:p>
        </w:tc>
        <w:tc>
          <w:tcPr/>
          <w:p>
            <w:pPr>
              <w:pStyle w:val="Compact"/>
              <w:jc w:val="left"/>
            </w:pPr>
            <w:r>
              <w:rPr>
                <w:b/>
                <w:bCs/>
              </w:rPr>
              <w:t xml:space="preserve">Lower/Strategic</w:t>
            </w:r>
          </w:p>
        </w:tc>
        <w:tc>
          <w:tcPr/>
          <w:p>
            <w:pPr>
              <w:pStyle w:val="Compact"/>
              <w:jc w:val="left"/>
            </w:pPr>
            <w:r>
              <w:t xml:space="preserve">Testing Plan</w:t>
            </w:r>
          </w:p>
        </w:tc>
        <w:tc>
          <w:tcPr/>
          <w:p>
            <w:pPr>
              <w:pStyle w:val="Compact"/>
              <w:jc w:val="left"/>
            </w:pPr>
            <w:r>
              <w:t xml:space="preserve">Recognized standard; predicate cited it</w:t>
            </w:r>
          </w:p>
        </w:tc>
      </w:tr>
      <w:tr>
        <w:tc>
          <w:tcPr/>
          <w:p>
            <w:pPr>
              <w:pStyle w:val="Compact"/>
              <w:jc w:val="left"/>
            </w:pPr>
            <w:r>
              <w:t xml:space="preserve">20</w:t>
            </w:r>
          </w:p>
        </w:tc>
        <w:tc>
          <w:tcPr/>
          <w:p>
            <w:pPr>
              <w:pStyle w:val="Compact"/>
              <w:jc w:val="left"/>
            </w:pPr>
            <w:r>
              <w:t xml:space="preserve">Hemocompatibility should address impeller hemolysis / high aspiration</w:t>
            </w:r>
          </w:p>
        </w:tc>
        <w:tc>
          <w:tcPr/>
          <w:p>
            <w:pPr>
              <w:pStyle w:val="Compact"/>
              <w:jc w:val="left"/>
            </w:pPr>
            <w:r>
              <w:rPr>
                <w:b/>
                <w:bCs/>
              </w:rPr>
              <w:t xml:space="preserve">Lower/Strategic</w:t>
            </w:r>
          </w:p>
        </w:tc>
        <w:tc>
          <w:tcPr/>
          <w:p>
            <w:pPr>
              <w:pStyle w:val="Compact"/>
              <w:jc w:val="left"/>
            </w:pPr>
            <w:r>
              <w:t xml:space="preserve">Testing Plan</w:t>
            </w:r>
          </w:p>
        </w:tc>
        <w:tc>
          <w:tcPr/>
          <w:p>
            <w:pPr>
              <w:pStyle w:val="Compact"/>
              <w:jc w:val="left"/>
            </w:pPr>
            <w:r>
              <w:t xml:space="preserve">−650 mmHg vs. predicate −300 mmHg</w:t>
            </w:r>
          </w:p>
        </w:tc>
      </w:tr>
    </w:tbl>
    <w:p>
      <w:r>
        <w:pict>
          <v:rect style="width:0;height:1.5pt" o:hralign="center" o:hrstd="t" o:hr="t"/>
        </w:pict>
      </w:r>
    </w:p>
    <w:bookmarkEnd w:id="23"/>
    <w:bookmarkStart w:id="27" w:name="iii.-critical-issues"/>
    <w:p>
      <w:pPr>
        <w:pStyle w:val="Heading2"/>
      </w:pPr>
      <w:r>
        <w:t xml:space="preserve">III. Critical Issues</w:t>
      </w:r>
    </w:p>
    <w:bookmarkStart w:id="24" w:name="Xc505060edf14d2b239449ef9cb1a226c2328eff"/>
    <w:p>
      <w:pPr>
        <w:pStyle w:val="Heading3"/>
      </w:pPr>
      <w:r>
        <w:t xml:space="preserve">Issue 1 — Combination Product Classification Under 21 CFR Part 3</w:t>
      </w:r>
    </w:p>
    <w:p>
      <w:pPr>
        <w:pStyle w:val="FirstParagraph"/>
      </w:pPr>
      <w:r>
        <w:rPr>
          <w:b/>
          <w:bCs/>
        </w:rPr>
        <w:t xml:space="preserve">Tier: Critical</w:t>
      </w:r>
    </w:p>
    <w:p>
      <w:pPr>
        <w:pStyle w:val="BodyText"/>
      </w:pPr>
      <w:r>
        <w:rPr>
          <w:b/>
          <w:bCs/>
        </w:rPr>
        <w:t xml:space="preserve">Where it appears:</w:t>
      </w:r>
      <w:r>
        <w:t xml:space="preserve"> </w:t>
      </w:r>
      <w:r>
        <w:t xml:space="preserve">Cover Letter (Sections II, IV, VII); Device Description (Sections 2.1, 2.4, 4.3, 5.1); Draft IFU (Sections 1, 2, 9); Clinical Synopsis (Sections 2, 4.1, 8.2); Internal Email Chain (entire thread).</w:t>
      </w:r>
    </w:p>
    <w:p>
      <w:pPr>
        <w:pStyle w:val="BodyText"/>
      </w:pPr>
      <w:r>
        <w:rPr>
          <w:b/>
          <w:bCs/>
        </w:rPr>
        <w:t xml:space="preserve">The issue.</w:t>
      </w:r>
      <w:r>
        <w:t xml:space="preserve"> </w:t>
      </w:r>
      <w:r>
        <w:t xml:space="preserve">The VascuClear 3000 incorporates an integrated thrombolytic infusion lumen that is purpose-built for the local delivery of tissue plasminogen activator (tPA) and other thrombolytic agents. The proposed indication for use expressly claims</w:t>
      </w:r>
      <w:r>
        <w:t xml:space="preserve"> </w:t>
      </w:r>
      <w:r>
        <w:t xml:space="preserve">“</w:t>
      </w:r>
      <w:r>
        <w:t xml:space="preserve">simultaneous local delivery of physician-specified thrombolytic agents</w:t>
      </w:r>
      <w:r>
        <w:t xml:space="preserve">”</w:t>
      </w:r>
      <w:r>
        <w:t xml:space="preserve"> </w:t>
      </w:r>
      <w:r>
        <w:t xml:space="preserve">as a therapeutic function, and the clinical study protocol calls for tPA (alteplase) administration through that lumen at specified doses (0.5–1.0 mg/hr). The question is whether the Device, as designed and labeled, meets the definition of a combination product under 21 CFR 3.2(e), which would route the submission through the Office of Combination Products (OCP) for a Request for Designation and potentially alter the lead reviewing center, the applicable controls, and the review timeline.</w:t>
      </w:r>
    </w:p>
    <w:p>
      <w:pPr>
        <w:pStyle w:val="BodyText"/>
      </w:pPr>
      <w:r>
        <w:rPr>
          <w:b/>
          <w:bCs/>
        </w:rPr>
        <w:t xml:space="preserve">Analysis.</w:t>
      </w:r>
      <w:r>
        <w:t xml:space="preserve"> </w:t>
      </w:r>
      <w:r>
        <w:t xml:space="preserve">Dr. Marsh’s position — that the Device is not a combination product because the drug is physician-supplied and not co-packaged — is a reasonable reading of the</w:t>
      </w:r>
      <w:r>
        <w:t xml:space="preserve"> </w:t>
      </w:r>
      <w:r>
        <w:t xml:space="preserve">“</w:t>
      </w:r>
      <w:r>
        <w:t xml:space="preserve">constituent part</w:t>
      </w:r>
      <w:r>
        <w:t xml:space="preserve">”</w:t>
      </w:r>
      <w:r>
        <w:t xml:space="preserve"> </w:t>
      </w:r>
      <w:r>
        <w:t xml:space="preserve">analysis and is supported by the infusion-pump analogy. However, Kate Pressman’s reservations are well-founded and, in my view, should control the decision to seek FDA’s express view before the pathway is locked in. Three factors distinguish this Device from a general-purpose infusion pump and weigh in favor of obtaining FDA’s determination in advance:</w:t>
      </w:r>
    </w:p>
    <w:p>
      <w:pPr>
        <w:numPr>
          <w:ilvl w:val="0"/>
          <w:numId w:val="1002"/>
        </w:numPr>
      </w:pPr>
      <w:r>
        <w:rPr>
          <w:b/>
          <w:bCs/>
        </w:rPr>
        <w:t xml:space="preserve">The lumen is not a general-purpose fluid path.</w:t>
      </w:r>
      <w:r>
        <w:t xml:space="preserve"> </w:t>
      </w:r>
      <w:r>
        <w:t xml:space="preserve">It is engineered specifically for thrombolytic delivery at the thrombectomy site, with side ports positioned to direct infusate into the thrombus ahead of the impeller. The Device Description characterizes this as enabling</w:t>
      </w:r>
      <w:r>
        <w:t xml:space="preserve"> </w:t>
      </w:r>
      <w:r>
        <w:t xml:space="preserve">“</w:t>
      </w:r>
      <w:r>
        <w:t xml:space="preserve">pharmacological softening of thrombus prior to and during mechanical maceration.</w:t>
      </w:r>
      <w:r>
        <w:t xml:space="preserve">”</w:t>
      </w:r>
      <w:r>
        <w:t xml:space="preserve"> </w:t>
      </w:r>
      <w:r>
        <w:t xml:space="preserve">This is a drug-specific therapeutic function, not generic fluid delivery.</w:t>
      </w:r>
    </w:p>
    <w:p>
      <w:pPr>
        <w:numPr>
          <w:ilvl w:val="0"/>
          <w:numId w:val="1002"/>
        </w:numPr>
      </w:pPr>
      <w:r>
        <w:rPr>
          <w:b/>
          <w:bCs/>
        </w:rPr>
        <w:t xml:space="preserve">The indication claims drug delivery as a co-primary therapeutic function.</w:t>
      </w:r>
      <w:r>
        <w:t xml:space="preserve"> </w:t>
      </w:r>
      <w:r>
        <w:t xml:space="preserve">The proposed indication places</w:t>
      </w:r>
      <w:r>
        <w:t xml:space="preserve"> </w:t>
      </w:r>
      <w:r>
        <w:t xml:space="preserve">“</w:t>
      </w:r>
      <w:r>
        <w:t xml:space="preserve">simultaneous local delivery of physician-specified thrombolytic agents</w:t>
      </w:r>
      <w:r>
        <w:t xml:space="preserve">”</w:t>
      </w:r>
      <w:r>
        <w:t xml:space="preserve"> </w:t>
      </w:r>
      <w:r>
        <w:t xml:space="preserve">on equal footing with mechanical thrombus removal. A general-purpose infusion pump is indicated for fluid delivery without reference to any therapeutic effect; here, the therapeutic effect (thrombolysis) is claimed in the indication itself.</w:t>
      </w:r>
    </w:p>
    <w:p>
      <w:pPr>
        <w:numPr>
          <w:ilvl w:val="0"/>
          <w:numId w:val="1002"/>
        </w:numPr>
      </w:pPr>
      <w:r>
        <w:rPr>
          <w:b/>
          <w:bCs/>
        </w:rPr>
        <w:t xml:space="preserve">There is no predicate precedent for the pharmacomechanical approach.</w:t>
      </w:r>
      <w:r>
        <w:t xml:space="preserve"> </w:t>
      </w:r>
      <w:r>
        <w:t xml:space="preserve">The sole predicate, the ThrombEx 200 (K192847), is a purely mechanical device. Its 510(k) summary states unambiguously that the predicate</w:t>
      </w:r>
      <w:r>
        <w:t xml:space="preserve"> </w:t>
      </w:r>
      <w:r>
        <w:t xml:space="preserve">“</w:t>
      </w:r>
      <w:r>
        <w:t xml:space="preserve">does not deliver any pharmaceutical agents, thrombolytic drugs, or therapeutic substances to the patient</w:t>
      </w:r>
      <w:r>
        <w:t xml:space="preserve">”</w:t>
      </w:r>
      <w:r>
        <w:t xml:space="preserve"> </w:t>
      </w:r>
      <w:r>
        <w:t xml:space="preserve">and</w:t>
      </w:r>
      <w:r>
        <w:t xml:space="preserve"> </w:t>
      </w:r>
      <w:r>
        <w:t xml:space="preserve">“</w:t>
      </w:r>
      <w:r>
        <w:t xml:space="preserve">is not indicated for use in conjunction with any drug delivery or drug infusion procedure.</w:t>
      </w:r>
      <w:r>
        <w:t xml:space="preserve">”</w:t>
      </w:r>
      <w:r>
        <w:t xml:space="preserve"> </w:t>
      </w:r>
      <w:r>
        <w:t xml:space="preserve">There is therefore no cleared GXD predicate that establishes the device-only regulatory posture for a catheter with an integrated drug-delivery lumen.</w:t>
      </w:r>
    </w:p>
    <w:p>
      <w:pPr>
        <w:pStyle w:val="FirstParagraph"/>
      </w:pPr>
      <w:r>
        <w:t xml:space="preserve">I note that Dr. Marsh has not conducted an exhaustive search of the OCP designation database, and she has not identified any pharmacomechanical thrombectomy device that was reviewed as a standalone device rather than a combination product. The absence of such precedent cuts against assuming the device-only posture.</w:t>
      </w:r>
    </w:p>
    <w:p>
      <w:pPr>
        <w:pStyle w:val="BodyText"/>
      </w:pPr>
      <w:r>
        <w:rPr>
          <w:b/>
          <w:bCs/>
        </w:rPr>
        <w:t xml:space="preserve">The gap in the package.</w:t>
      </w:r>
      <w:r>
        <w:t xml:space="preserve"> </w:t>
      </w:r>
      <w:r>
        <w:t xml:space="preserve">The cover letter’s Section VI (</w:t>
      </w:r>
      <w:r>
        <w:t xml:space="preserve">“</w:t>
      </w:r>
      <w:r>
        <w:t xml:space="preserve">Specific Questions for FDA</w:t>
      </w:r>
      <w:r>
        <w:t xml:space="preserve">”</w:t>
      </w:r>
      <w:r>
        <w:t xml:space="preserve">) poses six questions, none of which asks FDA whether the VascuClear 3000 should be classified as a combination product. Kate Pressman specifically recommended adding this question (email of May 12, 2025), describing it as</w:t>
      </w:r>
      <w:r>
        <w:t xml:space="preserve"> </w:t>
      </w:r>
      <w:r>
        <w:t xml:space="preserve">“</w:t>
      </w:r>
      <w:r>
        <w:t xml:space="preserve">cheap insurance.</w:t>
      </w:r>
      <w:r>
        <w:t xml:space="preserve">”</w:t>
      </w:r>
      <w:r>
        <w:t xml:space="preserve"> </w:t>
      </w:r>
      <w:r>
        <w:t xml:space="preserve">The package as drafted does not incorporate that recommendation. Filing without posing the question means Clearfield will have committed to the traditional 510(k)/GXD pathway and will learn FDA’s view on combination-product status only when FDA responds to the predicate-selection question — by which point the submission strategy, testing contracts, and clinical study design will be further advanced.</w:t>
      </w:r>
    </w:p>
    <w:p>
      <w:pPr>
        <w:pStyle w:val="BodyText"/>
      </w:pPr>
      <w:r>
        <w:rPr>
          <w:b/>
          <w:bCs/>
        </w:rPr>
        <w:t xml:space="preserve">Recommendation.</w:t>
      </w:r>
      <w:r>
        <w:t xml:space="preserve"> </w:t>
      </w:r>
      <w:r>
        <w:t xml:space="preserve">Add an explicit question to the cover letter asking FDA to confirm whether the VascuClear 3000, as designed with an integrated thrombolytic infusion lumen and as labeled, should be classified as a combination product under 21 CFR Part 3, and if so, what the implications are for the regulatory pathway and lead reviewing office. State Clearfield’s position (device-only, traditional 510(k)) but request FDA’s concurrence. This is the single most important addition to the package. If FDA signals combination-product treatment, the December 31, 2025 milestone is almost certainly unachievable, and Kendrick &amp; Hale should be engaged on the corporate/transactional consequences (see Issue 17).</w:t>
      </w:r>
    </w:p>
    <w:p>
      <w:r>
        <w:pict>
          <v:rect style="width:0;height:1.5pt" o:hralign="center" o:hrstd="t" o:hr="t"/>
        </w:pict>
      </w:r>
    </w:p>
    <w:bookmarkEnd w:id="24"/>
    <w:bookmarkStart w:id="25" w:name="Xa289eab16996e895ed526e2711b94087765ef2e"/>
    <w:p>
      <w:pPr>
        <w:pStyle w:val="Heading3"/>
      </w:pPr>
      <w:r>
        <w:t xml:space="preserve">Issue 2 — IDE Requirement and</w:t>
      </w:r>
      <w:r>
        <w:t xml:space="preserve"> </w:t>
      </w:r>
      <w:r>
        <w:t xml:space="preserve">“</w:t>
      </w:r>
      <w:r>
        <w:t xml:space="preserve">Post-Clearance</w:t>
      </w:r>
      <w:r>
        <w:t xml:space="preserve">”</w:t>
      </w:r>
      <w:r>
        <w:t xml:space="preserve"> </w:t>
      </w:r>
      <w:r>
        <w:t xml:space="preserve">Mischaracterization of the Clinical Study</w:t>
      </w:r>
    </w:p>
    <w:p>
      <w:pPr>
        <w:pStyle w:val="FirstParagraph"/>
      </w:pPr>
      <w:r>
        <w:rPr>
          <w:b/>
          <w:bCs/>
        </w:rPr>
        <w:t xml:space="preserve">Tier: Critical</w:t>
      </w:r>
    </w:p>
    <w:p>
      <w:pPr>
        <w:pStyle w:val="BodyText"/>
      </w:pPr>
      <w:r>
        <w:rPr>
          <w:b/>
          <w:bCs/>
        </w:rPr>
        <w:t xml:space="preserve">Where it appears:</w:t>
      </w:r>
      <w:r>
        <w:t xml:space="preserve"> </w:t>
      </w:r>
      <w:r>
        <w:t xml:space="preserve">Clinical Synopsis (Sections 5, 6, 15); Cover Letter (Section VI, Q4); Internal Email Chain (entire thread).</w:t>
      </w:r>
    </w:p>
    <w:p>
      <w:pPr>
        <w:pStyle w:val="BodyText"/>
      </w:pPr>
      <w:r>
        <w:rPr>
          <w:b/>
          <w:bCs/>
        </w:rPr>
        <w:t xml:space="preserve">The issue.</w:t>
      </w:r>
      <w:r>
        <w:t xml:space="preserve"> </w:t>
      </w:r>
      <w:r>
        <w:t xml:space="preserve">The Clinical Study Synopsis states:</w:t>
      </w:r>
      <w:r>
        <w:t xml:space="preserve"> </w:t>
      </w:r>
      <w:r>
        <w:t xml:space="preserve">“</w:t>
      </w:r>
      <w:r>
        <w:t xml:space="preserve">An Investigational Device Exemption (IDE) is not anticipated for this study. The clinical study is designed as a post-clearance data collection effort, and the VascuClear 3000 is expected to have received 510(k) clearance prior to study initiation.</w:t>
      </w:r>
      <w:r>
        <w:t xml:space="preserve">”</w:t>
      </w:r>
      <w:r>
        <w:t xml:space="preserve"> </w:t>
      </w:r>
      <w:r>
        <w:t xml:space="preserve">This characterization is internally inconsistent with the package’s own timelines and, in my view, legally untenable as drafted.</w:t>
      </w:r>
    </w:p>
    <w:p>
      <w:pPr>
        <w:pStyle w:val="BodyText"/>
      </w:pPr>
      <w:r>
        <w:rPr>
          <w:b/>
          <w:bCs/>
        </w:rPr>
        <w:t xml:space="preserve">Analysis.</w:t>
      </w:r>
      <w:r>
        <w:t xml:space="preserve"> </w:t>
      </w:r>
      <w:r>
        <w:t xml:space="preserve">Three problems converge here:</w:t>
      </w:r>
    </w:p>
    <w:p>
      <w:pPr>
        <w:numPr>
          <w:ilvl w:val="0"/>
          <w:numId w:val="1003"/>
        </w:numPr>
      </w:pPr>
      <w:r>
        <w:rPr>
          <w:b/>
          <w:bCs/>
        </w:rPr>
        <w:t xml:space="preserve">The Device is not cleared, and the study starts before clearance.</w:t>
      </w:r>
      <w:r>
        <w:t xml:space="preserve"> </w:t>
      </w:r>
      <w:r>
        <w:t xml:space="preserve">The synopsis proposes a study start date of Q4 2025. The Proposed Testing Plan states that all testing will complete in</w:t>
      </w:r>
      <w:r>
        <w:t xml:space="preserve"> </w:t>
      </w:r>
      <w:r>
        <w:t xml:space="preserve">“</w:t>
      </w:r>
      <w:r>
        <w:t xml:space="preserve">November through December 2025</w:t>
      </w:r>
      <w:r>
        <w:t xml:space="preserve">”</w:t>
      </w:r>
      <w:r>
        <w:t xml:space="preserve"> </w:t>
      </w:r>
      <w:r>
        <w:t xml:space="preserve">and that the 510(k) will be submitted</w:t>
      </w:r>
      <w:r>
        <w:t xml:space="preserve"> </w:t>
      </w:r>
      <w:r>
        <w:t xml:space="preserve">“</w:t>
      </w:r>
      <w:r>
        <w:t xml:space="preserve">as early as practical following completion of all testing activities.</w:t>
      </w:r>
      <w:r>
        <w:t xml:space="preserve">”</w:t>
      </w:r>
      <w:r>
        <w:t xml:space="preserve"> </w:t>
      </w:r>
      <w:r>
        <w:t xml:space="preserve">Even under an optimistic timeline, the 510(k) could not be submitted before December 2025, and FDA’s MDUFA review (approximately 90 calendar days, frequently extended by Additional Information requests) would place clearance no earlier than approximately March 2026. The study therefore begins before the 510(k) is submitted, let alone cleared. The statement that the Device</w:t>
      </w:r>
      <w:r>
        <w:t xml:space="preserve"> </w:t>
      </w:r>
      <w:r>
        <w:t xml:space="preserve">“</w:t>
      </w:r>
      <w:r>
        <w:t xml:space="preserve">is expected to have received 510(k) clearance prior to study initiation</w:t>
      </w:r>
      <w:r>
        <w:t xml:space="preserve">”</w:t>
      </w:r>
      <w:r>
        <w:t xml:space="preserve"> </w:t>
      </w:r>
      <w:r>
        <w:t xml:space="preserve">is contradicted by the package’s own milestones.</w:t>
      </w:r>
    </w:p>
    <w:p>
      <w:pPr>
        <w:numPr>
          <w:ilvl w:val="0"/>
          <w:numId w:val="1003"/>
        </w:numPr>
      </w:pPr>
      <w:r>
        <w:rPr>
          <w:b/>
          <w:bCs/>
        </w:rPr>
        <w:t xml:space="preserve">An uncleared device used in a clinical investigation is an</w:t>
      </w:r>
      <w:r>
        <w:rPr>
          <w:b/>
          <w:bCs/>
        </w:rPr>
        <w:t xml:space="preserve"> </w:t>
      </w:r>
      <w:r>
        <w:rPr>
          <w:b/>
          <w:bCs/>
        </w:rPr>
        <w:t xml:space="preserve">“</w:t>
      </w:r>
      <w:r>
        <w:rPr>
          <w:b/>
          <w:bCs/>
        </w:rPr>
        <w:t xml:space="preserve">investigational device.</w:t>
      </w:r>
      <w:r>
        <w:rPr>
          <w:b/>
          <w:bCs/>
        </w:rPr>
        <w:t xml:space="preserve">”</w:t>
      </w:r>
      <w:r>
        <w:t xml:space="preserve"> </w:t>
      </w:r>
      <w:r>
        <w:t xml:space="preserve">Under 21 CFR 812.3(m), an</w:t>
      </w:r>
      <w:r>
        <w:t xml:space="preserve"> </w:t>
      </w:r>
      <w:r>
        <w:t xml:space="preserve">“</w:t>
      </w:r>
      <w:r>
        <w:t xml:space="preserve">investigational device</w:t>
      </w:r>
      <w:r>
        <w:t xml:space="preserve">”</w:t>
      </w:r>
      <w:r>
        <w:t xml:space="preserve"> </w:t>
      </w:r>
      <w:r>
        <w:t xml:space="preserve">is</w:t>
      </w:r>
      <w:r>
        <w:t xml:space="preserve"> </w:t>
      </w:r>
      <w:r>
        <w:t xml:space="preserve">“</w:t>
      </w:r>
      <w:r>
        <w:t xml:space="preserve">a device … that is the object of a clinical investigation.</w:t>
      </w:r>
      <w:r>
        <w:t xml:space="preserve">”</w:t>
      </w:r>
      <w:r>
        <w:t xml:space="preserve"> </w:t>
      </w:r>
      <w:r>
        <w:t xml:space="preserve">Because the VascuClear 3000 has not received 510(k) clearance, any clinical use of the Device to generate data intended to support a regulatory submission is investigational use. The</w:t>
      </w:r>
      <w:r>
        <w:t xml:space="preserve"> </w:t>
      </w:r>
      <w:r>
        <w:t xml:space="preserve">“</w:t>
      </w:r>
      <w:r>
        <w:t xml:space="preserve">post-clearance</w:t>
      </w:r>
      <w:r>
        <w:t xml:space="preserve">”</w:t>
      </w:r>
      <w:r>
        <w:t xml:space="preserve"> </w:t>
      </w:r>
      <w:r>
        <w:t xml:space="preserve">label does not fit. If the study is a significant-risk (SR) device study under 21 CFR 812.3(k), an FDA-approved IDE is required before enrollment. If it is a non-significant-risk (NSR) study, the abbreviated IDE requirements of 21 CFR 812.2(b) still apply (IRB approval, informed consent, monitoring, records), and the sponsor must justify the NSR determination to the IRB.</w:t>
      </w:r>
    </w:p>
    <w:p>
      <w:pPr>
        <w:numPr>
          <w:ilvl w:val="0"/>
          <w:numId w:val="1003"/>
        </w:numPr>
      </w:pPr>
      <w:r>
        <w:rPr>
          <w:b/>
          <w:bCs/>
        </w:rPr>
        <w:t xml:space="preserve">The study involves tPA infusion through an uncleared device lumen.</w:t>
      </w:r>
      <w:r>
        <w:t xml:space="preserve"> </w:t>
      </w:r>
      <w:r>
        <w:t xml:space="preserve">The protocol specifies alteplase at 0.5–1.0 mg/hr delivered through the integrated infusion lumen. This is use of an investigational device in combination with a drug through a feature for which there is no cleared predicate. This compounds both the IDE question and the combination-product question (Issue 1). Kate Pressman correctly flagged that this</w:t>
      </w:r>
      <w:r>
        <w:t xml:space="preserve"> </w:t>
      </w:r>
      <w:r>
        <w:t xml:space="preserve">“</w:t>
      </w:r>
      <w:r>
        <w:t xml:space="preserve">could be viewed as an unapproved use of the device in combination with a drug.</w:t>
      </w:r>
      <w:r>
        <w:t xml:space="preserve">”</w:t>
      </w:r>
    </w:p>
    <w:p>
      <w:pPr>
        <w:numPr>
          <w:ilvl w:val="0"/>
          <w:numId w:val="1003"/>
        </w:numPr>
      </w:pPr>
      <w:r>
        <w:rPr>
          <w:b/>
          <w:bCs/>
        </w:rPr>
        <w:t xml:space="preserve">The sponsor has pre-determined the risk classification.</w:t>
      </w:r>
      <w:r>
        <w:t xml:space="preserve"> </w:t>
      </w:r>
      <w:r>
        <w:t xml:space="preserve">The synopsis asserts the study</w:t>
      </w:r>
      <w:r>
        <w:t xml:space="preserve"> </w:t>
      </w:r>
      <w:r>
        <w:t xml:space="preserve">“</w:t>
      </w:r>
      <w:r>
        <w:t xml:space="preserve">is not considered a significant risk device study.</w:t>
      </w:r>
      <w:r>
        <w:t xml:space="preserve">”</w:t>
      </w:r>
      <w:r>
        <w:t xml:space="preserve"> </w:t>
      </w:r>
      <w:r>
        <w:t xml:space="preserve">The SR/NSR determination is not the sponsor’s alone to make; for SR studies, FDA makes the determination, and for NSR studies, the IRB makes the determination under 21 CFR 812.66. The sponsor’s blanket assertion is premature and could be cited against Clearfield if any site IRB or FDA disagrees.</w:t>
      </w:r>
    </w:p>
    <w:p>
      <w:pPr>
        <w:pStyle w:val="FirstParagraph"/>
      </w:pPr>
      <w:r>
        <w:rPr>
          <w:b/>
          <w:bCs/>
        </w:rPr>
        <w:t xml:space="preserve">The gap in the package.</w:t>
      </w:r>
      <w:r>
        <w:t xml:space="preserve"> </w:t>
      </w:r>
      <w:r>
        <w:t xml:space="preserve">As with Issue 1, the cover letter does not ask FDA whether an IDE is required for the proposed study. Kate Pressman recommended adding this question (email of May 12, 2025). It is not in Section VI. Proceeding to IRB submissions at five sites (targeted Q4 2025) on the assumption that no IDE is needed — without FDA’s concurrence — exposes Clearfield to the risk of enrolling patients in a study that lacks the required regulatory authorization, with attendant legal and reputational consequences.</w:t>
      </w:r>
    </w:p>
    <w:p>
      <w:pPr>
        <w:pStyle w:val="BodyText"/>
      </w:pPr>
      <w:r>
        <w:rPr>
          <w:b/>
          <w:bCs/>
        </w:rPr>
        <w:t xml:space="preserve">Recommendation.</w:t>
      </w:r>
      <w:r>
        <w:t xml:space="preserve"> </w:t>
      </w:r>
      <w:r>
        <w:t xml:space="preserve">(a) Add a cover-letter question asking FDA whether an IDE is required for the proposed clinical study design, given that the Device has not yet received 510(k) clearance and the study involves tPA infusion through the integrated lumen. (b) Revise the Clinical Synopsis to remove the</w:t>
      </w:r>
      <w:r>
        <w:t xml:space="preserve"> </w:t>
      </w:r>
      <w:r>
        <w:t xml:space="preserve">“</w:t>
      </w:r>
      <w:r>
        <w:t xml:space="preserve">post-clearance</w:t>
      </w:r>
      <w:r>
        <w:t xml:space="preserve">”</w:t>
      </w:r>
      <w:r>
        <w:t xml:space="preserve"> </w:t>
      </w:r>
      <w:r>
        <w:t xml:space="preserve">characterization, which is contradicted by the stated timelines. The study should be described accurately as a pre-clearance clinical investigation intended to generate supportive evidence for the 510(k), and the IDE analysis should be presented as a question for FDA rather than a concluded position. (c) Acknowledge that the SR/NSR determination will be made by the reviewing IRB(s) and/or FDA, not unilaterally by the sponsor. (d) If FDA indicates an IDE is required, the enrollment timeline (Q4 2025) and the clearance milestone (December 31, 2025) must be revisited immediately.</w:t>
      </w:r>
    </w:p>
    <w:p>
      <w:r>
        <w:pict>
          <v:rect style="width:0;height:1.5pt" o:hralign="center" o:hrstd="t" o:hr="t"/>
        </w:pict>
      </w:r>
    </w:p>
    <w:bookmarkEnd w:id="25"/>
    <w:bookmarkStart w:id="26" w:name="Xf6af0fd76aaf21c001b26d2868185ace21cc182"/>
    <w:p>
      <w:pPr>
        <w:pStyle w:val="Heading3"/>
      </w:pPr>
      <w:r>
        <w:t xml:space="preserve">Issue 3 — Substantial Equivalence and Predicate Adequacy</w:t>
      </w:r>
    </w:p>
    <w:p>
      <w:pPr>
        <w:pStyle w:val="FirstParagraph"/>
      </w:pPr>
      <w:r>
        <w:rPr>
          <w:b/>
          <w:bCs/>
        </w:rPr>
        <w:t xml:space="preserve">Tier: Critical</w:t>
      </w:r>
    </w:p>
    <w:p>
      <w:pPr>
        <w:pStyle w:val="BodyText"/>
      </w:pPr>
      <w:r>
        <w:rPr>
          <w:b/>
          <w:bCs/>
        </w:rPr>
        <w:t xml:space="preserve">Where it appears:</w:t>
      </w:r>
      <w:r>
        <w:t xml:space="preserve"> </w:t>
      </w:r>
      <w:r>
        <w:t xml:space="preserve">Device Description (Sections 3, 4, 5); Cover Letter (Section III); 510(k) Summary (K192847); Clinical Synopsis (Appendix A).</w:t>
      </w:r>
    </w:p>
    <w:p>
      <w:pPr>
        <w:pStyle w:val="BodyText"/>
      </w:pPr>
      <w:r>
        <w:rPr>
          <w:b/>
          <w:bCs/>
        </w:rPr>
        <w:t xml:space="preserve">The issue.</w:t>
      </w:r>
      <w:r>
        <w:t xml:space="preserve"> </w:t>
      </w:r>
      <w:r>
        <w:t xml:space="preserve">Clearfield has identified a single predicate — the ThrombEx 200 (K192847) — and asserts that the VascuClear 3000 is substantially equivalent because both are</w:t>
      </w:r>
      <w:r>
        <w:t xml:space="preserve"> </w:t>
      </w:r>
      <w:r>
        <w:t xml:space="preserve">“</w:t>
      </w:r>
      <w:r>
        <w:t xml:space="preserve">catheter-based thrombectomy systems intended for the percutaneous removal of venous thrombus.</w:t>
      </w:r>
      <w:r>
        <w:t xml:space="preserve">”</w:t>
      </w:r>
      <w:r>
        <w:t xml:space="preserve"> </w:t>
      </w:r>
      <w:r>
        <w:t xml:space="preserve">In my view, the substantial-equivalence (SE) argument is the weakest part of the package and the most likely to draw FDA pushback at the Pre-Submission meeting.</w:t>
      </w:r>
    </w:p>
    <w:p>
      <w:pPr>
        <w:pStyle w:val="BodyText"/>
      </w:pPr>
      <w:r>
        <w:rPr>
          <w:b/>
          <w:bCs/>
        </w:rPr>
        <w:t xml:space="preserve">Analysis.</w:t>
      </w:r>
      <w:r>
        <w:t xml:space="preserve"> </w:t>
      </w:r>
      <w:r>
        <w:t xml:space="preserve">The ThrombEx 200 and the VascuClear 3000 differ across nearly every technological dimension that matters for SE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ThrombEx 200 (Predicate)</w:t>
            </w:r>
          </w:p>
        </w:tc>
        <w:tc>
          <w:tcPr/>
          <w:p>
            <w:pPr>
              <w:pStyle w:val="Compact"/>
              <w:jc w:val="left"/>
            </w:pPr>
            <w:r>
              <w:t xml:space="preserve">VascuClear 3000 (Subject)</w:t>
            </w:r>
          </w:p>
        </w:tc>
      </w:tr>
      <w:tr>
        <w:tc>
          <w:tcPr/>
          <w:p>
            <w:pPr>
              <w:pStyle w:val="Compact"/>
              <w:jc w:val="left"/>
            </w:pPr>
            <w:r>
              <w:t xml:space="preserve">Thrombus removal mechanism</w:t>
            </w:r>
          </w:p>
        </w:tc>
        <w:tc>
          <w:tcPr/>
          <w:p>
            <w:pPr>
              <w:pStyle w:val="Compact"/>
              <w:jc w:val="left"/>
            </w:pPr>
            <w:r>
              <w:t xml:space="preserve">Bernoulli-effect hydrodynamic aspiration (no moving parts)</w:t>
            </w:r>
          </w:p>
        </w:tc>
        <w:tc>
          <w:tcPr/>
          <w:p>
            <w:pPr>
              <w:pStyle w:val="Compact"/>
              <w:jc w:val="left"/>
            </w:pPr>
            <w:r>
              <w:t xml:space="preserve">Rotating helical impeller (12,000 RPM) + pump aspiration</w:t>
            </w:r>
          </w:p>
        </w:tc>
      </w:tr>
      <w:tr>
        <w:tc>
          <w:tcPr/>
          <w:p>
            <w:pPr>
              <w:pStyle w:val="Compact"/>
              <w:jc w:val="left"/>
            </w:pPr>
            <w:r>
              <w:t xml:space="preserve">Drug delivery</w:t>
            </w:r>
          </w:p>
        </w:tc>
        <w:tc>
          <w:tcPr/>
          <w:p>
            <w:pPr>
              <w:pStyle w:val="Compact"/>
              <w:jc w:val="left"/>
            </w:pPr>
            <w:r>
              <w:t xml:space="preserve">None (explicitly disclaimed in K192847 summary)</w:t>
            </w:r>
          </w:p>
        </w:tc>
        <w:tc>
          <w:tcPr/>
          <w:p>
            <w:pPr>
              <w:pStyle w:val="Compact"/>
              <w:jc w:val="left"/>
            </w:pPr>
            <w:r>
              <w:t xml:space="preserve">Integrated thrombolytic infusion lumen (2–10 mL/min)</w:t>
            </w:r>
          </w:p>
        </w:tc>
      </w:tr>
      <w:tr>
        <w:tc>
          <w:tcPr/>
          <w:p>
            <w:pPr>
              <w:pStyle w:val="Compact"/>
              <w:jc w:val="left"/>
            </w:pPr>
            <w:r>
              <w:t xml:space="preserve">Catheter diameter</w:t>
            </w:r>
          </w:p>
        </w:tc>
        <w:tc>
          <w:tcPr/>
          <w:p>
            <w:pPr>
              <w:pStyle w:val="Compact"/>
              <w:jc w:val="left"/>
            </w:pPr>
            <w:r>
              <w:t xml:space="preserve">8 Fr</w:t>
            </w:r>
          </w:p>
        </w:tc>
        <w:tc>
          <w:tcPr/>
          <w:p>
            <w:pPr>
              <w:pStyle w:val="Compact"/>
              <w:jc w:val="left"/>
            </w:pPr>
            <w:r>
              <w:t xml:space="preserve">10 Fr</w:t>
            </w:r>
          </w:p>
        </w:tc>
      </w:tr>
      <w:tr>
        <w:tc>
          <w:tcPr/>
          <w:p>
            <w:pPr>
              <w:pStyle w:val="Compact"/>
              <w:jc w:val="left"/>
            </w:pPr>
            <w:r>
              <w:t xml:space="preserve">Working length</w:t>
            </w:r>
          </w:p>
        </w:tc>
        <w:tc>
          <w:tcPr/>
          <w:p>
            <w:pPr>
              <w:pStyle w:val="Compact"/>
              <w:jc w:val="left"/>
            </w:pPr>
            <w:r>
              <w:t xml:space="preserve">55 cm</w:t>
            </w:r>
          </w:p>
        </w:tc>
        <w:tc>
          <w:tcPr/>
          <w:p>
            <w:pPr>
              <w:pStyle w:val="Compact"/>
              <w:jc w:val="left"/>
            </w:pPr>
            <w:r>
              <w:t xml:space="preserve">65 cm</w:t>
            </w:r>
          </w:p>
        </w:tc>
      </w:tr>
      <w:tr>
        <w:tc>
          <w:tcPr/>
          <w:p>
            <w:pPr>
              <w:pStyle w:val="Compact"/>
              <w:jc w:val="left"/>
            </w:pPr>
            <w:r>
              <w:t xml:space="preserve">Console</w:t>
            </w:r>
          </w:p>
        </w:tc>
        <w:tc>
          <w:tcPr/>
          <w:p>
            <w:pPr>
              <w:pStyle w:val="Compact"/>
              <w:jc w:val="left"/>
            </w:pPr>
            <w:r>
              <w:t xml:space="preserve">Saline-pressurization drive unit</w:t>
            </w:r>
          </w:p>
        </w:tc>
        <w:tc>
          <w:tcPr/>
          <w:p>
            <w:pPr>
              <w:pStyle w:val="Compact"/>
              <w:jc w:val="left"/>
            </w:pPr>
            <w:r>
              <w:t xml:space="preserve">Electromechanical console with touchscreen + firmware</w:t>
            </w:r>
          </w:p>
        </w:tc>
      </w:tr>
      <w:tr>
        <w:tc>
          <w:tcPr/>
          <w:p>
            <w:pPr>
              <w:pStyle w:val="Compact"/>
              <w:jc w:val="left"/>
            </w:pPr>
            <w:r>
              <w:t xml:space="preserve">Indication</w:t>
            </w:r>
          </w:p>
        </w:tc>
        <w:tc>
          <w:tcPr/>
          <w:p>
            <w:pPr>
              <w:pStyle w:val="Compact"/>
              <w:jc w:val="left"/>
            </w:pPr>
            <w:r>
              <w:t xml:space="preserve">“</w:t>
            </w:r>
            <w:r>
              <w:t xml:space="preserve">Percutaneous removal of thrombus from the peripheral vasculature</w:t>
            </w:r>
            <w:r>
              <w:t xml:space="preserve">”</w:t>
            </w:r>
            <w:r>
              <w:t xml:space="preserve"> </w:t>
            </w:r>
            <w:r>
              <w:t xml:space="preserve">(arterial + venous; no DVT, no time window)</w:t>
            </w:r>
          </w:p>
        </w:tc>
        <w:tc>
          <w:tcPr/>
          <w:p>
            <w:pPr>
              <w:pStyle w:val="Compact"/>
              <w:jc w:val="left"/>
            </w:pPr>
            <w:r>
              <w:t xml:space="preserve">Removal of thrombus + drug delivery; acute DVT ≤14 days; iliofemoral venous segment only</w:t>
            </w:r>
          </w:p>
        </w:tc>
      </w:tr>
    </w:tbl>
    <w:p>
      <w:pPr>
        <w:pStyle w:val="BodyText"/>
      </w:pPr>
      <w:r>
        <w:t xml:space="preserve">The two features that most differentiate the VascuClear 3000 — the</w:t>
      </w:r>
      <w:r>
        <w:t xml:space="preserve"> </w:t>
      </w:r>
      <w:r>
        <w:rPr>
          <w:b/>
          <w:bCs/>
        </w:rPr>
        <w:t xml:space="preserve">rotating helical impeller</w:t>
      </w:r>
      <w:r>
        <w:t xml:space="preserve"> </w:t>
      </w:r>
      <w:r>
        <w:t xml:space="preserve">and the</w:t>
      </w:r>
      <w:r>
        <w:t xml:space="preserve"> </w:t>
      </w:r>
      <w:r>
        <w:rPr>
          <w:b/>
          <w:bCs/>
        </w:rPr>
        <w:t xml:space="preserve">integrated drug-delivery lumen</w:t>
      </w:r>
      <w:r>
        <w:t xml:space="preserve"> </w:t>
      </w:r>
      <w:r>
        <w:t xml:space="preserve">— have</w:t>
      </w:r>
      <w:r>
        <w:t xml:space="preserve"> </w:t>
      </w:r>
      <w:r>
        <w:rPr>
          <w:b/>
          <w:bCs/>
        </w:rPr>
        <w:t xml:space="preserve">no predicate basis whatsoever</w:t>
      </w:r>
      <w:r>
        <w:t xml:space="preserve">. The K192847 summary states that the predicate</w:t>
      </w:r>
      <w:r>
        <w:t xml:space="preserve"> </w:t>
      </w:r>
      <w:r>
        <w:t xml:space="preserve">“</w:t>
      </w:r>
      <w:r>
        <w:t xml:space="preserve">contains no rotating impeller, no mechanical maceration component, and no drug infusion lumen,</w:t>
      </w:r>
      <w:r>
        <w:t xml:space="preserve">”</w:t>
      </w:r>
      <w:r>
        <w:t xml:space="preserve"> </w:t>
      </w:r>
      <w:r>
        <w:t xml:space="preserve">and that it</w:t>
      </w:r>
      <w:r>
        <w:t xml:space="preserve"> </w:t>
      </w:r>
      <w:r>
        <w:t xml:space="preserve">“</w:t>
      </w:r>
      <w:r>
        <w:t xml:space="preserve">does not deliver any pharmaceutical agents.</w:t>
      </w:r>
      <w:r>
        <w:t xml:space="preserve">”</w:t>
      </w:r>
    </w:p>
    <w:p>
      <w:pPr>
        <w:pStyle w:val="BodyText"/>
      </w:pPr>
      <w:r>
        <w:t xml:space="preserve">The package’s response to these differences is to assert that they</w:t>
      </w:r>
      <w:r>
        <w:t xml:space="preserve"> </w:t>
      </w:r>
      <w:r>
        <w:t xml:space="preserve">“</w:t>
      </w:r>
      <w:r>
        <w:t xml:space="preserve">do not raise new questions of safety and effectiveness.</w:t>
      </w:r>
      <w:r>
        <w:t xml:space="preserve">”</w:t>
      </w:r>
      <w:r>
        <w:t xml:space="preserve"> </w:t>
      </w:r>
      <w:r>
        <w:t xml:space="preserve">I am not confident FDA will agree, for the following reasons:</w:t>
      </w:r>
    </w:p>
    <w:p>
      <w:pPr>
        <w:numPr>
          <w:ilvl w:val="0"/>
          <w:numId w:val="1004"/>
        </w:numPr>
      </w:pPr>
      <w:r>
        <w:rPr>
          <w:b/>
          <w:bCs/>
        </w:rPr>
        <w:t xml:space="preserve">The rotating impeller introduces new failure modes</w:t>
      </w:r>
      <w:r>
        <w:t xml:space="preserve"> </w:t>
      </w:r>
      <w:r>
        <w:t xml:space="preserve">not present in a hydrodynamic aspiration device: impeller fracture, particulate/debris generation, vessel-wall injury from a rotating element, and torque-shaft failure. The package asserts that</w:t>
      </w:r>
      <w:r>
        <w:t xml:space="preserve"> </w:t>
      </w:r>
      <w:r>
        <w:t xml:space="preserve">“</w:t>
      </w:r>
      <w:r>
        <w:t xml:space="preserve">the rotating impeller mechanism has been employed in previously cleared thrombectomy devices</w:t>
      </w:r>
      <w:r>
        <w:t xml:space="preserve">”</w:t>
      </w:r>
      <w:r>
        <w:t xml:space="preserve"> </w:t>
      </w:r>
      <w:r>
        <w:t xml:space="preserve">but</w:t>
      </w:r>
      <w:r>
        <w:t xml:space="preserve"> </w:t>
      </w:r>
      <w:r>
        <w:rPr>
          <w:b/>
          <w:bCs/>
        </w:rPr>
        <w:t xml:space="preserve">does not identify a single cleared device</w:t>
      </w:r>
      <w:r>
        <w:t xml:space="preserve"> </w:t>
      </w:r>
      <w:r>
        <w:t xml:space="preserve">that uses a rotating impeller. This is an unsupported assertion. If such devices exist, they should be named and cited as reference predicates; if they do not, the assertion should be withdrawn.</w:t>
      </w:r>
    </w:p>
    <w:p>
      <w:pPr>
        <w:numPr>
          <w:ilvl w:val="0"/>
          <w:numId w:val="1004"/>
        </w:numPr>
      </w:pPr>
      <w:r>
        <w:rPr>
          <w:b/>
          <w:bCs/>
        </w:rPr>
        <w:t xml:space="preserve">The drug-delivery lumen introduces a new intended-use dimension</w:t>
      </w:r>
      <w:r>
        <w:t xml:space="preserve"> </w:t>
      </w:r>
      <w:r>
        <w:t xml:space="preserve">(pharmacomechanical thrombectomy) that the predicate does not have. Under FDA’s SE framework (</w:t>
      </w:r>
      <w:r>
        <w:rPr>
          <w:i/>
          <w:iCs/>
        </w:rPr>
        <w:t xml:space="preserve">The 510(k) Program</w:t>
      </w:r>
      <w:r>
        <w:t xml:space="preserve"> </w:t>
      </w:r>
      <w:r>
        <w:t xml:space="preserve">guidance, 2014), a new intended use that the predicate was not cleared for is ordinarily fatal to an SE determination. The package argues that drug delivery is an</w:t>
      </w:r>
      <w:r>
        <w:t xml:space="preserve"> </w:t>
      </w:r>
      <w:r>
        <w:t xml:space="preserve">“</w:t>
      </w:r>
      <w:r>
        <w:t xml:space="preserve">ancillary</w:t>
      </w:r>
      <w:r>
        <w:t xml:space="preserve">”</w:t>
      </w:r>
      <w:r>
        <w:t xml:space="preserve"> </w:t>
      </w:r>
      <w:r>
        <w:t xml:space="preserve">feature and that the</w:t>
      </w:r>
      <w:r>
        <w:t xml:space="preserve"> </w:t>
      </w:r>
      <w:r>
        <w:t xml:space="preserve">“</w:t>
      </w:r>
      <w:r>
        <w:t xml:space="preserve">fundamental intended use</w:t>
      </w:r>
      <w:r>
        <w:t xml:space="preserve">”</w:t>
      </w:r>
      <w:r>
        <w:t xml:space="preserve"> </w:t>
      </w:r>
      <w:r>
        <w:t xml:space="preserve">(thrombus removal) is the same. FDA may not accept that framing, particularly because the proposed indication places drug delivery on equal footing with mechanical removal.</w:t>
      </w:r>
    </w:p>
    <w:p>
      <w:pPr>
        <w:numPr>
          <w:ilvl w:val="0"/>
          <w:numId w:val="1004"/>
        </w:numPr>
      </w:pPr>
      <w:r>
        <w:rPr>
          <w:b/>
          <w:bCs/>
        </w:rPr>
        <w:t xml:space="preserve">No reference predicates have been identified.</w:t>
      </w:r>
      <w:r>
        <w:t xml:space="preserve"> </w:t>
      </w:r>
      <w:r>
        <w:t xml:space="preserve">The Device Description states:</w:t>
      </w:r>
      <w:r>
        <w:t xml:space="preserve"> </w:t>
      </w:r>
      <w:r>
        <w:t xml:space="preserve">“</w:t>
      </w:r>
      <w:r>
        <w:t xml:space="preserve">No secondary or reference predicates have been identified.</w:t>
      </w:r>
      <w:r>
        <w:t xml:space="preserve">”</w:t>
      </w:r>
      <w:r>
        <w:t xml:space="preserve"> </w:t>
      </w:r>
      <w:r>
        <w:t xml:space="preserve">Given that the two differentiating features have no basis in the primary predicate, Clearfield should identify reference predicates (or reference devices) that separately establish (i) the safety and effectiveness of rotating-impeller thrombectomy and (ii) the safety and effectiveness of catheter-based local thrombolytic infusion. Without these, FDA may conclude that the differences raise new questions of safety and effectiveness, which would mean the Device is</w:t>
      </w:r>
      <w:r>
        <w:t xml:space="preserve"> </w:t>
      </w:r>
      <w:r>
        <w:rPr>
          <w:b/>
          <w:bCs/>
        </w:rPr>
        <w:t xml:space="preserve">not substantially equivalent</w:t>
      </w:r>
      <w:r>
        <w:t xml:space="preserve"> </w:t>
      </w:r>
      <w:r>
        <w:t xml:space="preserve">and cannot be cleared via traditional 510(k). The alternative pathways (de novo or PMA) would have very different timelines and evidentiary requirements.</w:t>
      </w:r>
    </w:p>
    <w:p>
      <w:pPr>
        <w:pStyle w:val="FirstParagraph"/>
      </w:pPr>
      <w:r>
        <w:rPr>
          <w:b/>
          <w:bCs/>
        </w:rPr>
        <w:t xml:space="preserve">Recommendation.</w:t>
      </w:r>
      <w:r>
        <w:t xml:space="preserve"> </w:t>
      </w:r>
      <w:r>
        <w:t xml:space="preserve">(a) Identify and cite at least one cleared reference device employing a rotating impeller/rotational maceration mechanism, with a comparison table. If none can be identified, the SE argument for the impeller must be rebuilt on bench-performance grounds and the risk of a</w:t>
      </w:r>
      <w:r>
        <w:t xml:space="preserve"> </w:t>
      </w:r>
      <w:r>
        <w:t xml:space="preserve">“</w:t>
      </w:r>
      <w:r>
        <w:t xml:space="preserve">new questions</w:t>
      </w:r>
      <w:r>
        <w:t xml:space="preserve">”</w:t>
      </w:r>
      <w:r>
        <w:t xml:space="preserve"> </w:t>
      </w:r>
      <w:r>
        <w:t xml:space="preserve">finding must be candidly assessed. (b) Identify at least one cleared reference device for catheter-directed local thrombolytic infusion (e.g., an infusion catheter under an appropriate product code) to support the drug-delivery feature. (c) Consider whether the indication should be restructured so that mechanical thrombus removal is the sole primary indication and drug delivery is described as a device feature/capability rather than a co-primary therapeutic claim — consistent with Dr. Marsh’s suggestion in the email thread, but note that this interacts with the combination-product analysis (Issue 1). (d) Pose the predicate-adequacy question to FDA clearly and be prepared for the possibility that FDA recommends a different predicate, additional reference devices, or a different pathway.</w:t>
      </w:r>
    </w:p>
    <w:p>
      <w:r>
        <w:pict>
          <v:rect style="width:0;height:1.5pt" o:hralign="center" o:hrstd="t" o:hr="t"/>
        </w:pict>
      </w:r>
    </w:p>
    <w:bookmarkEnd w:id="26"/>
    <w:bookmarkEnd w:id="27"/>
    <w:bookmarkStart w:id="34" w:name="iv.-high-priority-issues"/>
    <w:p>
      <w:pPr>
        <w:pStyle w:val="Heading2"/>
      </w:pPr>
      <w:r>
        <w:t xml:space="preserve">IV. High-Priority Issues</w:t>
      </w:r>
    </w:p>
    <w:bookmarkStart w:id="28" w:name="X2160fb4440fb71d0d36fdd0e10d2f53028d1e3f"/>
    <w:p>
      <w:pPr>
        <w:pStyle w:val="Heading3"/>
      </w:pPr>
      <w:r>
        <w:t xml:space="preserve">Issue 4 — Biocompatibility Contact-Duration Contradiction (≤24 h vs. 72 h Indwell)</w:t>
      </w:r>
    </w:p>
    <w:p>
      <w:pPr>
        <w:pStyle w:val="FirstParagraph"/>
      </w:pPr>
      <w:r>
        <w:rPr>
          <w:b/>
          <w:bCs/>
        </w:rPr>
        <w:t xml:space="preserve">Tier: High</w:t>
      </w:r>
    </w:p>
    <w:p>
      <w:pPr>
        <w:pStyle w:val="BodyText"/>
      </w:pPr>
      <w:r>
        <w:rPr>
          <w:b/>
          <w:bCs/>
        </w:rPr>
        <w:t xml:space="preserve">Where it appears:</w:t>
      </w:r>
      <w:r>
        <w:t xml:space="preserve"> </w:t>
      </w:r>
      <w:r>
        <w:t xml:space="preserve">Testing Plan (Sections 2.1, 2.2); Draft IFU (Sections 1, 8.4); Device Description (Section 2.2, comparison table).</w:t>
      </w:r>
    </w:p>
    <w:p>
      <w:pPr>
        <w:pStyle w:val="BodyText"/>
      </w:pPr>
      <w:r>
        <w:rPr>
          <w:b/>
          <w:bCs/>
        </w:rPr>
        <w:t xml:space="preserve">The issue.</w:t>
      </w:r>
      <w:r>
        <w:t xml:space="preserve"> </w:t>
      </w:r>
      <w:r>
        <w:t xml:space="preserve">The Proposed Testing Plan classifies the VascuClear Catheter as a blood-contacting device with</w:t>
      </w:r>
      <w:r>
        <w:t xml:space="preserve"> </w:t>
      </w:r>
      <w:r>
        <w:rPr>
          <w:b/>
          <w:bCs/>
        </w:rPr>
        <w:t xml:space="preserve">“</w:t>
      </w:r>
      <w:r>
        <w:rPr>
          <w:b/>
          <w:bCs/>
        </w:rPr>
        <w:t xml:space="preserve">limited</w:t>
      </w:r>
      <w:r>
        <w:rPr>
          <w:b/>
          <w:bCs/>
        </w:rPr>
        <w:t xml:space="preserve">”</w:t>
      </w:r>
      <w:r>
        <w:rPr>
          <w:b/>
          <w:bCs/>
        </w:rPr>
        <w:t xml:space="preserve"> </w:t>
      </w:r>
      <w:r>
        <w:rPr>
          <w:b/>
          <w:bCs/>
        </w:rPr>
        <w:t xml:space="preserve">contact duration (less than 24 hours)</w:t>
      </w:r>
      <w:r>
        <w:t xml:space="preserve"> </w:t>
      </w:r>
      <w:r>
        <w:t xml:space="preserve">per ISO 10993-1:2018, Table A.1, and on that basis</w:t>
      </w:r>
      <w:r>
        <w:t xml:space="preserve"> </w:t>
      </w:r>
      <w:r>
        <w:rPr>
          <w:b/>
          <w:bCs/>
        </w:rPr>
        <w:t xml:space="preserve">excludes</w:t>
      </w:r>
      <w:r>
        <w:t xml:space="preserve"> </w:t>
      </w:r>
      <w:r>
        <w:t xml:space="preserve">subchronic systemic toxicity (ISO 10993-11), implantation testing (ISO 10993-6), and genotoxicity (ISO 10993-3). However, the Draft IFU (Section 1 and Section 8.4) and the Device Description (Section 2.2) expressly state that the catheter</w:t>
      </w:r>
      <w:r>
        <w:t xml:space="preserve"> </w:t>
      </w:r>
      <w:r>
        <w:rPr>
          <w:b/>
          <w:bCs/>
        </w:rPr>
        <w:t xml:space="preserve">“</w:t>
      </w:r>
      <w:r>
        <w:rPr>
          <w:b/>
          <w:bCs/>
        </w:rPr>
        <w:t xml:space="preserve">may remain in situ for up to 72 hours</w:t>
      </w:r>
      <w:r>
        <w:rPr>
          <w:b/>
          <w:bCs/>
        </w:rPr>
        <w:t xml:space="preserve">”</w:t>
      </w:r>
      <w:r>
        <w:t xml:space="preserve"> </w:t>
      </w:r>
      <w:r>
        <w:t xml:space="preserve">for extended thrombolytic infusion therapy, and the Clinical Synopsis (Section 8.2, step 8) contemplates the same 72-hour indwell.</w:t>
      </w:r>
    </w:p>
    <w:p>
      <w:pPr>
        <w:pStyle w:val="BodyText"/>
      </w:pPr>
      <w:r>
        <w:rPr>
          <w:b/>
          <w:bCs/>
        </w:rPr>
        <w:t xml:space="preserve">Analysis.</w:t>
      </w:r>
      <w:r>
        <w:t xml:space="preserve"> </w:t>
      </w:r>
      <w:r>
        <w:t xml:space="preserve">Under ISO 10993-1:2018, Table A.1, contact durations are defined as:</w:t>
      </w:r>
      <w:r>
        <w:t xml:space="preserve"> </w:t>
      </w:r>
      <w:r>
        <w:rPr>
          <w:b/>
          <w:bCs/>
        </w:rPr>
        <w:t xml:space="preserve">limited</w:t>
      </w:r>
      <w:r>
        <w:t xml:space="preserve"> </w:t>
      </w:r>
      <w:r>
        <w:t xml:space="preserve">(≤ 24 hours),</w:t>
      </w:r>
      <w:r>
        <w:t xml:space="preserve"> </w:t>
      </w:r>
      <w:r>
        <w:rPr>
          <w:b/>
          <w:bCs/>
        </w:rPr>
        <w:t xml:space="preserve">prolonged</w:t>
      </w:r>
      <w:r>
        <w:t xml:space="preserve"> </w:t>
      </w:r>
      <w:r>
        <w:t xml:space="preserve">(&gt; 24 hours to 30 days), and</w:t>
      </w:r>
      <w:r>
        <w:t xml:space="preserve"> </w:t>
      </w:r>
      <w:r>
        <w:rPr>
          <w:b/>
          <w:bCs/>
        </w:rPr>
        <w:t xml:space="preserve">permanent</w:t>
      </w:r>
      <w:r>
        <w:t xml:space="preserve"> </w:t>
      </w:r>
      <w:r>
        <w:t xml:space="preserve">(&gt; 30 days). A 72-hour indwell is</w:t>
      </w:r>
      <w:r>
        <w:t xml:space="preserve"> </w:t>
      </w:r>
      <w:r>
        <w:rPr>
          <w:b/>
          <w:bCs/>
        </w:rPr>
        <w:t xml:space="preserve">prolonged</w:t>
      </w:r>
      <w:r>
        <w:t xml:space="preserve"> </w:t>
      </w:r>
      <w:r>
        <w:t xml:space="preserve">contact, not limited. The biocompatibility endpoint matrix for prolonged blood contact requires additional endpoints that the plan currently excludes — most notably, the plan’s categorical exclusion of subchronic systemic toxicity and implantation testing is not defensible if the device is labeled for 72-hour indwell. FDA reviews the IFU and the biocompatibility rationale together; the contradiction will be immediately apparent and is likely to be raised as a deficiency.</w:t>
      </w:r>
    </w:p>
    <w:p>
      <w:pPr>
        <w:pStyle w:val="BodyText"/>
      </w:pPr>
      <w:r>
        <w:t xml:space="preserve">This is not a minor drafting error. The excluded endpoints drive the testing scope, cost, and timeline (12–16 weeks for the current battery; adding subchronic/implantation endpoints would extend this materially). It also interacts with the sterility residual limits (ISO 10993-7 limits differ for limited vs. prolonged contact) and the EtO residual acceptance criteria in Section 6.2.</w:t>
      </w:r>
    </w:p>
    <w:p>
      <w:pPr>
        <w:pStyle w:val="BodyText"/>
      </w:pPr>
      <w:r>
        <w:rPr>
          <w:b/>
          <w:bCs/>
        </w:rPr>
        <w:t xml:space="preserve">Recommendation.</w:t>
      </w:r>
      <w:r>
        <w:t xml:space="preserve"> </w:t>
      </w:r>
      <w:r>
        <w:t xml:space="preserve">Reconcile the contact-duration classification across all documents. Either (a) the device is labeled for ≤ 24-hour contact only, in which case the 72-hour indwell claim must be removed from the IFU, Device Description, and Clinical Synopsis; or (b) the device is labeled for up to 72-hour indwell, in which case the biocompatibility testing must be reclassified as</w:t>
      </w:r>
      <w:r>
        <w:t xml:space="preserve"> </w:t>
      </w:r>
      <w:r>
        <w:rPr>
          <w:b/>
          <w:bCs/>
        </w:rPr>
        <w:t xml:space="preserve">prolonged</w:t>
      </w:r>
      <w:r>
        <w:t xml:space="preserve"> </w:t>
      </w:r>
      <w:r>
        <w:t xml:space="preserve">contact and the excluded endpoints (at minimum subchronic systemic toxicity and, depending on FDA’s view, implantation/local effects and genotoxicity) must be added to the plan. Option (b) is the more clinically honest position but has significant testing-timeline consequences. This decision should be made before the testing plan is finalized and before Whitecrest initiates studies.</w:t>
      </w:r>
    </w:p>
    <w:p>
      <w:r>
        <w:pict>
          <v:rect style="width:0;height:1.5pt" o:hralign="center" o:hrstd="t" o:hr="t"/>
        </w:pict>
      </w:r>
    </w:p>
    <w:bookmarkEnd w:id="28"/>
    <w:bookmarkStart w:id="29" w:name="X1fd0026ce08e712234bafe48cbf554fe2d4ce4b"/>
    <w:p>
      <w:pPr>
        <w:pStyle w:val="Heading3"/>
      </w:pPr>
      <w:r>
        <w:t xml:space="preserve">Issue 5 — Cover Letter Omits the Two Threshold Questions Counsel Recommended</w:t>
      </w:r>
    </w:p>
    <w:p>
      <w:pPr>
        <w:pStyle w:val="FirstParagraph"/>
      </w:pPr>
      <w:r>
        <w:rPr>
          <w:b/>
          <w:bCs/>
        </w:rPr>
        <w:t xml:space="preserve">Tier: High</w:t>
      </w:r>
    </w:p>
    <w:p>
      <w:pPr>
        <w:pStyle w:val="BodyText"/>
      </w:pPr>
      <w:r>
        <w:rPr>
          <w:b/>
          <w:bCs/>
        </w:rPr>
        <w:t xml:space="preserve">Where it appears:</w:t>
      </w:r>
      <w:r>
        <w:t xml:space="preserve"> </w:t>
      </w:r>
      <w:r>
        <w:t xml:space="preserve">Cover Letter (Section VI); Internal Email Chain (Pressman emails of May 5 and May 12, 2025).</w:t>
      </w:r>
    </w:p>
    <w:p>
      <w:pPr>
        <w:pStyle w:val="BodyText"/>
      </w:pPr>
      <w:r>
        <w:rPr>
          <w:b/>
          <w:bCs/>
        </w:rPr>
        <w:t xml:space="preserve">The issue.</w:t>
      </w:r>
      <w:r>
        <w:t xml:space="preserve"> </w:t>
      </w:r>
      <w:r>
        <w:t xml:space="preserve">The cover letter poses six questions to FDA (predicate selection, indications, performance testing, clinical study design, biocompatibility, and additional testing). It does</w:t>
      </w:r>
      <w:r>
        <w:t xml:space="preserve"> </w:t>
      </w:r>
      <w:r>
        <w:rPr>
          <w:b/>
          <w:bCs/>
        </w:rPr>
        <w:t xml:space="preserve">not</w:t>
      </w:r>
      <w:r>
        <w:t xml:space="preserve"> </w:t>
      </w:r>
      <w:r>
        <w:t xml:space="preserve">include (a) the combination-product question or (b) the IDE question, both of which Kate Pressman expressly recommended adding. The email thread reflects an open strategic disagreement that has not been resolved in the drafted package.</w:t>
      </w:r>
    </w:p>
    <w:p>
      <w:pPr>
        <w:pStyle w:val="BodyText"/>
      </w:pPr>
      <w:r>
        <w:rPr>
          <w:b/>
          <w:bCs/>
        </w:rPr>
        <w:t xml:space="preserve">Analysis.</w:t>
      </w:r>
      <w:r>
        <w:t xml:space="preserve"> </w:t>
      </w:r>
      <w:r>
        <w:t xml:space="preserve">The Pre-Submission meeting is the optimal — and least costly — moment to obtain FDA’s view on threshold pathway questions. The Q-Sub program exists precisely for this purpose. Posing the combination-product and IDE questions now costs nothing but a paragraph each; learning FDA’s view only after the 510(k) is filed (or after enrollment has begun) could require a pathway change, a study halt, or a submission withdrawal. The cover letter as drafted foregoes this opportunity on the two questions that carry the greatest pathway risk.</w:t>
      </w:r>
    </w:p>
    <w:p>
      <w:pPr>
        <w:pStyle w:val="BodyText"/>
      </w:pPr>
      <w:r>
        <w:rPr>
          <w:b/>
          <w:bCs/>
        </w:rPr>
        <w:t xml:space="preserve">Recommendation.</w:t>
      </w:r>
      <w:r>
        <w:t xml:space="preserve"> </w:t>
      </w:r>
      <w:r>
        <w:t xml:space="preserve">Add two questions to Section VI of the cover letter: (1) whether FDA considers the VascuClear 3000 a combination product under 21 CFR Part 3; and (2) whether an IDE is required for the proposed clinical study. Frame each with Clearfield’s stated position and a request for FDA’s concurrence or contrary view. This implements Kate Pressman’s recommendation and is consistent with the purpose of the Q-Sub program.</w:t>
      </w:r>
    </w:p>
    <w:p>
      <w:r>
        <w:pict>
          <v:rect style="width:0;height:1.5pt" o:hralign="center" o:hrstd="t" o:hr="t"/>
        </w:pict>
      </w:r>
    </w:p>
    <w:bookmarkEnd w:id="29"/>
    <w:bookmarkStart w:id="30" w:name="X945a0a4b1e98cae61c78e9992c0c1475864c25e"/>
    <w:p>
      <w:pPr>
        <w:pStyle w:val="Heading3"/>
      </w:pPr>
      <w:r>
        <w:t xml:space="preserve">Issue 6 — Impeller Fatigue Testing Is Inadequate</w:t>
      </w:r>
    </w:p>
    <w:p>
      <w:pPr>
        <w:pStyle w:val="FirstParagraph"/>
      </w:pPr>
      <w:r>
        <w:rPr>
          <w:b/>
          <w:bCs/>
        </w:rPr>
        <w:t xml:space="preserve">Tier: High</w:t>
      </w:r>
    </w:p>
    <w:p>
      <w:pPr>
        <w:pStyle w:val="BodyText"/>
      </w:pPr>
      <w:r>
        <w:rPr>
          <w:b/>
          <w:bCs/>
        </w:rPr>
        <w:t xml:space="preserve">Where it appears:</w:t>
      </w:r>
      <w:r>
        <w:t xml:space="preserve"> </w:t>
      </w:r>
      <w:r>
        <w:t xml:space="preserve">Testing Plan (Section 3.3); Device Description (Section 2.2).</w:t>
      </w:r>
    </w:p>
    <w:p>
      <w:pPr>
        <w:pStyle w:val="BodyText"/>
      </w:pPr>
      <w:r>
        <w:rPr>
          <w:b/>
          <w:bCs/>
        </w:rPr>
        <w:t xml:space="preserve">The issue.</w:t>
      </w:r>
      <w:r>
        <w:t xml:space="preserve"> </w:t>
      </w:r>
      <w:r>
        <w:t xml:space="preserve">The impeller fatigue test is specified as</w:t>
      </w:r>
      <w:r>
        <w:t xml:space="preserve"> </w:t>
      </w:r>
      <w:r>
        <w:t xml:space="preserve">“</w:t>
      </w:r>
      <w:r>
        <w:t xml:space="preserve">a minimum of 500 rotational cycles at maximum rated speed (12,000 RPM),</w:t>
      </w:r>
      <w:r>
        <w:t xml:space="preserve">”</w:t>
      </w:r>
      <w:r>
        <w:t xml:space="preserve"> </w:t>
      </w:r>
      <w:r>
        <w:t xml:space="preserve">with</w:t>
      </w:r>
      <w:r>
        <w:t xml:space="preserve"> </w:t>
      </w:r>
      <w:r>
        <w:t xml:space="preserve">“</w:t>
      </w:r>
      <w:r>
        <w:t xml:space="preserve">one rotational cycle</w:t>
      </w:r>
      <w:r>
        <w:t xml:space="preserve">”</w:t>
      </w:r>
      <w:r>
        <w:t xml:space="preserve"> </w:t>
      </w:r>
      <w:r>
        <w:t xml:space="preserve">defined as</w:t>
      </w:r>
      <w:r>
        <w:t xml:space="preserve"> </w:t>
      </w:r>
      <w:r>
        <w:t xml:space="preserve">“</w:t>
      </w:r>
      <w:r>
        <w:t xml:space="preserve">one complete revolution (360°) of the impeller.</w:t>
      </w:r>
      <w:r>
        <w:t xml:space="preserve">”</w:t>
      </w:r>
      <w:r>
        <w:t xml:space="preserve"> </w:t>
      </w:r>
      <w:r>
        <w:t xml:space="preserve">At 12,000 RPM (200 revolutions per second), 500 revolutions is completed in approximately</w:t>
      </w:r>
      <w:r>
        <w:t xml:space="preserve"> </w:t>
      </w:r>
      <w:r>
        <w:rPr>
          <w:b/>
          <w:bCs/>
        </w:rPr>
        <w:t xml:space="preserve">2.5 seconds</w:t>
      </w:r>
      <w:r>
        <w:t xml:space="preserve"> </w:t>
      </w:r>
      <w:r>
        <w:t xml:space="preserve">of continuous operation. This does not constitute a meaningful fatigue test for a rotating component intended for repeated clinical use.</w:t>
      </w:r>
    </w:p>
    <w:p>
      <w:pPr>
        <w:pStyle w:val="BodyText"/>
      </w:pPr>
      <w:r>
        <w:rPr>
          <w:b/>
          <w:bCs/>
        </w:rPr>
        <w:t xml:space="preserve">Analysis.</w:t>
      </w:r>
      <w:r>
        <w:t xml:space="preserve"> </w:t>
      </w:r>
      <w:r>
        <w:t xml:space="preserve">A fatigue test must reflect the cumulative mechanical exposure the impeller will experience over its intended use life. A thrombectomy procedure involving multiple passes through a thrombus at 8,000–12,000 RPM over several minutes would subject the impeller to hundreds of thousands of revolutions. A 2.5-second test cannot detect fatigue crack initiation, delamination, or progressive failure. The Device Description compounds the problem by referring to</w:t>
      </w:r>
      <w:r>
        <w:t xml:space="preserve"> </w:t>
      </w:r>
      <w:r>
        <w:t xml:space="preserve">“</w:t>
      </w:r>
      <w:r>
        <w:t xml:space="preserve">500 complete activation cycles</w:t>
      </w:r>
      <w:r>
        <w:t xml:space="preserve">”</w:t>
      </w:r>
      <w:r>
        <w:t xml:space="preserve"> </w:t>
      </w:r>
      <w:r>
        <w:t xml:space="preserve">(a different unit than</w:t>
      </w:r>
      <w:r>
        <w:t xml:space="preserve"> </w:t>
      </w:r>
      <w:r>
        <w:t xml:space="preserve">“</w:t>
      </w:r>
      <w:r>
        <w:t xml:space="preserve">500 revolutions</w:t>
      </w:r>
      <w:r>
        <w:t xml:space="preserve">”</w:t>
      </w:r>
      <w:r>
        <w:t xml:space="preserve">), creating an internal inconsistency about what was actually tested and validated by Pinnacle Standards Testing, Inc.</w:t>
      </w:r>
    </w:p>
    <w:p>
      <w:pPr>
        <w:pStyle w:val="BodyText"/>
      </w:pPr>
      <w:r>
        <w:t xml:space="preserve">The predicate’s 510(k) summary, by contrast, reports flexural fatigue testing of</w:t>
      </w:r>
      <w:r>
        <w:t xml:space="preserve"> </w:t>
      </w:r>
      <w:r>
        <w:t xml:space="preserve">“</w:t>
      </w:r>
      <w:r>
        <w:t xml:space="preserve">50,000 cycles at ±45° deflection</w:t>
      </w:r>
      <w:r>
        <w:t xml:space="preserve">”</w:t>
      </w:r>
      <w:r>
        <w:t xml:space="preserve"> </w:t>
      </w:r>
      <w:r>
        <w:t xml:space="preserve">and simulated insertion/withdrawal cycling of 100 cycles — a more conventional fatigue scope (though for a non-rotating device). FDA will expect the VascuClear impeller fatigue protocol to be justified against realistic clinical use conditions, not 500 revolutions.</w:t>
      </w:r>
    </w:p>
    <w:p>
      <w:pPr>
        <w:pStyle w:val="BodyText"/>
      </w:pPr>
      <w:r>
        <w:rPr>
          <w:b/>
          <w:bCs/>
        </w:rPr>
        <w:t xml:space="preserve">Recommendation.</w:t>
      </w:r>
      <w:r>
        <w:t xml:space="preserve"> </w:t>
      </w:r>
      <w:r>
        <w:t xml:space="preserve">Redefine the fatigue test in clinically meaningful terms. Specify the total operating time and total revolution count the impeller is expected to endure across a worst-case procedure (e.g., multiple passes at 12,000 RPM over the maximum anticipated procedure duration), and test to a multiple of that exposure (e.g., 2× or higher) to establish a safety margin. Reconcile the</w:t>
      </w:r>
      <w:r>
        <w:t xml:space="preserve"> </w:t>
      </w:r>
      <w:r>
        <w:t xml:space="preserve">“</w:t>
      </w:r>
      <w:r>
        <w:t xml:space="preserve">activation cycles</w:t>
      </w:r>
      <w:r>
        <w:t xml:space="preserve">”</w:t>
      </w:r>
      <w:r>
        <w:t xml:space="preserve"> </w:t>
      </w:r>
      <w:r>
        <w:t xml:space="preserve">vs. </w:t>
      </w:r>
      <w:r>
        <w:t xml:space="preserve">“</w:t>
      </w:r>
      <w:r>
        <w:t xml:space="preserve">revolutions</w:t>
      </w:r>
      <w:r>
        <w:t xml:space="preserve">”</w:t>
      </w:r>
      <w:r>
        <w:t xml:space="preserve"> </w:t>
      </w:r>
      <w:r>
        <w:t xml:space="preserve">terminology between the Device Description and the Testing Plan. Consider whether the 500-cycle figure cited as already</w:t>
      </w:r>
      <w:r>
        <w:t xml:space="preserve"> </w:t>
      </w:r>
      <w:r>
        <w:t xml:space="preserve">“</w:t>
      </w:r>
      <w:r>
        <w:t xml:space="preserve">validated</w:t>
      </w:r>
      <w:r>
        <w:t xml:space="preserve">”</w:t>
      </w:r>
      <w:r>
        <w:t xml:space="preserve"> </w:t>
      </w:r>
      <w:r>
        <w:t xml:space="preserve">by Pinnacle reflects the intended protocol or a different (preliminary) test.</w:t>
      </w:r>
    </w:p>
    <w:p>
      <w:r>
        <w:pict>
          <v:rect style="width:0;height:1.5pt" o:hralign="center" o:hrstd="t" o:hr="t"/>
        </w:pict>
      </w:r>
    </w:p>
    <w:bookmarkEnd w:id="30"/>
    <w:bookmarkStart w:id="31" w:name="Xc5d631579d33c2fd9204122dd3bd6becfbb15ea"/>
    <w:p>
      <w:pPr>
        <w:pStyle w:val="Heading3"/>
      </w:pPr>
      <w:r>
        <w:t xml:space="preserve">Issue 7 — Electromagnetic Compatibility (EMC) Testing Omitted</w:t>
      </w:r>
    </w:p>
    <w:p>
      <w:pPr>
        <w:pStyle w:val="FirstParagraph"/>
      </w:pPr>
      <w:r>
        <w:rPr>
          <w:b/>
          <w:bCs/>
        </w:rPr>
        <w:t xml:space="preserve">Tier: High</w:t>
      </w:r>
    </w:p>
    <w:p>
      <w:pPr>
        <w:pStyle w:val="BodyText"/>
      </w:pPr>
      <w:r>
        <w:rPr>
          <w:b/>
          <w:bCs/>
        </w:rPr>
        <w:t xml:space="preserve">Where it appears:</w:t>
      </w:r>
      <w:r>
        <w:t xml:space="preserve"> </w:t>
      </w:r>
      <w:r>
        <w:t xml:space="preserve">Testing Plan (Section 4).</w:t>
      </w:r>
    </w:p>
    <w:p>
      <w:pPr>
        <w:pStyle w:val="BodyText"/>
      </w:pPr>
      <w:r>
        <w:rPr>
          <w:b/>
          <w:bCs/>
        </w:rPr>
        <w:t xml:space="preserve">The issue.</w:t>
      </w:r>
      <w:r>
        <w:t xml:space="preserve"> </w:t>
      </w:r>
      <w:r>
        <w:t xml:space="preserve">The electrical safety section addresses IEC 60601-1:2012 (basic safety and essential performance) but does</w:t>
      </w:r>
      <w:r>
        <w:t xml:space="preserve"> </w:t>
      </w:r>
      <w:r>
        <w:rPr>
          <w:b/>
          <w:bCs/>
        </w:rPr>
        <w:t xml:space="preserve">not</w:t>
      </w:r>
      <w:r>
        <w:t xml:space="preserve"> </w:t>
      </w:r>
      <w:r>
        <w:t xml:space="preserve">include electromagnetic compatibility (EMC) testing under IEC 60601-1-2. The VascuClear Console is an AC-powered electromechanical device with a variable-frequency motor drive, a touchscreen, and embedded electronics — all of which are sources of, and susceptible to, electromagnetic disturbances.</w:t>
      </w:r>
    </w:p>
    <w:p>
      <w:pPr>
        <w:pStyle w:val="BodyText"/>
      </w:pPr>
      <w:r>
        <w:rPr>
          <w:b/>
          <w:bCs/>
        </w:rPr>
        <w:t xml:space="preserve">Analysis.</w:t>
      </w:r>
      <w:r>
        <w:t xml:space="preserve"> </w:t>
      </w:r>
      <w:r>
        <w:t xml:space="preserve">The predicate’s 510(k) summary documents a full IEC 60601-1-2:2014 EMC test battery (radiated and conducted emissions, ESD immunity, radiated RF immunity, EFT/burst, surge, conducted RF, power-frequency magnetic field, and voltage dips/interruptions), all performed at an A2LA-accredited lab. FDA routinely expects IEC 60601-1-2 EMC data for powered medical electrical equipment. Its omission from the VascuClear testing plan is a gap that FDA will identify at the Pre-Submission meeting, if not sooner. The motor drive in particular may raise radiated/conducted emission concerns.</w:t>
      </w:r>
    </w:p>
    <w:p>
      <w:pPr>
        <w:pStyle w:val="BodyText"/>
      </w:pPr>
      <w:r>
        <w:rPr>
          <w:b/>
          <w:bCs/>
        </w:rPr>
        <w:t xml:space="preserve">Recommendation.</w:t>
      </w:r>
      <w:r>
        <w:t xml:space="preserve"> </w:t>
      </w:r>
      <w:r>
        <w:t xml:space="preserve">Add IEC 60601-1-2:2014 (Edition 4) EMC testing to Section 4 of the Testing Plan, to be performed by Pinnacle Standards Testing, Inc. (or another NRTL/accredited lab). Specify the intended use environment (professional healthcare facility) and the applicable emission class. This should be added before the plan is sent to FDA.</w:t>
      </w:r>
    </w:p>
    <w:p>
      <w:r>
        <w:pict>
          <v:rect style="width:0;height:1.5pt" o:hralign="center" o:hrstd="t" o:hr="t"/>
        </w:pict>
      </w:r>
    </w:p>
    <w:bookmarkEnd w:id="31"/>
    <w:bookmarkStart w:id="32" w:name="Xeffe0d6e51c5fc36a93031ea2edad3dca19e2d7"/>
    <w:p>
      <w:pPr>
        <w:pStyle w:val="Heading3"/>
      </w:pPr>
      <w:r>
        <w:t xml:space="preserve">Issue 8 — Software Level of Concern (</w:t>
      </w:r>
      <w:r>
        <w:t xml:space="preserve">“</w:t>
      </w:r>
      <w:r>
        <w:t xml:space="preserve">Minor</w:t>
      </w:r>
      <w:r>
        <w:t xml:space="preserve">”</w:t>
      </w:r>
      <w:r>
        <w:t xml:space="preserve">) Is Questionable; Guidance Is Outdated</w:t>
      </w:r>
    </w:p>
    <w:p>
      <w:pPr>
        <w:pStyle w:val="FirstParagraph"/>
      </w:pPr>
      <w:r>
        <w:rPr>
          <w:b/>
          <w:bCs/>
        </w:rPr>
        <w:t xml:space="preserve">Tier: High</w:t>
      </w:r>
    </w:p>
    <w:p>
      <w:pPr>
        <w:pStyle w:val="BodyText"/>
      </w:pPr>
      <w:r>
        <w:rPr>
          <w:b/>
          <w:bCs/>
        </w:rPr>
        <w:t xml:space="preserve">Where it appears:</w:t>
      </w:r>
      <w:r>
        <w:t xml:space="preserve"> </w:t>
      </w:r>
      <w:r>
        <w:t xml:space="preserve">Testing Plan (Section 5); Device Description (Section 2.3).</w:t>
      </w:r>
    </w:p>
    <w:p>
      <w:pPr>
        <w:pStyle w:val="BodyText"/>
      </w:pPr>
      <w:r>
        <w:rPr>
          <w:b/>
          <w:bCs/>
        </w:rPr>
        <w:t xml:space="preserve">The issue.</w:t>
      </w:r>
      <w:r>
        <w:t xml:space="preserve"> </w:t>
      </w:r>
      <w:r>
        <w:t xml:space="preserve">Two related problems: (a) the console firmware is classified as</w:t>
      </w:r>
      <w:r>
        <w:t xml:space="preserve"> </w:t>
      </w:r>
      <w:r>
        <w:rPr>
          <w:b/>
          <w:bCs/>
        </w:rPr>
        <w:t xml:space="preserve">“</w:t>
      </w:r>
      <w:r>
        <w:rPr>
          <w:b/>
          <w:bCs/>
        </w:rPr>
        <w:t xml:space="preserve">Minor</w:t>
      </w:r>
      <w:r>
        <w:rPr>
          <w:b/>
          <w:bCs/>
        </w:rPr>
        <w:t xml:space="preserve">”</w:t>
      </w:r>
      <w:r>
        <w:t xml:space="preserve"> </w:t>
      </w:r>
      <w:r>
        <w:t xml:space="preserve">level of concern, which is lower than the predicate’s own software classification; and (b) the package relies on FDA’s</w:t>
      </w:r>
      <w:r>
        <w:t xml:space="preserve"> </w:t>
      </w:r>
      <w:r>
        <w:rPr>
          <w:b/>
          <w:bCs/>
        </w:rPr>
        <w:t xml:space="preserve">2005</w:t>
      </w:r>
      <w:r>
        <w:t xml:space="preserve"> </w:t>
      </w:r>
      <w:r>
        <w:t xml:space="preserve">software guidance, which has been superseded.</w:t>
      </w:r>
    </w:p>
    <w:p>
      <w:pPr>
        <w:pStyle w:val="BodyText"/>
      </w:pPr>
      <w:r>
        <w:rPr>
          <w:b/>
          <w:bCs/>
        </w:rPr>
        <w:t xml:space="preserve">Analysis.</w:t>
      </w:r>
    </w:p>
    <w:p>
      <w:pPr>
        <w:numPr>
          <w:ilvl w:val="0"/>
          <w:numId w:val="1005"/>
        </w:numPr>
      </w:pPr>
      <w:r>
        <w:rPr>
          <w:b/>
          <w:bCs/>
        </w:rPr>
        <w:t xml:space="preserve">Level of concern / documentation level.</w:t>
      </w:r>
      <w:r>
        <w:t xml:space="preserve"> </w:t>
      </w:r>
      <w:r>
        <w:t xml:space="preserve">The console software directly controls a rotating helical impeller operating at up to 12,000 RPM inside a patient’s blood vessel, plus an aspiration pump generating up to −650 mmHg. A software failure that causes uncontrolled impeller acceleration, failure to stop on command, or failure to detect an obstruction could plausibly result in serious injury (vessel perforation, dissection, hemolysis, embolization). The</w:t>
      </w:r>
      <w:r>
        <w:t xml:space="preserve"> </w:t>
      </w:r>
      <w:r>
        <w:t xml:space="preserve">“</w:t>
      </w:r>
      <w:r>
        <w:t xml:space="preserve">Minor</w:t>
      </w:r>
      <w:r>
        <w:t xml:space="preserve">”</w:t>
      </w:r>
      <w:r>
        <w:t xml:space="preserve"> </w:t>
      </w:r>
      <w:r>
        <w:t xml:space="preserve">rationale rests on the existence of independent hardware safety mechanisms (a mechanical over-speed governor and a hardware pressure-relief valve). Even assuming those mechanisms are present and validated, FDA may view a device that spins a blade at 12,000 RPM in a vein as warranting at least a</w:t>
      </w:r>
      <w:r>
        <w:t xml:space="preserve"> </w:t>
      </w:r>
      <w:r>
        <w:rPr>
          <w:b/>
          <w:bCs/>
        </w:rPr>
        <w:t xml:space="preserve">Moderate</w:t>
      </w:r>
      <w:r>
        <w:t xml:space="preserve"> </w:t>
      </w:r>
      <w:r>
        <w:t xml:space="preserve">(now</w:t>
      </w:r>
      <w:r>
        <w:t xml:space="preserve"> </w:t>
      </w:r>
      <w:r>
        <w:t xml:space="preserve">“</w:t>
      </w:r>
      <w:r>
        <w:t xml:space="preserve">Enhanced</w:t>
      </w:r>
      <w:r>
        <w:t xml:space="preserve">”</w:t>
      </w:r>
      <w:r>
        <w:t xml:space="preserve">) classification — particularly because the predicate’s own software was classified</w:t>
      </w:r>
      <w:r>
        <w:t xml:space="preserve"> </w:t>
      </w:r>
      <w:r>
        <w:rPr>
          <w:b/>
          <w:bCs/>
        </w:rPr>
        <w:t xml:space="preserve">Moderate</w:t>
      </w:r>
      <w:r>
        <w:t xml:space="preserve"> </w:t>
      </w:r>
      <w:r>
        <w:t xml:space="preserve">for a less active device (a saline-pressurization unit with no rotating element). The disparity will invite scrutiny.</w:t>
      </w:r>
    </w:p>
    <w:p>
      <w:pPr>
        <w:numPr>
          <w:ilvl w:val="0"/>
          <w:numId w:val="1005"/>
        </w:numPr>
      </w:pPr>
      <w:r>
        <w:rPr>
          <w:b/>
          <w:bCs/>
        </w:rPr>
        <w:t xml:space="preserve">Outdated guidance.</w:t>
      </w:r>
      <w:r>
        <w:t xml:space="preserve"> </w:t>
      </w:r>
      <w:r>
        <w:t xml:space="preserve">FDA’s 2005 guidance (</w:t>
      </w:r>
      <w:r>
        <w:rPr>
          <w:i/>
          <w:iCs/>
        </w:rPr>
        <w:t xml:space="preserve">Guidance for the Content of Premarket Submissions for Software Contained in Medical Devices</w:t>
      </w:r>
      <w:r>
        <w:t xml:space="preserve">) used the</w:t>
      </w:r>
      <w:r>
        <w:t xml:space="preserve"> </w:t>
      </w:r>
      <w:r>
        <w:t xml:space="preserve">“</w:t>
      </w:r>
      <w:r>
        <w:t xml:space="preserve">level of concern</w:t>
      </w:r>
      <w:r>
        <w:t xml:space="preserve">”</w:t>
      </w:r>
      <w:r>
        <w:t xml:space="preserve"> </w:t>
      </w:r>
      <w:r>
        <w:t xml:space="preserve">(Minor/Moderate/Major) framework. FDA issued a successor guidance in 2023 (</w:t>
      </w:r>
      <w:r>
        <w:rPr>
          <w:i/>
          <w:iCs/>
        </w:rPr>
        <w:t xml:space="preserve">Content of Premarket Submissions for Device Software Functions</w:t>
      </w:r>
      <w:r>
        <w:t xml:space="preserve">) that replaced</w:t>
      </w:r>
      <w:r>
        <w:t xml:space="preserve"> </w:t>
      </w:r>
      <w:r>
        <w:t xml:space="preserve">“</w:t>
      </w:r>
      <w:r>
        <w:t xml:space="preserve">level of concern</w:t>
      </w:r>
      <w:r>
        <w:t xml:space="preserve">”</w:t>
      </w:r>
      <w:r>
        <w:t xml:space="preserve"> </w:t>
      </w:r>
      <w:r>
        <w:t xml:space="preserve">with a</w:t>
      </w:r>
      <w:r>
        <w:t xml:space="preserve"> </w:t>
      </w:r>
      <w:r>
        <w:rPr>
          <w:b/>
          <w:bCs/>
        </w:rPr>
        <w:t xml:space="preserve">“</w:t>
      </w:r>
      <w:r>
        <w:rPr>
          <w:b/>
          <w:bCs/>
        </w:rPr>
        <w:t xml:space="preserve">Documentation Level</w:t>
      </w:r>
      <w:r>
        <w:rPr>
          <w:b/>
          <w:bCs/>
        </w:rPr>
        <w:t xml:space="preserve">”</w:t>
      </w:r>
      <w:r>
        <w:t xml:space="preserve"> </w:t>
      </w:r>
      <w:r>
        <w:t xml:space="preserve">(Basic or Enhanced) and restructured the expected documentation. The package references the 2005 guidance throughout (Device Description Section 2.3; Testing Plan Sections 5.2, 5.3; References). The submission should be aligned to the current 2023 framework.</w:t>
      </w:r>
    </w:p>
    <w:p>
      <w:pPr>
        <w:pStyle w:val="FirstParagraph"/>
      </w:pPr>
      <w:r>
        <w:rPr>
          <w:b/>
          <w:bCs/>
        </w:rPr>
        <w:t xml:space="preserve">Recommendation.</w:t>
      </w:r>
      <w:r>
        <w:t xml:space="preserve"> </w:t>
      </w:r>
      <w:r>
        <w:t xml:space="preserve">(a) Reassess the software documentation level under the 2023 guidance. Given the impeller control function and the serious-injury potential, an</w:t>
      </w:r>
      <w:r>
        <w:t xml:space="preserve"> </w:t>
      </w:r>
      <w:r>
        <w:rPr>
          <w:b/>
          <w:bCs/>
        </w:rPr>
        <w:t xml:space="preserve">Enhanced</w:t>
      </w:r>
      <w:r>
        <w:t xml:space="preserve"> </w:t>
      </w:r>
      <w:r>
        <w:t xml:space="preserve">documentation level is the more defensible position and would align the package with the predicate’s treatment. (b) Update all references from the 2005 guidance to the 2023 guidance and restructure the proposed V&amp;V activities (Section 5.3) accordingly — at minimum, plan to include hazard analysis, architecture description, and anomaly tracking in the submission rather than withholding them. (c) Reference IEC 62304 for the software lifecycle (see Issue 19). (d) Verify and document the existence and validation of the hardware safety mechanisms on which the classification rationale depends.</w:t>
      </w:r>
    </w:p>
    <w:p>
      <w:r>
        <w:pict>
          <v:rect style="width:0;height:1.5pt" o:hralign="center" o:hrstd="t" o:hr="t"/>
        </w:pict>
      </w:r>
    </w:p>
    <w:bookmarkEnd w:id="32"/>
    <w:bookmarkStart w:id="33" w:name="issue-9-clinical-study-design-weaknesses"/>
    <w:p>
      <w:pPr>
        <w:pStyle w:val="Heading3"/>
      </w:pPr>
      <w:r>
        <w:t xml:space="preserve">Issue 9 — Clinical Study Design Weaknesses</w:t>
      </w:r>
    </w:p>
    <w:p>
      <w:pPr>
        <w:pStyle w:val="FirstParagraph"/>
      </w:pPr>
      <w:r>
        <w:rPr>
          <w:b/>
          <w:bCs/>
        </w:rPr>
        <w:t xml:space="preserve">Tier: High</w:t>
      </w:r>
    </w:p>
    <w:p>
      <w:pPr>
        <w:pStyle w:val="BodyText"/>
      </w:pPr>
      <w:r>
        <w:rPr>
          <w:b/>
          <w:bCs/>
        </w:rPr>
        <w:t xml:space="preserve">Where it appears:</w:t>
      </w:r>
      <w:r>
        <w:t xml:space="preserve"> </w:t>
      </w:r>
      <w:r>
        <w:t xml:space="preserve">Clinical Synopsis (Sections 5, 9, 10, 11, 12).</w:t>
      </w:r>
    </w:p>
    <w:p>
      <w:pPr>
        <w:pStyle w:val="BodyText"/>
      </w:pPr>
      <w:r>
        <w:rPr>
          <w:b/>
          <w:bCs/>
        </w:rPr>
        <w:t xml:space="preserve">The issue.</w:t>
      </w:r>
      <w:r>
        <w:t xml:space="preserve"> </w:t>
      </w:r>
      <w:r>
        <w:t xml:space="preserve">Beyond the IDE mischaracterization (Issue 2), the proposed study design has several features that FDA is likely to question.</w:t>
      </w:r>
    </w:p>
    <w:p>
      <w:pPr>
        <w:pStyle w:val="BodyText"/>
      </w:pPr>
      <w:r>
        <w:rPr>
          <w:b/>
          <w:bCs/>
        </w:rPr>
        <w:t xml:space="preserve">Analysis.</w:t>
      </w:r>
    </w:p>
    <w:p>
      <w:pPr>
        <w:numPr>
          <w:ilvl w:val="0"/>
          <w:numId w:val="1006"/>
        </w:numPr>
      </w:pPr>
      <w:r>
        <w:rPr>
          <w:b/>
          <w:bCs/>
        </w:rPr>
        <w:t xml:space="preserve">Single-arm design with no comparator.</w:t>
      </w:r>
      <w:r>
        <w:t xml:space="preserve"> </w:t>
      </w:r>
      <w:r>
        <w:t xml:space="preserve">For a device with a new mechanism (rotating impeller) and a new feature (drug delivery) relative to the predicate, a single-arm study with an objective performance criterion (OPC) may be acceptable for 510(k) supportive evidence, but FDA may ask for a stronger design or a justified comparator. The OPC approach is only as credible as the performance goal and the historical data supporting it.</w:t>
      </w:r>
    </w:p>
    <w:p>
      <w:pPr>
        <w:numPr>
          <w:ilvl w:val="0"/>
          <w:numId w:val="1006"/>
        </w:numPr>
      </w:pPr>
      <w:r>
        <w:rPr>
          <w:b/>
          <w:bCs/>
        </w:rPr>
        <w:t xml:space="preserve">Performance goal (70%) and expected success rate (80%) are not justified against historical data.</w:t>
      </w:r>
      <w:r>
        <w:t xml:space="preserve"> </w:t>
      </w:r>
      <w:r>
        <w:t xml:space="preserve">The sample-size calculation assumes an 80% true success rate and a 70% performance goal, but the synopsis cites no historical control data, no prior study results, and no literature benchmark to support either number. The primary endpoint (≥50% thrombus removal at 24 hours) is a relatively low bar, and the 70% performance goal is asserted without derivation. FDA will ask where these numbers come from.</w:t>
      </w:r>
    </w:p>
    <w:p>
      <w:pPr>
        <w:numPr>
          <w:ilvl w:val="0"/>
          <w:numId w:val="1006"/>
        </w:numPr>
      </w:pPr>
      <w:r>
        <w:rPr>
          <w:b/>
          <w:bCs/>
        </w:rPr>
        <w:t xml:space="preserve">30-day follow-up cannot assess the clinically meaningful long-term outcome.</w:t>
      </w:r>
      <w:r>
        <w:t xml:space="preserve"> </w:t>
      </w:r>
      <w:r>
        <w:t xml:space="preserve">The principal long-term benefit of iliofemoral DVT intervention is reduction of post-thrombotic syndrome (PTS), which develops over months to years (the CaVenT and ATTRACT studies used 24-month and longer endpoints). A 30-day patency endpoint does not capture the outcome that matters most to patients and payors. FDA may request longer follow-up, particularly if the clinical data is to carry any weight in the SE determination.</w:t>
      </w:r>
    </w:p>
    <w:p>
      <w:pPr>
        <w:numPr>
          <w:ilvl w:val="0"/>
          <w:numId w:val="1006"/>
        </w:numPr>
      </w:pPr>
      <w:r>
        <w:rPr>
          <w:b/>
          <w:bCs/>
        </w:rPr>
        <w:t xml:space="preserve">No independent Data Safety Monitoring Board (DSMB).</w:t>
      </w:r>
      <w:r>
        <w:t xml:space="preserve"> </w:t>
      </w:r>
      <w:r>
        <w:t xml:space="preserve">Safety monitoring is assigned to the Sponsor and the CRO. For a study involving systemic thrombolytic infusion (with hemorrhagic risk) and a rotating intravascular device, an independent DSMB is typically expected. Its absence may be raised.</w:t>
      </w:r>
    </w:p>
    <w:p>
      <w:pPr>
        <w:numPr>
          <w:ilvl w:val="0"/>
          <w:numId w:val="1006"/>
        </w:numPr>
      </w:pPr>
      <w:r>
        <w:rPr>
          <w:b/>
          <w:bCs/>
        </w:rPr>
        <w:t xml:space="preserve">tPA dosing protocol (0.5–1.0 mg/hr alteplase) is specified but not justified.</w:t>
      </w:r>
      <w:r>
        <w:t xml:space="preserve"> </w:t>
      </w:r>
      <w:r>
        <w:t xml:space="preserve">The dose range should be tied to institutional standards and the drug labeling, and the rationale for the selected range should be stated.</w:t>
      </w:r>
    </w:p>
    <w:p>
      <w:pPr>
        <w:numPr>
          <w:ilvl w:val="0"/>
          <w:numId w:val="1006"/>
        </w:numPr>
      </w:pPr>
      <w:r>
        <w:rPr>
          <w:b/>
          <w:bCs/>
        </w:rPr>
        <w:t xml:space="preserve">The synopsis simultaneously claims the data will</w:t>
      </w:r>
      <w:r>
        <w:rPr>
          <w:b/>
          <w:bCs/>
        </w:rPr>
        <w:t xml:space="preserve"> </w:t>
      </w:r>
      <w:r>
        <w:rPr>
          <w:b/>
          <w:bCs/>
        </w:rPr>
        <w:t xml:space="preserve">“</w:t>
      </w:r>
      <w:r>
        <w:rPr>
          <w:b/>
          <w:bCs/>
        </w:rPr>
        <w:t xml:space="preserve">support the 510(k) submission</w:t>
      </w:r>
      <w:r>
        <w:rPr>
          <w:b/>
          <w:bCs/>
        </w:rPr>
        <w:t xml:space="preserve">”</w:t>
      </w:r>
      <w:r>
        <w:rPr>
          <w:b/>
          <w:bCs/>
        </w:rPr>
        <w:t xml:space="preserve"> </w:t>
      </w:r>
      <w:r>
        <w:rPr>
          <w:b/>
          <w:bCs/>
        </w:rPr>
        <w:t xml:space="preserve">and that the study is</w:t>
      </w:r>
      <w:r>
        <w:rPr>
          <w:b/>
          <w:bCs/>
        </w:rPr>
        <w:t xml:space="preserve"> </w:t>
      </w:r>
      <w:r>
        <w:rPr>
          <w:b/>
          <w:bCs/>
        </w:rPr>
        <w:t xml:space="preserve">“</w:t>
      </w:r>
      <w:r>
        <w:rPr>
          <w:b/>
          <w:bCs/>
        </w:rPr>
        <w:t xml:space="preserve">post-clearance.</w:t>
      </w:r>
      <w:r>
        <w:rPr>
          <w:b/>
          <w:bCs/>
        </w:rPr>
        <w:t xml:space="preserve">”</w:t>
      </w:r>
      <w:r>
        <w:t xml:space="preserve"> </w:t>
      </w:r>
      <w:r>
        <w:t xml:space="preserve">These are mutually exclusive: if the data supports the 510(k), the study must complete before submission (pre-clearance, investigational); if the study is post-clearance, the data cannot support the initial 510(k). This must be resolved (see Issue 2).</w:t>
      </w:r>
    </w:p>
    <w:p>
      <w:pPr>
        <w:pStyle w:val="FirstParagraph"/>
      </w:pPr>
      <w:r>
        <w:rPr>
          <w:b/>
          <w:bCs/>
        </w:rPr>
        <w:t xml:space="preserve">Recommendation.</w:t>
      </w:r>
      <w:r>
        <w:t xml:space="preserve"> </w:t>
      </w:r>
      <w:r>
        <w:t xml:space="preserve">(a) Justify the performance goal and expected success rate with literature or historical data, or acknowledge to FDA that the OPC is proposed and request concurrence. (b) Consider extending follow-up to at least 6 months (and ideally toward a PTS assessment) or explain to FDA why 30-day data is adequate for a 510(k) supportive study. (c) Add an independent DSMB. (d) Resolve the pre-clearance/post-clearance contradiction. (e) Pose the study-design questions to FDA as already contemplated in cover-letter Question 4, but expand them to address the points above.</w:t>
      </w:r>
    </w:p>
    <w:p>
      <w:r>
        <w:pict>
          <v:rect style="width:0;height:1.5pt" o:hralign="center" o:hrstd="t" o:hr="t"/>
        </w:pict>
      </w:r>
    </w:p>
    <w:bookmarkEnd w:id="33"/>
    <w:bookmarkEnd w:id="34"/>
    <w:bookmarkStart w:id="42" w:name="v.-medium-priority-issues"/>
    <w:p>
      <w:pPr>
        <w:pStyle w:val="Heading2"/>
      </w:pPr>
      <w:r>
        <w:t xml:space="preserve">V. Medium-Priority Issues</w:t>
      </w:r>
    </w:p>
    <w:bookmarkStart w:id="35" w:name="X21bcc7673e67e00bf876a287a0eb14f8e782b63"/>
    <w:p>
      <w:pPr>
        <w:pStyle w:val="Heading3"/>
      </w:pPr>
      <w:r>
        <w:t xml:space="preserve">Issue 10 — MRI Safety Testing Absent; IFU Contains [TBD] Placeholders</w:t>
      </w:r>
    </w:p>
    <w:p>
      <w:pPr>
        <w:pStyle w:val="FirstParagraph"/>
      </w:pPr>
      <w:r>
        <w:rPr>
          <w:b/>
          <w:bCs/>
        </w:rPr>
        <w:t xml:space="preserve">Tier: Medium</w:t>
      </w:r>
    </w:p>
    <w:p>
      <w:pPr>
        <w:pStyle w:val="BodyText"/>
      </w:pPr>
      <w:r>
        <w:rPr>
          <w:b/>
          <w:bCs/>
        </w:rPr>
        <w:t xml:space="preserve">Where it appears:</w:t>
      </w:r>
      <w:r>
        <w:t xml:space="preserve"> </w:t>
      </w:r>
      <w:r>
        <w:t xml:space="preserve">Draft IFU (Section 6); Testing Plan (no MRI section).</w:t>
      </w:r>
    </w:p>
    <w:p>
      <w:pPr>
        <w:pStyle w:val="BodyText"/>
      </w:pPr>
      <w:r>
        <w:rPr>
          <w:b/>
          <w:bCs/>
        </w:rPr>
        <w:t xml:space="preserve">The issue.</w:t>
      </w:r>
      <w:r>
        <w:t xml:space="preserve"> </w:t>
      </w:r>
      <w:r>
        <w:t xml:space="preserve">The IFU declares the VascuClear Catheter</w:t>
      </w:r>
      <w:r>
        <w:t xml:space="preserve"> </w:t>
      </w:r>
      <w:r>
        <w:t xml:space="preserve">“</w:t>
      </w:r>
      <w:r>
        <w:t xml:space="preserve">MR Conditional</w:t>
      </w:r>
      <w:r>
        <w:t xml:space="preserve">”</w:t>
      </w:r>
      <w:r>
        <w:t xml:space="preserve"> </w:t>
      </w:r>
      <w:r>
        <w:t xml:space="preserve">but leaves the temperature rise and field-strength values as</w:t>
      </w:r>
      <w:r>
        <w:t xml:space="preserve"> </w:t>
      </w:r>
      <w:r>
        <w:t xml:space="preserve">“</w:t>
      </w:r>
      <w:r>
        <w:t xml:space="preserve">[TBD].</w:t>
      </w:r>
      <w:r>
        <w:t xml:space="preserve">”</w:t>
      </w:r>
      <w:r>
        <w:t xml:space="preserve"> </w:t>
      </w:r>
      <w:r>
        <w:t xml:space="preserve">The Proposed Testing Plan contains no MRI safety testing section. The Device Description comparison table lists</w:t>
      </w:r>
      <w:r>
        <w:t xml:space="preserve"> </w:t>
      </w:r>
      <w:r>
        <w:t xml:space="preserve">“</w:t>
      </w:r>
      <w:r>
        <w:t xml:space="preserve">MRI Status: MRI Conditional (per draft IFU).</w:t>
      </w:r>
      <w:r>
        <w:t xml:space="preserve">”</w:t>
      </w:r>
    </w:p>
    <w:p>
      <w:pPr>
        <w:pStyle w:val="BodyText"/>
      </w:pPr>
      <w:r>
        <w:rPr>
          <w:b/>
          <w:bCs/>
        </w:rPr>
        <w:t xml:space="preserve">Analysis.</w:t>
      </w:r>
      <w:r>
        <w:t xml:space="preserve"> </w:t>
      </w:r>
      <w:r>
        <w:t xml:space="preserve">An MR Conditional claim must be supported by testing per ASTM F2503 (and the related F2182, F2213, F2052 standards as applicable), including magnetically induced displacement force and torque, RF-induced heating, and image artifact characterization. The catheter contains metallic components (stainless steel and/or nitinol — see Issue 14), which are relevant to MRI safety. FDA will not accept an MR Conditional label without supporting data, and the [TBD] placeholders cannot remain in a document going to FDA, even in draft.</w:t>
      </w:r>
    </w:p>
    <w:p>
      <w:pPr>
        <w:pStyle w:val="BodyText"/>
      </w:pPr>
      <w:r>
        <w:rPr>
          <w:b/>
          <w:bCs/>
        </w:rPr>
        <w:t xml:space="preserve">Recommendation.</w:t>
      </w:r>
      <w:r>
        <w:t xml:space="preserve"> </w:t>
      </w:r>
      <w:r>
        <w:t xml:space="preserve">Add an MRI safety testing section to the Testing Plan (ASTM F2503 framework), and either populate the IFU values with test data or remove the specific MR Conditional conditions pending test results (stating that MRI safety testing is planned). Do not leave [TBD] in the version sent to FDA.</w:t>
      </w:r>
    </w:p>
    <w:p>
      <w:r>
        <w:pict>
          <v:rect style="width:0;height:1.5pt" o:hralign="center" o:hrstd="t" o:hr="t"/>
        </w:pict>
      </w:r>
    </w:p>
    <w:bookmarkEnd w:id="35"/>
    <w:bookmarkStart w:id="36" w:name="Xb7c68fee6e3f2c37ccfa1943a821e234e0c4194"/>
    <w:p>
      <w:pPr>
        <w:pStyle w:val="Heading3"/>
      </w:pPr>
      <w:r>
        <w:t xml:space="preserve">Issue 11 — Drug-Compatibility Testing Gap (Saline Only; No tPA)</w:t>
      </w:r>
    </w:p>
    <w:p>
      <w:pPr>
        <w:pStyle w:val="FirstParagraph"/>
      </w:pPr>
      <w:r>
        <w:rPr>
          <w:b/>
          <w:bCs/>
        </w:rPr>
        <w:t xml:space="preserve">Tier: Medium</w:t>
      </w:r>
    </w:p>
    <w:p>
      <w:pPr>
        <w:pStyle w:val="BodyText"/>
      </w:pPr>
      <w:r>
        <w:rPr>
          <w:b/>
          <w:bCs/>
        </w:rPr>
        <w:t xml:space="preserve">Where it appears:</w:t>
      </w:r>
      <w:r>
        <w:t xml:space="preserve"> </w:t>
      </w:r>
      <w:r>
        <w:t xml:space="preserve">Testing Plan (Section 8); Draft IFU (Section 9).</w:t>
      </w:r>
    </w:p>
    <w:p>
      <w:pPr>
        <w:pStyle w:val="BodyText"/>
      </w:pPr>
      <w:r>
        <w:rPr>
          <w:b/>
          <w:bCs/>
        </w:rPr>
        <w:t xml:space="preserve">The issue.</w:t>
      </w:r>
      <w:r>
        <w:t xml:space="preserve"> </w:t>
      </w:r>
      <w:r>
        <w:t xml:space="preserve">The drug-delivery characterization (Section 8) uses only normal saline as the test fluid. The IFU (Section 9) candidly states:</w:t>
      </w:r>
      <w:r>
        <w:t xml:space="preserve"> </w:t>
      </w:r>
      <w:r>
        <w:t xml:space="preserve">“</w:t>
      </w:r>
      <w:r>
        <w:t xml:space="preserve">Drug compatibility with catheter lumen materials has not been independently verified by Clearfield Medical Devices… specific compatibility testing with individual thrombolytic agents, diluents, or drug formulations has not been performed.</w:t>
      </w:r>
      <w:r>
        <w:t xml:space="preserve">”</w:t>
      </w:r>
    </w:p>
    <w:p>
      <w:pPr>
        <w:pStyle w:val="BodyText"/>
      </w:pPr>
      <w:r>
        <w:rPr>
          <w:b/>
          <w:bCs/>
        </w:rPr>
        <w:t xml:space="preserve">Analysis.</w:t>
      </w:r>
      <w:r>
        <w:t xml:space="preserve"> </w:t>
      </w:r>
      <w:r>
        <w:t xml:space="preserve">If the Device is indicated for delivery of thrombolytic agents, the compatibility of those agents (or at least a representative agent such as alteplase) with the infusion-lumen materials is relevant. tPA is a protein that can adsorb to polymer surfaces (polyurethane, PTFE), potentially reducing the delivered dose. Saline flow testing verifies the lumen’s hydraulic performance but not its drug-delivery fidelity. The Testing Plan’s Question 6 appropriately asks FDA whether saline is sufficient — but the gap should be flagged internally, and Clearfield should be prepared to conduct tPA compatibility testing if FDA requests it (which is likely, particularly if the combination-product question resolves toward combination-product treatment).</w:t>
      </w:r>
    </w:p>
    <w:p>
      <w:pPr>
        <w:pStyle w:val="BodyText"/>
      </w:pPr>
      <w:r>
        <w:rPr>
          <w:b/>
          <w:bCs/>
        </w:rPr>
        <w:t xml:space="preserve">Recommendation.</w:t>
      </w:r>
      <w:r>
        <w:t xml:space="preserve"> </w:t>
      </w:r>
      <w:r>
        <w:t xml:space="preserve">Keep the saline-based characterization as the baseline, but plan for and budget tPA (alteplase) compatibility/adsorption testing. Be prepared to present it at the Pre-Submission meeting as a proposed addition. Consider whether the IFU’s admission that</w:t>
      </w:r>
      <w:r>
        <w:t xml:space="preserve"> </w:t>
      </w:r>
      <w:r>
        <w:t xml:space="preserve">“</w:t>
      </w:r>
      <w:r>
        <w:t xml:space="preserve">compatibility… has not been… verified</w:t>
      </w:r>
      <w:r>
        <w:t xml:space="preserve">”</w:t>
      </w:r>
      <w:r>
        <w:t xml:space="preserve"> </w:t>
      </w:r>
      <w:r>
        <w:t xml:space="preserve">should be softened pending the testing decision.</w:t>
      </w:r>
    </w:p>
    <w:p>
      <w:r>
        <w:pict>
          <v:rect style="width:0;height:1.5pt" o:hralign="center" o:hrstd="t" o:hr="t"/>
        </w:pict>
      </w:r>
    </w:p>
    <w:bookmarkEnd w:id="36"/>
    <w:bookmarkStart w:id="37" w:name="Xd34dab5e146e2b281e9cbfdccdd3854616c83bf"/>
    <w:p>
      <w:pPr>
        <w:pStyle w:val="Heading3"/>
      </w:pPr>
      <w:r>
        <w:t xml:space="preserve">Issue 12 — Shelf-Life / Expiration Validation Not in Testing Plan</w:t>
      </w:r>
    </w:p>
    <w:p>
      <w:pPr>
        <w:pStyle w:val="FirstParagraph"/>
      </w:pPr>
      <w:r>
        <w:rPr>
          <w:b/>
          <w:bCs/>
        </w:rPr>
        <w:t xml:space="preserve">Tier: Medium</w:t>
      </w:r>
    </w:p>
    <w:p>
      <w:pPr>
        <w:pStyle w:val="BodyText"/>
      </w:pPr>
      <w:r>
        <w:rPr>
          <w:b/>
          <w:bCs/>
        </w:rPr>
        <w:t xml:space="preserve">Where it appears:</w:t>
      </w:r>
      <w:r>
        <w:t xml:space="preserve"> </w:t>
      </w:r>
      <w:r>
        <w:t xml:space="preserve">Testing Plan (Section 6 — sterilization only); Draft IFU (Section 12 references expiration date).</w:t>
      </w:r>
    </w:p>
    <w:p>
      <w:pPr>
        <w:pStyle w:val="BodyText"/>
      </w:pPr>
      <w:r>
        <w:rPr>
          <w:b/>
          <w:bCs/>
        </w:rPr>
        <w:t xml:space="preserve">The issue.</w:t>
      </w:r>
      <w:r>
        <w:t xml:space="preserve"> </w:t>
      </w:r>
      <w:r>
        <w:t xml:space="preserve">The Testing Plan covers EtO sterilization validation (ISO 11135) and EtO residuals (ISO 10993-7) but does not include</w:t>
      </w:r>
      <w:r>
        <w:t xml:space="preserve"> </w:t>
      </w:r>
      <w:r>
        <w:rPr>
          <w:b/>
          <w:bCs/>
        </w:rPr>
        <w:t xml:space="preserve">shelf-life / sterile-barrier validation</w:t>
      </w:r>
      <w:r>
        <w:t xml:space="preserve"> </w:t>
      </w:r>
      <w:r>
        <w:t xml:space="preserve">(accelerated aging per ASTM F1980, distribution simulation per ASTM D4169, seal strength per ASTM F2095). The IFU references an expiration date and storage conditions.</w:t>
      </w:r>
    </w:p>
    <w:p>
      <w:pPr>
        <w:pStyle w:val="BodyText"/>
      </w:pPr>
      <w:r>
        <w:rPr>
          <w:b/>
          <w:bCs/>
        </w:rPr>
        <w:t xml:space="preserve">Analysis.</w:t>
      </w:r>
      <w:r>
        <w:t xml:space="preserve"> </w:t>
      </w:r>
      <w:r>
        <w:t xml:space="preserve">The predicate’s 510(k) summary documents a full shelf-life validation supporting a 2-year shelf life (ASTM F1980, D4169, F2095). FDA expects shelf-life validation for terminally sterilized single-use devices to support the expiration-date claim. Its omission is a gap.</w:t>
      </w:r>
    </w:p>
    <w:p>
      <w:pPr>
        <w:pStyle w:val="BodyText"/>
      </w:pPr>
      <w:r>
        <w:rPr>
          <w:b/>
          <w:bCs/>
        </w:rPr>
        <w:t xml:space="preserve">Recommendation.</w:t>
      </w:r>
      <w:r>
        <w:t xml:space="preserve"> </w:t>
      </w:r>
      <w:r>
        <w:t xml:space="preserve">Add a shelf-life / sterile-barrier validation section to the Testing Plan (ASTM F1980 accelerated aging, ASTM D4169 distribution simulation, ASTM F2095 seal strength), to be performed by Whitecrest or a qualified packaging lab. State the target shelf life.</w:t>
      </w:r>
    </w:p>
    <w:p>
      <w:r>
        <w:pict>
          <v:rect style="width:0;height:1.5pt" o:hralign="center" o:hrstd="t" o:hr="t"/>
        </w:pict>
      </w:r>
    </w:p>
    <w:bookmarkEnd w:id="37"/>
    <w:bookmarkStart w:id="38" w:name="Xcc71cebb34faf9b5d10bec5342aba5b3d99afd6"/>
    <w:p>
      <w:pPr>
        <w:pStyle w:val="Heading3"/>
      </w:pPr>
      <w:r>
        <w:t xml:space="preserve">Issue 13 — Console Reprocessing Validation Not in Testing Plan</w:t>
      </w:r>
    </w:p>
    <w:p>
      <w:pPr>
        <w:pStyle w:val="FirstParagraph"/>
      </w:pPr>
      <w:r>
        <w:rPr>
          <w:b/>
          <w:bCs/>
        </w:rPr>
        <w:t xml:space="preserve">Tier: Medium</w:t>
      </w:r>
    </w:p>
    <w:p>
      <w:pPr>
        <w:pStyle w:val="BodyText"/>
      </w:pPr>
      <w:r>
        <w:rPr>
          <w:b/>
          <w:bCs/>
        </w:rPr>
        <w:t xml:space="preserve">Where it appears:</w:t>
      </w:r>
      <w:r>
        <w:t xml:space="preserve"> </w:t>
      </w:r>
      <w:r>
        <w:t xml:space="preserve">Testing Plan (Section 6.1 mentions it will be</w:t>
      </w:r>
      <w:r>
        <w:t xml:space="preserve"> </w:t>
      </w:r>
      <w:r>
        <w:t xml:space="preserve">“</w:t>
      </w:r>
      <w:r>
        <w:t xml:space="preserve">validated separately</w:t>
      </w:r>
      <w:r>
        <w:t xml:space="preserve">”</w:t>
      </w:r>
      <w:r>
        <w:t xml:space="preserve">); Draft IFU (Section 11).</w:t>
      </w:r>
    </w:p>
    <w:p>
      <w:pPr>
        <w:pStyle w:val="BodyText"/>
      </w:pPr>
      <w:r>
        <w:rPr>
          <w:b/>
          <w:bCs/>
        </w:rPr>
        <w:t xml:space="preserve">The issue.</w:t>
      </w:r>
      <w:r>
        <w:t xml:space="preserve"> </w:t>
      </w:r>
      <w:r>
        <w:t xml:space="preserve">The VascuClear Console is a reusable device. The IFU provides cleaning instructions (hospital-grade disinfectant wipe, no immersion). The Testing Plan states that console cleaning/disinfection</w:t>
      </w:r>
      <w:r>
        <w:t xml:space="preserve"> </w:t>
      </w:r>
      <w:r>
        <w:t xml:space="preserve">“</w:t>
      </w:r>
      <w:r>
        <w:t xml:space="preserve">will be… validated separately under Clearfield’s reusable device reprocessing validation protocol</w:t>
      </w:r>
      <w:r>
        <w:t xml:space="preserve">”</w:t>
      </w:r>
      <w:r>
        <w:t xml:space="preserve"> </w:t>
      </w:r>
      <w:r>
        <w:t xml:space="preserve">but includes no such validation in the seven-category testing program.</w:t>
      </w:r>
    </w:p>
    <w:p>
      <w:pPr>
        <w:pStyle w:val="BodyText"/>
      </w:pPr>
      <w:r>
        <w:rPr>
          <w:b/>
          <w:bCs/>
        </w:rPr>
        <w:t xml:space="preserve">Analysis.</w:t>
      </w:r>
      <w:r>
        <w:t xml:space="preserve"> </w:t>
      </w:r>
      <w:r>
        <w:t xml:space="preserve">FDA’s 2015 guidance (</w:t>
      </w:r>
      <w:r>
        <w:rPr>
          <w:i/>
          <w:iCs/>
        </w:rPr>
        <w:t xml:space="preserve">Reprocessing Medical Devices in Health Care Settings: Validation Methods and Labeling</w:t>
      </w:r>
      <w:r>
        <w:t xml:space="preserve">) expects validated reprocessing instructions and validation data for reusable devices. A</w:t>
      </w:r>
      <w:r>
        <w:t xml:space="preserve"> </w:t>
      </w:r>
      <w:r>
        <w:t xml:space="preserve">“</w:t>
      </w:r>
      <w:r>
        <w:t xml:space="preserve">wipe down with disinfectant</w:t>
      </w:r>
      <w:r>
        <w:t xml:space="preserve">”</w:t>
      </w:r>
      <w:r>
        <w:t xml:space="preserve"> </w:t>
      </w:r>
      <w:r>
        <w:t xml:space="preserve">instruction, without validation, is unlikely to satisfy FDA. The console has patient-adjacent fluid paths (aspiration tubing connections) and a drive-cable port that may contact contaminants.</w:t>
      </w:r>
    </w:p>
    <w:p>
      <w:pPr>
        <w:pStyle w:val="BodyText"/>
      </w:pPr>
      <w:r>
        <w:rPr>
          <w:b/>
          <w:bCs/>
        </w:rPr>
        <w:t xml:space="preserve">Recommendation.</w:t>
      </w:r>
      <w:r>
        <w:t xml:space="preserve"> </w:t>
      </w:r>
      <w:r>
        <w:t xml:space="preserve">Add a console reprocessing validation section to the Testing Plan, with validated cleaning/disinfection instructions and a six-step (or equivalent) reprocessing validation per the FDA guidance. Coordinate the validated instructions with the IFU Section 11 text.</w:t>
      </w:r>
    </w:p>
    <w:p>
      <w:r>
        <w:pict>
          <v:rect style="width:0;height:1.5pt" o:hralign="center" o:hrstd="t" o:hr="t"/>
        </w:pict>
      </w:r>
    </w:p>
    <w:bookmarkEnd w:id="38"/>
    <w:bookmarkStart w:id="39" w:name="X8662bf89a4e824990342f46257e1b1ffa61d76a"/>
    <w:p>
      <w:pPr>
        <w:pStyle w:val="Heading3"/>
      </w:pPr>
      <w:r>
        <w:t xml:space="preserve">Issue 14 — Impeller Material Inconsistency (316L Stainless Steel vs. Nitinol)</w:t>
      </w:r>
    </w:p>
    <w:p>
      <w:pPr>
        <w:pStyle w:val="FirstParagraph"/>
      </w:pPr>
      <w:r>
        <w:rPr>
          <w:b/>
          <w:bCs/>
        </w:rPr>
        <w:t xml:space="preserve">Tier: Medium</w:t>
      </w:r>
    </w:p>
    <w:p>
      <w:pPr>
        <w:pStyle w:val="BodyText"/>
      </w:pPr>
      <w:r>
        <w:rPr>
          <w:b/>
          <w:bCs/>
        </w:rPr>
        <w:t xml:space="preserve">Where it appears:</w:t>
      </w:r>
      <w:r>
        <w:t xml:space="preserve"> </w:t>
      </w:r>
      <w:r>
        <w:t xml:space="preserve">Device Description (Section 2.2:</w:t>
      </w:r>
      <w:r>
        <w:t xml:space="preserve"> </w:t>
      </w:r>
      <w:r>
        <w:t xml:space="preserve">“</w:t>
      </w:r>
      <w:r>
        <w:t xml:space="preserve">medical-grade stainless steel (316L)</w:t>
      </w:r>
      <w:r>
        <w:t xml:space="preserve">”</w:t>
      </w:r>
      <w:r>
        <w:t xml:space="preserve"> </w:t>
      </w:r>
      <w:r>
        <w:t xml:space="preserve">for impeller; comparison table:</w:t>
      </w:r>
      <w:r>
        <w:t xml:space="preserve"> </w:t>
      </w:r>
      <w:r>
        <w:t xml:space="preserve">“</w:t>
      </w:r>
      <w:r>
        <w:t xml:space="preserve">316L stainless steel (impeller), nitinol (distal tip structural elements)</w:t>
      </w:r>
      <w:r>
        <w:t xml:space="preserve">”</w:t>
      </w:r>
      <w:r>
        <w:t xml:space="preserve">); Testing Plan (Section 2.3:</w:t>
      </w:r>
      <w:r>
        <w:t xml:space="preserve"> </w:t>
      </w:r>
      <w:r>
        <w:t xml:space="preserve">“</w:t>
      </w:r>
      <w:r>
        <w:t xml:space="preserve">Helical Impeller — Nitinol (nickel-titanium alloy)</w:t>
      </w:r>
      <w:r>
        <w:t xml:space="preserve">”</w:t>
      </w:r>
      <w:r>
        <w:t xml:space="preserve">).</w:t>
      </w:r>
    </w:p>
    <w:p>
      <w:pPr>
        <w:pStyle w:val="BodyText"/>
      </w:pPr>
      <w:r>
        <w:rPr>
          <w:b/>
          <w:bCs/>
        </w:rPr>
        <w:t xml:space="preserve">The issue.</w:t>
      </w:r>
      <w:r>
        <w:t xml:space="preserve"> </w:t>
      </w:r>
      <w:r>
        <w:t xml:space="preserve">The impeller is described as 316L stainless steel in the Device Description but as nitinol in the Testing Plan’s materials list. These are different materials with different biocompatibility, MRI, and corrosion profiles.</w:t>
      </w:r>
    </w:p>
    <w:p>
      <w:pPr>
        <w:pStyle w:val="BodyText"/>
      </w:pPr>
      <w:r>
        <w:rPr>
          <w:b/>
          <w:bCs/>
        </w:rPr>
        <w:t xml:space="preserve">Analysis.</w:t>
      </w:r>
      <w:r>
        <w:t xml:space="preserve"> </w:t>
      </w:r>
      <w:r>
        <w:t xml:space="preserve">This is not a cosmetic inconsistency. Nitinol raises specific biocompatibility concerns (nickel ion release) that 316L stainless steel does not, and the two materials have different MRI artifacts and magnetic interactions. The biocompatibility testing strategy (ISO 10993-18 chemical characterization, ICP for metals) and the MRI safety testing both depend on which material is actually used. If the impeller is nitinol, nickel-release testing should be explicitly included. The discrepancy must be resolved before testing is initiated, because the test articles and the chemical characterization will differ.</w:t>
      </w:r>
    </w:p>
    <w:p>
      <w:pPr>
        <w:pStyle w:val="BodyText"/>
      </w:pPr>
      <w:r>
        <w:rPr>
          <w:b/>
          <w:bCs/>
        </w:rPr>
        <w:t xml:space="preserve">Recommendation.</w:t>
      </w:r>
      <w:r>
        <w:t xml:space="preserve"> </w:t>
      </w:r>
      <w:r>
        <w:t xml:space="preserve">Confirm the actual impeller material and make all documents consistent. If nitinol, add nickel-ion release testing to the biocompatibility/chemical characterization plan and ensure the MRI safety testing accounts for the nitinol properties. If 316L, correct the Testing Plan materials list.</w:t>
      </w:r>
    </w:p>
    <w:p>
      <w:r>
        <w:pict>
          <v:rect style="width:0;height:1.5pt" o:hralign="center" o:hrstd="t" o:hr="t"/>
        </w:pict>
      </w:r>
    </w:p>
    <w:bookmarkEnd w:id="39"/>
    <w:bookmarkStart w:id="40" w:name="X589520524ec1f942adfb1beea65a1ecdce76b8a"/>
    <w:p>
      <w:pPr>
        <w:pStyle w:val="Heading3"/>
      </w:pPr>
      <w:r>
        <w:t xml:space="preserve">Issue 15 — Multiple Cross-Document Inconsistencies</w:t>
      </w:r>
    </w:p>
    <w:p>
      <w:pPr>
        <w:pStyle w:val="FirstParagraph"/>
      </w:pPr>
      <w:r>
        <w:rPr>
          <w:b/>
          <w:bCs/>
        </w:rPr>
        <w:t xml:space="preserve">Tier: Medium</w:t>
      </w:r>
    </w:p>
    <w:p>
      <w:pPr>
        <w:pStyle w:val="BodyText"/>
      </w:pPr>
      <w:r>
        <w:rPr>
          <w:b/>
          <w:bCs/>
        </w:rPr>
        <w:t xml:space="preserve">Where it appears:</w:t>
      </w:r>
      <w:r>
        <w:t xml:space="preserve"> </w:t>
      </w:r>
      <w:r>
        <w:t xml:space="preserve">Various.</w:t>
      </w:r>
    </w:p>
    <w:p>
      <w:pPr>
        <w:pStyle w:val="BodyText"/>
      </w:pPr>
      <w:r>
        <w:rPr>
          <w:b/>
          <w:bCs/>
        </w:rPr>
        <w:t xml:space="preserve">The issue.</w:t>
      </w:r>
      <w:r>
        <w:t xml:space="preserve"> </w:t>
      </w:r>
      <w:r>
        <w:t xml:space="preserve">Several factual inconsistencies appear across the package. While individually minor, collectively they undermine the package’s accuracy and may cause FDA to question the rigor of the submission. The following should be reconciled: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Device Description / Cover Letter</w:t>
            </w:r>
          </w:p>
        </w:tc>
        <w:tc>
          <w:tcPr/>
          <w:p>
            <w:pPr>
              <w:pStyle w:val="Compact"/>
              <w:jc w:val="left"/>
            </w:pPr>
            <w:r>
              <w:t xml:space="preserve">Draft IFU / Testing Plan</w:t>
            </w:r>
          </w:p>
        </w:tc>
      </w:tr>
      <w:tr>
        <w:tc>
          <w:tcPr/>
          <w:p>
            <w:pPr>
              <w:pStyle w:val="Compact"/>
              <w:jc w:val="left"/>
            </w:pPr>
            <w:r>
              <w:t xml:space="preserve">Console dimensions</w:t>
            </w:r>
          </w:p>
        </w:tc>
        <w:tc>
          <w:tcPr/>
          <w:p>
            <w:pPr>
              <w:pStyle w:val="Compact"/>
              <w:jc w:val="left"/>
            </w:pPr>
            <w:r>
              <w:t xml:space="preserve">40 cm × 35 cm × 20 cm (Device Description §2.3)</w:t>
            </w:r>
          </w:p>
        </w:tc>
        <w:tc>
          <w:tcPr/>
          <w:p>
            <w:pPr>
              <w:pStyle w:val="Compact"/>
              <w:jc w:val="left"/>
            </w:pPr>
            <w:r>
              <w:t xml:space="preserve">30 cm × 25 cm × 15 cm (IFU §13)</w:t>
            </w:r>
          </w:p>
        </w:tc>
      </w:tr>
      <w:tr>
        <w:tc>
          <w:tcPr/>
          <w:p>
            <w:pPr>
              <w:pStyle w:val="Compact"/>
              <w:jc w:val="left"/>
            </w:pPr>
            <w:r>
              <w:t xml:space="preserve">Console weight</w:t>
            </w:r>
          </w:p>
        </w:tc>
        <w:tc>
          <w:tcPr/>
          <w:p>
            <w:pPr>
              <w:pStyle w:val="Compact"/>
              <w:jc w:val="left"/>
            </w:pPr>
            <w:r>
              <w:t xml:space="preserve">~15 kg (Device Description §2.3)</w:t>
            </w:r>
          </w:p>
        </w:tc>
        <w:tc>
          <w:tcPr/>
          <w:p>
            <w:pPr>
              <w:pStyle w:val="Compact"/>
              <w:jc w:val="left"/>
            </w:pPr>
            <w:r>
              <w:t xml:space="preserve">~4.5 kg (IFU §13)</w:t>
            </w:r>
          </w:p>
        </w:tc>
      </w:tr>
      <w:tr>
        <w:tc>
          <w:tcPr/>
          <w:p>
            <w:pPr>
              <w:pStyle w:val="Compact"/>
              <w:jc w:val="left"/>
            </w:pPr>
            <w:r>
              <w:t xml:space="preserve">Console display</w:t>
            </w:r>
          </w:p>
        </w:tc>
        <w:tc>
          <w:tcPr/>
          <w:p>
            <w:pPr>
              <w:pStyle w:val="Compact"/>
              <w:jc w:val="left"/>
            </w:pPr>
            <w:r>
              <w:t xml:space="preserve">“</w:t>
            </w:r>
            <w:r>
              <w:t xml:space="preserve">7-inch color touchscreen</w:t>
            </w:r>
            <w:r>
              <w:t xml:space="preserve">”</w:t>
            </w:r>
            <w:r>
              <w:t xml:space="preserve"> </w:t>
            </w:r>
            <w:r>
              <w:t xml:space="preserve">(Device Description §2.3)</w:t>
            </w:r>
          </w:p>
        </w:tc>
        <w:tc>
          <w:tcPr/>
          <w:p>
            <w:pPr>
              <w:pStyle w:val="Compact"/>
              <w:jc w:val="left"/>
            </w:pPr>
            <w:r>
              <w:t xml:space="preserve">“</w:t>
            </w:r>
            <w:r>
              <w:t xml:space="preserve">integrated LCD display</w:t>
            </w:r>
            <w:r>
              <w:t xml:space="preserve">”</w:t>
            </w:r>
            <w:r>
              <w:t xml:space="preserve"> </w:t>
            </w:r>
            <w:r>
              <w:t xml:space="preserve">/</w:t>
            </w:r>
            <w:r>
              <w:t xml:space="preserve"> </w:t>
            </w:r>
            <w:r>
              <w:t xml:space="preserve">“</w:t>
            </w:r>
            <w:r>
              <w:t xml:space="preserve">LCD</w:t>
            </w:r>
            <w:r>
              <w:t xml:space="preserve">”</w:t>
            </w:r>
            <w:r>
              <w:t xml:space="preserve"> </w:t>
            </w:r>
            <w:r>
              <w:t xml:space="preserve">(IFU §1, §13)</w:t>
            </w:r>
          </w:p>
        </w:tc>
      </w:tr>
      <w:tr>
        <w:tc>
          <w:tcPr/>
          <w:p>
            <w:pPr>
              <w:pStyle w:val="Compact"/>
              <w:jc w:val="left"/>
            </w:pPr>
            <w:r>
              <w:t xml:space="preserve">Linda Fessenden phone</w:t>
            </w:r>
          </w:p>
        </w:tc>
        <w:tc>
          <w:tcPr/>
          <w:p>
            <w:pPr>
              <w:pStyle w:val="Compact"/>
              <w:jc w:val="left"/>
            </w:pPr>
            <w:r>
              <w:t xml:space="preserve">(952) 555-0142 (Cover Letter §IX)</w:t>
            </w:r>
          </w:p>
        </w:tc>
        <w:tc>
          <w:tcPr/>
          <w:p>
            <w:pPr>
              <w:pStyle w:val="Compact"/>
              <w:jc w:val="left"/>
            </w:pPr>
            <w:r>
              <w:t xml:space="preserve">(952) 555-0174 (Device Description cover page)</w:t>
            </w:r>
          </w:p>
        </w:tc>
      </w:tr>
      <w:tr>
        <w:tc>
          <w:tcPr/>
          <w:p>
            <w:pPr>
              <w:pStyle w:val="Compact"/>
              <w:jc w:val="left"/>
            </w:pPr>
            <w:r>
              <w:t xml:space="preserve">Email domain</w:t>
            </w:r>
          </w:p>
        </w:tc>
        <w:tc>
          <w:tcPr/>
          <w:p>
            <w:pPr>
              <w:pStyle w:val="Compact"/>
              <w:jc w:val="left"/>
            </w:pPr>
            <w:r>
              <w:t xml:space="preserve">l.fessenden@clearfieldmedical.com (Cover Letter)</w:t>
            </w:r>
          </w:p>
        </w:tc>
        <w:tc>
          <w:tcPr/>
          <w:p>
            <w:pPr>
              <w:pStyle w:val="Compact"/>
              <w:jc w:val="left"/>
            </w:pPr>
            <w:r>
              <w:t xml:space="preserve">lfessenden@clearfieldmed.com (email chain)</w:t>
            </w:r>
          </w:p>
        </w:tc>
      </w:tr>
      <w:tr>
        <w:tc>
          <w:tcPr/>
          <w:p>
            <w:pPr>
              <w:pStyle w:val="Compact"/>
              <w:jc w:val="left"/>
            </w:pPr>
            <w:r>
              <w:t xml:space="preserve">Impeller material</w:t>
            </w:r>
          </w:p>
        </w:tc>
        <w:tc>
          <w:tcPr/>
          <w:p>
            <w:pPr>
              <w:pStyle w:val="Compact"/>
              <w:jc w:val="left"/>
            </w:pPr>
            <w:r>
              <w:t xml:space="preserve">316L stainless steel (Device Description)</w:t>
            </w:r>
          </w:p>
        </w:tc>
        <w:tc>
          <w:tcPr/>
          <w:p>
            <w:pPr>
              <w:pStyle w:val="Compact"/>
              <w:jc w:val="left"/>
            </w:pPr>
            <w:r>
              <w:t xml:space="preserve">Nitinol (Testing Plan) — see Issue 14</w:t>
            </w:r>
          </w:p>
        </w:tc>
      </w:tr>
      <w:tr>
        <w:tc>
          <w:tcPr/>
          <w:p>
            <w:pPr>
              <w:pStyle w:val="Compact"/>
              <w:jc w:val="left"/>
            </w:pPr>
            <w:r>
              <w:t xml:space="preserve">Contact duration</w:t>
            </w:r>
          </w:p>
        </w:tc>
        <w:tc>
          <w:tcPr/>
          <w:p>
            <w:pPr>
              <w:pStyle w:val="Compact"/>
              <w:jc w:val="left"/>
            </w:pPr>
            <w:r>
              <w:t xml:space="preserve">“</w:t>
            </w:r>
            <w:r>
              <w:t xml:space="preserve">limited (&lt;24 hours)</w:t>
            </w:r>
            <w:r>
              <w:t xml:space="preserve">”</w:t>
            </w:r>
            <w:r>
              <w:t xml:space="preserve"> </w:t>
            </w:r>
            <w:r>
              <w:t xml:space="preserve">(Testing Plan)</w:t>
            </w:r>
          </w:p>
        </w:tc>
        <w:tc>
          <w:tcPr/>
          <w:p>
            <w:pPr>
              <w:pStyle w:val="Compact"/>
              <w:jc w:val="left"/>
            </w:pPr>
            <w:r>
              <w:t xml:space="preserve">“</w:t>
            </w:r>
            <w:r>
              <w:t xml:space="preserve">up to 72 hours</w:t>
            </w:r>
            <w:r>
              <w:t xml:space="preserve">”</w:t>
            </w:r>
            <w:r>
              <w:t xml:space="preserve"> </w:t>
            </w:r>
            <w:r>
              <w:t xml:space="preserve">indwell (IFU, Device Description) — see Issue 4</w:t>
            </w:r>
          </w:p>
        </w:tc>
      </w:tr>
      <w:tr>
        <w:tc>
          <w:tcPr/>
          <w:p>
            <w:pPr>
              <w:pStyle w:val="Compact"/>
              <w:jc w:val="left"/>
            </w:pPr>
            <w:r>
              <w:t xml:space="preserve">Impeller fatigue unit</w:t>
            </w:r>
          </w:p>
        </w:tc>
        <w:tc>
          <w:tcPr/>
          <w:p>
            <w:pPr>
              <w:pStyle w:val="Compact"/>
              <w:jc w:val="left"/>
            </w:pPr>
            <w:r>
              <w:t xml:space="preserve">“</w:t>
            </w:r>
            <w:r>
              <w:t xml:space="preserve">500 complete activation cycles</w:t>
            </w:r>
            <w:r>
              <w:t xml:space="preserve">”</w:t>
            </w:r>
            <w:r>
              <w:t xml:space="preserve"> </w:t>
            </w:r>
            <w:r>
              <w:t xml:space="preserve">(Device Description)</w:t>
            </w:r>
          </w:p>
        </w:tc>
        <w:tc>
          <w:tcPr/>
          <w:p>
            <w:pPr>
              <w:pStyle w:val="Compact"/>
              <w:jc w:val="left"/>
            </w:pPr>
            <w:r>
              <w:t xml:space="preserve">“</w:t>
            </w:r>
            <w:r>
              <w:t xml:space="preserve">500 rotational cycles</w:t>
            </w:r>
            <w:r>
              <w:t xml:space="preserve">”</w:t>
            </w:r>
            <w:r>
              <w:t xml:space="preserve"> </w:t>
            </w:r>
            <w:r>
              <w:t xml:space="preserve">= 500 revolutions (Testing Plan) — see Issue 6</w:t>
            </w:r>
          </w:p>
        </w:tc>
      </w:tr>
    </w:tbl>
    <w:p>
      <w:pPr>
        <w:pStyle w:val="BodyText"/>
      </w:pPr>
      <w:r>
        <w:rPr>
          <w:b/>
          <w:bCs/>
        </w:rPr>
        <w:t xml:space="preserve">Recommendation.</w:t>
      </w:r>
      <w:r>
        <w:t xml:space="preserve"> </w:t>
      </w:r>
      <w:r>
        <w:t xml:space="preserve">Conduct a single-source-of-truth reconciliation pass across all documents before filing. Standardize the console specifications, contact information, materials, and contact-duration classification. The touchscreen-vs-LCD discrepancy in particular affects the software/UI description and the human-factors analysis (Issue 18).</w:t>
      </w:r>
    </w:p>
    <w:p>
      <w:r>
        <w:pict>
          <v:rect style="width:0;height:1.5pt" o:hralign="center" o:hrstd="t" o:hr="t"/>
        </w:pict>
      </w:r>
    </w:p>
    <w:bookmarkEnd w:id="40"/>
    <w:bookmarkStart w:id="41" w:name="Xb1d5361c32fa717019db62b06b61278b8124644"/>
    <w:p>
      <w:pPr>
        <w:pStyle w:val="Heading3"/>
      </w:pPr>
      <w:r>
        <w:t xml:space="preserve">Issue 16 — Predicate Indication Misrepresented in Clinical Synopsis</w:t>
      </w:r>
    </w:p>
    <w:p>
      <w:pPr>
        <w:pStyle w:val="FirstParagraph"/>
      </w:pPr>
      <w:r>
        <w:rPr>
          <w:b/>
          <w:bCs/>
        </w:rPr>
        <w:t xml:space="preserve">Tier: Medium</w:t>
      </w:r>
    </w:p>
    <w:p>
      <w:pPr>
        <w:pStyle w:val="BodyText"/>
      </w:pPr>
      <w:r>
        <w:rPr>
          <w:b/>
          <w:bCs/>
        </w:rPr>
        <w:t xml:space="preserve">Where it appears:</w:t>
      </w:r>
      <w:r>
        <w:t xml:space="preserve"> </w:t>
      </w:r>
      <w:r>
        <w:t xml:space="preserve">Clinical Synopsis (Appendix A, Table A-1); 510(k) Summary (K192847, Section 2).</w:t>
      </w:r>
    </w:p>
    <w:p>
      <w:pPr>
        <w:pStyle w:val="BodyText"/>
      </w:pPr>
      <w:r>
        <w:rPr>
          <w:b/>
          <w:bCs/>
        </w:rPr>
        <w:t xml:space="preserve">The issue.</w:t>
      </w:r>
      <w:r>
        <w:t xml:space="preserve"> </w:t>
      </w:r>
      <w:r>
        <w:t xml:space="preserve">The Clinical Synopsis Appendix A comparison table lists the predicate’s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(≤14 days), iliofemoral venous segment.</w:t>
      </w:r>
      <w:r>
        <w:t xml:space="preserve">”</w:t>
      </w:r>
      <w:r>
        <w:t xml:space="preserve"> </w:t>
      </w:r>
      <w:r>
        <w:t xml:space="preserve">This is incorrect. The ThrombEx 200’s cleared indication (per the K192847 510(k) summary) is</w:t>
      </w:r>
      <w:r>
        <w:t xml:space="preserve"> </w:t>
      </w:r>
      <w:r>
        <w:t xml:space="preserve">“</w:t>
      </w:r>
      <w:r>
        <w:t xml:space="preserve">the percutaneous removal of thrombus from the peripheral vasculature,</w:t>
      </w:r>
      <w:r>
        <w:t xml:space="preserve">”</w:t>
      </w:r>
      <w:r>
        <w:t xml:space="preserve"> </w:t>
      </w:r>
      <w:r>
        <w:t xml:space="preserve">with the summary expressly stating the indication</w:t>
      </w:r>
      <w:r>
        <w:t xml:space="preserve"> </w:t>
      </w:r>
      <w:r>
        <w:t xml:space="preserve">“</w:t>
      </w:r>
      <w:r>
        <w:t xml:space="preserve">is not limited to any specific vascular segment or anatomical region</w:t>
      </w:r>
      <w:r>
        <w:t xml:space="preserve">”</w:t>
      </w:r>
      <w:r>
        <w:t xml:space="preserve"> </w:t>
      </w:r>
      <w:r>
        <w:t xml:space="preserve">and encompasses</w:t>
      </w:r>
      <w:r>
        <w:t xml:space="preserve"> </w:t>
      </w:r>
      <w:r>
        <w:t xml:space="preserve">“</w:t>
      </w:r>
      <w:r>
        <w:t xml:space="preserve">both the arterial and venous peripheral vascular systems.</w:t>
      </w:r>
      <w:r>
        <w:t xml:space="preserve">”</w:t>
      </w:r>
      <w:r>
        <w:t xml:space="preserve"> </w:t>
      </w:r>
      <w:r>
        <w:t xml:space="preserve">There is no DVT limitation, no iliofemoral limitation, and no symptom-onset window in the predicate’s indication.</w:t>
      </w:r>
    </w:p>
    <w:p>
      <w:pPr>
        <w:pStyle w:val="BodyText"/>
      </w:pPr>
      <w:r>
        <w:rPr>
          <w:b/>
          <w:bCs/>
        </w:rPr>
        <w:t xml:space="preserve">Analysis.</w:t>
      </w:r>
      <w:r>
        <w:t xml:space="preserve"> </w:t>
      </w:r>
      <w:r>
        <w:t xml:space="preserve">Misstating the predicate’s cleared indication — particularly in a way that makes the predicate appear more similar to the subject device than it actually is — is a credibility risk. FDA will have the K192847 summary (Clearfield is providing it as Enclosure 5) and will immediately see the discrepancy. The Device Description (Section 3.3) correctly states the predicate’s indication; the Clinical Synopsis table does not.</w:t>
      </w:r>
    </w:p>
    <w:p>
      <w:pPr>
        <w:pStyle w:val="BodyText"/>
      </w:pPr>
      <w:r>
        <w:rPr>
          <w:b/>
          <w:bCs/>
        </w:rPr>
        <w:t xml:space="preserve">Recommendation.</w:t>
      </w:r>
      <w:r>
        <w:t xml:space="preserve"> </w:t>
      </w:r>
      <w:r>
        <w:t xml:space="preserve">Correct the Clinical Synopsis Appendix A table to reflect the predicate’s actual cleared indication (</w:t>
      </w:r>
      <w:r>
        <w:t xml:space="preserve">“</w:t>
      </w:r>
      <w:r>
        <w:t xml:space="preserve">percutaneous removal of thrombus from the peripheral vasculature,</w:t>
      </w:r>
      <w:r>
        <w:t xml:space="preserve">”</w:t>
      </w:r>
      <w:r>
        <w:t xml:space="preserve"> </w:t>
      </w:r>
      <w:r>
        <w:t xml:space="preserve">arterial and venous, no DVT/time limitation). Ensure all comparison tables across the package are consistent with the K192847 summary.</w:t>
      </w:r>
    </w:p>
    <w:p>
      <w:r>
        <w:pict>
          <v:rect style="width:0;height:1.5pt" o:hralign="center" o:hrstd="t" o:hr="t"/>
        </w:pict>
      </w:r>
    </w:p>
    <w:bookmarkEnd w:id="41"/>
    <w:bookmarkEnd w:id="42"/>
    <w:bookmarkStart w:id="47" w:name="vi.-lower-priority-and-strategic-issues"/>
    <w:p>
      <w:pPr>
        <w:pStyle w:val="Heading2"/>
      </w:pPr>
      <w:r>
        <w:t xml:space="preserve">VI. Lower-Priority and Strategic Issues</w:t>
      </w:r>
    </w:p>
    <w:bookmarkStart w:id="43" w:name="X8cc47435c5a367d5c6d1e86e3b414e15aeb39e1"/>
    <w:p>
      <w:pPr>
        <w:pStyle w:val="Heading3"/>
      </w:pPr>
      <w:r>
        <w:t xml:space="preserve">Issue 17 — Timeline and Milestone Risk (December 31, 2025 Clearance)</w:t>
      </w:r>
    </w:p>
    <w:p>
      <w:pPr>
        <w:pStyle w:val="FirstParagraph"/>
      </w:pPr>
      <w:r>
        <w:rPr>
          <w:b/>
          <w:bCs/>
        </w:rPr>
        <w:t xml:space="preserve">Tier: Lower / Strategic</w:t>
      </w:r>
    </w:p>
    <w:p>
      <w:pPr>
        <w:pStyle w:val="BodyText"/>
      </w:pPr>
      <w:r>
        <w:rPr>
          <w:b/>
          <w:bCs/>
        </w:rPr>
        <w:t xml:space="preserve">Where it appears:</w:t>
      </w:r>
      <w:r>
        <w:t xml:space="preserve"> </w:t>
      </w:r>
      <w:r>
        <w:t xml:space="preserve">Testing Plan (Section 9.2); Clinical Synopsis (Section 15); Internal Email Chain (Fessenden email of April 22; Marsh email of May 9).</w:t>
      </w:r>
    </w:p>
    <w:p>
      <w:pPr>
        <w:pStyle w:val="BodyText"/>
      </w:pPr>
      <w:r>
        <w:rPr>
          <w:b/>
          <w:bCs/>
        </w:rPr>
        <w:t xml:space="preserve">The issue.</w:t>
      </w:r>
      <w:r>
        <w:t xml:space="preserve"> </w:t>
      </w:r>
      <w:r>
        <w:t xml:space="preserve">The Braddock Ventures Series D term sheet includes a milestone requiring 510(k) clearance by December 31, 2025. The package’s own timelines make this target appear unachievable, and the Critical issues above (combination product, IDE, SE) could extend the timeline further.</w:t>
      </w:r>
    </w:p>
    <w:p>
      <w:pPr>
        <w:pStyle w:val="BodyText"/>
      </w:pPr>
      <w:r>
        <w:rPr>
          <w:b/>
          <w:bCs/>
        </w:rPr>
        <w:t xml:space="preserve">Analysis.</w:t>
      </w:r>
      <w:r>
        <w:t xml:space="preserve"> </w:t>
      </w:r>
      <w:r>
        <w:t xml:space="preserve">The Testing Plan estimates testing completion in</w:t>
      </w:r>
      <w:r>
        <w:t xml:space="preserve"> </w:t>
      </w:r>
      <w:r>
        <w:t xml:space="preserve">“</w:t>
      </w:r>
      <w:r>
        <w:t xml:space="preserve">November through December 2025,</w:t>
      </w:r>
      <w:r>
        <w:t xml:space="preserve">”</w:t>
      </w:r>
      <w:r>
        <w:t xml:space="preserve"> </w:t>
      </w:r>
      <w:r>
        <w:t xml:space="preserve">with 510(k) submission</w:t>
      </w:r>
      <w:r>
        <w:t xml:space="preserve"> </w:t>
      </w:r>
      <w:r>
        <w:t xml:space="preserve">“</w:t>
      </w:r>
      <w:r>
        <w:t xml:space="preserve">as early as practical</w:t>
      </w:r>
      <w:r>
        <w:t xml:space="preserve">”</w:t>
      </w:r>
      <w:r>
        <w:t xml:space="preserve"> </w:t>
      </w:r>
      <w:r>
        <w:t xml:space="preserve">thereafter. Even an immediate submission in December 2025 would yield clearance no earlier than approximately March 2026 under MDUFA timelines (≈90 days), and routinely later with Additional Information (AI) requests. The Clinical Study CSR is not finalized until Q4 2026. The clearance milestone of December 31, 2025 therefore appears unachievable on the current plan, independent of the Critical issues. If FDA’s Pre-Submission feedback triggers a pathway change (combination product, de novo, or a</w:t>
      </w:r>
      <w:r>
        <w:t xml:space="preserve"> </w:t>
      </w:r>
      <w:r>
        <w:t xml:space="preserve">“</w:t>
      </w:r>
      <w:r>
        <w:t xml:space="preserve">new questions</w:t>
      </w:r>
      <w:r>
        <w:t xml:space="preserve">”</w:t>
      </w:r>
      <w:r>
        <w:t xml:space="preserve"> </w:t>
      </w:r>
      <w:r>
        <w:t xml:space="preserve">SE finding), the timeline extends further — potentially substantially.</w:t>
      </w:r>
    </w:p>
    <w:p>
      <w:pPr>
        <w:pStyle w:val="BodyText"/>
      </w:pPr>
      <w:r>
        <w:t xml:space="preserve">The email chain also reflects financial constraints: cash position of $18.3M (April 30, 2025), monthly burn of $1.52M, and total program cost of $4.2M. There is limited margin for delay. Northgate Capital Advisors and Braddock Ventures are reportedly tracking the timeline.</w:t>
      </w:r>
    </w:p>
    <w:p>
      <w:pPr>
        <w:pStyle w:val="BodyText"/>
      </w:pPr>
      <w:r>
        <w:rPr>
          <w:b/>
          <w:bCs/>
        </w:rPr>
        <w:t xml:space="preserve">Recommendation.</w:t>
      </w:r>
      <w:r>
        <w:t xml:space="preserve"> </w:t>
      </w:r>
      <w:r>
        <w:t xml:space="preserve">This is a corporate/transactional matter as much as a regulatory one. (a) Re-model the realistic clearance date (best case ~Q1 2026; with AI requests, ~Q2–Q3 2026) and communicate it to the board and investors now, before the Pre-Submission meeting, so that the milestone can be renegotiated if necessary. (b) Engage Kendrick &amp; Hale on the term-sheet implications, as Kate Pressman suggested. (c) Consider whether the Pre-Submission questions should be framed to elicit FDA’s view on the realistic review timeline. (d) Do not let the milestone pressure drive a premature or incomplete 510(k) submission, which would risk an AI or refusal-to-accept that extends the timeline further.</w:t>
      </w:r>
    </w:p>
    <w:p>
      <w:r>
        <w:pict>
          <v:rect style="width:0;height:1.5pt" o:hralign="center" o:hrstd="t" o:hr="t"/>
        </w:pict>
      </w:r>
    </w:p>
    <w:bookmarkEnd w:id="43"/>
    <w:bookmarkStart w:id="44" w:name="X745ec18ce8fdd237ec697ca9076806c25ba6474"/>
    <w:p>
      <w:pPr>
        <w:pStyle w:val="Heading3"/>
      </w:pPr>
      <w:r>
        <w:t xml:space="preserve">Issue 18 — Human Factors / Usability Validation Not Included</w:t>
      </w:r>
    </w:p>
    <w:p>
      <w:pPr>
        <w:pStyle w:val="FirstParagraph"/>
      </w:pPr>
      <w:r>
        <w:rPr>
          <w:b/>
          <w:bCs/>
        </w:rPr>
        <w:t xml:space="preserve">Tier: Lower / Strategic</w:t>
      </w:r>
    </w:p>
    <w:p>
      <w:pPr>
        <w:pStyle w:val="BodyText"/>
      </w:pPr>
      <w:r>
        <w:rPr>
          <w:b/>
          <w:bCs/>
        </w:rPr>
        <w:t xml:space="preserve">Where it appears:</w:t>
      </w:r>
      <w:r>
        <w:t xml:space="preserve"> </w:t>
      </w:r>
      <w:r>
        <w:t xml:space="preserve">Testing Plan (no HF section); Device Description (Section 2.3 — touchscreen UI); Draft IFU (Sections 8, 10).</w:t>
      </w:r>
    </w:p>
    <w:p>
      <w:pPr>
        <w:pStyle w:val="BodyText"/>
      </w:pPr>
      <w:r>
        <w:rPr>
          <w:b/>
          <w:bCs/>
        </w:rPr>
        <w:t xml:space="preserve">The issue.</w:t>
      </w:r>
      <w:r>
        <w:t xml:space="preserve"> </w:t>
      </w:r>
      <w:r>
        <w:t xml:space="preserve">The console features a touchscreen user interface through which the operator controls impeller speed (up to 12,000 RPM) and aspiration pressure (up to −650 mmHg), views alarms, and monitors procedure status. The Testing Plan includes no human factors / usability engineering validation.</w:t>
      </w:r>
    </w:p>
    <w:p>
      <w:pPr>
        <w:pStyle w:val="BodyText"/>
      </w:pPr>
      <w:r>
        <w:rPr>
          <w:b/>
          <w:bCs/>
        </w:rPr>
        <w:t xml:space="preserve">Analysis.</w:t>
      </w:r>
      <w:r>
        <w:t xml:space="preserve"> </w:t>
      </w:r>
      <w:r>
        <w:t xml:space="preserve">FDA’s 2016 guidance (</w:t>
      </w:r>
      <w:r>
        <w:rPr>
          <w:i/>
          <w:iCs/>
        </w:rPr>
        <w:t xml:space="preserve">Applying Human Factors and Usability Engineering to Medical Devices</w:t>
      </w:r>
      <w:r>
        <w:t xml:space="preserve">) and the 2023 guidance (</w:t>
      </w:r>
      <w:r>
        <w:rPr>
          <w:i/>
          <w:iCs/>
        </w:rPr>
        <w:t xml:space="preserve">Human Factors Studies to Determine the Effectiveness of Labeling and Mitigation Strategies</w:t>
      </w:r>
      <w:r>
        <w:t xml:space="preserve">) may apply, particularly for a device where a use error (e.g., setting the wrong speed, misreading an alarm, failing to stop the impeller) could cause serious harm. The touchscreen-vs-LCD inconsistency (Issue 15) also affects the HF analysis. FDA may request a human factors validation summary, particularly if the software documentation level is Enhanced (Issue 8).</w:t>
      </w:r>
    </w:p>
    <w:p>
      <w:pPr>
        <w:pStyle w:val="BodyText"/>
      </w:pPr>
      <w:r>
        <w:rPr>
          <w:b/>
          <w:bCs/>
        </w:rPr>
        <w:t xml:space="preserve">Recommendation.</w:t>
      </w:r>
      <w:r>
        <w:t xml:space="preserve"> </w:t>
      </w:r>
      <w:r>
        <w:t xml:space="preserve">Assess whether a human factors validation is warranted given the serious-harm potential of use errors. At minimum, include a use-related risk analysis and a formative/summative usability evaluation in the plan. Pose the question to FDA if uncertain.</w:t>
      </w:r>
    </w:p>
    <w:p>
      <w:r>
        <w:pict>
          <v:rect style="width:0;height:1.5pt" o:hralign="center" o:hrstd="t" o:hr="t"/>
        </w:pict>
      </w:r>
    </w:p>
    <w:bookmarkEnd w:id="44"/>
    <w:bookmarkStart w:id="45" w:name="X867b76ed412b456646b8cfb52675ac59cb64598"/>
    <w:p>
      <w:pPr>
        <w:pStyle w:val="Heading3"/>
      </w:pPr>
      <w:r>
        <w:t xml:space="preserve">Issue 19 — IEC 62304 Not Referenced for Software Lifecycle</w:t>
      </w:r>
    </w:p>
    <w:p>
      <w:pPr>
        <w:pStyle w:val="FirstParagraph"/>
      </w:pPr>
      <w:r>
        <w:rPr>
          <w:b/>
          <w:bCs/>
        </w:rPr>
        <w:t xml:space="preserve">Tier: Lower / Strategic</w:t>
      </w:r>
    </w:p>
    <w:p>
      <w:pPr>
        <w:pStyle w:val="BodyText"/>
      </w:pPr>
      <w:r>
        <w:rPr>
          <w:b/>
          <w:bCs/>
        </w:rPr>
        <w:t xml:space="preserve">Where it appears:</w:t>
      </w:r>
      <w:r>
        <w:t xml:space="preserve"> </w:t>
      </w:r>
      <w:r>
        <w:t xml:space="preserve">Testing Plan (Section 5); Device Description (Section 2.3, References).</w:t>
      </w:r>
    </w:p>
    <w:p>
      <w:pPr>
        <w:pStyle w:val="BodyText"/>
      </w:pPr>
      <w:r>
        <w:rPr>
          <w:b/>
          <w:bCs/>
        </w:rPr>
        <w:t xml:space="preserve">The issue.</w:t>
      </w:r>
      <w:r>
        <w:t xml:space="preserve"> </w:t>
      </w:r>
      <w:r>
        <w:t xml:space="preserve">The software V&amp;V plan references only the FDA 2005 (now 2023) guidance and does not reference IEC 62304 (</w:t>
      </w:r>
      <w:r>
        <w:rPr>
          <w:i/>
          <w:iCs/>
        </w:rPr>
        <w:t xml:space="preserve">Medical device software — Software life cycle processes</w:t>
      </w:r>
      <w:r>
        <w:t xml:space="preserve">), the recognized consensus standard for medical device software.</w:t>
      </w:r>
    </w:p>
    <w:p>
      <w:pPr>
        <w:pStyle w:val="BodyText"/>
      </w:pPr>
      <w:r>
        <w:rPr>
          <w:b/>
          <w:bCs/>
        </w:rPr>
        <w:t xml:space="preserve">Analysis.</w:t>
      </w:r>
      <w:r>
        <w:t xml:space="preserve"> </w:t>
      </w:r>
      <w:r>
        <w:t xml:space="preserve">The predicate’s 510(k) summary expressly states that software V&amp;V was conducted</w:t>
      </w:r>
      <w:r>
        <w:t xml:space="preserve"> </w:t>
      </w:r>
      <w:r>
        <w:t xml:space="preserve">“</w:t>
      </w:r>
      <w:r>
        <w:t xml:space="preserve">in accordance with FDA software guidance and the applicable requirements of IEC 62304:2006.</w:t>
      </w:r>
      <w:r>
        <w:t xml:space="preserve">”</w:t>
      </w:r>
      <w:r>
        <w:t xml:space="preserve"> </w:t>
      </w:r>
      <w:r>
        <w:t xml:space="preserve">FDA recognizes IEC 62304 and frequently expects conformance to be declared. Aligning with IEC 62304 (and declaring the software safety classification, e.g., Class B or C) strengthens the submission and parallels the predicate’s approach.</w:t>
      </w:r>
    </w:p>
    <w:p>
      <w:pPr>
        <w:pStyle w:val="BodyText"/>
      </w:pPr>
      <w:r>
        <w:rPr>
          <w:b/>
          <w:bCs/>
        </w:rPr>
        <w:t xml:space="preserve">Recommendation.</w:t>
      </w:r>
      <w:r>
        <w:t xml:space="preserve"> </w:t>
      </w:r>
      <w:r>
        <w:t xml:space="preserve">Reference IEC 62304 in the software V&amp;V plan, declare the software safety classification, and map the V&amp;V activities to the standard’s lifecycle requirements. Update the Device Description references accordingly.</w:t>
      </w:r>
    </w:p>
    <w:p>
      <w:r>
        <w:pict>
          <v:rect style="width:0;height:1.5pt" o:hralign="center" o:hrstd="t" o:hr="t"/>
        </w:pict>
      </w:r>
    </w:p>
    <w:bookmarkEnd w:id="45"/>
    <w:bookmarkStart w:id="46" w:name="X8055950a76bc0ad585ee0b2082dcbbe14906276"/>
    <w:p>
      <w:pPr>
        <w:pStyle w:val="Heading3"/>
      </w:pPr>
      <w:r>
        <w:t xml:space="preserve">Issue 20 — Hemocompatibility Should Address Impeller-Induced Hemolysis and High Aspiration Pressure</w:t>
      </w:r>
    </w:p>
    <w:p>
      <w:pPr>
        <w:pStyle w:val="FirstParagraph"/>
      </w:pPr>
      <w:r>
        <w:rPr>
          <w:b/>
          <w:bCs/>
        </w:rPr>
        <w:t xml:space="preserve">Tier: Lower / Strategic</w:t>
      </w:r>
    </w:p>
    <w:p>
      <w:pPr>
        <w:pStyle w:val="BodyText"/>
      </w:pPr>
      <w:r>
        <w:rPr>
          <w:b/>
          <w:bCs/>
        </w:rPr>
        <w:t xml:space="preserve">Where it appears:</w:t>
      </w:r>
      <w:r>
        <w:t xml:space="preserve"> </w:t>
      </w:r>
      <w:r>
        <w:t xml:space="preserve">Testing Plan (Sections 2.2, 3.3).</w:t>
      </w:r>
    </w:p>
    <w:p>
      <w:pPr>
        <w:pStyle w:val="BodyText"/>
      </w:pPr>
      <w:r>
        <w:rPr>
          <w:b/>
          <w:bCs/>
        </w:rPr>
        <w:t xml:space="preserve">The issue.</w:t>
      </w:r>
      <w:r>
        <w:t xml:space="preserve"> </w:t>
      </w:r>
      <w:r>
        <w:t xml:space="preserve">The hemocompatibility testing (ISO 10993-4) includes hemolysis, complement activation, and thrombogenicity, and the particulate generation test (USP &lt;788&gt;) addresses debris. However, neither specifically evaluates hemolysis induced by the rotating impeller at operating speed or by the maximum aspiration pressure (−650 mmHg).</w:t>
      </w:r>
    </w:p>
    <w:p>
      <w:pPr>
        <w:pStyle w:val="BodyText"/>
      </w:pPr>
      <w:r>
        <w:rPr>
          <w:b/>
          <w:bCs/>
        </w:rPr>
        <w:t xml:space="preserve">Analysis.</w:t>
      </w:r>
      <w:r>
        <w:t xml:space="preserve"> </w:t>
      </w:r>
      <w:r>
        <w:t xml:space="preserve">The VascuClear 3000 generates substantially higher aspiration pressure than the predicate (−650 mmHg vs. the predicate’s −250 to −350 mmHg), and it introduces a rotating element in contact with blood — both are hemolysis risk factors. The static ISO 10993-4 hemolysis test may not capture the dynamic conditions of impeller operation. FDA may request dynamic hemolysis testing under worst-case operating conditions (maximum RPM, maximum aspiration).</w:t>
      </w:r>
    </w:p>
    <w:p>
      <w:pPr>
        <w:pStyle w:val="BodyText"/>
      </w:pPr>
      <w:r>
        <w:rPr>
          <w:b/>
          <w:bCs/>
        </w:rPr>
        <w:t xml:space="preserve">Recommendation.</w:t>
      </w:r>
      <w:r>
        <w:t xml:space="preserve"> </w:t>
      </w:r>
      <w:r>
        <w:t xml:space="preserve">Add a dynamic hemolysis evaluation under impeller operating conditions (e.g., 12,000 RPM in a blood-analog or blood bath at 37°C) and at maximum aspiration pressure, distinct from the static ISO 10993-4 hemolysis test. Define acceptance criteria (e.g., hemolytic index below a stated threshold).</w:t>
      </w:r>
    </w:p>
    <w:p>
      <w:r>
        <w:pict>
          <v:rect style="width:0;height:1.5pt" o:hralign="center" o:hrstd="t" o:hr="t"/>
        </w:pict>
      </w:r>
    </w:p>
    <w:bookmarkEnd w:id="46"/>
    <w:bookmarkEnd w:id="47"/>
    <w:bookmarkStart w:id="48" w:name="X488630b1643c763df1f978ae4d36bb2dd943413"/>
    <w:p>
      <w:pPr>
        <w:pStyle w:val="Heading2"/>
      </w:pPr>
      <w:r>
        <w:t xml:space="preserve">VII. Summary of Recommended Actions and Sequencing</w:t>
      </w:r>
    </w:p>
    <w:p>
      <w:pPr>
        <w:pStyle w:val="FirstParagraph"/>
      </w:pPr>
      <w:r>
        <w:t xml:space="preserve">The following actions are organized by the order in which they should be addressed, given the June 15, 2025 filing target and the May 19 internal review deadline.</w:t>
      </w:r>
    </w:p>
    <w:p>
      <w:pPr>
        <w:pStyle w:val="BodyText"/>
      </w:pPr>
      <w:r>
        <w:rPr>
          <w:b/>
          <w:bCs/>
        </w:rPr>
        <w:t xml:space="preserve">Before the package is filed (required):</w:t>
      </w:r>
    </w:p>
    <w:p>
      <w:pPr>
        <w:pStyle w:val="Compact"/>
        <w:numPr>
          <w:ilvl w:val="0"/>
          <w:numId w:val="1007"/>
        </w:numPr>
      </w:pPr>
      <w:r>
        <w:rPr>
          <w:b/>
          <w:bCs/>
        </w:rPr>
        <w:t xml:space="preserve">Add the combination-product and IDE questions to the cover letter</w:t>
      </w:r>
      <w:r>
        <w:t xml:space="preserve"> </w:t>
      </w:r>
      <w:r>
        <w:t xml:space="preserve">(Issues 1, 2, 5). These are the two highest-value additions and implement counsel’s existing recommendation.</w:t>
      </w:r>
    </w:p>
    <w:p>
      <w:pPr>
        <w:pStyle w:val="Compact"/>
        <w:numPr>
          <w:ilvl w:val="0"/>
          <w:numId w:val="1007"/>
        </w:numPr>
      </w:pPr>
      <w:r>
        <w:rPr>
          <w:b/>
          <w:bCs/>
        </w:rPr>
        <w:t xml:space="preserve">Resolve the IDE/</w:t>
      </w:r>
      <w:r>
        <w:rPr>
          <w:b/>
          <w:bCs/>
        </w:rPr>
        <w:t xml:space="preserve">“</w:t>
      </w:r>
      <w:r>
        <w:rPr>
          <w:b/>
          <w:bCs/>
        </w:rPr>
        <w:t xml:space="preserve">post-clearance</w:t>
      </w:r>
      <w:r>
        <w:rPr>
          <w:b/>
          <w:bCs/>
        </w:rPr>
        <w:t xml:space="preserve">”</w:t>
      </w:r>
      <w:r>
        <w:rPr>
          <w:b/>
          <w:bCs/>
        </w:rPr>
        <w:t xml:space="preserve"> </w:t>
      </w:r>
      <w:r>
        <w:rPr>
          <w:b/>
          <w:bCs/>
        </w:rPr>
        <w:t xml:space="preserve">mischaracterization</w:t>
      </w:r>
      <w:r>
        <w:t xml:space="preserve"> </w:t>
      </w:r>
      <w:r>
        <w:t xml:space="preserve">in the Clinical Synopsis (Issue 2). Describe the study accurately as a pre-clearance investigation and present the IDE question to FDA.</w:t>
      </w:r>
    </w:p>
    <w:p>
      <w:pPr>
        <w:pStyle w:val="Compact"/>
        <w:numPr>
          <w:ilvl w:val="0"/>
          <w:numId w:val="1007"/>
        </w:numPr>
      </w:pPr>
      <w:r>
        <w:rPr>
          <w:b/>
          <w:bCs/>
        </w:rPr>
        <w:t xml:space="preserve">Reconcile the biocompatibility contact-duration classification</w:t>
      </w:r>
      <w:r>
        <w:t xml:space="preserve"> </w:t>
      </w:r>
      <w:r>
        <w:t xml:space="preserve">(Issue 4). Decide between ≤24-hour-only labeling and 72-hour indwell (prolonged contact), and adjust the testing scope accordingly. This decision affects testing cost and timeline and should be made before Whitecrest initiates studies.</w:t>
      </w:r>
    </w:p>
    <w:p>
      <w:pPr>
        <w:pStyle w:val="Compact"/>
        <w:numPr>
          <w:ilvl w:val="0"/>
          <w:numId w:val="1007"/>
        </w:numPr>
      </w:pPr>
      <w:r>
        <w:rPr>
          <w:b/>
          <w:bCs/>
        </w:rPr>
        <w:t xml:space="preserve">Correct the predicate-indication misrepresentation</w:t>
      </w:r>
      <w:r>
        <w:t xml:space="preserve"> </w:t>
      </w:r>
      <w:r>
        <w:t xml:space="preserve">in the Clinical Synopsis table (Issue 16) and ensure all comparison tables match the K192847 summary.</w:t>
      </w:r>
    </w:p>
    <w:p>
      <w:pPr>
        <w:pStyle w:val="Compact"/>
        <w:numPr>
          <w:ilvl w:val="0"/>
          <w:numId w:val="1007"/>
        </w:numPr>
      </w:pPr>
      <w:r>
        <w:rPr>
          <w:b/>
          <w:bCs/>
        </w:rPr>
        <w:t xml:space="preserve">Remove [TBD] placeholders</w:t>
      </w:r>
      <w:r>
        <w:t xml:space="preserve"> </w:t>
      </w:r>
      <w:r>
        <w:t xml:space="preserve">from the IFU and add an MRI safety testing section to the plan (Issue 10).</w:t>
      </w:r>
    </w:p>
    <w:p>
      <w:pPr>
        <w:pStyle w:val="Compact"/>
        <w:numPr>
          <w:ilvl w:val="0"/>
          <w:numId w:val="1007"/>
        </w:numPr>
      </w:pPr>
      <w:r>
        <w:rPr>
          <w:b/>
          <w:bCs/>
        </w:rPr>
        <w:t xml:space="preserve">Conduct the cross-document reconciliation pass</w:t>
      </w:r>
      <w:r>
        <w:t xml:space="preserve"> </w:t>
      </w:r>
      <w:r>
        <w:t xml:space="preserve">(Issues 14, 15) — console specs, materials, contact info, units.</w:t>
      </w:r>
    </w:p>
    <w:p>
      <w:pPr>
        <w:pStyle w:val="FirstParagraph"/>
      </w:pPr>
      <w:r>
        <w:rPr>
          <w:b/>
          <w:bCs/>
        </w:rPr>
        <w:t xml:space="preserve">Before the Pre-Submission meeting (strongly recommended):</w:t>
      </w:r>
    </w:p>
    <w:p>
      <w:pPr>
        <w:pStyle w:val="Compact"/>
        <w:numPr>
          <w:ilvl w:val="0"/>
          <w:numId w:val="1008"/>
        </w:numPr>
      </w:pPr>
      <w:r>
        <w:rPr>
          <w:b/>
          <w:bCs/>
        </w:rPr>
        <w:t xml:space="preserve">Identify reference predicates</w:t>
      </w:r>
      <w:r>
        <w:t xml:space="preserve"> </w:t>
      </w:r>
      <w:r>
        <w:t xml:space="preserve">for the rotating-impeller and drug-delivery features, or prepare a candid assessment of the SE risk (Issue 3).</w:t>
      </w:r>
    </w:p>
    <w:p>
      <w:pPr>
        <w:pStyle w:val="Compact"/>
        <w:numPr>
          <w:ilvl w:val="0"/>
          <w:numId w:val="1008"/>
        </w:numPr>
      </w:pPr>
      <w:r>
        <w:rPr>
          <w:b/>
          <w:bCs/>
        </w:rPr>
        <w:t xml:space="preserve">Add EMC testing (IEC 60601-1-2)</w:t>
      </w:r>
      <w:r>
        <w:t xml:space="preserve"> </w:t>
      </w:r>
      <w:r>
        <w:t xml:space="preserve">to the plan (Issue 7).</w:t>
      </w:r>
    </w:p>
    <w:p>
      <w:pPr>
        <w:pStyle w:val="Compact"/>
        <w:numPr>
          <w:ilvl w:val="0"/>
          <w:numId w:val="1008"/>
        </w:numPr>
      </w:pPr>
      <w:r>
        <w:rPr>
          <w:b/>
          <w:bCs/>
        </w:rPr>
        <w:t xml:space="preserve">Reassess the software documentation level</w:t>
      </w:r>
      <w:r>
        <w:t xml:space="preserve"> </w:t>
      </w:r>
      <w:r>
        <w:t xml:space="preserve">under the 2023 guidance and reference IEC 62304 (Issues 8, 19).</w:t>
      </w:r>
    </w:p>
    <w:p>
      <w:pPr>
        <w:pStyle w:val="Compact"/>
        <w:numPr>
          <w:ilvl w:val="0"/>
          <w:numId w:val="1008"/>
        </w:numPr>
      </w:pPr>
      <w:r>
        <w:rPr>
          <w:b/>
          <w:bCs/>
        </w:rPr>
        <w:t xml:space="preserve">Redefine the impeller fatigue test</w:t>
      </w:r>
      <w:r>
        <w:t xml:space="preserve"> </w:t>
      </w:r>
      <w:r>
        <w:t xml:space="preserve">in clinically meaningful terms (Issue 6).</w:t>
      </w:r>
    </w:p>
    <w:p>
      <w:pPr>
        <w:pStyle w:val="Compact"/>
        <w:numPr>
          <w:ilvl w:val="0"/>
          <w:numId w:val="1008"/>
        </w:numPr>
      </w:pPr>
      <w:r>
        <w:rPr>
          <w:b/>
          <w:bCs/>
        </w:rPr>
        <w:t xml:space="preserve">Add shelf-life and console reprocessing validation</w:t>
      </w:r>
      <w:r>
        <w:t xml:space="preserve"> </w:t>
      </w:r>
      <w:r>
        <w:t xml:space="preserve">to the plan (Issues 12, 13).</w:t>
      </w:r>
    </w:p>
    <w:p>
      <w:pPr>
        <w:pStyle w:val="Compact"/>
        <w:numPr>
          <w:ilvl w:val="0"/>
          <w:numId w:val="1008"/>
        </w:numPr>
      </w:pPr>
      <w:r>
        <w:rPr>
          <w:b/>
          <w:bCs/>
        </w:rPr>
        <w:t xml:space="preserve">Strengthen the clinical study design</w:t>
      </w:r>
      <w:r>
        <w:t xml:space="preserve"> </w:t>
      </w:r>
      <w:r>
        <w:t xml:space="preserve">— justify the performance goal, extend follow-up, add a DSMB (Issue 9).</w:t>
      </w:r>
    </w:p>
    <w:p>
      <w:pPr>
        <w:pStyle w:val="FirstParagraph"/>
      </w:pPr>
      <w:r>
        <w:rPr>
          <w:b/>
          <w:bCs/>
        </w:rPr>
        <w:t xml:space="preserve">Strategic / corporate (parallel track):</w:t>
      </w:r>
    </w:p>
    <w:p>
      <w:pPr>
        <w:pStyle w:val="Compact"/>
        <w:numPr>
          <w:ilvl w:val="0"/>
          <w:numId w:val="1009"/>
        </w:numPr>
      </w:pPr>
      <w:r>
        <w:rPr>
          <w:b/>
          <w:bCs/>
        </w:rPr>
        <w:t xml:space="preserve">Re-model the realistic clearance date</w:t>
      </w:r>
      <w:r>
        <w:t xml:space="preserve"> </w:t>
      </w:r>
      <w:r>
        <w:t xml:space="preserve">and engage Kendrick &amp; Hale on the Braddock Ventures milestone (Issue 17).</w:t>
      </w:r>
    </w:p>
    <w:p>
      <w:pPr>
        <w:pStyle w:val="Compact"/>
        <w:numPr>
          <w:ilvl w:val="0"/>
          <w:numId w:val="1009"/>
        </w:numPr>
      </w:pPr>
      <w:r>
        <w:rPr>
          <w:b/>
          <w:bCs/>
        </w:rPr>
        <w:t xml:space="preserve">Assess human factors validation</w:t>
      </w:r>
      <w:r>
        <w:t xml:space="preserve"> </w:t>
      </w:r>
      <w:r>
        <w:t xml:space="preserve">needs (Issue 18) and</w:t>
      </w:r>
      <w:r>
        <w:t xml:space="preserve"> </w:t>
      </w:r>
      <w:r>
        <w:rPr>
          <w:b/>
          <w:bCs/>
        </w:rPr>
        <w:t xml:space="preserve">dynamic hemolysis</w:t>
      </w:r>
      <w:r>
        <w:t xml:space="preserve"> </w:t>
      </w:r>
      <w:r>
        <w:t xml:space="preserve">testing (Issue 20).</w:t>
      </w:r>
    </w:p>
    <w:p>
      <w:r>
        <w:pict>
          <v:rect style="width:0;height:1.5pt" o:hralign="center" o:hrstd="t" o:hr="t"/>
        </w:pict>
      </w:r>
    </w:p>
    <w:bookmarkEnd w:id="48"/>
    <w:bookmarkStart w:id="49" w:name="viii.-closing"/>
    <w:p>
      <w:pPr>
        <w:pStyle w:val="Heading2"/>
      </w:pPr>
      <w:r>
        <w:t xml:space="preserve">VIII. Closing</w:t>
      </w:r>
    </w:p>
    <w:p>
      <w:pPr>
        <w:pStyle w:val="FirstParagraph"/>
      </w:pPr>
      <w:r>
        <w:t xml:space="preserve">The VascuClear 3000 Pre-Submission package is substantially developed and reflects genuine effort across the regulatory, engineering, and clinical dimensions. However, the three Critical issues — combination-product classification, the IDE/</w:t>
      </w:r>
      <w:r>
        <w:t xml:space="preserve">“</w:t>
      </w:r>
      <w:r>
        <w:t xml:space="preserve">post-clearance</w:t>
      </w:r>
      <w:r>
        <w:t xml:space="preserve">”</w:t>
      </w:r>
      <w:r>
        <w:t xml:space="preserve"> </w:t>
      </w:r>
      <w:r>
        <w:t xml:space="preserve">question, and the substantial-equivalence/predicate argument — are threshold questions that the package currently does not pose to FDA and that could, depending on FDA’s response, change the regulatory pathway and render the December 31, 2025 milestone unachievable. I strongly recommend that the combination-product and IDE questions be added to the cover letter before filing, that the Clinical Synopsis be corrected to accurately characterize the study, and that the predicate/reference-device strategy be strengthened.</w:t>
      </w:r>
    </w:p>
    <w:p>
      <w:pPr>
        <w:pStyle w:val="BodyText"/>
      </w:pPr>
      <w:r>
        <w:t xml:space="preserve">I am available to discuss any of the foregoing at your convenience, and I can assist with drafting the revised cover-letter questions and the corrected synopsis language on an expedited basis to meet the June 15 filing target.</w:t>
      </w:r>
    </w:p>
    <w:p>
      <w:pPr>
        <w:pStyle w:val="BodyText"/>
      </w:pPr>
      <w:r>
        <w:t xml:space="preserve">Respectfully,</w:t>
      </w:r>
    </w:p>
    <w:p>
      <w:pPr>
        <w:pStyle w:val="BodyText"/>
      </w:pPr>
      <w:r>
        <w:rPr>
          <w:b/>
          <w:bCs/>
        </w:rP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r>
        <w:t xml:space="preserve"> </w:t>
      </w:r>
      <w:r>
        <w:t xml:space="preserve">Tel: (202) 555-0387</w:t>
      </w:r>
      <w:r>
        <w:t xml:space="preserve"> </w:t>
      </w:r>
      <w:r>
        <w:t xml:space="preserve">Email: dyoo@htblaw.com</w:t>
      </w:r>
    </w:p>
    <w:p>
      <w:r>
        <w:pict>
          <v:rect style="width:0;height:1.5pt" o:hralign="center" o:hrstd="t" o:hr="t"/>
        </w:pict>
      </w:r>
    </w:p>
    <w:p>
      <w:pPr>
        <w:pStyle w:val="FirstParagraph"/>
      </w:pPr>
      <w:r>
        <w:rPr>
          <w:i/>
          <w:iCs/>
        </w:rPr>
        <w:t xml:space="preserve">This memorandum is privileged and confidential attorney work product prepared in anticipation of the finalization of Clearfield Medical Devices, Inc.’s FDA Pre-Submission package. It is intended solely for the named recipients and should not be forwarded, reproduced, or disclosed to any other party without the express written consent of Hargrove, Templeton &amp; Bliss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2026-06-29T00:49:45Z</dcterms:created>
  <dcterms:modified xsi:type="dcterms:W3CDTF">2026-06-29T00:49:45Z</dcterms:modified>
</cp:coreProperties>
</file>

<file path=docProps/custom.xml><?xml version="1.0" encoding="utf-8"?>
<Properties xmlns="http://schemas.openxmlformats.org/officeDocument/2006/custom-properties" xmlns:vt="http://schemas.openxmlformats.org/officeDocument/2006/docPropsVTypes"/>
</file>