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092779eae0ca57705dede95c2ab5939f8b8355"/>
    <w:p>
      <w:pPr>
        <w:pStyle w:val="Heading1"/>
      </w:pPr>
      <w:r>
        <w:t xml:space="preserve">PRIVILEGED &amp; CONFIDENTIAL — ATTORNEY WORK PRODUCT</w:t>
      </w:r>
    </w:p>
    <w:p>
      <w:pPr>
        <w:pStyle w:val="FirstParagraph"/>
      </w:pPr>
      <w:r>
        <w:rPr>
          <w:b/>
          <w:bCs/>
        </w:rPr>
        <w:t xml:space="preserve">WHITMORE &amp; CALLAHAN LLP</w:t>
      </w:r>
      <w:r>
        <w:t xml:space="preserve"> </w:t>
      </w:r>
      <w:r>
        <w:t xml:space="preserve">1750 K Street NW, Suite 800, Washington, DC 20006</w:t>
      </w:r>
      <w:r>
        <w:t xml:space="preserve"> </w:t>
      </w:r>
      <w:r>
        <w:t xml:space="preserve">Tel: (202) 555-0392 | Fax: (202) 555-0393</w:t>
      </w:r>
    </w:p>
    <w:p>
      <w:r>
        <w:pict>
          <v:rect style="width:0;height:1.5pt" o:hralign="center" o:hrstd="t" o:hr="t"/>
        </w:pict>
      </w:r>
    </w:p>
    <w:bookmarkStart w:id="20" w:name="memorandum"/>
    <w:p>
      <w:pPr>
        <w:pStyle w:val="Heading2"/>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Melanie Foss, HR Director, Prismex Analytics, Inc. (cc: Rajiv Sunderajan, CEO)</w:t>
            </w:r>
          </w:p>
        </w:tc>
      </w:tr>
      <w:tr>
        <w:tc>
          <w:tcPr/>
          <w:p>
            <w:pPr>
              <w:pStyle w:val="Compact"/>
              <w:jc w:val="left"/>
            </w:pPr>
            <w:r>
              <w:rPr>
                <w:b/>
                <w:bCs/>
              </w:rPr>
              <w:t xml:space="preserve">FROM:</w:t>
            </w:r>
          </w:p>
        </w:tc>
        <w:tc>
          <w:tcPr/>
          <w:p>
            <w:pPr>
              <w:pStyle w:val="Compact"/>
              <w:jc w:val="left"/>
            </w:pPr>
            <w:r>
              <w:t xml:space="preserve">Craig Halloran, Esq., Whitmore &amp; Callahan LLP</w:t>
            </w:r>
          </w:p>
        </w:tc>
      </w:tr>
      <w:tr>
        <w:tc>
          <w:tcPr/>
          <w:p>
            <w:pPr>
              <w:pStyle w:val="Compact"/>
              <w:jc w:val="left"/>
            </w:pPr>
            <w:r>
              <w:rPr>
                <w:b/>
                <w:bCs/>
              </w:rPr>
              <w:t xml:space="preserve">DATE:</w:t>
            </w:r>
          </w:p>
        </w:tc>
        <w:tc>
          <w:tcPr/>
          <w:p>
            <w:pPr>
              <w:pStyle w:val="Compact"/>
              <w:jc w:val="left"/>
            </w:pPr>
            <w:r>
              <w:t xml:space="preserve">June 9, 2025</w:t>
            </w:r>
          </w:p>
        </w:tc>
      </w:tr>
      <w:tr>
        <w:tc>
          <w:tcPr/>
          <w:p>
            <w:pPr>
              <w:pStyle w:val="Compact"/>
              <w:jc w:val="left"/>
            </w:pPr>
            <w:r>
              <w:rPr>
                <w:b/>
                <w:bCs/>
              </w:rPr>
              <w:t xml:space="preserve">RE:</w:t>
            </w:r>
          </w:p>
        </w:tc>
        <w:tc>
          <w:tcPr/>
          <w:p>
            <w:pPr>
              <w:pStyle w:val="Compact"/>
              <w:jc w:val="left"/>
            </w:pPr>
            <w:r>
              <w:t xml:space="preserve">Credential Gap Analysis — Certified PERM Application (ETA Form 9089), Case No. A-18247-63910, on behalf of Dr. Ananya Mehrotra — Senior Machine Learning Engineer</w:t>
            </w:r>
          </w:p>
        </w:tc>
      </w:tr>
      <w:tr>
        <w:tc>
          <w:tcPr/>
          <w:p>
            <w:pPr>
              <w:pStyle w:val="Compact"/>
              <w:jc w:val="left"/>
            </w:pPr>
            <w:r>
              <w:rPr>
                <w:b/>
                <w:bCs/>
              </w:rPr>
              <w:t xml:space="preserve">PRIVILEGE:</w:t>
            </w:r>
          </w:p>
        </w:tc>
        <w:tc>
          <w:tcPr/>
          <w:p>
            <w:pPr>
              <w:pStyle w:val="Compact"/>
              <w:jc w:val="left"/>
            </w:pPr>
            <w:r>
              <w:t xml:space="preserve">Prepared in anticipation of I-129/I-140 filing; contains attorney analysis and recommendations.</w:t>
            </w:r>
          </w:p>
        </w:tc>
      </w:tr>
    </w:tbl>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You asked us to review the certified PERM application (ETA Form 9089, Case No. </w:t>
      </w:r>
      <w:r>
        <w:rPr>
          <w:b/>
          <w:bCs/>
        </w:rPr>
        <w:t xml:space="preserve">A-18247-63910</w:t>
      </w:r>
      <w:r>
        <w:t xml:space="preserve">, filed March 15, 2025; certified May 22, 2025) on behalf of</w:t>
      </w:r>
      <w:r>
        <w:t xml:space="preserve"> </w:t>
      </w:r>
      <w:r>
        <w:rPr>
          <w:b/>
          <w:bCs/>
        </w:rPr>
        <w:t xml:space="preserve">Prismex Analytics, Inc.</w:t>
      </w:r>
      <w:r>
        <w:t xml:space="preserve"> </w:t>
      </w:r>
      <w:r>
        <w:t xml:space="preserve">(</w:t>
      </w:r>
      <w:r>
        <w:t xml:space="preserve">“</w:t>
      </w:r>
      <w:r>
        <w:t xml:space="preserve">Prismex</w:t>
      </w:r>
      <w:r>
        <w:t xml:space="preserve">”</w:t>
      </w:r>
      <w:r>
        <w:t xml:space="preserve"> </w:t>
      </w:r>
      <w:r>
        <w:t xml:space="preserve">/</w:t>
      </w:r>
      <w:r>
        <w:t xml:space="preserve"> </w:t>
      </w:r>
      <w:r>
        <w:t xml:space="preserve">“</w:t>
      </w:r>
      <w:r>
        <w:t xml:space="preserve">the Employer</w:t>
      </w:r>
      <w:r>
        <w:t xml:space="preserve">”</w:t>
      </w:r>
      <w:r>
        <w:t xml:space="preserve">) for the position of</w:t>
      </w:r>
      <w:r>
        <w:t xml:space="preserve"> </w:t>
      </w:r>
      <w:r>
        <w:rPr>
          <w:b/>
          <w:bCs/>
        </w:rPr>
        <w:t xml:space="preserve">Senior Machine Learning Engineer</w:t>
      </w:r>
      <w:r>
        <w:t xml:space="preserve">, and to compare the</w:t>
      </w:r>
      <w:r>
        <w:t xml:space="preserve"> </w:t>
      </w:r>
      <w:r>
        <w:rPr>
          <w:b/>
          <w:bCs/>
        </w:rPr>
        <w:t xml:space="preserve">minimum requirements</w:t>
      </w:r>
      <w:r>
        <w:t xml:space="preserve"> </w:t>
      </w:r>
      <w:r>
        <w:t xml:space="preserve">stated on the application against the</w:t>
      </w:r>
      <w:r>
        <w:t xml:space="preserve"> </w:t>
      </w:r>
      <w:r>
        <w:rPr>
          <w:b/>
          <w:bCs/>
        </w:rPr>
        <w:t xml:space="preserve">supporting credentials</w:t>
      </w:r>
      <w:r>
        <w:t xml:space="preserve"> </w:t>
      </w:r>
      <w:r>
        <w:t xml:space="preserve">assembled for Dr. Ananya Mehrotra (</w:t>
      </w:r>
      <w:r>
        <w:t xml:space="preserve">“</w:t>
      </w:r>
      <w:r>
        <w:t xml:space="preserve">the Beneficiary</w:t>
      </w:r>
      <w:r>
        <w:t xml:space="preserve">”</w:t>
      </w:r>
      <w:r>
        <w:t xml:space="preserve">). This memorandum identifies the gaps between those requirements and the documentation, assesses the risk each gap presents (principally at the Form I-140 stage, where U.S. Citizenship and Immigration Services (</w:t>
      </w:r>
      <w:r>
        <w:t xml:space="preserve">“</w:t>
      </w:r>
      <w:r>
        <w:t xml:space="preserve">USCIS</w:t>
      </w:r>
      <w:r>
        <w:t xml:space="preserve">”</w:t>
      </w:r>
      <w:r>
        <w:t xml:space="preserve">) verifies that the Beneficiary meets the certified minimum requirements), and provides prioritized remedial recommendations.</w:t>
      </w:r>
    </w:p>
    <w:p>
      <w:pPr>
        <w:pStyle w:val="BodyText"/>
      </w:pPr>
      <w:r>
        <w:rPr>
          <w:b/>
          <w:bCs/>
        </w:rPr>
        <w:t xml:space="preserve">Documents reviewed.</w:t>
      </w:r>
      <w:r>
        <w:t xml:space="preserve"> </w:t>
      </w:r>
      <w:r>
        <w:t xml:space="preserve">(1) Certified ETA Form 9089 and addendum; (2) Beneficiary résumé/CV; (3) DataBridge Solutions LLC experience letter (Dr. Samuel Okonkwo, VP of Data Science, dated April 10, 2025); (4) Evalpoint Technologies Pvt. Ltd. experience letter (Vikram Reddy, Director of Engineering, dated March 28, 2025); (5) NC State University official transcript (M.S. in Computer Science, issued May 20, 2025); (6) IAE credential evaluation report (Report No. IAE-2025-02-4738, dated February 15, 2025); (7) Professional certifications compilation (AWS Certified Cloud Practitioner; TensorFlow Developer Certificate), dated June 2025; (8) Prevailing Wage Determination (PWD Tracking No. P-200-24187-329156, dated November 8, 2024); and (9) your transmittal email of June 4, 2025.</w:t>
      </w:r>
    </w:p>
    <w:p>
      <w:pPr>
        <w:pStyle w:val="BodyText"/>
      </w:pPr>
      <w:r>
        <w:rPr>
          <w:b/>
          <w:bCs/>
        </w:rPr>
        <w:t xml:space="preserve">Bottom line.</w:t>
      </w:r>
      <w:r>
        <w:t xml:space="preserve"> </w:t>
      </w:r>
      <w:r>
        <w:t xml:space="preserve">The Beneficiary clearly satisfies the</w:t>
      </w:r>
      <w:r>
        <w:t xml:space="preserve"> </w:t>
      </w:r>
      <w:r>
        <w:rPr>
          <w:b/>
          <w:bCs/>
        </w:rPr>
        <w:t xml:space="preserve">education</w:t>
      </w:r>
      <w:r>
        <w:t xml:space="preserve"> </w:t>
      </w:r>
      <w:r>
        <w:t xml:space="preserve">requirement (M.S. in Computer Science, NC State, 2018) and the</w:t>
      </w:r>
      <w:r>
        <w:t xml:space="preserve"> </w:t>
      </w:r>
      <w:r>
        <w:rPr>
          <w:b/>
          <w:bCs/>
        </w:rPr>
        <w:t xml:space="preserve">5-year post-master’s experience</w:t>
      </w:r>
      <w:r>
        <w:t xml:space="preserve"> </w:t>
      </w:r>
      <w:r>
        <w:t xml:space="preserve">requirement (approximately 6 years, 9 months at DataBridge Solutions LLC as of filing). However, we have identified</w:t>
      </w:r>
      <w:r>
        <w:t xml:space="preserve"> </w:t>
      </w:r>
      <w:r>
        <w:rPr>
          <w:b/>
          <w:bCs/>
        </w:rPr>
        <w:t xml:space="preserve">one critical gap</w:t>
      </w:r>
      <w:r>
        <w:t xml:space="preserve"> </w:t>
      </w:r>
      <w:r>
        <w:t xml:space="preserve">and</w:t>
      </w:r>
      <w:r>
        <w:t xml:space="preserve"> </w:t>
      </w:r>
      <w:r>
        <w:rPr>
          <w:b/>
          <w:bCs/>
        </w:rPr>
        <w:t xml:space="preserve">three significant gaps</w:t>
      </w:r>
      <w:r>
        <w:t xml:space="preserve"> </w:t>
      </w:r>
      <w:r>
        <w:t xml:space="preserve">that, if not addressed, place the eventual Form I-140 at material risk of denial and, in one respect, raise a question about the accuracy of an attestation on the certified application itself. Several lesser items are also noted. The critical gap — the</w:t>
      </w:r>
      <w:r>
        <w:t xml:space="preserve"> </w:t>
      </w:r>
      <w:r>
        <w:rPr>
          <w:b/>
          <w:bCs/>
        </w:rPr>
        <w:t xml:space="preserve">AWS Certified Machine Learning – Specialty certification</w:t>
      </w:r>
      <w:r>
        <w:t xml:space="preserve"> </w:t>
      </w:r>
      <w:r>
        <w:t xml:space="preserve">required by Section J.B.5 — is</w:t>
      </w:r>
      <w:r>
        <w:t xml:space="preserve"> </w:t>
      </w:r>
      <w:r>
        <w:rPr>
          <w:b/>
          <w:bCs/>
        </w:rPr>
        <w:t xml:space="preserve">not held</w:t>
      </w:r>
      <w:r>
        <w:t xml:space="preserve"> </w:t>
      </w:r>
      <w:r>
        <w:t xml:space="preserve">by the Beneficiary, and the only AWS credential she does hold had</w:t>
      </w:r>
      <w:r>
        <w:t xml:space="preserve"> </w:t>
      </w:r>
      <w:r>
        <w:rPr>
          <w:b/>
          <w:bCs/>
        </w:rPr>
        <w:t xml:space="preserve">expired before the priority date</w:t>
      </w:r>
      <w:r>
        <w:t xml:space="preserve">. This requires immediate attention.</w:t>
      </w:r>
    </w:p>
    <w:p>
      <w:r>
        <w:pict>
          <v:rect style="width:0;height:1.5pt" o:hralign="center" o:hrstd="t" o:hr="t"/>
        </w:pict>
      </w:r>
    </w:p>
    <w:bookmarkEnd w:id="21"/>
    <w:bookmarkStart w:id="22" w:name="ii.-summary-of-findings"/>
    <w:p>
      <w:pPr>
        <w:pStyle w:val="Heading2"/>
      </w:pPr>
      <w:r>
        <w:t xml:space="preserve">II. Summary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Requirement Met as of Priority Date (3/15/2025)?</w:t>
            </w:r>
          </w:p>
        </w:tc>
      </w:tr>
      <w:tr>
        <w:tc>
          <w:tcPr/>
          <w:p>
            <w:pPr>
              <w:pStyle w:val="Compact"/>
              <w:jc w:val="left"/>
            </w:pPr>
            <w:r>
              <w:t xml:space="preserve">1</w:t>
            </w:r>
          </w:p>
        </w:tc>
        <w:tc>
          <w:tcPr/>
          <w:p>
            <w:pPr>
              <w:pStyle w:val="Compact"/>
              <w:jc w:val="left"/>
            </w:pPr>
            <w:r>
              <w:t xml:space="preserve">AWS Certified Machine Learning – Specialty certification (or equivalent) not held; AWS Cloud Practitioner (foundational) expired 1/18/2025; TensorFlow Developer Certificate is not an AWS credential and not equivalent</w:t>
            </w:r>
          </w:p>
        </w:tc>
        <w:tc>
          <w:tcPr/>
          <w:p>
            <w:pPr>
              <w:pStyle w:val="Compact"/>
              <w:jc w:val="left"/>
            </w:pPr>
            <w:r>
              <w:rPr>
                <w:b/>
                <w:bCs/>
              </w:rPr>
              <w:t xml:space="preserve">CRITICAL</w:t>
            </w:r>
          </w:p>
        </w:tc>
        <w:tc>
          <w:tcPr/>
          <w:p>
            <w:pPr>
              <w:pStyle w:val="Compact"/>
              <w:jc w:val="left"/>
            </w:pPr>
            <w:r>
              <w:rPr>
                <w:b/>
                <w:bCs/>
              </w:rPr>
              <w:t xml:space="preserve">No</w:t>
            </w:r>
          </w:p>
        </w:tc>
      </w:tr>
      <w:tr>
        <w:tc>
          <w:tcPr/>
          <w:p>
            <w:pPr>
              <w:pStyle w:val="Compact"/>
              <w:jc w:val="left"/>
            </w:pPr>
            <w:r>
              <w:t xml:space="preserve">2</w:t>
            </w:r>
          </w:p>
        </w:tc>
        <w:tc>
          <w:tcPr/>
          <w:p>
            <w:pPr>
              <w:pStyle w:val="Compact"/>
              <w:jc w:val="left"/>
            </w:pPr>
            <w:r>
              <w:t xml:space="preserve">“</w:t>
            </w:r>
            <w:r>
              <w:t xml:space="preserve">Proficiency in … R</w:t>
            </w:r>
            <w:r>
              <w:t xml:space="preserve">”</w:t>
            </w:r>
            <w:r>
              <w:t xml:space="preserve"> </w:t>
            </w:r>
            <w:r>
              <w:t xml:space="preserve">weakly supported — experience letter describes</w:t>
            </w:r>
            <w:r>
              <w:t xml:space="preserve"> </w:t>
            </w:r>
            <w:r>
              <w:t xml:space="preserve">“</w:t>
            </w:r>
            <w:r>
              <w:t xml:space="preserve">some use of R</w:t>
            </w:r>
            <w:r>
              <w:t xml:space="preserve">”</w:t>
            </w:r>
            <w:r>
              <w:t xml:space="preserve">; résumé lists R as</w:t>
            </w:r>
            <w:r>
              <w:t xml:space="preserve"> </w:t>
            </w:r>
            <w:r>
              <w:t xml:space="preserve">“</w:t>
            </w:r>
            <w:r>
              <w:t xml:space="preserve">intermediate</w:t>
            </w:r>
            <w:r>
              <w:t xml:space="preserve">”</w:t>
            </w:r>
          </w:p>
        </w:tc>
        <w:tc>
          <w:tcPr/>
          <w:p>
            <w:pPr>
              <w:pStyle w:val="Compact"/>
              <w:jc w:val="left"/>
            </w:pPr>
            <w:r>
              <w:rPr>
                <w:b/>
                <w:bCs/>
              </w:rPr>
              <w:t xml:space="preserve">Significant</w:t>
            </w:r>
          </w:p>
        </w:tc>
        <w:tc>
          <w:tcPr/>
          <w:p>
            <w:pPr>
              <w:pStyle w:val="Compact"/>
              <w:jc w:val="left"/>
            </w:pPr>
            <w:r>
              <w:t xml:space="preserve">Partially / weakly</w:t>
            </w:r>
          </w:p>
        </w:tc>
      </w:tr>
      <w:tr>
        <w:tc>
          <w:tcPr/>
          <w:p>
            <w:pPr>
              <w:pStyle w:val="Compact"/>
              <w:jc w:val="left"/>
            </w:pPr>
            <w:r>
              <w:t xml:space="preserve">3</w:t>
            </w:r>
          </w:p>
        </w:tc>
        <w:tc>
          <w:tcPr/>
          <w:p>
            <w:pPr>
              <w:pStyle w:val="Compact"/>
              <w:jc w:val="left"/>
            </w:pPr>
            <w:r>
              <w:t xml:space="preserve">Supervisory scope: position requires supervising a team of</w:t>
            </w:r>
            <w:r>
              <w:t xml:space="preserve"> </w:t>
            </w:r>
            <w:r>
              <w:rPr>
                <w:b/>
                <w:bCs/>
              </w:rPr>
              <w:t xml:space="preserve">3–5</w:t>
            </w:r>
            <w:r>
              <w:t xml:space="preserve"> </w:t>
            </w:r>
            <w:r>
              <w:t xml:space="preserve">ML engineers; documented experience is leading a team of</w:t>
            </w:r>
            <w:r>
              <w:t xml:space="preserve"> </w:t>
            </w:r>
            <w:r>
              <w:rPr>
                <w:b/>
                <w:bCs/>
              </w:rPr>
              <w:t xml:space="preserve">2</w:t>
            </w:r>
          </w:p>
        </w:tc>
        <w:tc>
          <w:tcPr/>
          <w:p>
            <w:pPr>
              <w:pStyle w:val="Compact"/>
              <w:jc w:val="left"/>
            </w:pPr>
            <w:r>
              <w:rPr>
                <w:b/>
                <w:bCs/>
              </w:rPr>
              <w:t xml:space="preserve">Significant</w:t>
            </w:r>
          </w:p>
        </w:tc>
        <w:tc>
          <w:tcPr/>
          <w:p>
            <w:pPr>
              <w:pStyle w:val="Compact"/>
              <w:jc w:val="left"/>
            </w:pPr>
            <w:r>
              <w:t xml:space="preserve">Partially</w:t>
            </w:r>
          </w:p>
        </w:tc>
      </w:tr>
      <w:tr>
        <w:tc>
          <w:tcPr/>
          <w:p>
            <w:pPr>
              <w:pStyle w:val="Compact"/>
              <w:jc w:val="left"/>
            </w:pPr>
            <w:r>
              <w:t xml:space="preserve">4</w:t>
            </w:r>
          </w:p>
        </w:tc>
        <w:tc>
          <w:tcPr/>
          <w:p>
            <w:pPr>
              <w:pStyle w:val="Compact"/>
              <w:jc w:val="left"/>
            </w:pPr>
            <w:r>
              <w:t xml:space="preserve">FEIN discrepancy: PWD lists</w:t>
            </w:r>
            <w:r>
              <w:t xml:space="preserve"> </w:t>
            </w:r>
            <w:r>
              <w:rPr>
                <w:b/>
                <w:bCs/>
              </w:rPr>
              <w:t xml:space="preserve">84-3291047</w:t>
            </w:r>
            <w:r>
              <w:t xml:space="preserve">; ETA 9089 lists</w:t>
            </w:r>
            <w:r>
              <w:t xml:space="preserve"> </w:t>
            </w:r>
            <w:r>
              <w:rPr>
                <w:b/>
                <w:bCs/>
              </w:rPr>
              <w:t xml:space="preserve">84-3291756</w:t>
            </w:r>
          </w:p>
        </w:tc>
        <w:tc>
          <w:tcPr/>
          <w:p>
            <w:pPr>
              <w:pStyle w:val="Compact"/>
              <w:jc w:val="left"/>
            </w:pPr>
            <w:r>
              <w:rPr>
                <w:b/>
                <w:bCs/>
              </w:rPr>
              <w:t xml:space="preserve">Significant</w:t>
            </w:r>
            <w:r>
              <w:t xml:space="preserve"> </w:t>
            </w:r>
            <w:r>
              <w:t xml:space="preserve">(administrative)</w:t>
            </w:r>
          </w:p>
        </w:tc>
        <w:tc>
          <w:tcPr/>
          <w:p>
            <w:pPr>
              <w:pStyle w:val="Compact"/>
              <w:jc w:val="left"/>
            </w:pPr>
            <w:r>
              <w:t xml:space="preserve">N/A — consistency</w:t>
            </w:r>
          </w:p>
        </w:tc>
      </w:tr>
      <w:tr>
        <w:tc>
          <w:tcPr/>
          <w:p>
            <w:pPr>
              <w:pStyle w:val="Compact"/>
              <w:jc w:val="left"/>
            </w:pPr>
            <w:r>
              <w:t xml:space="preserve">5</w:t>
            </w:r>
          </w:p>
        </w:tc>
        <w:tc>
          <w:tcPr/>
          <w:p>
            <w:pPr>
              <w:pStyle w:val="Compact"/>
              <w:jc w:val="left"/>
            </w:pPr>
            <w:r>
              <w:t xml:space="preserve">No experience verification letter from NC State for the Research Assistant appointment (8/2016–5/2018)</w:t>
            </w:r>
          </w:p>
        </w:tc>
        <w:tc>
          <w:tcPr/>
          <w:p>
            <w:pPr>
              <w:pStyle w:val="Compact"/>
              <w:jc w:val="left"/>
            </w:pPr>
            <w:r>
              <w:t xml:space="preserve">Moderate</w:t>
            </w:r>
          </w:p>
        </w:tc>
        <w:tc>
          <w:tcPr/>
          <w:p>
            <w:pPr>
              <w:pStyle w:val="Compact"/>
              <w:jc w:val="left"/>
            </w:pPr>
            <w:r>
              <w:t xml:space="preserve">N/A (see discussion)</w:t>
            </w:r>
          </w:p>
        </w:tc>
      </w:tr>
      <w:tr>
        <w:tc>
          <w:tcPr/>
          <w:p>
            <w:pPr>
              <w:pStyle w:val="Compact"/>
              <w:jc w:val="left"/>
            </w:pPr>
            <w:r>
              <w:t xml:space="preserve">6</w:t>
            </w:r>
          </w:p>
        </w:tc>
        <w:tc>
          <w:tcPr/>
          <w:p>
            <w:pPr>
              <w:pStyle w:val="Compact"/>
              <w:jc w:val="left"/>
            </w:pPr>
            <w:r>
              <w:t xml:space="preserve">Section K.2 states</w:t>
            </w:r>
            <w:r>
              <w:t xml:space="preserve"> </w:t>
            </w:r>
            <w:r>
              <w:t xml:space="preserve">“</w:t>
            </w:r>
            <w:r>
              <w:t xml:space="preserve">approximately 7 years</w:t>
            </w:r>
            <w:r>
              <w:t xml:space="preserve">”</w:t>
            </w:r>
            <w:r>
              <w:t xml:space="preserve"> </w:t>
            </w:r>
            <w:r>
              <w:t xml:space="preserve">post-master’s experience; actual is ~6 years, 9 months as of filing</w:t>
            </w:r>
          </w:p>
        </w:tc>
        <w:tc>
          <w:tcPr/>
          <w:p>
            <w:pPr>
              <w:pStyle w:val="Compact"/>
              <w:jc w:val="left"/>
            </w:pPr>
            <w:r>
              <w:t xml:space="preserve">Minor</w:t>
            </w:r>
          </w:p>
        </w:tc>
        <w:tc>
          <w:tcPr/>
          <w:p>
            <w:pPr>
              <w:pStyle w:val="Compact"/>
              <w:jc w:val="left"/>
            </w:pPr>
            <w:r>
              <w:t xml:space="preserve">Yes (exceeds 5 yrs)</w:t>
            </w:r>
          </w:p>
        </w:tc>
      </w:tr>
      <w:tr>
        <w:tc>
          <w:tcPr/>
          <w:p>
            <w:pPr>
              <w:pStyle w:val="Compact"/>
              <w:jc w:val="left"/>
            </w:pPr>
            <w:r>
              <w:t xml:space="preserve">7</w:t>
            </w:r>
          </w:p>
        </w:tc>
        <w:tc>
          <w:tcPr/>
          <w:p>
            <w:pPr>
              <w:pStyle w:val="Compact"/>
              <w:jc w:val="left"/>
            </w:pPr>
            <w:r>
              <w:t xml:space="preserve">Telephone number inconsistency: email signature (512) 555-0184 vs. ETA 9089/PWD (512) 555-0174</w:t>
            </w:r>
          </w:p>
        </w:tc>
        <w:tc>
          <w:tcPr/>
          <w:p>
            <w:pPr>
              <w:pStyle w:val="Compact"/>
              <w:jc w:val="left"/>
            </w:pPr>
            <w:r>
              <w:t xml:space="preserve">Minor</w:t>
            </w:r>
          </w:p>
        </w:tc>
        <w:tc>
          <w:tcPr/>
          <w:p>
            <w:pPr>
              <w:pStyle w:val="Compact"/>
              <w:jc w:val="left"/>
            </w:pPr>
            <w:r>
              <w:t xml:space="preserve">N/A — clerical</w:t>
            </w:r>
          </w:p>
        </w:tc>
      </w:tr>
      <w:tr>
        <w:tc>
          <w:tcPr/>
          <w:p>
            <w:pPr>
              <w:pStyle w:val="Compact"/>
              <w:jc w:val="left"/>
            </w:pPr>
            <w:r>
              <w:t xml:space="preserve">8</w:t>
            </w:r>
          </w:p>
        </w:tc>
        <w:tc>
          <w:tcPr/>
          <w:p>
            <w:pPr>
              <w:pStyle w:val="Compact"/>
              <w:jc w:val="left"/>
            </w:pPr>
            <w:r>
              <w:t xml:space="preserve">Transcript (5/20/2025) and experience letters (3/28 &amp; 4/10/2025) are dated after the 3/15/2025 filing</w:t>
            </w:r>
          </w:p>
        </w:tc>
        <w:tc>
          <w:tcPr/>
          <w:p>
            <w:pPr>
              <w:pStyle w:val="Compact"/>
              <w:jc w:val="left"/>
            </w:pPr>
            <w:r>
              <w:t xml:space="preserve">Note only</w:t>
            </w:r>
          </w:p>
        </w:tc>
        <w:tc>
          <w:tcPr/>
          <w:p>
            <w:pPr>
              <w:pStyle w:val="Compact"/>
              <w:jc w:val="left"/>
            </w:pPr>
            <w:r>
              <w:t xml:space="preserve">Acceptable</w:t>
            </w:r>
          </w:p>
        </w:tc>
      </w:tr>
    </w:tbl>
    <w:p>
      <w:pPr>
        <w:pStyle w:val="BodyText"/>
      </w:pPr>
      <w:r>
        <w:t xml:space="preserve">The detailed analysis and remedial recommendations follow.</w:t>
      </w:r>
    </w:p>
    <w:p>
      <w:r>
        <w:pict>
          <v:rect style="width:0;height:1.5pt" o:hralign="center" o:hrstd="t" o:hr="t"/>
        </w:pict>
      </w:r>
    </w:p>
    <w:bookmarkEnd w:id="22"/>
    <w:bookmarkStart w:id="23" w:name="iii.-the-certified-minimum-requirements"/>
    <w:p>
      <w:pPr>
        <w:pStyle w:val="Heading2"/>
      </w:pPr>
      <w:r>
        <w:t xml:space="preserve">III. The Certified Minimum Requirements</w:t>
      </w:r>
    </w:p>
    <w:p>
      <w:pPr>
        <w:pStyle w:val="FirstParagraph"/>
      </w:pPr>
      <w:r>
        <w:t xml:space="preserve">Section J of the ETA Form 9089 establishes the following minimum requirements for the Senior Machine Learning Engineer position. These are the standards against which the Beneficiary’s credentials must measure, and the standards USCIS will apply at the I-140 stage.</w:t>
      </w:r>
    </w:p>
    <w:p>
      <w:pPr>
        <w:pStyle w:val="Compact"/>
        <w:numPr>
          <w:ilvl w:val="0"/>
          <w:numId w:val="1001"/>
        </w:numPr>
      </w:pPr>
      <w:r>
        <w:rPr>
          <w:b/>
          <w:bCs/>
        </w:rPr>
        <w:t xml:space="preserve">J.B.1 — Education:</w:t>
      </w:r>
      <w:r>
        <w:t xml:space="preserve"> </w:t>
      </w:r>
      <w:r>
        <w:t xml:space="preserve">“</w:t>
      </w:r>
      <w:r>
        <w:t xml:space="preserve">Master’s degree in Computer Science, Machine Learning, or a closely related field.</w:t>
      </w:r>
      <w:r>
        <w:t xml:space="preserve">”</w:t>
      </w:r>
      <w:r>
        <w:t xml:space="preserve"> </w:t>
      </w:r>
      <w:r>
        <w:t xml:space="preserve">Foreign educational equivalent accepted: Yes.</w:t>
      </w:r>
    </w:p>
    <w:p>
      <w:pPr>
        <w:pStyle w:val="Compact"/>
        <w:numPr>
          <w:ilvl w:val="0"/>
          <w:numId w:val="1001"/>
        </w:numPr>
      </w:pPr>
      <w:r>
        <w:rPr>
          <w:b/>
          <w:bCs/>
        </w:rPr>
        <w:t xml:space="preserve">J.B.3 — Experience:</w:t>
      </w:r>
      <w:r>
        <w:t xml:space="preserve"> </w:t>
      </w:r>
      <w:r>
        <w:t xml:space="preserve">“</w:t>
      </w:r>
      <w:r>
        <w:t xml:space="preserve">5 years of progressive post-master’s experience in machine learning engineering or a closely related occupation.</w:t>
      </w:r>
      <w:r>
        <w:t xml:space="preserve">”</w:t>
      </w:r>
    </w:p>
    <w:p>
      <w:pPr>
        <w:pStyle w:val="Compact"/>
        <w:numPr>
          <w:ilvl w:val="0"/>
          <w:numId w:val="1001"/>
        </w:numPr>
      </w:pPr>
      <w:r>
        <w:rPr>
          <w:b/>
          <w:bCs/>
        </w:rPr>
        <w:t xml:space="preserve">J.B.4 — Alternate combination:</w:t>
      </w:r>
      <w:r>
        <w:t xml:space="preserve"> </w:t>
      </w:r>
      <w:r>
        <w:t xml:space="preserve">None listed (no alternate education/experience combination).</w:t>
      </w:r>
    </w:p>
    <w:p>
      <w:pPr>
        <w:pStyle w:val="Compact"/>
        <w:numPr>
          <w:ilvl w:val="0"/>
          <w:numId w:val="1001"/>
        </w:numPr>
      </w:pPr>
      <w:r>
        <w:rPr>
          <w:b/>
          <w:bCs/>
        </w:rPr>
        <w:t xml:space="preserve">J.B.5 — Special skills / other requirements:</w:t>
      </w:r>
      <w:r>
        <w:t xml:space="preserve"> </w:t>
      </w:r>
      <w:r>
        <w:t xml:space="preserve">“</w:t>
      </w:r>
      <w:r>
        <w:t xml:space="preserve">Experience must include: (a) designing and deploying production-grade deep learning models using TensorFlow or PyTorch; (b) experience with distributed computing frameworks including Apache Spark; (c) natural language processing (NLP) pipeline development; (d) cloud-based ML deployment on AWS SageMaker or Google Vertex AI; (e) proficiency in Python and R programming languages.</w:t>
      </w:r>
      <w:r>
        <w:t xml:space="preserve"> </w:t>
      </w:r>
      <w:r>
        <w:rPr>
          <w:b/>
          <w:bCs/>
        </w:rPr>
        <w:t xml:space="preserve">AWS Certified Machine Learning – Specialty certification or equivalent required.</w:t>
      </w:r>
      <w:r>
        <w:t xml:space="preserve"> </w:t>
      </w:r>
      <w:r>
        <w:t xml:space="preserve">Position requires up to 10% domestic travel. Will supervise a team of 3-5 ML engineers.</w:t>
      </w:r>
      <w:r>
        <w:t xml:space="preserve">”</w:t>
      </w:r>
    </w:p>
    <w:p>
      <w:pPr>
        <w:pStyle w:val="FirstParagraph"/>
      </w:pPr>
      <w:r>
        <w:t xml:space="preserve">The Employer further attested in Section K that the Beneficiary meets the education requirement (K.1 = Yes), the experience requirement (K.2 = Yes), the special skills and other requirements (K.3 = Yes), and is qualified for the position (K.4 = Yes), and that no qualifying experience was gained with the petitioning employer (K.5 = No).</w:t>
      </w:r>
    </w:p>
    <w:p>
      <w:r>
        <w:pict>
          <v:rect style="width:0;height:1.5pt" o:hralign="center" o:hrstd="t" o:hr="t"/>
        </w:pict>
      </w:r>
    </w:p>
    <w:bookmarkEnd w:id="23"/>
    <w:bookmarkStart w:id="32" w:name="iv.-detailed-gap-analysis"/>
    <w:p>
      <w:pPr>
        <w:pStyle w:val="Heading2"/>
      </w:pPr>
      <w:r>
        <w:t xml:space="preserve">IV. Detailed Gap Analysis</w:t>
      </w:r>
    </w:p>
    <w:bookmarkStart w:id="24" w:name="X5e22278877d283e5ea0eda7ad226691627bc94e"/>
    <w:p>
      <w:pPr>
        <w:pStyle w:val="Heading3"/>
      </w:pPr>
      <w:r>
        <w:t xml:space="preserve">A. CRITICAL — AWS Certified Machine Learning – Specialty Certification (J.B.5)</w:t>
      </w:r>
    </w:p>
    <w:p>
      <w:pPr>
        <w:pStyle w:val="FirstParagraph"/>
      </w:pPr>
      <w:r>
        <w:rPr>
          <w:b/>
          <w:bCs/>
        </w:rPr>
        <w:t xml:space="preserve">The requirement.</w:t>
      </w:r>
      <w:r>
        <w:t xml:space="preserve"> </w:t>
      </w:r>
      <w:r>
        <w:t xml:space="preserve">Section J.B.5 expressly requires the</w:t>
      </w:r>
      <w:r>
        <w:t xml:space="preserve"> </w:t>
      </w:r>
      <w:r>
        <w:t xml:space="preserve">“</w:t>
      </w:r>
      <w:r>
        <w:t xml:space="preserve">AWS Certified Machine Learning – Specialty certification or equivalent.</w:t>
      </w:r>
      <w:r>
        <w:t xml:space="preserve">”</w:t>
      </w:r>
      <w:r>
        <w:t xml:space="preserve"> </w:t>
      </w:r>
      <w:r>
        <w:t xml:space="preserve">This is a stated</w:t>
      </w:r>
      <w:r>
        <w:t xml:space="preserve"> </w:t>
      </w:r>
      <w:r>
        <w:rPr>
          <w:b/>
          <w:bCs/>
        </w:rPr>
        <w:t xml:space="preserve">minimum</w:t>
      </w:r>
      <w:r>
        <w:t xml:space="preserve"> </w:t>
      </w:r>
      <w:r>
        <w:t xml:space="preserve">special requirement, not a preference. In Section K.3, the Employer attested that the Beneficiary</w:t>
      </w:r>
      <w:r>
        <w:t xml:space="preserve"> </w:t>
      </w:r>
      <w:r>
        <w:t xml:space="preserve">“</w:t>
      </w:r>
      <w:r>
        <w:t xml:space="preserve">possess[es] the special skills and other requirements stated in Section J.B.5</w:t>
      </w:r>
      <w:r>
        <w:t xml:space="preserve">”</w:t>
      </w:r>
      <w:r>
        <w:t xml:space="preserve"> </w:t>
      </w:r>
      <w:r>
        <w:t xml:space="preserve">— i.e., that she holds this certification or an equivalent.</w:t>
      </w:r>
    </w:p>
    <w:p>
      <w:pPr>
        <w:pStyle w:val="BodyText"/>
      </w:pPr>
      <w:r>
        <w:rPr>
          <w:b/>
          <w:bCs/>
        </w:rPr>
        <w:t xml:space="preserve">The evidence.</w:t>
      </w:r>
      <w:r>
        <w:t xml:space="preserve"> </w:t>
      </w:r>
      <w:r>
        <w:t xml:space="preserve">The certifications compilation (prepared by this firm, dated June 2025) lists only two credentials:</w:t>
      </w:r>
    </w:p>
    <w:p>
      <w:pPr>
        <w:pStyle w:val="Compact"/>
        <w:numPr>
          <w:ilvl w:val="0"/>
          <w:numId w:val="1002"/>
        </w:numPr>
      </w:pPr>
      <w:r>
        <w:rPr>
          <w:b/>
          <w:bCs/>
        </w:rPr>
        <w:t xml:space="preserve">AWS Certified Cloud Practitioner</w:t>
      </w:r>
      <w:r>
        <w:t xml:space="preserve"> </w:t>
      </w:r>
      <w:r>
        <w:t xml:space="preserve">— a</w:t>
      </w:r>
      <w:r>
        <w:t xml:space="preserve"> </w:t>
      </w:r>
      <w:r>
        <w:rPr>
          <w:b/>
          <w:bCs/>
        </w:rPr>
        <w:t xml:space="preserve">foundational</w:t>
      </w:r>
      <w:r>
        <w:t xml:space="preserve">-level credential validating</w:t>
      </w:r>
      <w:r>
        <w:t xml:space="preserve"> </w:t>
      </w:r>
      <w:r>
        <w:t xml:space="preserve">“</w:t>
      </w:r>
      <w:r>
        <w:t xml:space="preserve">a foundational, high-level understanding of AWS Cloud services.</w:t>
      </w:r>
      <w:r>
        <w:t xml:space="preserve">”</w:t>
      </w:r>
      <w:r>
        <w:t xml:space="preserve"> </w:t>
      </w:r>
      <w:r>
        <w:t xml:space="preserve">It was issued January 18, 2022 and</w:t>
      </w:r>
      <w:r>
        <w:t xml:space="preserve"> </w:t>
      </w:r>
      <w:r>
        <w:rPr>
          <w:b/>
          <w:bCs/>
        </w:rPr>
        <w:t xml:space="preserve">expired January 18, 2025</w:t>
      </w:r>
      <w:r>
        <w:t xml:space="preserve">. The compilation confirms it is</w:t>
      </w:r>
      <w:r>
        <w:t xml:space="preserve"> </w:t>
      </w:r>
      <w:r>
        <w:rPr>
          <w:b/>
          <w:bCs/>
        </w:rPr>
        <w:t xml:space="preserve">EXPIRED</w:t>
      </w:r>
      <w:r>
        <w:t xml:space="preserve"> </w:t>
      </w:r>
      <w:r>
        <w:t xml:space="preserve">and that the Beneficiary</w:t>
      </w:r>
      <w:r>
        <w:t xml:space="preserve"> </w:t>
      </w:r>
      <w:r>
        <w:t xml:space="preserve">“</w:t>
      </w:r>
      <w:r>
        <w:t xml:space="preserve">has not renewed this certification.</w:t>
      </w:r>
      <w:r>
        <w:t xml:space="preserve">”</w:t>
      </w:r>
    </w:p>
    <w:p>
      <w:pPr>
        <w:pStyle w:val="Compact"/>
        <w:numPr>
          <w:ilvl w:val="0"/>
          <w:numId w:val="1002"/>
        </w:numPr>
      </w:pPr>
      <w:r>
        <w:rPr>
          <w:b/>
          <w:bCs/>
        </w:rPr>
        <w:t xml:space="preserve">TensorFlow Developer Certificate</w:t>
      </w:r>
      <w:r>
        <w:t xml:space="preserve"> </w:t>
      </w:r>
      <w:r>
        <w:t xml:space="preserve">— issued March 10, 2023, no expiration, active. It is issued by</w:t>
      </w:r>
      <w:r>
        <w:t xml:space="preserve"> </w:t>
      </w:r>
      <w:r>
        <w:rPr>
          <w:b/>
          <w:bCs/>
        </w:rPr>
        <w:t xml:space="preserve">Google</w:t>
      </w:r>
      <w:r>
        <w:t xml:space="preserve">, is</w:t>
      </w:r>
      <w:r>
        <w:t xml:space="preserve"> </w:t>
      </w:r>
      <w:r>
        <w:rPr>
          <w:b/>
          <w:bCs/>
        </w:rPr>
        <w:t xml:space="preserve">framework-specific to TensorFlow</w:t>
      </w:r>
      <w:r>
        <w:t xml:space="preserve">, and the compilation expressly notes it</w:t>
      </w:r>
      <w:r>
        <w:t xml:space="preserve"> </w:t>
      </w:r>
      <w:r>
        <w:t xml:space="preserve">“</w:t>
      </w:r>
      <w:r>
        <w:t xml:space="preserve">is not affiliated with Amazon Web Services (AWS).</w:t>
      </w:r>
      <w:r>
        <w:t xml:space="preserve">”</w:t>
      </w:r>
    </w:p>
    <w:p>
      <w:pPr>
        <w:pStyle w:val="FirstParagraph"/>
      </w:pPr>
      <w:r>
        <w:t xml:space="preserve">Critically, the compilation states:</w:t>
      </w:r>
      <w:r>
        <w:t xml:space="preserve"> </w:t>
      </w:r>
      <w:r>
        <w:rPr>
          <w:i/>
          <w:iCs/>
        </w:rPr>
        <w:t xml:space="preserve">“</w:t>
      </w:r>
      <w:r>
        <w:rPr>
          <w:i/>
          <w:iCs/>
        </w:rPr>
        <w:t xml:space="preserve">Counsel specifically inquired whether the beneficiary holds the AWS Certified Machine Learning – Specialty certification or any other AWS specialty-level certification; the beneficiary confirmed she does not hold any such certification.</w:t>
      </w:r>
      <w:r>
        <w:rPr>
          <w:i/>
          <w:iCs/>
        </w:rPr>
        <w:t xml:space="preserve">”</w:t>
      </w:r>
    </w:p>
    <w:p>
      <w:pPr>
        <w:pStyle w:val="BodyText"/>
      </w:pPr>
      <w:r>
        <w:rPr>
          <w:b/>
          <w:bCs/>
        </w:rPr>
        <w:t xml:space="preserve">The gap.</w:t>
      </w:r>
      <w:r>
        <w:t xml:space="preserve"> </w:t>
      </w:r>
      <w:r>
        <w:t xml:space="preserve">The Beneficiary does</w:t>
      </w:r>
      <w:r>
        <w:t xml:space="preserve"> </w:t>
      </w:r>
      <w:r>
        <w:rPr>
          <w:b/>
          <w:bCs/>
        </w:rPr>
        <w:t xml:space="preserve">not</w:t>
      </w:r>
      <w:r>
        <w:t xml:space="preserve"> </w:t>
      </w:r>
      <w:r>
        <w:t xml:space="preserve">hold the AWS Certified Machine Learning – Specialty certification, nor any AWS specialty-level certification. The two credentials she does hold are not</w:t>
      </w:r>
      <w:r>
        <w:t xml:space="preserve"> </w:t>
      </w:r>
      <w:r>
        <w:t xml:space="preserve">“</w:t>
      </w:r>
      <w:r>
        <w:t xml:space="preserve">equivalent</w:t>
      </w:r>
      <w:r>
        <w:t xml:space="preserve">”</w:t>
      </w:r>
      <w:r>
        <w:t xml:space="preserve">:</w:t>
      </w:r>
    </w:p>
    <w:p>
      <w:pPr>
        <w:pStyle w:val="Compact"/>
        <w:numPr>
          <w:ilvl w:val="0"/>
          <w:numId w:val="1003"/>
        </w:numPr>
      </w:pPr>
      <w:r>
        <w:t xml:space="preserve">The</w:t>
      </w:r>
      <w:r>
        <w:t xml:space="preserve"> </w:t>
      </w:r>
      <w:r>
        <w:rPr>
          <w:b/>
          <w:bCs/>
        </w:rPr>
        <w:t xml:space="preserve">AWS Cloud Practitioner</w:t>
      </w:r>
      <w:r>
        <w:t xml:space="preserve"> </w:t>
      </w:r>
      <w:r>
        <w:t xml:space="preserve">is a</w:t>
      </w:r>
      <w:r>
        <w:t xml:space="preserve"> </w:t>
      </w:r>
      <w:r>
        <w:rPr>
          <w:b/>
          <w:bCs/>
        </w:rPr>
        <w:t xml:space="preserve">foundational</w:t>
      </w:r>
      <w:r>
        <w:t xml:space="preserve"> </w:t>
      </w:r>
      <w:r>
        <w:t xml:space="preserve">certification and is</w:t>
      </w:r>
      <w:r>
        <w:t xml:space="preserve"> </w:t>
      </w:r>
      <w:r>
        <w:rPr>
          <w:b/>
          <w:bCs/>
        </w:rPr>
        <w:t xml:space="preserve">not</w:t>
      </w:r>
      <w:r>
        <w:t xml:space="preserve"> </w:t>
      </w:r>
      <w:r>
        <w:t xml:space="preserve">a substitute for a</w:t>
      </w:r>
      <w:r>
        <w:t xml:space="preserve"> </w:t>
      </w:r>
      <w:r>
        <w:rPr>
          <w:b/>
          <w:bCs/>
        </w:rPr>
        <w:t xml:space="preserve">Specialty</w:t>
      </w:r>
      <w:r>
        <w:t xml:space="preserve">-level certification that validates deep, domain-specific competence in building, training, deploying, and operating ML models on AWS (SageMaker, model monitoring, feature engineering at scale, etc.). Moreover, it had</w:t>
      </w:r>
      <w:r>
        <w:t xml:space="preserve"> </w:t>
      </w:r>
      <w:r>
        <w:rPr>
          <w:b/>
          <w:bCs/>
        </w:rPr>
        <w:t xml:space="preserve">expired on January 18, 2025 — approximately two months before the March 15, 2025 priority date</w:t>
      </w:r>
      <w:r>
        <w:t xml:space="preserve"> </w:t>
      </w:r>
      <w:r>
        <w:t xml:space="preserve">— so it was not even a valid credential as of the date the application was filed.</w:t>
      </w:r>
    </w:p>
    <w:p>
      <w:pPr>
        <w:pStyle w:val="Compact"/>
        <w:numPr>
          <w:ilvl w:val="0"/>
          <w:numId w:val="1003"/>
        </w:numPr>
      </w:pPr>
      <w:r>
        <w:t xml:space="preserve">The</w:t>
      </w:r>
      <w:r>
        <w:t xml:space="preserve"> </w:t>
      </w:r>
      <w:r>
        <w:rPr>
          <w:b/>
          <w:bCs/>
        </w:rPr>
        <w:t xml:space="preserve">TensorFlow Developer Certificate</w:t>
      </w:r>
      <w:r>
        <w:t xml:space="preserve"> </w:t>
      </w:r>
      <w:r>
        <w:t xml:space="preserve">is a Google-issued, framework-specific credential. It is not an AWS credential and does not address AWS ML services. It is not</w:t>
      </w:r>
      <w:r>
        <w:t xml:space="preserve"> </w:t>
      </w:r>
      <w:r>
        <w:t xml:space="preserve">“</w:t>
      </w:r>
      <w:r>
        <w:t xml:space="preserve">equivalent</w:t>
      </w:r>
      <w:r>
        <w:t xml:space="preserve">”</w:t>
      </w:r>
      <w:r>
        <w:t xml:space="preserve"> </w:t>
      </w:r>
      <w:r>
        <w:t xml:space="preserve">to the AWS ML – Specialty certification.</w:t>
      </w:r>
    </w:p>
    <w:p>
      <w:pPr>
        <w:pStyle w:val="FirstParagraph"/>
      </w:pPr>
      <w:r>
        <w:rPr>
          <w:b/>
          <w:bCs/>
        </w:rPr>
        <w:t xml:space="preserve">The priority-date problem (the central legal risk).</w:t>
      </w:r>
      <w:r>
        <w:t xml:space="preserve"> </w:t>
      </w:r>
      <w:r>
        <w:t xml:space="preserve">For a labor-certification-based immigrant petition, the Beneficiary must have possessed</w:t>
      </w:r>
      <w:r>
        <w:t xml:space="preserve"> </w:t>
      </w:r>
      <w:r>
        <w:rPr>
          <w:b/>
          <w:bCs/>
        </w:rPr>
        <w:t xml:space="preserve">all</w:t>
      </w:r>
      <w:r>
        <w:t xml:space="preserve"> </w:t>
      </w:r>
      <w:r>
        <w:t xml:space="preserve">of the minimum education, training, and experience requirements stated on the ETA Form 9089</w:t>
      </w:r>
      <w:r>
        <w:t xml:space="preserve"> </w:t>
      </w:r>
      <w:r>
        <w:rPr>
          <w:b/>
          <w:bCs/>
        </w:rPr>
        <w:t xml:space="preserve">as of the priority date</w:t>
      </w:r>
      <w:r>
        <w:t xml:space="preserve"> </w:t>
      </w:r>
      <w:r>
        <w:t xml:space="preserve">(here, the March 15, 2025 filing date). Qualifications acquired</w:t>
      </w:r>
      <w:r>
        <w:t xml:space="preserve"> </w:t>
      </w:r>
      <w:r>
        <w:rPr>
          <w:b/>
          <w:bCs/>
        </w:rPr>
        <w:t xml:space="preserve">after</w:t>
      </w:r>
      <w:r>
        <w:t xml:space="preserve"> </w:t>
      </w:r>
      <w:r>
        <w:t xml:space="preserve">the priority date cannot be used to satisfy the minimum requirements. Because the AWS Cloud Practitioner had already expired before the priority date, and because no AWS ML – Specialty certification (or genuine equivalent) was held on or before March 15, 2025, the Beneficiary</w:t>
      </w:r>
      <w:r>
        <w:t xml:space="preserve"> </w:t>
      </w:r>
      <w:r>
        <w:rPr>
          <w:b/>
          <w:bCs/>
        </w:rPr>
        <w:t xml:space="preserve">did not meet this minimum requirement as of the priority date</w:t>
      </w:r>
      <w:r>
        <w:t xml:space="preserve">. Obtaining the AWS ML – Specialty certification now — even before the I-140 is filed — would</w:t>
      </w:r>
      <w:r>
        <w:t xml:space="preserve"> </w:t>
      </w:r>
      <w:r>
        <w:rPr>
          <w:b/>
          <w:bCs/>
        </w:rPr>
        <w:t xml:space="preserve">not cure</w:t>
      </w:r>
      <w:r>
        <w:t xml:space="preserve"> </w:t>
      </w:r>
      <w:r>
        <w:t xml:space="preserve">the deficiency for purposes of the PERM minimum-requirement showing, because it would be a post-priority-date acquisition.</w:t>
      </w:r>
    </w:p>
    <w:p>
      <w:pPr>
        <w:pStyle w:val="BodyText"/>
      </w:pPr>
      <w:r>
        <w:rPr>
          <w:b/>
          <w:bCs/>
        </w:rPr>
        <w:t xml:space="preserve">Attestation-vs-evidence discrepancy.</w:t>
      </w:r>
      <w:r>
        <w:t xml:space="preserve"> </w:t>
      </w:r>
      <w:r>
        <w:t xml:space="preserve">The Section K.3 attestation (</w:t>
      </w:r>
      <w:r>
        <w:t xml:space="preserve">“</w:t>
      </w:r>
      <w:r>
        <w:t xml:space="preserve">Yes,</w:t>
      </w:r>
      <w:r>
        <w:t xml:space="preserve">”</w:t>
      </w:r>
      <w:r>
        <w:t xml:space="preserve"> </w:t>
      </w:r>
      <w:r>
        <w:t xml:space="preserve">the Beneficiary possesses the special skills and other requirements, which include the AWS ML – Specialty certification) is</w:t>
      </w:r>
      <w:r>
        <w:t xml:space="preserve"> </w:t>
      </w:r>
      <w:r>
        <w:rPr>
          <w:b/>
          <w:bCs/>
        </w:rPr>
        <w:t xml:space="preserve">inconsistent</w:t>
      </w:r>
      <w:r>
        <w:t xml:space="preserve"> </w:t>
      </w:r>
      <w:r>
        <w:t xml:space="preserve">with the firm’s own certifications compilation, which confirms she holds no such certification. This discrepancy should be reconciled before any further filing. If the attestation is inaccurate, it raises a potential integrity concern under 20 CFR Part 656 and 18 U.S.C. § 1546 (the alien declaration) and the employer certifications, and could be scrutinized by the U.S. Department of Labor (</w:t>
      </w:r>
      <w:r>
        <w:t xml:space="preserve">“</w:t>
      </w:r>
      <w:r>
        <w:t xml:space="preserve">DOL</w:t>
      </w:r>
      <w:r>
        <w:t xml:space="preserve">”</w:t>
      </w:r>
      <w:r>
        <w:t xml:space="preserve">) in any audit or by USCIS on referral.</w:t>
      </w:r>
    </w:p>
    <w:p>
      <w:pPr>
        <w:pStyle w:val="BodyText"/>
      </w:pPr>
      <w:r>
        <w:rPr>
          <w:b/>
          <w:bCs/>
        </w:rPr>
        <w:t xml:space="preserve">Risk assessment.</w:t>
      </w:r>
      <w:r>
        <w:t xml:space="preserve"> </w:t>
      </w:r>
      <w:r>
        <w:t xml:space="preserve">This is the most serious issue in the file. At the I-140 stage, USCIS will compare the Beneficiary’s qualifications to the certified minimum requirements. A Beneficiary who cannot demonstrate she held a required certification (or equivalent) as of the priority date is at</w:t>
      </w:r>
      <w:r>
        <w:t xml:space="preserve"> </w:t>
      </w:r>
      <w:r>
        <w:rPr>
          <w:b/>
          <w:bCs/>
        </w:rPr>
        <w:t xml:space="preserve">substantial risk of an I-140 denial</w:t>
      </w:r>
      <w:r>
        <w:t xml:space="preserve"> </w:t>
      </w:r>
      <w:r>
        <w:t xml:space="preserve">on the ground that she does not meet the minimum requirements for the job opportunity. Because the PERM is already certified, the requirement cannot be quietly removed; it was applied to U.S. workers during recruitment and is binding.</w:t>
      </w:r>
    </w:p>
    <w:p>
      <w:pPr>
        <w:pStyle w:val="BodyText"/>
      </w:pPr>
      <w:r>
        <w:rPr>
          <w:b/>
          <w:bCs/>
        </w:rPr>
        <w:t xml:space="preserve">Remedial recommendations (Item 1).</w:t>
      </w:r>
    </w:p>
    <w:p>
      <w:pPr>
        <w:pStyle w:val="Compact"/>
        <w:numPr>
          <w:ilvl w:val="0"/>
          <w:numId w:val="1004"/>
        </w:numPr>
      </w:pPr>
      <w:r>
        <w:rPr>
          <w:b/>
          <w:bCs/>
        </w:rPr>
        <w:t xml:space="preserve">Immediately evaluate the</w:t>
      </w:r>
      <w:r>
        <w:rPr>
          <w:b/>
          <w:bCs/>
        </w:rPr>
        <w:t xml:space="preserve"> </w:t>
      </w:r>
      <w:r>
        <w:rPr>
          <w:b/>
          <w:bCs/>
        </w:rPr>
        <w:t xml:space="preserve">“</w:t>
      </w:r>
      <w:r>
        <w:rPr>
          <w:b/>
          <w:bCs/>
        </w:rPr>
        <w:t xml:space="preserve">or equivalent</w:t>
      </w:r>
      <w:r>
        <w:rPr>
          <w:b/>
          <w:bCs/>
        </w:rPr>
        <w:t xml:space="preserve">”</w:t>
      </w:r>
      <w:r>
        <w:rPr>
          <w:b/>
          <w:bCs/>
        </w:rPr>
        <w:t xml:space="preserve"> </w:t>
      </w:r>
      <w:r>
        <w:rPr>
          <w:b/>
          <w:bCs/>
        </w:rPr>
        <w:t xml:space="preserve">defense.</w:t>
      </w:r>
      <w:r>
        <w:t xml:space="preserve"> </w:t>
      </w:r>
      <w:r>
        <w:t xml:space="preserve">Determine whether a credible, documented case can be made that the Beneficiary held an</w:t>
      </w:r>
      <w:r>
        <w:t xml:space="preserve"> </w:t>
      </w:r>
      <w:r>
        <w:t xml:space="preserve">“</w:t>
      </w:r>
      <w:r>
        <w:t xml:space="preserve">equivalent</w:t>
      </w:r>
      <w:r>
        <w:t xml:space="preserve">”</w:t>
      </w:r>
      <w:r>
        <w:t xml:space="preserve"> </w:t>
      </w:r>
      <w:r>
        <w:t xml:space="preserve">qualification</w:t>
      </w:r>
      <w:r>
        <w:t xml:space="preserve"> </w:t>
      </w:r>
      <w:r>
        <w:rPr>
          <w:b/>
          <w:bCs/>
        </w:rPr>
        <w:t xml:space="preserve">as of March 15, 2025</w:t>
      </w:r>
      <w:r>
        <w:t xml:space="preserve">. The realistic building blocks are: (i) the TensorFlow Developer Certificate (active since March 2023); (ii) the Beneficiary’s documented, hands-on, production AWS SageMaker deployment experience at DataBridge (per the Okonkwo letter); and (iii) the AWS Cloud Practitioner (held until January 18, 2025). We recommend obtaining a</w:t>
      </w:r>
      <w:r>
        <w:t xml:space="preserve"> </w:t>
      </w:r>
      <w:r>
        <w:rPr>
          <w:b/>
          <w:bCs/>
        </w:rPr>
        <w:t xml:space="preserve">written expert opinion</w:t>
      </w:r>
      <w:r>
        <w:t xml:space="preserve"> </w:t>
      </w:r>
      <w:r>
        <w:t xml:space="preserve">(e.g., from a qualified AWS solutions architect or an independent technical evaluator) opining that, as of the priority date, the Beneficiary’s combination of credentials and demonstrated production experience was the functional equivalent of the AWS ML – Specialty certification.</w:t>
      </w:r>
      <w:r>
        <w:t xml:space="preserve"> </w:t>
      </w:r>
      <w:r>
        <w:rPr>
          <w:b/>
          <w:bCs/>
        </w:rPr>
        <w:t xml:space="preserve">Candidly, this defense is weak</w:t>
      </w:r>
      <w:r>
        <w:t xml:space="preserve">: the Cloud Practitioner is foundational and had expired before the priority date, the TensorFlow certificate is not an AWS credential, and USCIS generally treats a specifically-named certification requirement literally. We flag this as a possible but low-probability path.</w:t>
      </w:r>
    </w:p>
    <w:p>
      <w:pPr>
        <w:pStyle w:val="Compact"/>
        <w:numPr>
          <w:ilvl w:val="0"/>
          <w:numId w:val="1004"/>
        </w:numPr>
      </w:pPr>
      <w:r>
        <w:rPr>
          <w:b/>
          <w:bCs/>
        </w:rPr>
        <w:t xml:space="preserve">Re-examine whether the certification requirement is a bona fide business necessity.</w:t>
      </w:r>
      <w:r>
        <w:t xml:space="preserve"> </w:t>
      </w:r>
      <w:r>
        <w:t xml:space="preserve">Under 20 CFR 656.17(h), a special requirement that exceeds the O*NET requirements for the occupation must be justified by business necessity. If the AWS ML – Specialty certification is</w:t>
      </w:r>
      <w:r>
        <w:t xml:space="preserve"> </w:t>
      </w:r>
      <w:r>
        <w:rPr>
          <w:b/>
          <w:bCs/>
        </w:rPr>
        <w:t xml:space="preserve">not</w:t>
      </w:r>
      <w:r>
        <w:t xml:space="preserve"> </w:t>
      </w:r>
      <w:r>
        <w:t xml:space="preserve">in fact required for the role (i.e., it was included in error or as a</w:t>
      </w:r>
      <w:r>
        <w:t xml:space="preserve"> </w:t>
      </w:r>
      <w:r>
        <w:t xml:space="preserve">“</w:t>
      </w:r>
      <w:r>
        <w:t xml:space="preserve">wish-list</w:t>
      </w:r>
      <w:r>
        <w:t xml:space="preserve">”</w:t>
      </w:r>
      <w:r>
        <w:t xml:space="preserve"> </w:t>
      </w:r>
      <w:r>
        <w:t xml:space="preserve">item), that fact should be documented now. Note, however, that the PERM is already certified and the requirement was applied to U.S. worker applicants during recruitment; attempting to recast a</w:t>
      </w:r>
      <w:r>
        <w:t xml:space="preserve"> </w:t>
      </w:r>
      <w:r>
        <w:t xml:space="preserve">“</w:t>
      </w:r>
      <w:r>
        <w:t xml:space="preserve">required</w:t>
      </w:r>
      <w:r>
        <w:t xml:space="preserve">”</w:t>
      </w:r>
      <w:r>
        <w:t xml:space="preserve"> </w:t>
      </w:r>
      <w:r>
        <w:t xml:space="preserve">certification as</w:t>
      </w:r>
      <w:r>
        <w:t xml:space="preserve"> </w:t>
      </w:r>
      <w:r>
        <w:t xml:space="preserve">“</w:t>
      </w:r>
      <w:r>
        <w:t xml:space="preserve">preferred</w:t>
      </w:r>
      <w:r>
        <w:t xml:space="preserve">”</w:t>
      </w:r>
      <w:r>
        <w:t xml:space="preserve"> </w:t>
      </w:r>
      <w:r>
        <w:t xml:space="preserve">after certification is difficult and carries its own risks. This analysis is principally relevant to assessing exposure and to any future refiling, not to curing the current certification.</w:t>
      </w:r>
    </w:p>
    <w:p>
      <w:pPr>
        <w:pStyle w:val="Compact"/>
        <w:numPr>
          <w:ilvl w:val="0"/>
          <w:numId w:val="1004"/>
        </w:numPr>
      </w:pPr>
      <w:r>
        <w:rPr>
          <w:b/>
          <w:bCs/>
        </w:rPr>
        <w:t xml:space="preserve">Have the Beneficiary obtain the AWS ML – Specialty certification as soon as practicable.</w:t>
      </w:r>
      <w:r>
        <w:t xml:space="preserve"> </w:t>
      </w:r>
      <w:r>
        <w:t xml:space="preserve">Although a post-priority-date certification cannot retroactively satisfy the PERM minimum-requirement showing, it (a) strengthens the overall specialty-occupation and beneficiary-qualifications record for the H-1B I-129, (b) supports any</w:t>
      </w:r>
      <w:r>
        <w:t xml:space="preserve"> </w:t>
      </w:r>
      <w:r>
        <w:t xml:space="preserve">“</w:t>
      </w:r>
      <w:r>
        <w:t xml:space="preserve">equivalent competence</w:t>
      </w:r>
      <w:r>
        <w:t xml:space="preserve">”</w:t>
      </w:r>
      <w:r>
        <w:t xml:space="preserve"> </w:t>
      </w:r>
      <w:r>
        <w:t xml:space="preserve">argument, and (c) is necessary if the Employer ever refiles. Given the STEM OPT deadline (September 15, 2025), scheduling the exam promptly is advisable.</w:t>
      </w:r>
    </w:p>
    <w:p>
      <w:pPr>
        <w:pStyle w:val="Compact"/>
        <w:numPr>
          <w:ilvl w:val="0"/>
          <w:numId w:val="1004"/>
        </w:numPr>
      </w:pPr>
      <w:r>
        <w:rPr>
          <w:b/>
          <w:bCs/>
        </w:rPr>
        <w:t xml:space="preserve">Assess I-140 filing strategy.</w:t>
      </w:r>
      <w:r>
        <w:t xml:space="preserve"> </w:t>
      </w:r>
      <w:r>
        <w:t xml:space="preserve">We recommend that we</w:t>
      </w:r>
      <w:r>
        <w:t xml:space="preserve"> </w:t>
      </w:r>
      <w:r>
        <w:rPr>
          <w:b/>
          <w:bCs/>
        </w:rPr>
        <w:t xml:space="preserve">not</w:t>
      </w:r>
      <w:r>
        <w:t xml:space="preserve"> </w:t>
      </w:r>
      <w:r>
        <w:t xml:space="preserve">file the I-140 until the</w:t>
      </w:r>
      <w:r>
        <w:t xml:space="preserve"> </w:t>
      </w:r>
      <w:r>
        <w:t xml:space="preserve">“</w:t>
      </w:r>
      <w:r>
        <w:t xml:space="preserve">or equivalent</w:t>
      </w:r>
      <w:r>
        <w:t xml:space="preserve">”</w:t>
      </w:r>
      <w:r>
        <w:t xml:space="preserve"> </w:t>
      </w:r>
      <w:r>
        <w:t xml:space="preserve">question is resolved and a defensible position is documented. If no defensible position can be established, we will need to discuss with you the difficult choice between (i) filing the I-140 with the attendant denial risk, and (ii) refiling the PERM without the certification requirement (which is costly and likely impractical given the September 15, 2025 STEM OPT expiration and the time required to re-run recruitment). We will schedule a call to review these options.</w:t>
      </w:r>
    </w:p>
    <w:bookmarkEnd w:id="24"/>
    <w:bookmarkStart w:id="25" w:name="X8e5ca6865b1037068f06aeb0cddd5e52e662931"/>
    <w:p>
      <w:pPr>
        <w:pStyle w:val="Heading3"/>
      </w:pPr>
      <w:r>
        <w:t xml:space="preserve">B. SIGNIFICANT —</w:t>
      </w:r>
      <w:r>
        <w:t xml:space="preserve"> </w:t>
      </w:r>
      <w:r>
        <w:t xml:space="preserve">“</w:t>
      </w:r>
      <w:r>
        <w:t xml:space="preserve">Proficiency in … R</w:t>
      </w:r>
      <w:r>
        <w:t xml:space="preserve">”</w:t>
      </w:r>
      <w:r>
        <w:t xml:space="preserve"> </w:t>
      </w:r>
      <w:r>
        <w:t xml:space="preserve">Programming Language (J.B.5(e))</w:t>
      </w:r>
    </w:p>
    <w:p>
      <w:pPr>
        <w:pStyle w:val="FirstParagraph"/>
      </w:pPr>
      <w:r>
        <w:rPr>
          <w:b/>
          <w:bCs/>
        </w:rPr>
        <w:t xml:space="preserve">The requirement.</w:t>
      </w:r>
      <w:r>
        <w:t xml:space="preserve"> </w:t>
      </w:r>
      <w:r>
        <w:t xml:space="preserve">Section J.B.5(e) requires</w:t>
      </w:r>
      <w:r>
        <w:t xml:space="preserve"> </w:t>
      </w:r>
      <w:r>
        <w:t xml:space="preserve">“</w:t>
      </w:r>
      <w:r>
        <w:t xml:space="preserve">proficiency in Python</w:t>
      </w:r>
      <w:r>
        <w:t xml:space="preserve"> </w:t>
      </w:r>
      <w:r>
        <w:rPr>
          <w:b/>
          <w:bCs/>
        </w:rPr>
        <w:t xml:space="preserve">and</w:t>
      </w:r>
      <w:r>
        <w:t xml:space="preserve"> </w:t>
      </w:r>
      <w:r>
        <w:t xml:space="preserve">R programming languages.</w:t>
      </w:r>
      <w:r>
        <w:t xml:space="preserve">”</w:t>
      </w:r>
      <w:r>
        <w:t xml:space="preserve"> </w:t>
      </w:r>
      <w:r>
        <w:t xml:space="preserve">This is a conjunctive requirement — proficiency in</w:t>
      </w:r>
      <w:r>
        <w:t xml:space="preserve"> </w:t>
      </w:r>
      <w:r>
        <w:rPr>
          <w:b/>
          <w:bCs/>
        </w:rPr>
        <w:t xml:space="preserve">both</w:t>
      </w:r>
      <w:r>
        <w:t xml:space="preserve"> </w:t>
      </w:r>
      <w:r>
        <w:t xml:space="preserve">languages.</w:t>
      </w:r>
    </w:p>
    <w:p>
      <w:pPr>
        <w:pStyle w:val="BodyText"/>
      </w:pPr>
      <w:r>
        <w:rPr>
          <w:b/>
          <w:bCs/>
        </w:rPr>
        <w:t xml:space="preserve">The evidence.</w:t>
      </w:r>
      <w:r>
        <w:t xml:space="preserve"> </w:t>
      </w:r>
      <w:r>
        <w:t xml:space="preserve">Python proficiency is abundantly established (primary language across both DataBridge roles; TensorFlow Developer Certificate; résumé lists Python as</w:t>
      </w:r>
      <w:r>
        <w:t xml:space="preserve"> </w:t>
      </w:r>
      <w:r>
        <w:t xml:space="preserve">“</w:t>
      </w:r>
      <w:r>
        <w:t xml:space="preserve">expert</w:t>
      </w:r>
      <w:r>
        <w:t xml:space="preserve">”</w:t>
      </w:r>
      <w:r>
        <w:t xml:space="preserve">).</w:t>
      </w:r>
      <w:r>
        <w:t xml:space="preserve"> </w:t>
      </w:r>
      <w:r>
        <w:rPr>
          <w:b/>
          <w:bCs/>
        </w:rPr>
        <w:t xml:space="preserve">R is the problem.</w:t>
      </w:r>
      <w:r>
        <w:t xml:space="preserve"> </w:t>
      </w:r>
      <w:r>
        <w:t xml:space="preserve">The record supports R only weakly:</w:t>
      </w:r>
    </w:p>
    <w:p>
      <w:pPr>
        <w:pStyle w:val="Compact"/>
        <w:numPr>
          <w:ilvl w:val="0"/>
          <w:numId w:val="1005"/>
        </w:numPr>
      </w:pPr>
      <w:r>
        <w:t xml:space="preserve">The</w:t>
      </w:r>
      <w:r>
        <w:t xml:space="preserve"> </w:t>
      </w:r>
      <w:r>
        <w:rPr>
          <w:b/>
          <w:bCs/>
        </w:rPr>
        <w:t xml:space="preserve">DataBridge experience letter</w:t>
      </w:r>
      <w:r>
        <w:t xml:space="preserve"> </w:t>
      </w:r>
      <w:r>
        <w:t xml:space="preserve">(Dr. Okonkwo) states the Beneficiary</w:t>
      </w:r>
      <w:r>
        <w:t xml:space="preserve"> </w:t>
      </w:r>
      <w:r>
        <w:t xml:space="preserve">“</w:t>
      </w:r>
      <w:r>
        <w:t xml:space="preserve">[u]sed Python as the primary programming language,</w:t>
      </w:r>
      <w:r>
        <w:t xml:space="preserve"> </w:t>
      </w:r>
      <w:r>
        <w:rPr>
          <w:b/>
          <w:bCs/>
        </w:rPr>
        <w:t xml:space="preserve">with some use of R for statistical reporting and ad hoc data analysis</w:t>
      </w:r>
      <w:r>
        <w:t xml:space="preserve">.</w:t>
      </w:r>
      <w:r>
        <w:t xml:space="preserve">”</w:t>
      </w:r>
      <w:r>
        <w:t xml:space="preserve"> </w:t>
      </w:r>
      <w:r>
        <w:t xml:space="preserve">The Data Scientist I portion of the letter does not mention R at all.</w:t>
      </w:r>
    </w:p>
    <w:p>
      <w:pPr>
        <w:pStyle w:val="Compact"/>
        <w:numPr>
          <w:ilvl w:val="0"/>
          <w:numId w:val="1005"/>
        </w:numPr>
      </w:pPr>
      <w:r>
        <w:t xml:space="preserve">The</w:t>
      </w:r>
      <w:r>
        <w:t xml:space="preserve"> </w:t>
      </w:r>
      <w:r>
        <w:rPr>
          <w:b/>
          <w:bCs/>
        </w:rPr>
        <w:t xml:space="preserve">résumé</w:t>
      </w:r>
      <w:r>
        <w:t xml:space="preserve"> </w:t>
      </w:r>
      <w:r>
        <w:t xml:space="preserve">lists R as</w:t>
      </w:r>
      <w:r>
        <w:t xml:space="preserve"> </w:t>
      </w:r>
      <w:r>
        <w:t xml:space="preserve">“</w:t>
      </w:r>
      <w:r>
        <w:rPr>
          <w:b/>
          <w:bCs/>
        </w:rPr>
        <w:t xml:space="preserve">intermediate</w:t>
      </w:r>
      <w:r>
        <w:t xml:space="preserve">”</w:t>
      </w:r>
      <w:r>
        <w:t xml:space="preserve"> </w:t>
      </w:r>
      <w:r>
        <w:t xml:space="preserve">(versus Python</w:t>
      </w:r>
      <w:r>
        <w:t xml:space="preserve"> </w:t>
      </w:r>
      <w:r>
        <w:t xml:space="preserve">“</w:t>
      </w:r>
      <w:r>
        <w:t xml:space="preserve">expert,</w:t>
      </w:r>
      <w:r>
        <w:t xml:space="preserve">”</w:t>
      </w:r>
      <w:r>
        <w:t xml:space="preserve"> </w:t>
      </w:r>
      <w:r>
        <w:t xml:space="preserve">SQL</w:t>
      </w:r>
      <w:r>
        <w:t xml:space="preserve"> </w:t>
      </w:r>
      <w:r>
        <w:t xml:space="preserve">“</w:t>
      </w:r>
      <w:r>
        <w:t xml:space="preserve">advanced,</w:t>
      </w:r>
      <w:r>
        <w:t xml:space="preserve">”</w:t>
      </w:r>
      <w:r>
        <w:t xml:space="preserve"> </w:t>
      </w:r>
      <w:r>
        <w:t xml:space="preserve">Java</w:t>
      </w:r>
      <w:r>
        <w:t xml:space="preserve"> </w:t>
      </w:r>
      <w:r>
        <w:t xml:space="preserve">“</w:t>
      </w:r>
      <w:r>
        <w:t xml:space="preserve">proficient</w:t>
      </w:r>
      <w:r>
        <w:t xml:space="preserve">”</w:t>
      </w:r>
      <w:r>
        <w:t xml:space="preserve">).</w:t>
      </w:r>
    </w:p>
    <w:p>
      <w:pPr>
        <w:pStyle w:val="Compact"/>
        <w:numPr>
          <w:ilvl w:val="0"/>
          <w:numId w:val="1005"/>
        </w:numPr>
      </w:pPr>
      <w:r>
        <w:t xml:space="preserve">The</w:t>
      </w:r>
      <w:r>
        <w:t xml:space="preserve"> </w:t>
      </w:r>
      <w:r>
        <w:rPr>
          <w:b/>
          <w:bCs/>
        </w:rPr>
        <w:t xml:space="preserve">NC State transcript</w:t>
      </w:r>
      <w:r>
        <w:t xml:space="preserve"> </w:t>
      </w:r>
      <w:r>
        <w:t xml:space="preserve">shows one relevant course,</w:t>
      </w:r>
      <w:r>
        <w:t xml:space="preserve"> </w:t>
      </w:r>
      <w:r>
        <w:rPr>
          <w:b/>
          <w:bCs/>
        </w:rPr>
        <w:t xml:space="preserve">ST 558 — Statistical Computing with R (grade A-)</w:t>
      </w:r>
      <w:r>
        <w:t xml:space="preserve">, taken Spring 2017. This is academic coursework, not post-master’s professional experience.</w:t>
      </w:r>
    </w:p>
    <w:p>
      <w:pPr>
        <w:pStyle w:val="FirstParagraph"/>
      </w:pPr>
      <w:r>
        <w:rPr>
          <w:b/>
          <w:bCs/>
        </w:rPr>
        <w:t xml:space="preserve">The gap.</w:t>
      </w:r>
      <w:r>
        <w:t xml:space="preserve"> </w:t>
      </w:r>
      <w:r>
        <w:t xml:space="preserve">“</w:t>
      </w:r>
      <w:r>
        <w:t xml:space="preserve">Some use of R for statistical reporting and ad hoc data analysis,</w:t>
      </w:r>
      <w:r>
        <w:t xml:space="preserve">”</w:t>
      </w:r>
      <w:r>
        <w:t xml:space="preserve"> </w:t>
      </w:r>
      <w:r>
        <w:t xml:space="preserve">coupled with an</w:t>
      </w:r>
      <w:r>
        <w:t xml:space="preserve"> </w:t>
      </w:r>
      <w:r>
        <w:t xml:space="preserve">“</w:t>
      </w:r>
      <w:r>
        <w:t xml:space="preserve">intermediate</w:t>
      </w:r>
      <w:r>
        <w:t xml:space="preserve">”</w:t>
      </w:r>
      <w:r>
        <w:t xml:space="preserve"> </w:t>
      </w:r>
      <w:r>
        <w:t xml:space="preserve">self-assessment and a single graduate course, does not clearly rise to</w:t>
      </w:r>
      <w:r>
        <w:t xml:space="preserve"> </w:t>
      </w:r>
      <w:r>
        <w:t xml:space="preserve">“</w:t>
      </w:r>
      <w:r>
        <w:rPr>
          <w:b/>
          <w:bCs/>
        </w:rPr>
        <w:t xml:space="preserve">proficiency</w:t>
      </w:r>
      <w:r>
        <w:t xml:space="preserve">”</w:t>
      </w:r>
      <w:r>
        <w:t xml:space="preserve"> </w:t>
      </w:r>
      <w:r>
        <w:t xml:space="preserve">in R gained through the required post-master’s experience. USCIS could find that the Beneficiary meets the Python prong but not the R prong of this conjunctive requirement.</w:t>
      </w:r>
    </w:p>
    <w:p>
      <w:pPr>
        <w:pStyle w:val="BodyText"/>
      </w:pPr>
      <w:r>
        <w:rPr>
          <w:b/>
          <w:bCs/>
        </w:rPr>
        <w:t xml:space="preserve">Risk assessment.</w:t>
      </w:r>
      <w:r>
        <w:t xml:space="preserve"> </w:t>
      </w:r>
      <w:r>
        <w:t xml:space="preserve">Significant but more readily curable than Item A. The risk is an I-140 query or denial grounded in the R prong. There is also a secondary PERM concern: a conjunctive requirement for proficiency in two specific languages can draw business-necessity scrutiny under 20 CFR 656.17(h) if R is not genuinely required for the role.</w:t>
      </w:r>
    </w:p>
    <w:p>
      <w:pPr>
        <w:pStyle w:val="BodyText"/>
      </w:pPr>
      <w:r>
        <w:rPr>
          <w:b/>
          <w:bCs/>
        </w:rPr>
        <w:t xml:space="preserve">Remedial recommendations (Item 2).</w:t>
      </w:r>
    </w:p>
    <w:p>
      <w:pPr>
        <w:pStyle w:val="Compact"/>
        <w:numPr>
          <w:ilvl w:val="0"/>
          <w:numId w:val="1006"/>
        </w:numPr>
      </w:pPr>
      <w:r>
        <w:rPr>
          <w:b/>
          <w:bCs/>
        </w:rPr>
        <w:t xml:space="preserve">Obtain a supplemental, detailed letter from Dr. Okonkwo</w:t>
      </w:r>
      <w:r>
        <w:t xml:space="preserve"> </w:t>
      </w:r>
      <w:r>
        <w:t xml:space="preserve">(or an additional affidavit) that specifically elaborates the Beneficiary’s R usage: the</w:t>
      </w:r>
      <w:r>
        <w:t xml:space="preserve"> </w:t>
      </w:r>
      <w:r>
        <w:rPr>
          <w:b/>
          <w:bCs/>
        </w:rPr>
        <w:t xml:space="preserve">frequency, duration, complexity, and business purpose</w:t>
      </w:r>
      <w:r>
        <w:t xml:space="preserve"> </w:t>
      </w:r>
      <w:r>
        <w:t xml:space="preserve">of her R work (e.g., specific statistical models, packages used such as</w:t>
      </w:r>
      <w:r>
        <w:t xml:space="preserve"> </w:t>
      </w:r>
      <w:r>
        <w:rPr>
          <w:rStyle w:val="VerbatimChar"/>
        </w:rPr>
        <w:t xml:space="preserve">tidyverse</w:t>
      </w:r>
      <w:r>
        <w:t xml:space="preserve">/</w:t>
      </w:r>
      <w:r>
        <w:rPr>
          <w:rStyle w:val="VerbatimChar"/>
        </w:rPr>
        <w:t xml:space="preserve">ggplot2</w:t>
      </w:r>
      <w:r>
        <w:t xml:space="preserve">/</w:t>
      </w:r>
      <w:r>
        <w:rPr>
          <w:rStyle w:val="VerbatimChar"/>
        </w:rPr>
        <w:t xml:space="preserve">caret</w:t>
      </w:r>
      <w:r>
        <w:t xml:space="preserve">/</w:t>
      </w:r>
      <w:r>
        <w:rPr>
          <w:rStyle w:val="VerbatimChar"/>
        </w:rPr>
        <w:t xml:space="preserve">survival</w:t>
      </w:r>
      <w:r>
        <w:t xml:space="preserve">, client deliverables produced in R, and the proportion of her time spent in R). The goal is to elevate</w:t>
      </w:r>
      <w:r>
        <w:t xml:space="preserve"> </w:t>
      </w:r>
      <w:r>
        <w:t xml:space="preserve">“</w:t>
      </w:r>
      <w:r>
        <w:t xml:space="preserve">some use</w:t>
      </w:r>
      <w:r>
        <w:t xml:space="preserve">”</w:t>
      </w:r>
      <w:r>
        <w:t xml:space="preserve"> </w:t>
      </w:r>
      <w:r>
        <w:t xml:space="preserve">to a documented showing of proficiency. If the reality is that R use was genuinely limited, do</w:t>
      </w:r>
      <w:r>
        <w:t xml:space="preserve"> </w:t>
      </w:r>
      <w:r>
        <w:rPr>
          <w:b/>
          <w:bCs/>
        </w:rPr>
        <w:t xml:space="preserve">not</w:t>
      </w:r>
      <w:r>
        <w:t xml:space="preserve"> </w:t>
      </w:r>
      <w:r>
        <w:t xml:space="preserve">overstate it.</w:t>
      </w:r>
    </w:p>
    <w:p>
      <w:pPr>
        <w:pStyle w:val="Compact"/>
        <w:numPr>
          <w:ilvl w:val="0"/>
          <w:numId w:val="1006"/>
        </w:numPr>
      </w:pPr>
      <w:r>
        <w:rPr>
          <w:b/>
          <w:bCs/>
        </w:rPr>
        <w:t xml:space="preserve">Reconcile the résumé’s</w:t>
      </w:r>
      <w:r>
        <w:rPr>
          <w:b/>
          <w:bCs/>
        </w:rPr>
        <w:t xml:space="preserve"> </w:t>
      </w:r>
      <w:r>
        <w:rPr>
          <w:b/>
          <w:bCs/>
        </w:rPr>
        <w:t xml:space="preserve">“</w:t>
      </w:r>
      <w:r>
        <w:rPr>
          <w:b/>
          <w:bCs/>
        </w:rPr>
        <w:t xml:space="preserve">intermediate</w:t>
      </w:r>
      <w:r>
        <w:rPr>
          <w:b/>
          <w:bCs/>
        </w:rPr>
        <w:t xml:space="preserve">”</w:t>
      </w:r>
      <w:r>
        <w:rPr>
          <w:b/>
          <w:bCs/>
        </w:rPr>
        <w:t xml:space="preserve"> </w:t>
      </w:r>
      <w:r>
        <w:rPr>
          <w:b/>
          <w:bCs/>
        </w:rPr>
        <w:t xml:space="preserve">characterization.</w:t>
      </w:r>
      <w:r>
        <w:t xml:space="preserve"> </w:t>
      </w:r>
      <w:r>
        <w:t xml:space="preserve">If the supplemental letter will assert proficiency, consider whether the résumé’s</w:t>
      </w:r>
      <w:r>
        <w:t xml:space="preserve"> </w:t>
      </w:r>
      <w:r>
        <w:t xml:space="preserve">“</w:t>
      </w:r>
      <w:r>
        <w:t xml:space="preserve">intermediate</w:t>
      </w:r>
      <w:r>
        <w:t xml:space="preserve">”</w:t>
      </w:r>
      <w:r>
        <w:t xml:space="preserve"> </w:t>
      </w:r>
      <w:r>
        <w:t xml:space="preserve">self-rating should be updated to avoid an internal inconsistency that USCIS could cite.</w:t>
      </w:r>
    </w:p>
    <w:p>
      <w:pPr>
        <w:pStyle w:val="Compact"/>
        <w:numPr>
          <w:ilvl w:val="0"/>
          <w:numId w:val="1006"/>
        </w:numPr>
      </w:pPr>
      <w:r>
        <w:rPr>
          <w:b/>
          <w:bCs/>
        </w:rPr>
        <w:t xml:space="preserve">Evaluate business necessity for the R requirement.</w:t>
      </w:r>
      <w:r>
        <w:t xml:space="preserve"> </w:t>
      </w:r>
      <w:r>
        <w:t xml:space="preserve">If R is not in fact a bona fide daily requirement of the Senior Machine Learning Engineer role at Prismex, document that analysis. (As with Item A, this is most relevant to exposure assessment and any future refiling, since the PERM is certified.) If R</w:t>
      </w:r>
      <w:r>
        <w:t xml:space="preserve"> </w:t>
      </w:r>
      <w:r>
        <w:rPr>
          <w:b/>
          <w:bCs/>
        </w:rPr>
        <w:t xml:space="preserve">is</w:t>
      </w:r>
      <w:r>
        <w:t xml:space="preserve"> </w:t>
      </w:r>
      <w:r>
        <w:t xml:space="preserve">required, ensure the supplemental letter ties R proficiency to the post-master’s DataBridge experience.</w:t>
      </w:r>
    </w:p>
    <w:bookmarkEnd w:id="25"/>
    <w:bookmarkStart w:id="26" w:name="Xda9a7b2ee579a15e30698258740f83ae2cdd946"/>
    <w:p>
      <w:pPr>
        <w:pStyle w:val="Heading3"/>
      </w:pPr>
      <w:r>
        <w:t xml:space="preserve">C. SIGNIFICANT — Supervisory Scope: Team of 3–5 vs. Documented Team of 2 (J.B.5)</w:t>
      </w:r>
    </w:p>
    <w:p>
      <w:pPr>
        <w:pStyle w:val="FirstParagraph"/>
      </w:pPr>
      <w:r>
        <w:rPr>
          <w:b/>
          <w:bCs/>
        </w:rPr>
        <w:t xml:space="preserve">The requirement.</w:t>
      </w:r>
      <w:r>
        <w:t xml:space="preserve"> </w:t>
      </w:r>
      <w:r>
        <w:t xml:space="preserve">Section J.B.5 states the position</w:t>
      </w:r>
      <w:r>
        <w:t xml:space="preserve"> </w:t>
      </w:r>
      <w:r>
        <w:t xml:space="preserve">“</w:t>
      </w:r>
      <w:r>
        <w:t xml:space="preserve">[w]ill supervise a team of 3-5 ML engineers.</w:t>
      </w:r>
      <w:r>
        <w:t xml:space="preserve">”</w:t>
      </w:r>
      <w:r>
        <w:t xml:space="preserve"> </w:t>
      </w:r>
      <w:r>
        <w:t xml:space="preserve">This appears among the special skills/other requirements.</w:t>
      </w:r>
    </w:p>
    <w:p>
      <w:pPr>
        <w:pStyle w:val="BodyText"/>
      </w:pPr>
      <w:r>
        <w:rPr>
          <w:b/>
          <w:bCs/>
        </w:rPr>
        <w:t xml:space="preserve">The evidence.</w:t>
      </w:r>
      <w:r>
        <w:t xml:space="preserve"> </w:t>
      </w:r>
      <w:r>
        <w:t xml:space="preserve">Both the résumé and the DataBridge experience letter consistently state that, as Data Scientist II, the Beneficiary</w:t>
      </w:r>
      <w:r>
        <w:t xml:space="preserve"> </w:t>
      </w:r>
      <w:r>
        <w:t xml:space="preserve">“</w:t>
      </w:r>
      <w:r>
        <w:rPr>
          <w:b/>
          <w:bCs/>
        </w:rPr>
        <w:t xml:space="preserve">[l]ed a team of 2 junior data scientists</w:t>
      </w:r>
      <w:r>
        <w:t xml:space="preserve">,</w:t>
      </w:r>
      <w:r>
        <w:t xml:space="preserve">”</w:t>
      </w:r>
      <w:r>
        <w:t xml:space="preserve"> </w:t>
      </w:r>
      <w:r>
        <w:t xml:space="preserve">providing mentorship and code reviews.</w:t>
      </w:r>
    </w:p>
    <w:p>
      <w:pPr>
        <w:pStyle w:val="BodyText"/>
      </w:pPr>
      <w:r>
        <w:rPr>
          <w:b/>
          <w:bCs/>
        </w:rPr>
        <w:t xml:space="preserve">The gap.</w:t>
      </w:r>
      <w:r>
        <w:t xml:space="preserve"> </w:t>
      </w:r>
      <w:r>
        <w:t xml:space="preserve">The Beneficiary’s documented supervisory experience is over a team of</w:t>
      </w:r>
      <w:r>
        <w:t xml:space="preserve"> </w:t>
      </w:r>
      <w:r>
        <w:rPr>
          <w:b/>
          <w:bCs/>
        </w:rPr>
        <w:t xml:space="preserve">2</w:t>
      </w:r>
      <w:r>
        <w:t xml:space="preserve">, whereas the position requires supervising</w:t>
      </w:r>
      <w:r>
        <w:t xml:space="preserve"> </w:t>
      </w:r>
      <w:r>
        <w:rPr>
          <w:b/>
          <w:bCs/>
        </w:rPr>
        <w:t xml:space="preserve">3–5</w:t>
      </w:r>
      <w:r>
        <w:t xml:space="preserve">. There is a scope mismatch of one to three reports.</w:t>
      </w:r>
    </w:p>
    <w:p>
      <w:pPr>
        <w:pStyle w:val="BodyText"/>
      </w:pPr>
      <w:r>
        <w:rPr>
          <w:b/>
          <w:bCs/>
        </w:rPr>
        <w:t xml:space="preserve">Risk assessment.</w:t>
      </w:r>
      <w:r>
        <w:t xml:space="preserve"> </w:t>
      </w:r>
      <w:r>
        <w:t xml:space="preserve">Significant, though the severity depends on how the requirement is construed. If USCIS reads</w:t>
      </w:r>
      <w:r>
        <w:t xml:space="preserve"> </w:t>
      </w:r>
      <w:r>
        <w:t xml:space="preserve">“</w:t>
      </w:r>
      <w:r>
        <w:t xml:space="preserve">supervise a team of 3–5 ML engineers</w:t>
      </w:r>
      <w:r>
        <w:t xml:space="preserve">”</w:t>
      </w:r>
      <w:r>
        <w:t xml:space="preserve"> </w:t>
      </w:r>
      <w:r>
        <w:t xml:space="preserve">as a</w:t>
      </w:r>
      <w:r>
        <w:t xml:space="preserve"> </w:t>
      </w:r>
      <w:r>
        <w:rPr>
          <w:b/>
          <w:bCs/>
        </w:rPr>
        <w:t xml:space="preserve">minimum qualifying experience</w:t>
      </w:r>
      <w:r>
        <w:t xml:space="preserve"> </w:t>
      </w:r>
      <w:r>
        <w:t xml:space="preserve">requirement (i.e., the Beneficiary must previously have supervised 3–5), the documented experience (2) falls short. If it is read as a</w:t>
      </w:r>
      <w:r>
        <w:t xml:space="preserve"> </w:t>
      </w:r>
      <w:r>
        <w:rPr>
          <w:b/>
          <w:bCs/>
        </w:rPr>
        <w:t xml:space="preserve">job duty/condition</w:t>
      </w:r>
      <w:r>
        <w:t xml:space="preserve"> </w:t>
      </w:r>
      <w:r>
        <w:t xml:space="preserve">of the prospective position (i.e., the role will involve supervising 3–5, and the Beneficiary need only demonstrate general supervisory competence), the gap is narrower but still invites a request for evidence (</w:t>
      </w:r>
      <w:r>
        <w:t xml:space="preserve">“</w:t>
      </w:r>
      <w:r>
        <w:t xml:space="preserve">RFE</w:t>
      </w:r>
      <w:r>
        <w:t xml:space="preserve">”</w:t>
      </w:r>
      <w:r>
        <w:t xml:space="preserve">) on whether she can manage a team of the stated size. The placement of this statement within Section J.B.5 (</w:t>
      </w:r>
      <w:r>
        <w:t xml:space="preserve">“</w:t>
      </w:r>
      <w:r>
        <w:t xml:space="preserve">Special Skills / Other Requirements</w:t>
      </w:r>
      <w:r>
        <w:t xml:space="preserve">”</w:t>
      </w:r>
      <w:r>
        <w:t xml:space="preserve">) increases the likelihood that USCIS treats it as a minimum requirement.</w:t>
      </w:r>
    </w:p>
    <w:p>
      <w:pPr>
        <w:pStyle w:val="BodyText"/>
      </w:pPr>
      <w:r>
        <w:rPr>
          <w:b/>
          <w:bCs/>
        </w:rPr>
        <w:t xml:space="preserve">Remedial recommendations (Item 3).</w:t>
      </w:r>
    </w:p>
    <w:p>
      <w:pPr>
        <w:pStyle w:val="Compact"/>
        <w:numPr>
          <w:ilvl w:val="0"/>
          <w:numId w:val="1007"/>
        </w:numPr>
      </w:pPr>
      <w:r>
        <w:rPr>
          <w:b/>
          <w:bCs/>
        </w:rPr>
        <w:t xml:space="preserve">Clarify, via a supplemental letter from Dr. Okonkwo, the full scope of the Beneficiary’s supervisory responsibilities.</w:t>
      </w:r>
      <w:r>
        <w:t xml:space="preserve"> </w:t>
      </w:r>
      <w:r>
        <w:t xml:space="preserve">If she supervised, mentored, or coordinated more than two individuals at any point (e.g., cross-functional ML engineers, contractors, interns, or matrixed team members in addition to the two direct junior data scientists), document that with specifics (names/roles redacted as needed, dates, headcount). The objective is to document supervision of a group that, in aggregate, approaches the 3–5 range.</w:t>
      </w:r>
    </w:p>
    <w:p>
      <w:pPr>
        <w:pStyle w:val="Compact"/>
        <w:numPr>
          <w:ilvl w:val="0"/>
          <w:numId w:val="1007"/>
        </w:numPr>
      </w:pPr>
      <w:r>
        <w:rPr>
          <w:b/>
          <w:bCs/>
        </w:rPr>
        <w:t xml:space="preserve">If the documented supervisory headcount cannot be expanded to 3–5,</w:t>
      </w:r>
      <w:r>
        <w:t xml:space="preserve"> </w:t>
      </w:r>
      <w:r>
        <w:t xml:space="preserve">we must assess whether the</w:t>
      </w:r>
      <w:r>
        <w:t xml:space="preserve"> </w:t>
      </w:r>
      <w:r>
        <w:t xml:space="preserve">“</w:t>
      </w:r>
      <w:r>
        <w:t xml:space="preserve">3–5</w:t>
      </w:r>
      <w:r>
        <w:t xml:space="preserve">”</w:t>
      </w:r>
      <w:r>
        <w:t xml:space="preserve"> </w:t>
      </w:r>
      <w:r>
        <w:t xml:space="preserve">figure is defensible as a minimum requirement or whether it more properly describes the prospective job duty. If it is a prospective duty, consider whether the record adequately supports the Beneficiary’s capacity to perform it (general leadership/mentorship experience plus the seniority of the role). If it is a true minimum requirement that she cannot meet, this becomes a second potential I-140 obstacle to weigh alongside Item A.</w:t>
      </w:r>
    </w:p>
    <w:p>
      <w:pPr>
        <w:pStyle w:val="Compact"/>
        <w:numPr>
          <w:ilvl w:val="0"/>
          <w:numId w:val="1007"/>
        </w:numPr>
      </w:pPr>
      <w:r>
        <w:rPr>
          <w:b/>
          <w:bCs/>
        </w:rPr>
        <w:t xml:space="preserve">Confirm internal consistency.</w:t>
      </w:r>
      <w:r>
        <w:t xml:space="preserve"> </w:t>
      </w:r>
      <w:r>
        <w:t xml:space="preserve">Ensure the I-129/I-140 filings and the offer letter describe the supervisory scope consistently with the certified ETA 9089 (3–5 ML engineers).</w:t>
      </w:r>
    </w:p>
    <w:bookmarkEnd w:id="26"/>
    <w:bookmarkStart w:id="27" w:name="X2ea4d3a9b386e5cafaee34c25eeab23872b5920"/>
    <w:p>
      <w:pPr>
        <w:pStyle w:val="Heading3"/>
      </w:pPr>
      <w:r>
        <w:t xml:space="preserve">D. SIGNIFICANT (Administrative) — FEIN Discrepancy Between the PWD and the ETA 9089</w:t>
      </w:r>
    </w:p>
    <w:p>
      <w:pPr>
        <w:pStyle w:val="FirstParagraph"/>
      </w:pPr>
      <w:r>
        <w:rPr>
          <w:b/>
          <w:bCs/>
        </w:rPr>
        <w:t xml:space="preserve">The issue.</w:t>
      </w:r>
      <w:r>
        <w:t xml:space="preserve"> </w:t>
      </w:r>
      <w:r>
        <w:t xml:space="preserve">The Prevailing Wage Determination (Section 1) lists the Employer’s Federal Employer Identification Number as</w:t>
      </w:r>
      <w:r>
        <w:t xml:space="preserve"> </w:t>
      </w:r>
      <w:r>
        <w:rPr>
          <w:b/>
          <w:bCs/>
        </w:rPr>
        <w:t xml:space="preserve">84-3291047</w:t>
      </w:r>
      <w:r>
        <w:t xml:space="preserve">. The ETA Form 9089 (Section C.7) lists the FEIN as</w:t>
      </w:r>
      <w:r>
        <w:t xml:space="preserve"> </w:t>
      </w:r>
      <w:r>
        <w:rPr>
          <w:b/>
          <w:bCs/>
        </w:rPr>
        <w:t xml:space="preserve">84-3291756</w:t>
      </w:r>
      <w:r>
        <w:t xml:space="preserve">. The last three digits differ. The employer name and address on both documents match.</w:t>
      </w:r>
    </w:p>
    <w:p>
      <w:pPr>
        <w:pStyle w:val="BodyText"/>
      </w:pPr>
      <w:r>
        <w:rPr>
          <w:b/>
          <w:bCs/>
        </w:rPr>
        <w:t xml:space="preserve">The gap / risk.</w:t>
      </w:r>
      <w:r>
        <w:t xml:space="preserve"> </w:t>
      </w:r>
      <w:r>
        <w:t xml:space="preserve">The PWD must correspond to the petitioning employer. A FEIN mismatch between the controlling PWD and the labor certification application is an inconsistency that DOL or USCIS may flag. If the PWD was issued under an incorrect FEIN, its applicability to this employer could be questioned; if the ETA 9089 contains the error, the application contains an inaccurate data point. Either way, the discrepancy should be reconciled before the I-129/I-140 filings to avoid an RFE or a consistency objection.</w:t>
      </w:r>
    </w:p>
    <w:p>
      <w:pPr>
        <w:pStyle w:val="BodyText"/>
      </w:pPr>
      <w:r>
        <w:rPr>
          <w:b/>
          <w:bCs/>
        </w:rPr>
        <w:t xml:space="preserve">Remedial recommendations (Item 4).</w:t>
      </w:r>
    </w:p>
    <w:p>
      <w:pPr>
        <w:pStyle w:val="Compact"/>
        <w:numPr>
          <w:ilvl w:val="0"/>
          <w:numId w:val="1008"/>
        </w:numPr>
      </w:pPr>
      <w:r>
        <w:rPr>
          <w:b/>
          <w:bCs/>
        </w:rPr>
        <w:t xml:space="preserve">Verify the Employer’s correct FEIN</w:t>
      </w:r>
      <w:r>
        <w:t xml:space="preserve"> </w:t>
      </w:r>
      <w:r>
        <w:t xml:space="preserve">against Prismex’s IRS records (e.g., the CP-575 notice or a recent Form 941/W-2). Melanie/Rajiv can confirm this quickly.</w:t>
      </w:r>
    </w:p>
    <w:p>
      <w:pPr>
        <w:pStyle w:val="Compact"/>
        <w:numPr>
          <w:ilvl w:val="0"/>
          <w:numId w:val="1008"/>
        </w:numPr>
      </w:pPr>
      <w:r>
        <w:rPr>
          <w:b/>
          <w:bCs/>
        </w:rPr>
        <w:t xml:space="preserve">Determine which document is wrong.</w:t>
      </w:r>
      <w:r>
        <w:t xml:space="preserve"> </w:t>
      </w:r>
      <w:r>
        <w:t xml:space="preserve">If the</w:t>
      </w:r>
      <w:r>
        <w:t xml:space="preserve"> </w:t>
      </w:r>
      <w:r>
        <w:rPr>
          <w:b/>
          <w:bCs/>
        </w:rPr>
        <w:t xml:space="preserve">PWD</w:t>
      </w:r>
      <w:r>
        <w:t xml:space="preserve"> </w:t>
      </w:r>
      <w:r>
        <w:t xml:space="preserve">contains the error, request a</w:t>
      </w:r>
      <w:r>
        <w:t xml:space="preserve"> </w:t>
      </w:r>
      <w:r>
        <w:rPr>
          <w:b/>
          <w:bCs/>
        </w:rPr>
        <w:t xml:space="preserve">corrected PWD</w:t>
      </w:r>
      <w:r>
        <w:t xml:space="preserve"> </w:t>
      </w:r>
      <w:r>
        <w:t xml:space="preserve">from the National Prevailing Wage Center (or, at minimum, document the correct FEIN and be prepared to explain the clerical error; the PWD remains valid through November 7, 2025). If the</w:t>
      </w:r>
      <w:r>
        <w:t xml:space="preserve"> </w:t>
      </w:r>
      <w:r>
        <w:rPr>
          <w:b/>
          <w:bCs/>
        </w:rPr>
        <w:t xml:space="preserve">ETA 9089</w:t>
      </w:r>
      <w:r>
        <w:t xml:space="preserve"> </w:t>
      </w:r>
      <w:r>
        <w:t xml:space="preserve">contains the error, note it for the record; because the PERM is certified, a formal correction is generally not available, but the correct FEIN must be used on the I-129 and I-140 and the discrepancy should be explained if questioned.</w:t>
      </w:r>
    </w:p>
    <w:p>
      <w:pPr>
        <w:pStyle w:val="Compact"/>
        <w:numPr>
          <w:ilvl w:val="0"/>
          <w:numId w:val="1008"/>
        </w:numPr>
      </w:pPr>
      <w:r>
        <w:rPr>
          <w:b/>
          <w:bCs/>
        </w:rPr>
        <w:t xml:space="preserve">Ensure the I-129 and I-140 use the verified, correct FEIN</w:t>
      </w:r>
      <w:r>
        <w:t xml:space="preserve"> </w:t>
      </w:r>
      <w:r>
        <w:t xml:space="preserve">and that all future filings are internally consistent.</w:t>
      </w:r>
    </w:p>
    <w:bookmarkEnd w:id="27"/>
    <w:bookmarkStart w:id="28" w:name="X331989ea62331ffdcc54d7c4520665979f3823d"/>
    <w:p>
      <w:pPr>
        <w:pStyle w:val="Heading3"/>
      </w:pPr>
      <w:r>
        <w:t xml:space="preserve">E. MODERATE — Missing NC State Research Assistant Verification Letter</w:t>
      </w:r>
    </w:p>
    <w:p>
      <w:pPr>
        <w:pStyle w:val="FirstParagraph"/>
      </w:pPr>
      <w:r>
        <w:rPr>
          <w:b/>
          <w:bCs/>
        </w:rPr>
        <w:t xml:space="preserve">The issue.</w:t>
      </w:r>
      <w:r>
        <w:t xml:space="preserve"> </w:t>
      </w:r>
      <w:r>
        <w:t xml:space="preserve">Your June 4 email flagged that the package does not include an experience verification letter from NC State for the Beneficiary’s Research Assistant appointment (August 15, 2016 – May 15, 2018). Professor Helen Tsai is on sabbatical and has not responded; the transcript notes the RA appointment, supervisor, and NSF funding source.</w:t>
      </w:r>
    </w:p>
    <w:p>
      <w:pPr>
        <w:pStyle w:val="BodyText"/>
      </w:pPr>
      <w:r>
        <w:rPr>
          <w:b/>
          <w:bCs/>
        </w:rPr>
        <w:t xml:space="preserve">The gap / risk — and why it is lower severity.</w:t>
      </w:r>
      <w:r>
        <w:t xml:space="preserve"> </w:t>
      </w:r>
      <w:r>
        <w:t xml:space="preserve">This gap is</w:t>
      </w:r>
      <w:r>
        <w:t xml:space="preserve"> </w:t>
      </w:r>
      <w:r>
        <w:rPr>
          <w:b/>
          <w:bCs/>
        </w:rPr>
        <w:t xml:space="preserve">moderate</w:t>
      </w:r>
      <w:r>
        <w:t xml:space="preserve">, not critical, for a specific reason: the Research Assistant experience</w:t>
      </w:r>
      <w:r>
        <w:t xml:space="preserve"> </w:t>
      </w:r>
      <w:r>
        <w:rPr>
          <w:b/>
          <w:bCs/>
        </w:rPr>
        <w:t xml:space="preserve">does not count toward the 5-year post-master’s minimum</w:t>
      </w:r>
      <w:r>
        <w:t xml:space="preserve">. The RA appointment ran from August 2016 through May 15, 2018, which is</w:t>
      </w:r>
      <w:r>
        <w:t xml:space="preserve"> </w:t>
      </w:r>
      <w:r>
        <w:rPr>
          <w:b/>
          <w:bCs/>
        </w:rPr>
        <w:t xml:space="preserve">concurrent with the M.S. program</w:t>
      </w:r>
      <w:r>
        <w:t xml:space="preserve"> </w:t>
      </w:r>
      <w:r>
        <w:t xml:space="preserve">(degree conferred May 12, 2018) and therefore</w:t>
      </w:r>
      <w:r>
        <w:t xml:space="preserve"> </w:t>
      </w:r>
      <w:r>
        <w:rPr>
          <w:b/>
          <w:bCs/>
        </w:rPr>
        <w:t xml:space="preserve">pre-master’s</w:t>
      </w:r>
      <w:r>
        <w:t xml:space="preserve">; it was also</w:t>
      </w:r>
      <w:r>
        <w:t xml:space="preserve"> </w:t>
      </w:r>
      <w:r>
        <w:rPr>
          <w:b/>
          <w:bCs/>
        </w:rPr>
        <w:t xml:space="preserve">part-time (20 hours/week)</w:t>
      </w:r>
      <w:r>
        <w:t xml:space="preserve">. Section K.2 correctly relies</w:t>
      </w:r>
      <w:r>
        <w:t xml:space="preserve"> </w:t>
      </w:r>
      <w:r>
        <w:rPr>
          <w:b/>
          <w:bCs/>
        </w:rPr>
        <w:t xml:space="preserve">only</w:t>
      </w:r>
      <w:r>
        <w:t xml:space="preserve"> </w:t>
      </w:r>
      <w:r>
        <w:t xml:space="preserve">on the DataBridge experience (June 2018 – present) to satisfy the 5-year post-master’s requirement. Accordingly, the absence of an RA letter does not undermine the core experience showing. The RA role is, however, listed as Experience Entry 2 in Section J.C, and it does help establish the NLP/PyTorch skill background; if DOL or USCIS inquires about any listed experience, a verification letter would be expected.</w:t>
      </w:r>
    </w:p>
    <w:p>
      <w:pPr>
        <w:pStyle w:val="BodyText"/>
      </w:pPr>
      <w:r>
        <w:rPr>
          <w:b/>
          <w:bCs/>
        </w:rPr>
        <w:t xml:space="preserve">Remedial recommendations (Item 5).</w:t>
      </w:r>
    </w:p>
    <w:p>
      <w:pPr>
        <w:pStyle w:val="Compact"/>
        <w:numPr>
          <w:ilvl w:val="0"/>
          <w:numId w:val="1009"/>
        </w:numPr>
      </w:pPr>
      <w:r>
        <w:rPr>
          <w:b/>
          <w:bCs/>
        </w:rPr>
        <w:t xml:space="preserve">Continue efforts to obtain a verification letter</w:t>
      </w:r>
      <w:r>
        <w:t xml:space="preserve"> </w:t>
      </w:r>
      <w:r>
        <w:t xml:space="preserve">— pursue the NC State Department of Computer Science administrator and/or the university HR office (the Beneficiary offered to do this). A letter confirming the RA appointment, dates, part-time hours, supervisor, and duties (NLP research, PyTorch, clinical datasets) is preferable to relying on the transcript alone.</w:t>
      </w:r>
    </w:p>
    <w:p>
      <w:pPr>
        <w:pStyle w:val="Compact"/>
        <w:numPr>
          <w:ilvl w:val="0"/>
          <w:numId w:val="1009"/>
        </w:numPr>
      </w:pPr>
      <w:r>
        <w:rPr>
          <w:b/>
          <w:bCs/>
        </w:rPr>
        <w:t xml:space="preserve">If a letter cannot be obtained in time,</w:t>
      </w:r>
      <w:r>
        <w:t xml:space="preserve"> </w:t>
      </w:r>
      <w:r>
        <w:t xml:space="preserve">the transcript’s Graduate Assistantship Appointments section (showing the appointment, period, supervisor, and NSF grant) plus the Beneficiary’s declaration and the two co-authored publications provide secondary corroboration. Be prepared to explain the good-faith effort to obtain the letter.</w:t>
      </w:r>
    </w:p>
    <w:p>
      <w:pPr>
        <w:pStyle w:val="Compact"/>
        <w:numPr>
          <w:ilvl w:val="0"/>
          <w:numId w:val="1009"/>
        </w:numPr>
      </w:pPr>
      <w:r>
        <w:rPr>
          <w:b/>
          <w:bCs/>
        </w:rPr>
        <w:t xml:space="preserve">Do not represent the RA experience as counting toward the 5-year post-master’s minimum</w:t>
      </w:r>
      <w:r>
        <w:t xml:space="preserve"> </w:t>
      </w:r>
      <w:r>
        <w:t xml:space="preserve">in any filing or response; it is pre-master’s and part-time. (If it were ever to be counted, the 20-hour week would require pro-rating.)</w:t>
      </w:r>
    </w:p>
    <w:bookmarkEnd w:id="28"/>
    <w:bookmarkStart w:id="29" w:name="X8dcb267b1d904005988a519fedbece389a655b2"/>
    <w:p>
      <w:pPr>
        <w:pStyle w:val="Heading3"/>
      </w:pPr>
      <w:r>
        <w:t xml:space="preserve">F. MINOR —</w:t>
      </w:r>
      <w:r>
        <w:t xml:space="preserve"> </w:t>
      </w:r>
      <w:r>
        <w:t xml:space="preserve">“</w:t>
      </w:r>
      <w:r>
        <w:t xml:space="preserve">Approximately 7 Years</w:t>
      </w:r>
      <w:r>
        <w:t xml:space="preserve">”</w:t>
      </w:r>
      <w:r>
        <w:t xml:space="preserve"> </w:t>
      </w:r>
      <w:r>
        <w:t xml:space="preserve">in Section K.2</w:t>
      </w:r>
    </w:p>
    <w:p>
      <w:pPr>
        <w:pStyle w:val="FirstParagraph"/>
      </w:pPr>
      <w:r>
        <w:rPr>
          <w:b/>
          <w:bCs/>
        </w:rPr>
        <w:t xml:space="preserve">The issue.</w:t>
      </w:r>
      <w:r>
        <w:t xml:space="preserve"> </w:t>
      </w:r>
      <w:r>
        <w:t xml:space="preserve">Section K.2 states the Beneficiary</w:t>
      </w:r>
      <w:r>
        <w:t xml:space="preserve"> </w:t>
      </w:r>
      <w:r>
        <w:t xml:space="preserve">“</w:t>
      </w:r>
      <w:r>
        <w:t xml:space="preserve">has approximately 7 years of post-master’s experience at DataBridge Solutions LLC (June 2018 – present).</w:t>
      </w:r>
      <w:r>
        <w:t xml:space="preserve">”</w:t>
      </w:r>
      <w:r>
        <w:t xml:space="preserve"> </w:t>
      </w:r>
      <w:r>
        <w:t xml:space="preserve">Measured from June 4, 2018 to the March 15, 2025 filing date, the actual duration is approximately</w:t>
      </w:r>
      <w:r>
        <w:t xml:space="preserve"> </w:t>
      </w:r>
      <w:r>
        <w:rPr>
          <w:b/>
          <w:bCs/>
        </w:rPr>
        <w:t xml:space="preserve">6 years, 9 months</w:t>
      </w:r>
      <w:r>
        <w:t xml:space="preserve"> </w:t>
      </w:r>
      <w:r>
        <w:t xml:space="preserve">(and approximately 6 years, 11 months as of the May 22, 2025 certification date).</w:t>
      </w:r>
    </w:p>
    <w:p>
      <w:pPr>
        <w:pStyle w:val="BodyText"/>
      </w:pPr>
      <w:r>
        <w:rPr>
          <w:b/>
          <w:bCs/>
        </w:rPr>
        <w:t xml:space="preserve">The gap / risk.</w:t>
      </w:r>
      <w:r>
        <w:t xml:space="preserve"> </w:t>
      </w:r>
      <w:r>
        <w:t xml:space="preserve">This is a minor overstatement and is</w:t>
      </w:r>
      <w:r>
        <w:t xml:space="preserve"> </w:t>
      </w:r>
      <w:r>
        <w:rPr>
          <w:b/>
          <w:bCs/>
        </w:rPr>
        <w:t xml:space="preserve">not material</w:t>
      </w:r>
      <w:r>
        <w:t xml:space="preserve"> </w:t>
      </w:r>
      <w:r>
        <w:t xml:space="preserve">because the duration exceeds the 5-year requirement under either measure. The concern is one of precision and credibility: USCIS examiners notice loose figures, and an overstatement — even an immaterial one — is best avoided.</w:t>
      </w:r>
    </w:p>
    <w:p>
      <w:pPr>
        <w:pStyle w:val="BodyText"/>
      </w:pPr>
      <w:r>
        <w:rPr>
          <w:b/>
          <w:bCs/>
        </w:rPr>
        <w:t xml:space="preserve">Remedial recommendations (Item 6).</w:t>
      </w:r>
    </w:p>
    <w:p>
      <w:pPr>
        <w:pStyle w:val="Compact"/>
        <w:numPr>
          <w:ilvl w:val="0"/>
          <w:numId w:val="1010"/>
        </w:numPr>
      </w:pPr>
      <w:r>
        <w:t xml:space="preserve">In the I-140 filing and any RFE response, state the</w:t>
      </w:r>
      <w:r>
        <w:t xml:space="preserve"> </w:t>
      </w:r>
      <w:r>
        <w:rPr>
          <w:b/>
          <w:bCs/>
        </w:rPr>
        <w:t xml:space="preserve">precise</w:t>
      </w:r>
      <w:r>
        <w:t xml:space="preserve"> </w:t>
      </w:r>
      <w:r>
        <w:t xml:space="preserve">duration (e.g.,</w:t>
      </w:r>
      <w:r>
        <w:t xml:space="preserve"> </w:t>
      </w:r>
      <w:r>
        <w:t xml:space="preserve">“</w:t>
      </w:r>
      <w:r>
        <w:t xml:space="preserve">6 years, 9 months of qualifying post-master’s experience as of the March 15, 2025 priority date</w:t>
      </w:r>
      <w:r>
        <w:t xml:space="preserve">”</w:t>
      </w:r>
      <w:r>
        <w:t xml:space="preserve">), supported by the DataBridge letter. Avoid repeating the</w:t>
      </w:r>
      <w:r>
        <w:t xml:space="preserve"> </w:t>
      </w:r>
      <w:r>
        <w:t xml:space="preserve">“</w:t>
      </w:r>
      <w:r>
        <w:t xml:space="preserve">approximately 7 years</w:t>
      </w:r>
      <w:r>
        <w:t xml:space="preserve">”</w:t>
      </w:r>
      <w:r>
        <w:t xml:space="preserve"> </w:t>
      </w:r>
      <w:r>
        <w:t xml:space="preserve">figure.</w:t>
      </w:r>
    </w:p>
    <w:bookmarkEnd w:id="29"/>
    <w:bookmarkStart w:id="30" w:name="g.-minor-telephone-number-inconsistency"/>
    <w:p>
      <w:pPr>
        <w:pStyle w:val="Heading3"/>
      </w:pPr>
      <w:r>
        <w:t xml:space="preserve">G. MINOR — Telephone Number Inconsistency</w:t>
      </w:r>
    </w:p>
    <w:p>
      <w:pPr>
        <w:pStyle w:val="FirstParagraph"/>
      </w:pPr>
      <w:r>
        <w:rPr>
          <w:b/>
          <w:bCs/>
        </w:rPr>
        <w:t xml:space="preserve">The issue.</w:t>
      </w:r>
      <w:r>
        <w:t xml:space="preserve"> </w:t>
      </w:r>
      <w:r>
        <w:t xml:space="preserve">Your June 4 email signature lists the Employer phone as (512) 555-0184, while the ETA 9089 (Section C.4) and the PWD list (512) 555-0174.</w:t>
      </w:r>
    </w:p>
    <w:p>
      <w:pPr>
        <w:pStyle w:val="BodyText"/>
      </w:pPr>
      <w:r>
        <w:rPr>
          <w:b/>
          <w:bCs/>
        </w:rPr>
        <w:t xml:space="preserve">Remedial recommendations (Item 7).</w:t>
      </w:r>
      <w:r>
        <w:t xml:space="preserve"> </w:t>
      </w:r>
      <w:r>
        <w:t xml:space="preserve">Confirm the correct main number and use it consistently on the I-129, I-140, and any correspondence. This is clerical.</w:t>
      </w:r>
    </w:p>
    <w:bookmarkEnd w:id="30"/>
    <w:bookmarkStart w:id="31" w:name="X6452a038bf4e1e2e3576fbae2b8f8d959a91041"/>
    <w:p>
      <w:pPr>
        <w:pStyle w:val="Heading3"/>
      </w:pPr>
      <w:r>
        <w:t xml:space="preserve">H. NOTE — Post-Filing Dates on the Transcript and Experience Letters</w:t>
      </w:r>
    </w:p>
    <w:p>
      <w:pPr>
        <w:pStyle w:val="FirstParagraph"/>
      </w:pPr>
      <w:r>
        <w:rPr>
          <w:b/>
          <w:bCs/>
        </w:rPr>
        <w:t xml:space="preserve">The issue.</w:t>
      </w:r>
      <w:r>
        <w:t xml:space="preserve"> </w:t>
      </w:r>
      <w:r>
        <w:t xml:space="preserve">The NC State transcript was issued May 20, 2025, and the experience letters are dated March 28, 2025 (Evalpoint) and April 10, 2025 (DataBridge) — all after the March 15, 2025 PERM filing date.</w:t>
      </w:r>
    </w:p>
    <w:p>
      <w:pPr>
        <w:pStyle w:val="BodyText"/>
      </w:pPr>
      <w:r>
        <w:rPr>
          <w:b/>
          <w:bCs/>
        </w:rPr>
        <w:t xml:space="preserve">Assessment.</w:t>
      </w:r>
      <w:r>
        <w:t xml:space="preserve"> </w:t>
      </w:r>
      <w:r>
        <w:t xml:space="preserve">This is</w:t>
      </w:r>
      <w:r>
        <w:t xml:space="preserve"> </w:t>
      </w:r>
      <w:r>
        <w:rPr>
          <w:b/>
          <w:bCs/>
        </w:rPr>
        <w:t xml:space="preserve">acceptable and routine.</w:t>
      </w:r>
      <w:r>
        <w:t xml:space="preserve"> </w:t>
      </w:r>
      <w:r>
        <w:t xml:space="preserve">What matters is that the underlying credentials and experience</w:t>
      </w:r>
      <w:r>
        <w:t xml:space="preserve"> </w:t>
      </w:r>
      <w:r>
        <w:rPr>
          <w:b/>
          <w:bCs/>
        </w:rPr>
        <w:t xml:space="preserve">predate</w:t>
      </w:r>
      <w:r>
        <w:t xml:space="preserve"> </w:t>
      </w:r>
      <w:r>
        <w:t xml:space="preserve">the priority date: the M.S. was conferred May 12, 2018; the DataBridge employment began June 4, 2018; the Evalpoint employment ran July 2013 – July 2016. Experience and credential verification letters are commonly obtained after filing to support the record. No action required beyond ensuring the I-140 is supported by final/official versions (the official NC State transcript is in hand).</w:t>
      </w:r>
    </w:p>
    <w:p>
      <w:r>
        <w:pict>
          <v:rect style="width:0;height:1.5pt" o:hralign="center" o:hrstd="t" o:hr="t"/>
        </w:pict>
      </w:r>
    </w:p>
    <w:bookmarkEnd w:id="31"/>
    <w:bookmarkEnd w:id="32"/>
    <w:bookmarkStart w:id="33" w:name="Xbddadb28667c6b4212d8b2dbc5a3c20c659fce0"/>
    <w:p>
      <w:pPr>
        <w:pStyle w:val="Heading2"/>
      </w:pPr>
      <w:r>
        <w:t xml:space="preserve">V. Requirement-by-Requirement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 (ETA 9089)</w:t>
            </w:r>
          </w:p>
        </w:tc>
        <w:tc>
          <w:tcPr/>
          <w:p>
            <w:pPr>
              <w:pStyle w:val="Compact"/>
              <w:jc w:val="left"/>
            </w:pPr>
            <w:r>
              <w:t xml:space="preserve">Supporting Evidence</w:t>
            </w:r>
          </w:p>
        </w:tc>
        <w:tc>
          <w:tcPr/>
          <w:p>
            <w:pPr>
              <w:pStyle w:val="Compact"/>
              <w:jc w:val="left"/>
            </w:pPr>
            <w:r>
              <w:t xml:space="preserve">Status</w:t>
            </w:r>
          </w:p>
        </w:tc>
      </w:tr>
      <w:tr>
        <w:tc>
          <w:tcPr/>
          <w:p>
            <w:pPr>
              <w:pStyle w:val="Compact"/>
              <w:jc w:val="left"/>
            </w:pPr>
            <w:r>
              <w:rPr>
                <w:b/>
                <w:bCs/>
              </w:rPr>
              <w:t xml:space="preserve">Education:</w:t>
            </w:r>
            <w:r>
              <w:t xml:space="preserve"> </w:t>
            </w:r>
            <w:r>
              <w:t xml:space="preserve">Master’s in CS/ML/closely related field (J.B.1)</w:t>
            </w:r>
          </w:p>
        </w:tc>
        <w:tc>
          <w:tcPr/>
          <w:p>
            <w:pPr>
              <w:pStyle w:val="Compact"/>
              <w:jc w:val="left"/>
            </w:pPr>
            <w:r>
              <w:t xml:space="preserve">M.S. in Computer Science, NC State, conferred May 12, 2018 (official transcript, GPA 3.74); B.Tech ECE evaluated by IAE (NACES) as U.S. bachelor’s equivalent</w:t>
            </w:r>
          </w:p>
        </w:tc>
        <w:tc>
          <w:tcPr/>
          <w:p>
            <w:pPr>
              <w:pStyle w:val="Compact"/>
              <w:jc w:val="left"/>
            </w:pPr>
            <w:r>
              <w:rPr>
                <w:b/>
                <w:bCs/>
              </w:rPr>
              <w:t xml:space="preserve">MET</w:t>
            </w:r>
          </w:p>
        </w:tc>
      </w:tr>
      <w:tr>
        <w:tc>
          <w:tcPr/>
          <w:p>
            <w:pPr>
              <w:pStyle w:val="Compact"/>
              <w:jc w:val="left"/>
            </w:pPr>
            <w:r>
              <w:rPr>
                <w:b/>
                <w:bCs/>
              </w:rPr>
              <w:t xml:space="preserve">Experience:</w:t>
            </w:r>
            <w:r>
              <w:t xml:space="preserve"> </w:t>
            </w:r>
            <w:r>
              <w:t xml:space="preserve">5 yrs progressive post-master’s in ML eng or closely related (J.B.3)</w:t>
            </w:r>
          </w:p>
        </w:tc>
        <w:tc>
          <w:tcPr/>
          <w:p>
            <w:pPr>
              <w:pStyle w:val="Compact"/>
              <w:jc w:val="left"/>
            </w:pPr>
            <w:r>
              <w:t xml:space="preserve">DataBridge Solutions LLC, Data Scientist I (6/4/2018–1/3/2021) → Data Scientist II (1/4/2021–present); ~6 yrs 9 mos as of filing; progression via promotion</w:t>
            </w:r>
          </w:p>
        </w:tc>
        <w:tc>
          <w:tcPr/>
          <w:p>
            <w:pPr>
              <w:pStyle w:val="Compact"/>
              <w:jc w:val="left"/>
            </w:pPr>
            <w:r>
              <w:rPr>
                <w:b/>
                <w:bCs/>
              </w:rPr>
              <w:t xml:space="preserve">MET</w:t>
            </w:r>
            <w:r>
              <w:t xml:space="preserve"> </w:t>
            </w:r>
            <w:r>
              <w:t xml:space="preserve">(exceeds 5 yrs)</w:t>
            </w:r>
          </w:p>
        </w:tc>
      </w:tr>
      <w:tr>
        <w:tc>
          <w:tcPr/>
          <w:p>
            <w:pPr>
              <w:pStyle w:val="Compact"/>
              <w:jc w:val="left"/>
            </w:pPr>
            <w:r>
              <w:t xml:space="preserve">(a) Production deep learning, TensorFlow or PyTorch (J.B.5)</w:t>
            </w:r>
          </w:p>
        </w:tc>
        <w:tc>
          <w:tcPr/>
          <w:p>
            <w:pPr>
              <w:pStyle w:val="Compact"/>
              <w:jc w:val="left"/>
            </w:pPr>
            <w:r>
              <w:t xml:space="preserve">DataBridge DS II: TensorFlow + PyTorch; TensorFlow Developer Certificate</w:t>
            </w:r>
          </w:p>
        </w:tc>
        <w:tc>
          <w:tcPr/>
          <w:p>
            <w:pPr>
              <w:pStyle w:val="Compact"/>
              <w:jc w:val="left"/>
            </w:pPr>
            <w:r>
              <w:rPr>
                <w:b/>
                <w:bCs/>
              </w:rPr>
              <w:t xml:space="preserve">MET</w:t>
            </w:r>
          </w:p>
        </w:tc>
      </w:tr>
      <w:tr>
        <w:tc>
          <w:tcPr/>
          <w:p>
            <w:pPr>
              <w:pStyle w:val="Compact"/>
              <w:jc w:val="left"/>
            </w:pPr>
            <w:r>
              <w:t xml:space="preserve">(b) Distributed computing, Apache Spark (J.B.5)</w:t>
            </w:r>
          </w:p>
        </w:tc>
        <w:tc>
          <w:tcPr/>
          <w:p>
            <w:pPr>
              <w:pStyle w:val="Compact"/>
              <w:jc w:val="left"/>
            </w:pPr>
            <w:r>
              <w:t xml:space="preserve">DataBridge DS II: Apache Spark MLlib</w:t>
            </w:r>
          </w:p>
        </w:tc>
        <w:tc>
          <w:tcPr/>
          <w:p>
            <w:pPr>
              <w:pStyle w:val="Compact"/>
              <w:jc w:val="left"/>
            </w:pPr>
            <w:r>
              <w:rPr>
                <w:b/>
                <w:bCs/>
              </w:rPr>
              <w:t xml:space="preserve">MET</w:t>
            </w:r>
          </w:p>
        </w:tc>
      </w:tr>
      <w:tr>
        <w:tc>
          <w:tcPr/>
          <w:p>
            <w:pPr>
              <w:pStyle w:val="Compact"/>
              <w:jc w:val="left"/>
            </w:pPr>
            <w:r>
              <w:t xml:space="preserve">(c) NLP pipeline development (J.B.5)</w:t>
            </w:r>
          </w:p>
        </w:tc>
        <w:tc>
          <w:tcPr/>
          <w:p>
            <w:pPr>
              <w:pStyle w:val="Compact"/>
              <w:jc w:val="left"/>
            </w:pPr>
            <w:r>
              <w:t xml:space="preserve">DataBridge DS I/II: NLP, NER, sentiment analysis; NC State RA NLP research; 2 publications</w:t>
            </w:r>
          </w:p>
        </w:tc>
        <w:tc>
          <w:tcPr/>
          <w:p>
            <w:pPr>
              <w:pStyle w:val="Compact"/>
              <w:jc w:val="left"/>
            </w:pPr>
            <w:r>
              <w:rPr>
                <w:b/>
                <w:bCs/>
              </w:rPr>
              <w:t xml:space="preserve">MET</w:t>
            </w:r>
          </w:p>
        </w:tc>
      </w:tr>
      <w:tr>
        <w:tc>
          <w:tcPr/>
          <w:p>
            <w:pPr>
              <w:pStyle w:val="Compact"/>
              <w:jc w:val="left"/>
            </w:pPr>
            <w:r>
              <w:t xml:space="preserve">(d) Cloud ML deployment, AWS SageMaker or Vertex AI (J.B.5)</w:t>
            </w:r>
          </w:p>
        </w:tc>
        <w:tc>
          <w:tcPr/>
          <w:p>
            <w:pPr>
              <w:pStyle w:val="Compact"/>
              <w:jc w:val="left"/>
            </w:pPr>
            <w:r>
              <w:t xml:space="preserve">DataBridge DS II: AWS SageMaker; DS I: AWS EC2</w:t>
            </w:r>
          </w:p>
        </w:tc>
        <w:tc>
          <w:tcPr/>
          <w:p>
            <w:pPr>
              <w:pStyle w:val="Compact"/>
              <w:jc w:val="left"/>
            </w:pPr>
            <w:r>
              <w:rPr>
                <w:b/>
                <w:bCs/>
              </w:rPr>
              <w:t xml:space="preserve">MET</w:t>
            </w:r>
            <w:r>
              <w:t xml:space="preserve"> </w:t>
            </w:r>
            <w:r>
              <w:t xml:space="preserve">(SageMaker)</w:t>
            </w:r>
          </w:p>
        </w:tc>
      </w:tr>
      <w:tr>
        <w:tc>
          <w:tcPr/>
          <w:p>
            <w:pPr>
              <w:pStyle w:val="Compact"/>
              <w:jc w:val="left"/>
            </w:pPr>
            <w:r>
              <w:t xml:space="preserve">(e) Proficiency in Python</w:t>
            </w:r>
            <w:r>
              <w:t xml:space="preserve"> </w:t>
            </w:r>
            <w:r>
              <w:rPr>
                <w:b/>
                <w:bCs/>
              </w:rPr>
              <w:t xml:space="preserve">and</w:t>
            </w:r>
            <w:r>
              <w:t xml:space="preserve"> </w:t>
            </w:r>
            <w:r>
              <w:t xml:space="preserve">R (J.B.5)</w:t>
            </w:r>
          </w:p>
        </w:tc>
        <w:tc>
          <w:tcPr/>
          <w:p>
            <w:pPr>
              <w:pStyle w:val="Compact"/>
              <w:jc w:val="left"/>
            </w:pPr>
            <w:r>
              <w:t xml:space="preserve">Python: extensively documented (expert). R:</w:t>
            </w:r>
            <w:r>
              <w:t xml:space="preserve"> </w:t>
            </w:r>
            <w:r>
              <w:t xml:space="preserve">“</w:t>
            </w:r>
            <w:r>
              <w:t xml:space="preserve">some use</w:t>
            </w:r>
            <w:r>
              <w:t xml:space="preserve">”</w:t>
            </w:r>
            <w:r>
              <w:t xml:space="preserve">/</w:t>
            </w:r>
            <w:r>
              <w:t xml:space="preserve">“</w:t>
            </w:r>
            <w:r>
              <w:t xml:space="preserve">intermediate</w:t>
            </w:r>
            <w:r>
              <w:t xml:space="preserve">”</w:t>
            </w:r>
            <w:r>
              <w:t xml:space="preserve">; one graduate course (ST 558, A-)</w:t>
            </w:r>
          </w:p>
        </w:tc>
        <w:tc>
          <w:tcPr/>
          <w:p>
            <w:pPr>
              <w:pStyle w:val="Compact"/>
              <w:jc w:val="left"/>
            </w:pPr>
            <w:r>
              <w:rPr>
                <w:b/>
                <w:bCs/>
              </w:rPr>
              <w:t xml:space="preserve">PARTIAL — R weakly established</w:t>
            </w:r>
          </w:p>
        </w:tc>
      </w:tr>
      <w:tr>
        <w:tc>
          <w:tcPr/>
          <w:p>
            <w:pPr>
              <w:pStyle w:val="Compact"/>
              <w:jc w:val="left"/>
            </w:pPr>
            <w:r>
              <w:rPr>
                <w:b/>
                <w:bCs/>
              </w:rPr>
              <w:t xml:space="preserve">AWS Certified ML – Specialty cert or equivalent (J.B.5)</w:t>
            </w:r>
          </w:p>
        </w:tc>
        <w:tc>
          <w:tcPr/>
          <w:p>
            <w:pPr>
              <w:pStyle w:val="Compact"/>
              <w:jc w:val="left"/>
            </w:pPr>
            <w:r>
              <w:t xml:space="preserve">AWS Cloud Practitioner (foundational,</w:t>
            </w:r>
            <w:r>
              <w:t xml:space="preserve"> </w:t>
            </w:r>
            <w:r>
              <w:rPr>
                <w:b/>
                <w:bCs/>
              </w:rPr>
              <w:t xml:space="preserve">expired 1/18/2025</w:t>
            </w:r>
            <w:r>
              <w:t xml:space="preserve">); TensorFlow Developer Cert (Google, not AWS, not equivalent);</w:t>
            </w:r>
            <w:r>
              <w:t xml:space="preserve"> </w:t>
            </w:r>
            <w:r>
              <w:rPr>
                <w:b/>
                <w:bCs/>
              </w:rPr>
              <w:t xml:space="preserve">no AWS specialty held</w:t>
            </w:r>
          </w:p>
        </w:tc>
        <w:tc>
          <w:tcPr/>
          <w:p>
            <w:pPr>
              <w:pStyle w:val="Compact"/>
              <w:jc w:val="left"/>
            </w:pPr>
            <w:r>
              <w:rPr>
                <w:b/>
                <w:bCs/>
              </w:rPr>
              <w:t xml:space="preserve">NOT MET — CRITICAL</w:t>
            </w:r>
          </w:p>
        </w:tc>
      </w:tr>
      <w:tr>
        <w:tc>
          <w:tcPr/>
          <w:p>
            <w:pPr>
              <w:pStyle w:val="Compact"/>
              <w:jc w:val="left"/>
            </w:pPr>
            <w:r>
              <w:t xml:space="preserve">Up to 10% domestic travel (J.B.5)</w:t>
            </w:r>
          </w:p>
        </w:tc>
        <w:tc>
          <w:tcPr/>
          <w:p>
            <w:pPr>
              <w:pStyle w:val="Compact"/>
              <w:jc w:val="left"/>
            </w:pPr>
            <w:r>
              <w:t xml:space="preserve">Job condition; not a credential</w:t>
            </w:r>
          </w:p>
        </w:tc>
        <w:tc>
          <w:tcPr/>
          <w:p>
            <w:pPr>
              <w:pStyle w:val="Compact"/>
              <w:jc w:val="left"/>
            </w:pPr>
            <w:r>
              <w:t xml:space="preserve">N/A (no action)</w:t>
            </w:r>
          </w:p>
        </w:tc>
      </w:tr>
      <w:tr>
        <w:tc>
          <w:tcPr/>
          <w:p>
            <w:pPr>
              <w:pStyle w:val="Compact"/>
              <w:jc w:val="left"/>
            </w:pPr>
            <w:r>
              <w:t xml:space="preserve">Supervise team of 3–5 ML engineers (J.B.5)</w:t>
            </w:r>
          </w:p>
        </w:tc>
        <w:tc>
          <w:tcPr/>
          <w:p>
            <w:pPr>
              <w:pStyle w:val="Compact"/>
              <w:jc w:val="left"/>
            </w:pPr>
            <w:r>
              <w:t xml:space="preserve">DataBridge DS II: led team of</w:t>
            </w:r>
            <w:r>
              <w:t xml:space="preserve"> </w:t>
            </w:r>
            <w:r>
              <w:rPr>
                <w:b/>
                <w:bCs/>
              </w:rPr>
              <w:t xml:space="preserve">2</w:t>
            </w:r>
            <w:r>
              <w:t xml:space="preserve"> </w:t>
            </w:r>
            <w:r>
              <w:t xml:space="preserve">junior data scientists</w:t>
            </w:r>
          </w:p>
        </w:tc>
        <w:tc>
          <w:tcPr/>
          <w:p>
            <w:pPr>
              <w:pStyle w:val="Compact"/>
              <w:jc w:val="left"/>
            </w:pPr>
            <w:r>
              <w:rPr>
                <w:b/>
                <w:bCs/>
              </w:rPr>
              <w:t xml:space="preserve">PARTIAL — scope mismatch (2 vs 3–5)</w:t>
            </w:r>
          </w:p>
        </w:tc>
      </w:tr>
      <w:tr>
        <w:tc>
          <w:tcPr/>
          <w:p>
            <w:pPr>
              <w:pStyle w:val="Compact"/>
              <w:jc w:val="left"/>
            </w:pPr>
            <w:r>
              <w:t xml:space="preserve">No qualifying experience with petitioning employer (K.5)</w:t>
            </w:r>
          </w:p>
        </w:tc>
        <w:tc>
          <w:tcPr/>
          <w:p>
            <w:pPr>
              <w:pStyle w:val="Compact"/>
              <w:jc w:val="left"/>
            </w:pPr>
            <w:r>
              <w:t xml:space="preserve">Beneficiary never employed by Prismex</w:t>
            </w:r>
          </w:p>
        </w:tc>
        <w:tc>
          <w:tcPr/>
          <w:p>
            <w:pPr>
              <w:pStyle w:val="Compact"/>
              <w:jc w:val="left"/>
            </w:pPr>
            <w:r>
              <w:rPr>
                <w:b/>
                <w:bCs/>
              </w:rPr>
              <w:t xml:space="preserve">MET</w:t>
            </w:r>
            <w:r>
              <w:t xml:space="preserve"> </w:t>
            </w:r>
            <w:r>
              <w:t xml:space="preserve">(supports eligibility)</w:t>
            </w:r>
          </w:p>
        </w:tc>
      </w:tr>
      <w:tr>
        <w:tc>
          <w:tcPr/>
          <w:p>
            <w:pPr>
              <w:pStyle w:val="Compact"/>
              <w:jc w:val="left"/>
            </w:pPr>
            <w:r>
              <w:rPr>
                <w:b/>
                <w:bCs/>
              </w:rPr>
              <w:t xml:space="preserve">Wage:</w:t>
            </w:r>
            <w:r>
              <w:t xml:space="preserve"> </w:t>
            </w:r>
            <w:r>
              <w:t xml:space="preserve">offered ≥ prevailing (E.5 / H.6 / N.2)</w:t>
            </w:r>
          </w:p>
        </w:tc>
        <w:tc>
          <w:tcPr/>
          <w:p>
            <w:pPr>
              <w:pStyle w:val="Compact"/>
              <w:jc w:val="left"/>
            </w:pPr>
            <w:r>
              <w:t xml:space="preserve">Offered $142,000 ≥ PWD $131,747 (Level III); PWD valid through 11/7/2025</w:t>
            </w:r>
          </w:p>
        </w:tc>
        <w:tc>
          <w:tcPr/>
          <w:p>
            <w:pPr>
              <w:pStyle w:val="Compact"/>
              <w:jc w:val="left"/>
            </w:pPr>
            <w:r>
              <w:rPr>
                <w:b/>
                <w:bCs/>
              </w:rPr>
              <w:t xml:space="preserve">MET</w:t>
            </w:r>
          </w:p>
        </w:tc>
      </w:tr>
      <w:tr>
        <w:tc>
          <w:tcPr/>
          <w:p>
            <w:pPr>
              <w:pStyle w:val="Compact"/>
              <w:jc w:val="left"/>
            </w:pPr>
            <w:r>
              <w:rPr>
                <w:b/>
                <w:bCs/>
              </w:rPr>
              <w:t xml:space="preserve">PWD validity / SOC / wage level</w:t>
            </w:r>
          </w:p>
        </w:tc>
        <w:tc>
          <w:tcPr/>
          <w:p>
            <w:pPr>
              <w:pStyle w:val="Compact"/>
              <w:jc w:val="left"/>
            </w:pPr>
            <w:r>
              <w:t xml:space="preserve">PWD P-200-24187-329156, SOC 15-2051, Level III, Austin-Round Rock-Georgetown TX MSA</w:t>
            </w:r>
          </w:p>
        </w:tc>
        <w:tc>
          <w:tcPr/>
          <w:p>
            <w:pPr>
              <w:pStyle w:val="Compact"/>
              <w:jc w:val="left"/>
            </w:pPr>
            <w:r>
              <w:rPr>
                <w:b/>
                <w:bCs/>
              </w:rPr>
              <w:t xml:space="preserve">MET</w:t>
            </w:r>
            <w:r>
              <w:t xml:space="preserve"> </w:t>
            </w:r>
            <w:r>
              <w:t xml:space="preserve">(subject to FEIN reconciliation, Item D)</w:t>
            </w:r>
          </w:p>
        </w:tc>
      </w:tr>
    </w:tbl>
    <w:p>
      <w:r>
        <w:pict>
          <v:rect style="width:0;height:1.5pt" o:hralign="center" o:hrstd="t" o:hr="t"/>
        </w:pict>
      </w:r>
    </w:p>
    <w:bookmarkEnd w:id="33"/>
    <w:bookmarkStart w:id="34" w:name="X2c8eeebcd6b32cb2460c6871ba39c0c6474c1f6"/>
    <w:p>
      <w:pPr>
        <w:pStyle w:val="Heading2"/>
      </w:pPr>
      <w:r>
        <w:t xml:space="preserve">VI. Consolidated Remedial Action Plan (Prioritized)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rPr>
                <w:b/>
                <w:bCs/>
              </w:rPr>
              <w:t xml:space="preserve">1 (Critical)</w:t>
            </w:r>
          </w:p>
        </w:tc>
        <w:tc>
          <w:tcPr/>
          <w:p>
            <w:pPr>
              <w:pStyle w:val="Compact"/>
              <w:jc w:val="left"/>
            </w:pPr>
            <w:r>
              <w:t xml:space="preserve">Resolve AWS ML – Specialty certification gap: evaluate</w:t>
            </w:r>
            <w:r>
              <w:t xml:space="preserve"> </w:t>
            </w:r>
            <w:r>
              <w:t xml:space="preserve">“</w:t>
            </w:r>
            <w:r>
              <w:t xml:space="preserve">or equivalent</w:t>
            </w:r>
            <w:r>
              <w:t xml:space="preserve">”</w:t>
            </w:r>
            <w:r>
              <w:t xml:space="preserve"> </w:t>
            </w:r>
            <w:r>
              <w:t xml:space="preserve">defense; obtain expert opinion if pursued; assess I-140 filing strategy; schedule decision call</w:t>
            </w:r>
          </w:p>
        </w:tc>
        <w:tc>
          <w:tcPr/>
          <w:p>
            <w:pPr>
              <w:pStyle w:val="Compact"/>
              <w:jc w:val="left"/>
            </w:pPr>
            <w:r>
              <w:t xml:space="preserve">Counsel + Employer + Beneficiary</w:t>
            </w:r>
          </w:p>
        </w:tc>
        <w:tc>
          <w:tcPr/>
          <w:p>
            <w:pPr>
              <w:pStyle w:val="Compact"/>
              <w:jc w:val="left"/>
            </w:pPr>
            <w:r>
              <w:t xml:space="preserve">Immediately; before any I-140 filing</w:t>
            </w:r>
          </w:p>
        </w:tc>
      </w:tr>
      <w:tr>
        <w:tc>
          <w:tcPr/>
          <w:p>
            <w:pPr>
              <w:pStyle w:val="Compact"/>
              <w:jc w:val="left"/>
            </w:pPr>
            <w:r>
              <w:rPr>
                <w:b/>
                <w:bCs/>
              </w:rPr>
              <w:t xml:space="preserve">1 (Critical)</w:t>
            </w:r>
          </w:p>
        </w:tc>
        <w:tc>
          <w:tcPr/>
          <w:p>
            <w:pPr>
              <w:pStyle w:val="Compact"/>
              <w:jc w:val="left"/>
            </w:pPr>
            <w:r>
              <w:t xml:space="preserve">Reconcile the Section K.3 attestation with the certifications compilation; document the accurate position</w:t>
            </w:r>
          </w:p>
        </w:tc>
        <w:tc>
          <w:tcPr/>
          <w:p>
            <w:pPr>
              <w:pStyle w:val="Compact"/>
              <w:jc w:val="left"/>
            </w:pPr>
            <w:r>
              <w:t xml:space="preserve">Counsel</w:t>
            </w:r>
          </w:p>
        </w:tc>
        <w:tc>
          <w:tcPr/>
          <w:p>
            <w:pPr>
              <w:pStyle w:val="Compact"/>
              <w:jc w:val="left"/>
            </w:pPr>
            <w:r>
              <w:t xml:space="preserve">Immediately</w:t>
            </w:r>
          </w:p>
        </w:tc>
      </w:tr>
      <w:tr>
        <w:tc>
          <w:tcPr/>
          <w:p>
            <w:pPr>
              <w:pStyle w:val="Compact"/>
              <w:jc w:val="left"/>
            </w:pPr>
            <w:r>
              <w:rPr>
                <w:b/>
                <w:bCs/>
              </w:rPr>
              <w:t xml:space="preserve">2</w:t>
            </w:r>
          </w:p>
        </w:tc>
        <w:tc>
          <w:tcPr/>
          <w:p>
            <w:pPr>
              <w:pStyle w:val="Compact"/>
              <w:jc w:val="left"/>
            </w:pPr>
            <w:r>
              <w:t xml:space="preserve">Obtain supplemental DataBridge letter detailing R proficiency (frequency, complexity, packages, deliverables)</w:t>
            </w:r>
          </w:p>
        </w:tc>
        <w:tc>
          <w:tcPr/>
          <w:p>
            <w:pPr>
              <w:pStyle w:val="Compact"/>
              <w:jc w:val="left"/>
            </w:pPr>
            <w:r>
              <w:t xml:space="preserve">Employer/Beneficiary → Dr. Okonkwo</w:t>
            </w:r>
          </w:p>
        </w:tc>
        <w:tc>
          <w:tcPr/>
          <w:p>
            <w:pPr>
              <w:pStyle w:val="Compact"/>
              <w:jc w:val="left"/>
            </w:pPr>
            <w:r>
              <w:t xml:space="preserve">~2 weeks</w:t>
            </w:r>
          </w:p>
        </w:tc>
      </w:tr>
      <w:tr>
        <w:tc>
          <w:tcPr/>
          <w:p>
            <w:pPr>
              <w:pStyle w:val="Compact"/>
              <w:jc w:val="left"/>
            </w:pPr>
            <w:r>
              <w:rPr>
                <w:b/>
                <w:bCs/>
              </w:rPr>
              <w:t xml:space="preserve">2</w:t>
            </w:r>
          </w:p>
        </w:tc>
        <w:tc>
          <w:tcPr/>
          <w:p>
            <w:pPr>
              <w:pStyle w:val="Compact"/>
              <w:jc w:val="left"/>
            </w:pPr>
            <w:r>
              <w:t xml:space="preserve">Obtain supplemental DataBridge letter clarifying supervisory scope (full headcount supervised/mentored)</w:t>
            </w:r>
          </w:p>
        </w:tc>
        <w:tc>
          <w:tcPr/>
          <w:p>
            <w:pPr>
              <w:pStyle w:val="Compact"/>
              <w:jc w:val="left"/>
            </w:pPr>
            <w:r>
              <w:t xml:space="preserve">Employer/Beneficiary → Dr. Okonkwo</w:t>
            </w:r>
          </w:p>
        </w:tc>
        <w:tc>
          <w:tcPr/>
          <w:p>
            <w:pPr>
              <w:pStyle w:val="Compact"/>
              <w:jc w:val="left"/>
            </w:pPr>
            <w:r>
              <w:t xml:space="preserve">~2 weeks</w:t>
            </w:r>
          </w:p>
        </w:tc>
      </w:tr>
      <w:tr>
        <w:tc>
          <w:tcPr/>
          <w:p>
            <w:pPr>
              <w:pStyle w:val="Compact"/>
              <w:jc w:val="left"/>
            </w:pPr>
            <w:r>
              <w:rPr>
                <w:b/>
                <w:bCs/>
              </w:rPr>
              <w:t xml:space="preserve">2</w:t>
            </w:r>
          </w:p>
        </w:tc>
        <w:tc>
          <w:tcPr/>
          <w:p>
            <w:pPr>
              <w:pStyle w:val="Compact"/>
              <w:jc w:val="left"/>
            </w:pPr>
            <w:r>
              <w:t xml:space="preserve">Verify correct FEIN; reconcile PWD vs. ETA 9089; request corrected PWD if needed</w:t>
            </w:r>
          </w:p>
        </w:tc>
        <w:tc>
          <w:tcPr/>
          <w:p>
            <w:pPr>
              <w:pStyle w:val="Compact"/>
              <w:jc w:val="left"/>
            </w:pPr>
            <w:r>
              <w:t xml:space="preserve">Employer (Melanie/Rajiv) + Counsel</w:t>
            </w:r>
          </w:p>
        </w:tc>
        <w:tc>
          <w:tcPr/>
          <w:p>
            <w:pPr>
              <w:pStyle w:val="Compact"/>
              <w:jc w:val="left"/>
            </w:pPr>
            <w:r>
              <w:t xml:space="preserve">~1–2 weeks</w:t>
            </w:r>
          </w:p>
        </w:tc>
      </w:tr>
      <w:tr>
        <w:tc>
          <w:tcPr/>
          <w:p>
            <w:pPr>
              <w:pStyle w:val="Compact"/>
              <w:jc w:val="left"/>
            </w:pPr>
            <w:r>
              <w:rPr>
                <w:b/>
                <w:bCs/>
              </w:rPr>
              <w:t xml:space="preserve">3</w:t>
            </w:r>
          </w:p>
        </w:tc>
        <w:tc>
          <w:tcPr/>
          <w:p>
            <w:pPr>
              <w:pStyle w:val="Compact"/>
              <w:jc w:val="left"/>
            </w:pPr>
            <w:r>
              <w:t xml:space="preserve">Continue pursuit of NC State RA verification letter (dept. administrator/HR)</w:t>
            </w:r>
          </w:p>
        </w:tc>
        <w:tc>
          <w:tcPr/>
          <w:p>
            <w:pPr>
              <w:pStyle w:val="Compact"/>
              <w:jc w:val="left"/>
            </w:pPr>
            <w:r>
              <w:t xml:space="preserve">Beneficiary + Counsel</w:t>
            </w:r>
          </w:p>
        </w:tc>
        <w:tc>
          <w:tcPr/>
          <w:p>
            <w:pPr>
              <w:pStyle w:val="Compact"/>
              <w:jc w:val="left"/>
            </w:pPr>
            <w:r>
              <w:t xml:space="preserve">Ongoing; not I-140-blocking</w:t>
            </w:r>
          </w:p>
        </w:tc>
      </w:tr>
      <w:tr>
        <w:tc>
          <w:tcPr/>
          <w:p>
            <w:pPr>
              <w:pStyle w:val="Compact"/>
              <w:jc w:val="left"/>
            </w:pPr>
            <w:r>
              <w:rPr>
                <w:b/>
                <w:bCs/>
              </w:rPr>
              <w:t xml:space="preserve">3</w:t>
            </w:r>
          </w:p>
        </w:tc>
        <w:tc>
          <w:tcPr/>
          <w:p>
            <w:pPr>
              <w:pStyle w:val="Compact"/>
              <w:jc w:val="left"/>
            </w:pPr>
            <w:r>
              <w:t xml:space="preserve">Schedule Beneficiary for AWS ML – Specialty exam (supports H-1B and any refiling)</w:t>
            </w:r>
          </w:p>
        </w:tc>
        <w:tc>
          <w:tcPr/>
          <w:p>
            <w:pPr>
              <w:pStyle w:val="Compact"/>
              <w:jc w:val="left"/>
            </w:pPr>
            <w:r>
              <w:t xml:space="preserve">Beneficiary</w:t>
            </w:r>
          </w:p>
        </w:tc>
        <w:tc>
          <w:tcPr/>
          <w:p>
            <w:pPr>
              <w:pStyle w:val="Compact"/>
              <w:jc w:val="left"/>
            </w:pPr>
            <w:r>
              <w:t xml:space="preserve">ASAP</w:t>
            </w:r>
          </w:p>
        </w:tc>
      </w:tr>
      <w:tr>
        <w:tc>
          <w:tcPr/>
          <w:p>
            <w:pPr>
              <w:pStyle w:val="Compact"/>
              <w:jc w:val="left"/>
            </w:pPr>
            <w:r>
              <w:rPr>
                <w:b/>
                <w:bCs/>
              </w:rPr>
              <w:t xml:space="preserve">4</w:t>
            </w:r>
          </w:p>
        </w:tc>
        <w:tc>
          <w:tcPr/>
          <w:p>
            <w:pPr>
              <w:pStyle w:val="Compact"/>
              <w:jc w:val="left"/>
            </w:pPr>
            <w:r>
              <w:t xml:space="preserve">Use precise experience duration (6 yrs 9 mos) in I-140; correct phone number; ensure FEIN consistency across all filings</w:t>
            </w:r>
          </w:p>
        </w:tc>
        <w:tc>
          <w:tcPr/>
          <w:p>
            <w:pPr>
              <w:pStyle w:val="Compact"/>
              <w:jc w:val="left"/>
            </w:pPr>
            <w:r>
              <w:t xml:space="preserve">Counsel</w:t>
            </w:r>
          </w:p>
        </w:tc>
        <w:tc>
          <w:tcPr/>
          <w:p>
            <w:pPr>
              <w:pStyle w:val="Compact"/>
              <w:jc w:val="left"/>
            </w:pPr>
            <w:r>
              <w:t xml:space="preserve">At I-129/I-140 preparation</w:t>
            </w:r>
          </w:p>
        </w:tc>
      </w:tr>
    </w:tbl>
    <w:p>
      <w:r>
        <w:pict>
          <v:rect style="width:0;height:1.5pt" o:hralign="center" o:hrstd="t" o:hr="t"/>
        </w:pict>
      </w:r>
    </w:p>
    <w:bookmarkEnd w:id="34"/>
    <w:bookmarkStart w:id="35" w:name="X885c4e9fcb8f609378ea8ecec7b2b42d508f2ba"/>
    <w:p>
      <w:pPr>
        <w:pStyle w:val="Heading2"/>
      </w:pPr>
      <w:r>
        <w:t xml:space="preserve">VII. Priority-Date Considerations — The</w:t>
      </w:r>
      <w:r>
        <w:t xml:space="preserve"> </w:t>
      </w:r>
      <w:r>
        <w:t xml:space="preserve">“</w:t>
      </w:r>
      <w:r>
        <w:t xml:space="preserve">As-Of-Filing</w:t>
      </w:r>
      <w:r>
        <w:t xml:space="preserve">”</w:t>
      </w:r>
      <w:r>
        <w:t xml:space="preserve"> </w:t>
      </w:r>
      <w:r>
        <w:t xml:space="preserve">Rule</w:t>
      </w:r>
    </w:p>
    <w:p>
      <w:pPr>
        <w:pStyle w:val="FirstParagraph"/>
      </w:pPr>
      <w:r>
        <w:t xml:space="preserve">We emphasize the legal framework that governs several of the gaps above, because it drives both severity and the available remedies:</w:t>
      </w:r>
    </w:p>
    <w:p>
      <w:pPr>
        <w:pStyle w:val="Compact"/>
        <w:numPr>
          <w:ilvl w:val="0"/>
          <w:numId w:val="1011"/>
        </w:numPr>
      </w:pPr>
      <w:r>
        <w:t xml:space="preserve">For a labor-certification-based immigrant petition, the Beneficiary must have met</w:t>
      </w:r>
      <w:r>
        <w:t xml:space="preserve"> </w:t>
      </w:r>
      <w:r>
        <w:rPr>
          <w:b/>
          <w:bCs/>
        </w:rPr>
        <w:t xml:space="preserve">all</w:t>
      </w:r>
      <w:r>
        <w:t xml:space="preserve"> </w:t>
      </w:r>
      <w:r>
        <w:t xml:space="preserve">minimum education, training, and experience requirements stated on the ETA Form 9089</w:t>
      </w:r>
      <w:r>
        <w:t xml:space="preserve"> </w:t>
      </w:r>
      <w:r>
        <w:rPr>
          <w:b/>
          <w:bCs/>
        </w:rPr>
        <w:t xml:space="preserve">as of the priority date</w:t>
      </w:r>
      <w:r>
        <w:t xml:space="preserve"> </w:t>
      </w:r>
      <w:r>
        <w:t xml:space="preserve">(the date the application was filed and accepted for processing — here,</w:t>
      </w:r>
      <w:r>
        <w:t xml:space="preserve"> </w:t>
      </w:r>
      <w:r>
        <w:rPr>
          <w:b/>
          <w:bCs/>
        </w:rPr>
        <w:t xml:space="preserve">March 15, 2025</w:t>
      </w:r>
      <w:r>
        <w:t xml:space="preserve">). See 20 CFR 656.17(i) (experience gained on the job / after filing) and the governing principle that the alien must be fully qualified as of the priority date.</w:t>
      </w:r>
    </w:p>
    <w:p>
      <w:pPr>
        <w:pStyle w:val="Compact"/>
        <w:numPr>
          <w:ilvl w:val="0"/>
          <w:numId w:val="1011"/>
        </w:numPr>
      </w:pPr>
      <w:r>
        <w:rPr>
          <w:b/>
          <w:bCs/>
        </w:rPr>
        <w:t xml:space="preserve">Qualifications acquired after the priority date cannot be used to satisfy the minimum requirements.</w:t>
      </w:r>
      <w:r>
        <w:t xml:space="preserve"> </w:t>
      </w:r>
      <w:r>
        <w:t xml:space="preserve">This is why a newly earned AWS ML – Specialty certification would not cure Item A for the PERM/I-140 minimum-requirement showing, and why the</w:t>
      </w:r>
      <w:r>
        <w:t xml:space="preserve"> </w:t>
      </w:r>
      <w:r>
        <w:rPr>
          <w:b/>
          <w:bCs/>
        </w:rPr>
        <w:t xml:space="preserve">expiration</w:t>
      </w:r>
      <w:r>
        <w:t xml:space="preserve"> </w:t>
      </w:r>
      <w:r>
        <w:t xml:space="preserve">of the AWS Cloud Practitioner on January 18, 2025 (before the priority date) is so consequential.</w:t>
      </w:r>
    </w:p>
    <w:p>
      <w:pPr>
        <w:pStyle w:val="Compact"/>
        <w:numPr>
          <w:ilvl w:val="0"/>
          <w:numId w:val="1011"/>
        </w:numPr>
      </w:pPr>
      <w:r>
        <w:t xml:space="preserve">The corollary for Items B and C: the R-proficiency and supervisory-scope showings must be supportable</w:t>
      </w:r>
      <w:r>
        <w:t xml:space="preserve"> </w:t>
      </w:r>
      <w:r>
        <w:rPr>
          <w:b/>
          <w:bCs/>
        </w:rPr>
        <w:t xml:space="preserve">as of March 15, 2025</w:t>
      </w:r>
      <w:r>
        <w:t xml:space="preserve"> </w:t>
      </w:r>
      <w:r>
        <w:t xml:space="preserve">based on experience the Beneficiary had already accrued (principally at DataBridge). Supplemental letters that</w:t>
      </w:r>
      <w:r>
        <w:t xml:space="preserve"> </w:t>
      </w:r>
      <w:r>
        <w:rPr>
          <w:b/>
          <w:bCs/>
        </w:rPr>
        <w:t xml:space="preserve">elaborate</w:t>
      </w:r>
      <w:r>
        <w:t xml:space="preserve"> </w:t>
      </w:r>
      <w:r>
        <w:t xml:space="preserve">already-gained experience are appropriate and helpful; supplemental letters that</w:t>
      </w:r>
      <w:r>
        <w:t xml:space="preserve"> </w:t>
      </w:r>
      <w:r>
        <w:rPr>
          <w:b/>
          <w:bCs/>
        </w:rPr>
        <w:t xml:space="preserve">recast or inflate</w:t>
      </w:r>
      <w:r>
        <w:t xml:space="preserve"> </w:t>
      </w:r>
      <w:r>
        <w:t xml:space="preserve">experience not actually gained as of that date are not.</w:t>
      </w:r>
    </w:p>
    <w:p>
      <w:r>
        <w:pict>
          <v:rect style="width:0;height:1.5pt" o:hralign="center" o:hrstd="t" o:hr="t"/>
        </w:pict>
      </w:r>
    </w:p>
    <w:bookmarkEnd w:id="35"/>
    <w:bookmarkStart w:id="36" w:name="Xab5f570b70068957fe3dd4f97bebdbf58be4267"/>
    <w:p>
      <w:pPr>
        <w:pStyle w:val="Heading2"/>
      </w:pPr>
      <w:r>
        <w:t xml:space="preserve">VIII. Impact on the H-1B (I-129) vs. the I-140</w:t>
      </w:r>
    </w:p>
    <w:p>
      <w:pPr>
        <w:pStyle w:val="FirstParagraph"/>
      </w:pPr>
      <w:r>
        <w:t xml:space="preserve">Your June 4 email indicates the immediate filing is a</w:t>
      </w:r>
      <w:r>
        <w:t xml:space="preserve"> </w:t>
      </w:r>
      <w:r>
        <w:rPr>
          <w:b/>
          <w:bCs/>
        </w:rPr>
        <w:t xml:space="preserve">cap-subject H-1B (Form I-129)</w:t>
      </w:r>
      <w:r>
        <w:t xml:space="preserve"> </w:t>
      </w:r>
      <w:r>
        <w:t xml:space="preserve">for FY2026 (selected in the lottery), with a target filing date of July 15, 2025 and an October 1, 2025 start date, and that the certified PERM underlies a future</w:t>
      </w:r>
      <w:r>
        <w:t xml:space="preserve"> </w:t>
      </w:r>
      <w:r>
        <w:rPr>
          <w:b/>
          <w:bCs/>
        </w:rPr>
        <w:t xml:space="preserve">I-140</w:t>
      </w:r>
      <w:r>
        <w:t xml:space="preserve">. It is important to distinguish the two:</w:t>
      </w:r>
    </w:p>
    <w:p>
      <w:pPr>
        <w:numPr>
          <w:ilvl w:val="0"/>
          <w:numId w:val="1012"/>
        </w:numPr>
      </w:pPr>
      <w:r>
        <w:rPr>
          <w:b/>
          <w:bCs/>
        </w:rPr>
        <w:t xml:space="preserve">H-1B (I-129).</w:t>
      </w:r>
      <w:r>
        <w:t xml:space="preserve"> </w:t>
      </w:r>
      <w:r>
        <w:t xml:space="preserve">The H-1B requires only that the position be a</w:t>
      </w:r>
      <w:r>
        <w:t xml:space="preserve"> </w:t>
      </w:r>
      <w:r>
        <w:t xml:space="preserve">“</w:t>
      </w:r>
      <w:r>
        <w:t xml:space="preserve">specialty occupation</w:t>
      </w:r>
      <w:r>
        <w:t xml:space="preserve">”</w:t>
      </w:r>
      <w:r>
        <w:t xml:space="preserve"> </w:t>
      </w:r>
      <w:r>
        <w:t xml:space="preserve">(requiring a U.S. bachelor’s degree or higher in a specific specialty) and that the Beneficiary hold the required degree. The Beneficiary’s</w:t>
      </w:r>
      <w:r>
        <w:t xml:space="preserve"> </w:t>
      </w:r>
      <w:r>
        <w:rPr>
          <w:b/>
          <w:bCs/>
        </w:rPr>
        <w:t xml:space="preserve">M.S. in Computer Science</w:t>
      </w:r>
      <w:r>
        <w:t xml:space="preserve"> </w:t>
      </w:r>
      <w:r>
        <w:t xml:space="preserve">(and the evaluated B.Tech) comfortably satisfy the H-1B degree requirement for a Senior Machine Learning Engineer specialty occupation. The PERM-specific minimum requirements — the 5 years post-master’s experience, the AWS ML – Specialty certification, R proficiency, and the 3–5 supervisory scope — are</w:t>
      </w:r>
      <w:r>
        <w:t xml:space="preserve"> </w:t>
      </w:r>
      <w:r>
        <w:rPr>
          <w:b/>
          <w:bCs/>
        </w:rPr>
        <w:t xml:space="preserve">not</w:t>
      </w:r>
      <w:r>
        <w:t xml:space="preserve"> </w:t>
      </w:r>
      <w:r>
        <w:t xml:space="preserve">H-1B requirements. Accordingly,</w:t>
      </w:r>
      <w:r>
        <w:t xml:space="preserve"> </w:t>
      </w:r>
      <w:r>
        <w:rPr>
          <w:b/>
          <w:bCs/>
        </w:rPr>
        <w:t xml:space="preserve">none of the gaps above are I-129-blocking</w:t>
      </w:r>
      <w:r>
        <w:t xml:space="preserve">, although the AWS ML – Specialty certification (once earned) and the detailed experience letters will strengthen the H-1B specialty-occupation and beneficiary-qualifications showing. We confirm, separately, the cap-gap analysis you requested: if the H-1B I-129 is timely filed and selected, the Beneficiary’s F-1 STEM OPT employment authorization and status are generally extended automatically through September 30, with the H-1B change of status effective October 1, provided all cap-gap conditions are met. We will address that in a separate note.</w:t>
      </w:r>
    </w:p>
    <w:p>
      <w:pPr>
        <w:numPr>
          <w:ilvl w:val="0"/>
          <w:numId w:val="1012"/>
        </w:numPr>
      </w:pPr>
      <w:r>
        <w:rPr>
          <w:b/>
          <w:bCs/>
        </w:rPr>
        <w:t xml:space="preserve">I-140.</w:t>
      </w:r>
      <w:r>
        <w:t xml:space="preserve"> </w:t>
      </w:r>
      <w:r>
        <w:t xml:space="preserve">The I-140 is where the PERM minimum-requirement matching is scrutinized, and where</w:t>
      </w:r>
      <w:r>
        <w:t xml:space="preserve"> </w:t>
      </w:r>
      <w:r>
        <w:rPr>
          <w:b/>
          <w:bCs/>
        </w:rPr>
        <w:t xml:space="preserve">Items A, B, and C</w:t>
      </w:r>
      <w:r>
        <w:t xml:space="preserve"> </w:t>
      </w:r>
      <w:r>
        <w:t xml:space="preserve">present real risk. The I-140 should not be filed until the AWS certification issue (Item A) is resolved and a defensible position is documented, and until the R and supervisory showings (Items B, C) are shored up with supplemental letters.</w:t>
      </w:r>
    </w:p>
    <w:p>
      <w:r>
        <w:pict>
          <v:rect style="width:0;height:1.5pt" o:hralign="center" o:hrstd="t" o:hr="t"/>
        </w:pict>
      </w:r>
    </w:p>
    <w:bookmarkEnd w:id="36"/>
    <w:bookmarkStart w:id="37" w:name="ix.-conclusion-and-next-steps"/>
    <w:p>
      <w:pPr>
        <w:pStyle w:val="Heading2"/>
      </w:pPr>
      <w:r>
        <w:t xml:space="preserve">IX. Conclusion and Next Steps</w:t>
      </w:r>
    </w:p>
    <w:p>
      <w:pPr>
        <w:pStyle w:val="FirstParagraph"/>
      </w:pPr>
      <w:r>
        <w:t xml:space="preserve">The Beneficiary is well-qualified on education and on the core post-master’s experience, and the wage and PWD fundamentals are sound. The package, however, is</w:t>
      </w:r>
      <w:r>
        <w:t xml:space="preserve"> </w:t>
      </w:r>
      <w:r>
        <w:rPr>
          <w:b/>
          <w:bCs/>
        </w:rPr>
        <w:t xml:space="preserve">not</w:t>
      </w:r>
      <w:r>
        <w:t xml:space="preserve"> </w:t>
      </w:r>
      <w:r>
        <w:t xml:space="preserve">fully</w:t>
      </w:r>
      <w:r>
        <w:t xml:space="preserve"> </w:t>
      </w:r>
      <w:r>
        <w:t xml:space="preserve">“</w:t>
      </w:r>
      <w:r>
        <w:t xml:space="preserve">in order</w:t>
      </w:r>
      <w:r>
        <w:t xml:space="preserve">”</w:t>
      </w:r>
      <w:r>
        <w:t xml:space="preserve"> </w:t>
      </w:r>
      <w:r>
        <w:t xml:space="preserve">against the certified PERM requirements. The</w:t>
      </w:r>
      <w:r>
        <w:t xml:space="preserve"> </w:t>
      </w:r>
      <w:r>
        <w:rPr>
          <w:b/>
          <w:bCs/>
        </w:rPr>
        <w:t xml:space="preserve">AWS Certified Machine Learning – Specialty certification</w:t>
      </w:r>
      <w:r>
        <w:t xml:space="preserve"> </w:t>
      </w:r>
      <w:r>
        <w:t xml:space="preserve">gap is critical and, because the only AWS credential held had expired before the priority date, raises a genuine question about whether the Beneficiary met a stated minimum requirement as of March 15, 2025 — as well as a discrepancy with the Section K.3 attestation. The</w:t>
      </w:r>
      <w:r>
        <w:t xml:space="preserve"> </w:t>
      </w:r>
      <w:r>
        <w:rPr>
          <w:b/>
          <w:bCs/>
        </w:rPr>
        <w:t xml:space="preserve">R-proficiency</w:t>
      </w:r>
      <w:r>
        <w:t xml:space="preserve">,</w:t>
      </w:r>
      <w:r>
        <w:t xml:space="preserve"> </w:t>
      </w:r>
      <w:r>
        <w:rPr>
          <w:b/>
          <w:bCs/>
        </w:rPr>
        <w:t xml:space="preserve">supervisory-scope</w:t>
      </w:r>
      <w:r>
        <w:t xml:space="preserve">, and</w:t>
      </w:r>
      <w:r>
        <w:t xml:space="preserve"> </w:t>
      </w:r>
      <w:r>
        <w:rPr>
          <w:b/>
          <w:bCs/>
        </w:rPr>
        <w:t xml:space="preserve">FEIN</w:t>
      </w:r>
      <w:r>
        <w:t xml:space="preserve"> </w:t>
      </w:r>
      <w:r>
        <w:t xml:space="preserve">items are significant and remediable. The remaining items are moderate-to-minor.</w:t>
      </w:r>
    </w:p>
    <w:p>
      <w:pPr>
        <w:pStyle w:val="BodyText"/>
      </w:pPr>
      <w:r>
        <w:rPr>
          <w:b/>
          <w:bCs/>
        </w:rPr>
        <w:t xml:space="preserve">Recommended next steps:</w:t>
      </w:r>
    </w:p>
    <w:p>
      <w:pPr>
        <w:pStyle w:val="Compact"/>
        <w:numPr>
          <w:ilvl w:val="0"/>
          <w:numId w:val="1013"/>
        </w:numPr>
      </w:pPr>
      <w:r>
        <w:t xml:space="preserve">We will schedule a call this week with you and Rajiv to review the AWS certification issue and the I-140 filing strategy (Item A), as this is the gating decision.</w:t>
      </w:r>
    </w:p>
    <w:p>
      <w:pPr>
        <w:pStyle w:val="Compact"/>
        <w:numPr>
          <w:ilvl w:val="0"/>
          <w:numId w:val="1013"/>
        </w:numPr>
      </w:pPr>
      <w:r>
        <w:t xml:space="preserve">Please authorize us to request the two supplemental DataBridge letters (R proficiency; supervisory scope) and to verify/reconcile the FEIN (Items B, C, D).</w:t>
      </w:r>
    </w:p>
    <w:p>
      <w:pPr>
        <w:pStyle w:val="Compact"/>
        <w:numPr>
          <w:ilvl w:val="0"/>
          <w:numId w:val="1013"/>
        </w:numPr>
      </w:pPr>
      <w:r>
        <w:t xml:space="preserve">The Beneficiary should schedule the AWS ML – Specialty examination as soon as possible (Item A.3).</w:t>
      </w:r>
    </w:p>
    <w:p>
      <w:pPr>
        <w:pStyle w:val="Compact"/>
        <w:numPr>
          <w:ilvl w:val="0"/>
          <w:numId w:val="1013"/>
        </w:numPr>
      </w:pPr>
      <w:r>
        <w:t xml:space="preserve">We will prepare the H-1B I-129 for filing by your July 15, 2025 target — the credential gaps above do not block that filing — and will hold the I-140 pending resolution of Item A.</w:t>
      </w:r>
    </w:p>
    <w:p>
      <w:pPr>
        <w:pStyle w:val="FirstParagraph"/>
      </w:pPr>
      <w:r>
        <w:t xml:space="preserve">Please contact me at (202) 555-0392 or challoran@whitmoreandcallahan.com with any questions. This memorandum is privileged and confidential and is intended solely for the addressees in connection with the referenced matter.</w:t>
      </w:r>
    </w:p>
    <w:p>
      <w:pPr>
        <w:pStyle w:val="BodyText"/>
      </w:pPr>
      <w:r>
        <w:t xml:space="preserve">Respectfully,</w:t>
      </w:r>
    </w:p>
    <w:p>
      <w:pPr>
        <w:pStyle w:val="BodyText"/>
      </w:pPr>
      <w:r>
        <w:rPr>
          <w:b/>
          <w:bCs/>
        </w:rPr>
        <w:t xml:space="preserve">Craig Halloran</w:t>
      </w:r>
      <w:r>
        <w:t xml:space="preserve"> </w:t>
      </w:r>
      <w:r>
        <w:t xml:space="preserve">Attorney at Law</w:t>
      </w:r>
      <w:r>
        <w:t xml:space="preserve"> </w:t>
      </w:r>
      <w:r>
        <w:t xml:space="preserve">Whitmore &amp; Callahan LLP</w:t>
      </w:r>
    </w:p>
    <w:p>
      <w:pPr>
        <w:pStyle w:val="BodyText"/>
      </w:pPr>
      <w:r>
        <w:rPr>
          <w:i/>
          <w:iCs/>
        </w:rPr>
        <w:t xml:space="preserve">Enclosures: None. This memorandum summarizes our review of the documents listed in Section I.</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2026-06-28T09:55:00Z</dcterms:created>
  <dcterms:modified xsi:type="dcterms:W3CDTF">2026-06-28T09:55:00Z</dcterms:modified>
</cp:coreProperties>
</file>

<file path=docProps/custom.xml><?xml version="1.0" encoding="utf-8"?>
<Properties xmlns="http://schemas.openxmlformats.org/officeDocument/2006/custom-properties" xmlns:vt="http://schemas.openxmlformats.org/officeDocument/2006/docPropsVTypes"/>
</file>