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PRIVILEGED &amp;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Melanie Foss, HR Director; Rajiv Sunderajan, Chief Executive Officer — Prismex Analytics, Inc.</w:t>
            </w:r>
          </w:p>
        </w:tc>
      </w:tr>
      <w:tr>
        <w:tc>
          <w:tcPr/>
          <w:p>
            <w:pPr>
              <w:pStyle w:val="Compact"/>
              <w:jc w:val="left"/>
            </w:pPr>
            <w:r>
              <w:rPr>
                <w:b/>
                <w:bCs/>
              </w:rPr>
              <w:t xml:space="preserve">FROM:</w:t>
            </w:r>
          </w:p>
        </w:tc>
        <w:tc>
          <w:tcPr/>
          <w:p>
            <w:pPr>
              <w:pStyle w:val="Compact"/>
              <w:jc w:val="left"/>
            </w:pPr>
            <w:r>
              <w:t xml:space="preserve">Craig Halloran, Esq. — Whitmore &amp; Callahan LLP</w:t>
            </w:r>
          </w:p>
        </w:tc>
      </w:tr>
      <w:tr>
        <w:tc>
          <w:tcPr/>
          <w:p>
            <w:pPr>
              <w:pStyle w:val="Compact"/>
              <w:jc w:val="left"/>
            </w:pPr>
            <w:r>
              <w:rPr>
                <w:b/>
                <w:bCs/>
              </w:rPr>
              <w:t xml:space="preserve">DATE:</w:t>
            </w:r>
          </w:p>
        </w:tc>
        <w:tc>
          <w:tcPr/>
          <w:p>
            <w:pPr>
              <w:pStyle w:val="Compact"/>
              <w:jc w:val="left"/>
            </w:pPr>
            <w:r>
              <w:t xml:space="preserve">June 9, 2025</w:t>
            </w:r>
          </w:p>
        </w:tc>
      </w:tr>
      <w:tr>
        <w:tc>
          <w:tcPr/>
          <w:p>
            <w:pPr>
              <w:pStyle w:val="Compact"/>
              <w:jc w:val="left"/>
            </w:pPr>
            <w:r>
              <w:rPr>
                <w:b/>
                <w:bCs/>
              </w:rPr>
              <w:t xml:space="preserve">RE:</w:t>
            </w:r>
          </w:p>
        </w:tc>
        <w:tc>
          <w:tcPr/>
          <w:p>
            <w:pPr>
              <w:pStyle w:val="Compact"/>
              <w:jc w:val="left"/>
            </w:pPr>
            <w:r>
              <w:t xml:space="preserve">Credential Gap Analysis — Beneficiary Qualifications vs. ETA Form 9089 Minimum Requirements — PERM Case No. A-18247-63910 (Senior Machine Learning Engineer) — Ananya Mehrotra — In Preparation for Form I-140 and Form I-129 (H-1B) Filing</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sets forth our review of the supporting credentials assembled for Ms. Ananya Mehrotra (the</w:t>
      </w:r>
      <w:r>
        <w:t xml:space="preserve"> </w:t>
      </w:r>
      <w:r>
        <w:t xml:space="preserve">“</w:t>
      </w:r>
      <w:r>
        <w:t xml:space="preserve">beneficiary</w:t>
      </w:r>
      <w:r>
        <w:t xml:space="preserve">”</w:t>
      </w:r>
      <w:r>
        <w:t xml:space="preserve">) against the minimum requirements and special-skills attestations set forth on the certified Application for Permanent Employment Certification (ETA Form 9089), PERM Case No. A-18247-63910, filed by Prismex Analytics, Inc. (the</w:t>
      </w:r>
      <w:r>
        <w:t xml:space="preserve"> </w:t>
      </w:r>
      <w:r>
        <w:t xml:space="preserve">“</w:t>
      </w:r>
      <w:r>
        <w:t xml:space="preserve">employer</w:t>
      </w:r>
      <w:r>
        <w:t xml:space="preserve">”</w:t>
      </w:r>
      <w:r>
        <w:t xml:space="preserve"> </w:t>
      </w:r>
      <w:r>
        <w:t xml:space="preserve">or</w:t>
      </w:r>
      <w:r>
        <w:t xml:space="preserve"> </w:t>
      </w:r>
      <w:r>
        <w:t xml:space="preserve">“</w:t>
      </w:r>
      <w:r>
        <w:t xml:space="preserve">Prismex</w:t>
      </w:r>
      <w:r>
        <w:t xml:space="preserve">”</w:t>
      </w:r>
      <w:r>
        <w:t xml:space="preserve">) on March 15, 2025 and certified by the U.S. Department of Labor on May 22, 2025. The purpose of this review is to identify any gaps between (a) the qualifications the employer attested the beneficiary possesses on the ETA 9089 and (b) the qualifications actually documented in the supporting credential file, and to provide prioritized remedial recommendations before the Form I-140 immigrant petition and the Form I-129 (H-1B) petition are filed.</w:t>
      </w:r>
    </w:p>
    <w:p>
      <w:pPr>
        <w:pStyle w:val="BodyText"/>
      </w:pPr>
      <w:r>
        <w:t xml:space="preserve">Because the labor certification is an attestation-based system, the Department of Labor did not adjudicate the beneficiary’s credentials at the PERM stage. U.S. Citizenship and Immigration Services (USCIS), however, will adjudicate the Form I-140 against the minimum requirements</w:t>
      </w:r>
      <w:r>
        <w:t xml:space="preserve"> </w:t>
      </w:r>
      <w:r>
        <w:rPr>
          <w:b/>
          <w:bCs/>
        </w:rPr>
        <w:t xml:space="preserve">exactly as certified on the ETA 9089</w:t>
      </w:r>
      <w:r>
        <w:t xml:space="preserve">, and will require documentary proof that the beneficiary met each such requirement as of the priority date (March 15, 2025). Any gap between the attested requirements and the documented qualifications therefore creates denial or Request for Evidence (RFE) exposure at the I-140 stage. The same documentation also informs the H-1B specialty-occupation and beneficiary-qualifications analysis.</w:t>
      </w:r>
    </w:p>
    <w:bookmarkEnd w:id="20"/>
    <w:bookmarkStart w:id="21" w:name="ii.-documents-reviewed"/>
    <w:p>
      <w:pPr>
        <w:pStyle w:val="Heading2"/>
      </w:pPr>
      <w:r>
        <w:t xml:space="preserve">II. Documents Reviewed</w:t>
      </w:r>
    </w:p>
    <w:p>
      <w:pPr>
        <w:pStyle w:val="Compact"/>
        <w:numPr>
          <w:ilvl w:val="0"/>
          <w:numId w:val="1001"/>
        </w:numPr>
      </w:pPr>
      <w:r>
        <w:t xml:space="preserve">Certified ETA Form 9089, PERM Case No. A-18247-63910 (filed March 15, 2025; certified May 22, 2025), including addenda.</w:t>
      </w:r>
    </w:p>
    <w:p>
      <w:pPr>
        <w:pStyle w:val="Compact"/>
        <w:numPr>
          <w:ilvl w:val="0"/>
          <w:numId w:val="1001"/>
        </w:numPr>
      </w:pPr>
      <w:r>
        <w:t xml:space="preserve">Beneficiary résumé/CV (Dr. Ananya Mehrotra).</w:t>
      </w:r>
    </w:p>
    <w:p>
      <w:pPr>
        <w:pStyle w:val="Compact"/>
        <w:numPr>
          <w:ilvl w:val="0"/>
          <w:numId w:val="1001"/>
        </w:numPr>
      </w:pPr>
      <w:r>
        <w:t xml:space="preserve">Experience letter, DataBridge Solutions LLC, signed by Dr. Samuel Okonkwo, VP of Data Science, dated April 10, 2025.</w:t>
      </w:r>
    </w:p>
    <w:p>
      <w:pPr>
        <w:pStyle w:val="Compact"/>
        <w:numPr>
          <w:ilvl w:val="0"/>
          <w:numId w:val="1001"/>
        </w:numPr>
      </w:pPr>
      <w:r>
        <w:t xml:space="preserve">Experience letter, Evalpoint Technologies Pvt. Ltd., signed by Vikram Reddy, Director of Engineering, dated March 28, 2025.</w:t>
      </w:r>
    </w:p>
    <w:p>
      <w:pPr>
        <w:pStyle w:val="Compact"/>
        <w:numPr>
          <w:ilvl w:val="0"/>
          <w:numId w:val="1001"/>
        </w:numPr>
      </w:pPr>
      <w:r>
        <w:t xml:space="preserve">Official academic transcript, North Carolina State University, M.S. in Computer Science, issued May 20, 2025.</w:t>
      </w:r>
    </w:p>
    <w:p>
      <w:pPr>
        <w:pStyle w:val="Compact"/>
        <w:numPr>
          <w:ilvl w:val="0"/>
          <w:numId w:val="1001"/>
        </w:numPr>
      </w:pPr>
      <w:r>
        <w:t xml:space="preserve">Credential evaluation report, International Academic Evaluators (IAE), Report No. IAE-2025-02-4738, dated February 15, 2025 (B.Tech equivalency).</w:t>
      </w:r>
    </w:p>
    <w:p>
      <w:pPr>
        <w:pStyle w:val="Compact"/>
        <w:numPr>
          <w:ilvl w:val="0"/>
          <w:numId w:val="1001"/>
        </w:numPr>
      </w:pPr>
      <w:r>
        <w:t xml:space="preserve">Professional certifications compilation (AWS Certified Cloud Practitioner; TensorFlow Developer Certificate), Whitmore &amp; Callahan LLP, June 2025.</w:t>
      </w:r>
    </w:p>
    <w:p>
      <w:pPr>
        <w:pStyle w:val="Compact"/>
        <w:numPr>
          <w:ilvl w:val="0"/>
          <w:numId w:val="1001"/>
        </w:numPr>
      </w:pPr>
      <w:r>
        <w:t xml:space="preserve">Prevailing Wage Determination, PWD Tracking No. P-200-24187-329156, issued November 8, 2024.</w:t>
      </w:r>
    </w:p>
    <w:p>
      <w:pPr>
        <w:pStyle w:val="Compact"/>
        <w:numPr>
          <w:ilvl w:val="0"/>
          <w:numId w:val="1001"/>
        </w:numPr>
      </w:pPr>
      <w:r>
        <w:t xml:space="preserve">Transmittal email from Melanie Foss (Prismex HR) to counsel, dated June 4, 2025.</w:t>
      </w:r>
    </w:p>
    <w:bookmarkEnd w:id="21"/>
    <w:bookmarkStart w:id="22" w:name="Xaea0c215469db1732e39d1f2b751e330ef50db2"/>
    <w:p>
      <w:pPr>
        <w:pStyle w:val="Heading2"/>
      </w:pPr>
      <w:r>
        <w:t xml:space="preserve">III. Summary of the Certified Minimum Requirements (ETA 9089 §J.B)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As Certified on ETA 9089</w:t>
            </w:r>
          </w:p>
        </w:tc>
      </w:tr>
      <w:tr>
        <w:tc>
          <w:tcPr/>
          <w:p>
            <w:pPr>
              <w:pStyle w:val="Compact"/>
              <w:jc w:val="left"/>
            </w:pPr>
            <w:r>
              <w:rPr>
                <w:b/>
                <w:bCs/>
              </w:rPr>
              <w:t xml:space="preserve">Education (J.B.1)</w:t>
            </w:r>
          </w:p>
        </w:tc>
        <w:tc>
          <w:tcPr/>
          <w:p>
            <w:pPr>
              <w:pStyle w:val="Compact"/>
              <w:jc w:val="left"/>
            </w:pPr>
            <w:r>
              <w:t xml:space="preserve">Master’s degree in Computer Science, Machine Learning, or a closely related field.</w:t>
            </w:r>
          </w:p>
        </w:tc>
      </w:tr>
      <w:tr>
        <w:tc>
          <w:tcPr/>
          <w:p>
            <w:pPr>
              <w:pStyle w:val="Compact"/>
              <w:jc w:val="left"/>
            </w:pPr>
            <w:r>
              <w:rPr>
                <w:b/>
                <w:bCs/>
              </w:rPr>
              <w:t xml:space="preserve">Experience (J.B.3)</w:t>
            </w:r>
          </w:p>
        </w:tc>
        <w:tc>
          <w:tcPr/>
          <w:p>
            <w:pPr>
              <w:pStyle w:val="Compact"/>
              <w:jc w:val="left"/>
            </w:pPr>
            <w:r>
              <w:t xml:space="preserve">5 years of progressive post-master’s experience in machine learning engineering or a closely related occupation.</w:t>
            </w:r>
          </w:p>
        </w:tc>
      </w:tr>
      <w:tr>
        <w:tc>
          <w:tcPr/>
          <w:p>
            <w:pPr>
              <w:pStyle w:val="Compact"/>
              <w:jc w:val="left"/>
            </w:pPr>
            <w:r>
              <w:rPr>
                <w:b/>
                <w:bCs/>
              </w:rPr>
              <w:t xml:space="preserve">Special skills (J.B.5)</w:t>
            </w:r>
          </w:p>
        </w:tc>
        <w:tc>
          <w:tcPr/>
          <w:p>
            <w:pPr>
              <w:pStyle w:val="Compact"/>
              <w:jc w:val="left"/>
            </w:pPr>
            <w:r>
              <w:t xml:space="preserve">(a) designing/deploying production-grade deep learning models using TensorFlow or PyTorch; (b) distributed computing frameworks including Apache Spark; (c) NLP pipeline development; (d) cloud-based ML deployment on AWS SageMaker or Google Vertex AI; (e) proficiency in Python</w:t>
            </w:r>
            <w:r>
              <w:t xml:space="preserve"> </w:t>
            </w:r>
            <w:r>
              <w:rPr>
                <w:b/>
                <w:bCs/>
              </w:rPr>
              <w:t xml:space="preserve">and R</w:t>
            </w:r>
            <w:r>
              <w:t xml:space="preserve">.</w:t>
            </w:r>
          </w:p>
        </w:tc>
      </w:tr>
      <w:tr>
        <w:tc>
          <w:tcPr/>
          <w:p>
            <w:pPr>
              <w:pStyle w:val="Compact"/>
              <w:jc w:val="left"/>
            </w:pPr>
            <w:r>
              <w:rPr>
                <w:b/>
                <w:bCs/>
              </w:rPr>
              <w:t xml:space="preserve">Certification (J.B.5)</w:t>
            </w:r>
          </w:p>
        </w:tc>
        <w:tc>
          <w:tcPr/>
          <w:p>
            <w:pPr>
              <w:pStyle w:val="Compact"/>
              <w:jc w:val="left"/>
            </w:pPr>
            <w:r>
              <w:t xml:space="preserve">“</w:t>
            </w:r>
            <w:r>
              <w:t xml:space="preserve">AWS Certified Machine Learning – Specialty certification</w:t>
            </w:r>
            <w:r>
              <w:t xml:space="preserve"> </w:t>
            </w:r>
            <w:r>
              <w:rPr>
                <w:b/>
                <w:bCs/>
              </w:rPr>
              <w:t xml:space="preserve">or equivalent required</w:t>
            </w:r>
            <w:r>
              <w:t xml:space="preserve">.</w:t>
            </w:r>
            <w:r>
              <w:t xml:space="preserve">”</w:t>
            </w:r>
          </w:p>
        </w:tc>
      </w:tr>
      <w:tr>
        <w:tc>
          <w:tcPr/>
          <w:p>
            <w:pPr>
              <w:pStyle w:val="Compact"/>
              <w:jc w:val="left"/>
            </w:pPr>
            <w:r>
              <w:rPr>
                <w:b/>
                <w:bCs/>
              </w:rPr>
              <w:t xml:space="preserve">Other (J.B.5)</w:t>
            </w:r>
          </w:p>
        </w:tc>
        <w:tc>
          <w:tcPr/>
          <w:p>
            <w:pPr>
              <w:pStyle w:val="Compact"/>
              <w:jc w:val="left"/>
            </w:pPr>
            <w:r>
              <w:t xml:space="preserve">Up to 10% domestic travel; will supervise a team of 3–5 ML engineers.</w:t>
            </w:r>
          </w:p>
        </w:tc>
      </w:tr>
      <w:tr>
        <w:tc>
          <w:tcPr/>
          <w:p>
            <w:pPr>
              <w:pStyle w:val="Compact"/>
              <w:jc w:val="left"/>
            </w:pPr>
            <w:r>
              <w:rPr>
                <w:b/>
                <w:bCs/>
              </w:rPr>
              <w:t xml:space="preserve">Employer-experience bar (K.5)</w:t>
            </w:r>
          </w:p>
        </w:tc>
        <w:tc>
          <w:tcPr/>
          <w:p>
            <w:pPr>
              <w:pStyle w:val="Compact"/>
              <w:jc w:val="left"/>
            </w:pPr>
            <w:r>
              <w:t xml:space="preserve">No qualifying experience gained with the petitioning employer (attested</w:t>
            </w:r>
            <w:r>
              <w:t xml:space="preserve"> </w:t>
            </w:r>
            <w:r>
              <w:t xml:space="preserve">“</w:t>
            </w:r>
            <w:r>
              <w:t xml:space="preserve">No</w:t>
            </w:r>
            <w:r>
              <w:t xml:space="preserve">”</w:t>
            </w:r>
            <w:r>
              <w:t xml:space="preserve">).</w:t>
            </w:r>
          </w:p>
        </w:tc>
      </w:tr>
    </w:tbl>
    <w:p>
      <w:pPr>
        <w:pStyle w:val="BodyText"/>
      </w:pPr>
      <w:r>
        <w:t xml:space="preserve">The employer attested at §K.1–K.4 that the beneficiary meets the education requirement, the experience requirement, the special-skills requirement, and is qualified for the position.</w:t>
      </w:r>
    </w:p>
    <w:bookmarkEnd w:id="22"/>
    <w:bookmarkStart w:id="23" w:name="iv.-gap-analysis-summary-table"/>
    <w:p>
      <w:pPr>
        <w:pStyle w:val="Heading2"/>
      </w:pPr>
      <w:r>
        <w:t xml:space="preserve">IV. Gap Analysis —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ETA 9089 Provision</w:t>
            </w:r>
          </w:p>
        </w:tc>
        <w:tc>
          <w:tcPr/>
          <w:p>
            <w:pPr>
              <w:pStyle w:val="Compact"/>
              <w:jc w:val="left"/>
            </w:pPr>
            <w:r>
              <w:t xml:space="preserve">Severity</w:t>
            </w:r>
          </w:p>
        </w:tc>
        <w:tc>
          <w:tcPr/>
          <w:p>
            <w:pPr>
              <w:pStyle w:val="Compact"/>
              <w:jc w:val="left"/>
            </w:pPr>
            <w:r>
              <w:t xml:space="preserve">Met?</w:t>
            </w:r>
          </w:p>
        </w:tc>
      </w:tr>
      <w:tr>
        <w:tc>
          <w:tcPr/>
          <w:p>
            <w:pPr>
              <w:pStyle w:val="Compact"/>
              <w:jc w:val="left"/>
            </w:pPr>
            <w:r>
              <w:t xml:space="preserve">1</w:t>
            </w:r>
          </w:p>
        </w:tc>
        <w:tc>
          <w:tcPr/>
          <w:p>
            <w:pPr>
              <w:pStyle w:val="Compact"/>
              <w:jc w:val="left"/>
            </w:pPr>
            <w:r>
              <w:t xml:space="preserve">AWS Certified Machine Learning – Specialty certification (or equivalent)</w:t>
            </w:r>
            <w:r>
              <w:t xml:space="preserve"> </w:t>
            </w:r>
            <w:r>
              <w:rPr>
                <w:b/>
                <w:bCs/>
              </w:rPr>
              <w:t xml:space="preserve">not held</w:t>
            </w:r>
            <w:r>
              <w:t xml:space="preserve"> </w:t>
            </w:r>
            <w:r>
              <w:t xml:space="preserve">by beneficiary</w:t>
            </w:r>
          </w:p>
        </w:tc>
        <w:tc>
          <w:tcPr/>
          <w:p>
            <w:pPr>
              <w:pStyle w:val="Compact"/>
              <w:jc w:val="left"/>
            </w:pPr>
            <w:r>
              <w:t xml:space="preserve">J.B.5; K.3</w:t>
            </w:r>
          </w:p>
        </w:tc>
        <w:tc>
          <w:tcPr/>
          <w:p>
            <w:pPr>
              <w:pStyle w:val="Compact"/>
              <w:jc w:val="left"/>
            </w:pPr>
            <w:r>
              <w:rPr>
                <w:b/>
                <w:bCs/>
              </w:rPr>
              <w:t xml:space="preserve">Critical</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FEIN mismatch between ETA 9089 and Prevailing Wage Determination</w:t>
            </w:r>
          </w:p>
        </w:tc>
        <w:tc>
          <w:tcPr/>
          <w:p>
            <w:pPr>
              <w:pStyle w:val="Compact"/>
              <w:jc w:val="left"/>
            </w:pPr>
            <w:r>
              <w:t xml:space="preserve">C.7 / PWD §1</w:t>
            </w:r>
          </w:p>
        </w:tc>
        <w:tc>
          <w:tcPr/>
          <w:p>
            <w:pPr>
              <w:pStyle w:val="Compact"/>
              <w:jc w:val="left"/>
            </w:pPr>
            <w:r>
              <w:rPr>
                <w:b/>
                <w:bCs/>
              </w:rPr>
              <w:t xml:space="preserve">Significant</w:t>
            </w:r>
          </w:p>
        </w:tc>
        <w:tc>
          <w:tcPr/>
          <w:p>
            <w:pPr>
              <w:pStyle w:val="Compact"/>
              <w:jc w:val="left"/>
            </w:pPr>
            <w:r>
              <w:t xml:space="preserve">N/A — integrity</w:t>
            </w:r>
          </w:p>
        </w:tc>
      </w:tr>
      <w:tr>
        <w:tc>
          <w:tcPr/>
          <w:p>
            <w:pPr>
              <w:pStyle w:val="Compact"/>
              <w:jc w:val="left"/>
            </w:pPr>
            <w:r>
              <w:t xml:space="preserve">3</w:t>
            </w:r>
          </w:p>
        </w:tc>
        <w:tc>
          <w:tcPr/>
          <w:p>
            <w:pPr>
              <w:pStyle w:val="Compact"/>
              <w:jc w:val="left"/>
            </w:pPr>
            <w:r>
              <w:t xml:space="preserve">R proficiency under-documented (</w:t>
            </w:r>
            <w:r>
              <w:t xml:space="preserve">“</w:t>
            </w:r>
            <w:r>
              <w:t xml:space="preserve">some use</w:t>
            </w:r>
            <w:r>
              <w:t xml:space="preserve">”</w:t>
            </w:r>
            <w:r>
              <w:t xml:space="preserve"> </w:t>
            </w:r>
            <w:r>
              <w:t xml:space="preserve">/</w:t>
            </w:r>
            <w:r>
              <w:t xml:space="preserve"> </w:t>
            </w:r>
            <w:r>
              <w:t xml:space="preserve">“</w:t>
            </w:r>
            <w:r>
              <w:t xml:space="preserve">intermediate</w:t>
            </w:r>
            <w:r>
              <w:t xml:space="preserve">”</w:t>
            </w:r>
            <w:r>
              <w:t xml:space="preserve"> </w:t>
            </w:r>
            <w:r>
              <w:t xml:space="preserve">vs. required</w:t>
            </w:r>
            <w:r>
              <w:t xml:space="preserve"> </w:t>
            </w:r>
            <w:r>
              <w:t xml:space="preserve">“</w:t>
            </w:r>
            <w:r>
              <w:t xml:space="preserve">proficiency</w:t>
            </w:r>
            <w:r>
              <w:t xml:space="preserve">”</w:t>
            </w:r>
            <w:r>
              <w:t xml:space="preserve">)</w:t>
            </w:r>
          </w:p>
        </w:tc>
        <w:tc>
          <w:tcPr/>
          <w:p>
            <w:pPr>
              <w:pStyle w:val="Compact"/>
              <w:jc w:val="left"/>
            </w:pPr>
            <w:r>
              <w:t xml:space="preserve">J.B.5(e)</w:t>
            </w:r>
          </w:p>
        </w:tc>
        <w:tc>
          <w:tcPr/>
          <w:p>
            <w:pPr>
              <w:pStyle w:val="Compact"/>
              <w:jc w:val="left"/>
            </w:pPr>
            <w:r>
              <w:t xml:space="preserve">Moderate</w:t>
            </w:r>
          </w:p>
        </w:tc>
        <w:tc>
          <w:tcPr/>
          <w:p>
            <w:pPr>
              <w:pStyle w:val="Compact"/>
              <w:jc w:val="left"/>
            </w:pPr>
            <w:r>
              <w:t xml:space="preserve">Partial</w:t>
            </w:r>
          </w:p>
        </w:tc>
      </w:tr>
      <w:tr>
        <w:tc>
          <w:tcPr/>
          <w:p>
            <w:pPr>
              <w:pStyle w:val="Compact"/>
              <w:jc w:val="left"/>
            </w:pPr>
            <w:r>
              <w:t xml:space="preserve">4</w:t>
            </w:r>
          </w:p>
        </w:tc>
        <w:tc>
          <w:tcPr/>
          <w:p>
            <w:pPr>
              <w:pStyle w:val="Compact"/>
              <w:jc w:val="left"/>
            </w:pPr>
            <w:r>
              <w:t xml:space="preserve">“</w:t>
            </w:r>
            <w:r>
              <w:t xml:space="preserve">Dr.</w:t>
            </w:r>
            <w:r>
              <w:t xml:space="preserve">”</w:t>
            </w:r>
            <w:r>
              <w:t xml:space="preserve"> </w:t>
            </w:r>
            <w:r>
              <w:t xml:space="preserve">honorific used without a doctorate (highest degree is an M.S.)</w:t>
            </w:r>
          </w:p>
        </w:tc>
        <w:tc>
          <w:tcPr/>
          <w:p>
            <w:pPr>
              <w:pStyle w:val="Compact"/>
              <w:jc w:val="left"/>
            </w:pPr>
            <w:r>
              <w:t xml:space="preserve">I.1; cross-document</w:t>
            </w:r>
          </w:p>
        </w:tc>
        <w:tc>
          <w:tcPr/>
          <w:p>
            <w:pPr>
              <w:pStyle w:val="Compact"/>
              <w:jc w:val="left"/>
            </w:pPr>
            <w:r>
              <w:t xml:space="preserve">Moderate</w:t>
            </w:r>
          </w:p>
        </w:tc>
        <w:tc>
          <w:tcPr/>
          <w:p>
            <w:pPr>
              <w:pStyle w:val="Compact"/>
              <w:jc w:val="left"/>
            </w:pPr>
            <w:r>
              <w:t xml:space="preserve">N/A — consistency</w:t>
            </w:r>
          </w:p>
        </w:tc>
      </w:tr>
      <w:tr>
        <w:tc>
          <w:tcPr/>
          <w:p>
            <w:pPr>
              <w:pStyle w:val="Compact"/>
              <w:jc w:val="left"/>
            </w:pPr>
            <w:r>
              <w:t xml:space="preserve">5</w:t>
            </w:r>
          </w:p>
        </w:tc>
        <w:tc>
          <w:tcPr/>
          <w:p>
            <w:pPr>
              <w:pStyle w:val="Compact"/>
              <w:jc w:val="left"/>
            </w:pPr>
            <w:r>
              <w:t xml:space="preserve">Supervisory scope: led 2 junior data scientists; position requires supervising 3–5 ML engineers</w:t>
            </w:r>
          </w:p>
        </w:tc>
        <w:tc>
          <w:tcPr/>
          <w:p>
            <w:pPr>
              <w:pStyle w:val="Compact"/>
              <w:jc w:val="left"/>
            </w:pPr>
            <w:r>
              <w:t xml:space="preserve">J.B.5</w:t>
            </w:r>
          </w:p>
        </w:tc>
        <w:tc>
          <w:tcPr/>
          <w:p>
            <w:pPr>
              <w:pStyle w:val="Compact"/>
              <w:jc w:val="left"/>
            </w:pPr>
            <w:r>
              <w:t xml:space="preserve">Low–Moderate</w:t>
            </w:r>
          </w:p>
        </w:tc>
        <w:tc>
          <w:tcPr/>
          <w:p>
            <w:pPr>
              <w:pStyle w:val="Compact"/>
              <w:jc w:val="left"/>
            </w:pPr>
            <w:r>
              <w:t xml:space="preserve">Partial</w:t>
            </w:r>
          </w:p>
        </w:tc>
      </w:tr>
      <w:tr>
        <w:tc>
          <w:tcPr/>
          <w:p>
            <w:pPr>
              <w:pStyle w:val="Compact"/>
              <w:jc w:val="left"/>
            </w:pPr>
            <w:r>
              <w:t xml:space="preserve">6</w:t>
            </w:r>
          </w:p>
        </w:tc>
        <w:tc>
          <w:tcPr/>
          <w:p>
            <w:pPr>
              <w:pStyle w:val="Compact"/>
              <w:jc w:val="left"/>
            </w:pPr>
            <w:r>
              <w:t xml:space="preserve">No experience verification letter for NC State Research Assistantship</w:t>
            </w:r>
          </w:p>
        </w:tc>
        <w:tc>
          <w:tcPr/>
          <w:p>
            <w:pPr>
              <w:pStyle w:val="Compact"/>
              <w:jc w:val="left"/>
            </w:pPr>
            <w:r>
              <w:t xml:space="preserve">J.C, Entry 2</w:t>
            </w:r>
          </w:p>
        </w:tc>
        <w:tc>
          <w:tcPr/>
          <w:p>
            <w:pPr>
              <w:pStyle w:val="Compact"/>
              <w:jc w:val="left"/>
            </w:pPr>
            <w:r>
              <w:t xml:space="preserve">Low</w:t>
            </w:r>
          </w:p>
        </w:tc>
        <w:tc>
          <w:tcPr/>
          <w:p>
            <w:pPr>
              <w:pStyle w:val="Compact"/>
              <w:jc w:val="left"/>
            </w:pPr>
            <w:r>
              <w:t xml:space="preserve">Documentation</w:t>
            </w:r>
          </w:p>
        </w:tc>
      </w:tr>
      <w:tr>
        <w:tc>
          <w:tcPr/>
          <w:p>
            <w:pPr>
              <w:pStyle w:val="Compact"/>
              <w:jc w:val="left"/>
            </w:pPr>
            <w:r>
              <w:t xml:space="preserve">7</w:t>
            </w:r>
          </w:p>
        </w:tc>
        <w:tc>
          <w:tcPr/>
          <w:p>
            <w:pPr>
              <w:pStyle w:val="Compact"/>
              <w:jc w:val="left"/>
            </w:pPr>
            <w:r>
              <w:t xml:space="preserve">Transcript and experience letters issued/dated after the PERM filing date</w:t>
            </w:r>
          </w:p>
        </w:tc>
        <w:tc>
          <w:tcPr/>
          <w:p>
            <w:pPr>
              <w:pStyle w:val="Compact"/>
              <w:jc w:val="left"/>
            </w:pPr>
            <w:r>
              <w:t xml:space="preserve">J.A; J.C</w:t>
            </w:r>
          </w:p>
        </w:tc>
        <w:tc>
          <w:tcPr/>
          <w:p>
            <w:pPr>
              <w:pStyle w:val="Compact"/>
              <w:jc w:val="left"/>
            </w:pPr>
            <w:r>
              <w:t xml:space="preserve">Low (housekeeping)</w:t>
            </w:r>
          </w:p>
        </w:tc>
        <w:tc>
          <w:tcPr/>
          <w:p>
            <w:pPr>
              <w:pStyle w:val="Compact"/>
              <w:jc w:val="left"/>
            </w:pPr>
            <w:r>
              <w:t xml:space="preserve">Documentation</w:t>
            </w:r>
          </w:p>
        </w:tc>
      </w:tr>
      <w:tr>
        <w:tc>
          <w:tcPr/>
          <w:p>
            <w:pPr>
              <w:pStyle w:val="Compact"/>
              <w:jc w:val="left"/>
            </w:pPr>
            <w:r>
              <w:t xml:space="preserve">8</w:t>
            </w:r>
          </w:p>
        </w:tc>
        <w:tc>
          <w:tcPr/>
          <w:p>
            <w:pPr>
              <w:pStyle w:val="Compact"/>
              <w:jc w:val="left"/>
            </w:pPr>
            <w:r>
              <w:t xml:space="preserve">IAE evaluation purpose references USCIS (not DOL/PERM); B.Tech in ECE with limited CS coursework</w:t>
            </w:r>
          </w:p>
        </w:tc>
        <w:tc>
          <w:tcPr/>
          <w:p>
            <w:pPr>
              <w:pStyle w:val="Compact"/>
              <w:jc w:val="left"/>
            </w:pPr>
            <w:r>
              <w:t xml:space="preserve">J.A</w:t>
            </w:r>
          </w:p>
        </w:tc>
        <w:tc>
          <w:tcPr/>
          <w:p>
            <w:pPr>
              <w:pStyle w:val="Compact"/>
              <w:jc w:val="left"/>
            </w:pPr>
            <w:r>
              <w:t xml:space="preserve">Minor</w:t>
            </w:r>
          </w:p>
        </w:tc>
        <w:tc>
          <w:tcPr/>
          <w:p>
            <w:pPr>
              <w:pStyle w:val="Compact"/>
              <w:jc w:val="left"/>
            </w:pPr>
            <w:r>
              <w:t xml:space="preserve">N/A</w:t>
            </w:r>
          </w:p>
        </w:tc>
      </w:tr>
    </w:tbl>
    <w:bookmarkEnd w:id="23"/>
    <w:bookmarkStart w:id="34" w:name="v.-detailed-findings"/>
    <w:p>
      <w:pPr>
        <w:pStyle w:val="Heading2"/>
      </w:pPr>
      <w:r>
        <w:t xml:space="preserve">V. Detailed Findings</w:t>
      </w:r>
    </w:p>
    <w:bookmarkStart w:id="24" w:name="a.-education-requirement-met-no-gap"/>
    <w:p>
      <w:pPr>
        <w:pStyle w:val="Heading3"/>
      </w:pPr>
      <w:r>
        <w:t xml:space="preserve">A. Education — Requirement MET (no gap)</w:t>
      </w:r>
    </w:p>
    <w:p>
      <w:pPr>
        <w:pStyle w:val="FirstParagraph"/>
      </w:pPr>
      <w:r>
        <w:t xml:space="preserve">The beneficiary holds a Master of Science in Computer Science from North Carolina State University, conferred May 12, 2018 (cumulative GPA 3.74/4.00; 45 credit hours), as confirmed by the official transcript. This directly satisfies J.B.1 (</w:t>
      </w:r>
      <w:r>
        <w:t xml:space="preserve">“</w:t>
      </w:r>
      <w:r>
        <w:t xml:space="preserve">Master’s degree in Computer Science, Machine Learning, or a closely related field</w:t>
      </w:r>
      <w:r>
        <w:t xml:space="preserve">”</w:t>
      </w:r>
      <w:r>
        <w:t xml:space="preserve">). The underlying foreign credential — a B.Tech in Electronics and Communication Engineering from Maharashtra Institute of Technology, Pune (Savitribai Phule Pune University), conferred June 2013 — was evaluated by International Academic Evaluators (a NACES-member agency) on February 15, 2025 and found equivalent to a U.S. bachelor’s degree in Electronics and Communication Engineering.</w:t>
      </w:r>
    </w:p>
    <w:p>
      <w:pPr>
        <w:pStyle w:val="BodyText"/>
      </w:pPr>
      <w:r>
        <w:rPr>
          <w:b/>
          <w:bCs/>
        </w:rPr>
        <w:t xml:space="preserve">Observations (non-blocking):</w:t>
      </w:r>
      <w:r>
        <w:t xml:space="preserve"> </w:t>
      </w:r>
      <w:r>
        <w:t xml:space="preserve">The IAE evaluation notes that the B.Tech curriculum contained only approximately 12–15 computer-related credit hours of roughly 180 total, with the core emphasis in electronics and communication engineering. This is immaterial to the certified requirement because the qualifying degree is the U.S. M.S. in Computer Science; the B.Tech is supplementary. We note only that the evaluation’s stated purpose is</w:t>
      </w:r>
      <w:r>
        <w:t xml:space="preserve"> </w:t>
      </w:r>
      <w:r>
        <w:t xml:space="preserve">“</w:t>
      </w:r>
      <w:r>
        <w:t xml:space="preserve">For immigration purposes — U.S. Citizenship and Immigration Services (USCIS),</w:t>
      </w:r>
      <w:r>
        <w:t xml:space="preserve">”</w:t>
      </w:r>
      <w:r>
        <w:t xml:space="preserve"> </w:t>
      </w:r>
      <w:r>
        <w:t xml:space="preserve">which is appropriate for the I-140 but is not framed for the DOL/PERM context. No corrective action is required for the education requirement.</w:t>
      </w:r>
    </w:p>
    <w:bookmarkEnd w:id="24"/>
    <w:bookmarkStart w:id="25" w:name="Xcdadc124f03b8931fd2f129d316d28d91f2de67"/>
    <w:p>
      <w:pPr>
        <w:pStyle w:val="Heading3"/>
      </w:pPr>
      <w:r>
        <w:t xml:space="preserve">B. Post-Master’s Experience — Requirement MET (no gap; minor precision note)</w:t>
      </w:r>
    </w:p>
    <w:p>
      <w:pPr>
        <w:pStyle w:val="FirstParagraph"/>
      </w:pPr>
      <w:r>
        <w:t xml:space="preserve">J.B.3 requires 5 years of progressive post-master’s experience in machine learning engineering or a closely related occupation. The beneficiary’s post-master’s experience is with DataBridge Solutions LLC, commencing June 4, 2018 (shortly after the May 12, 2018 conferral) and continuing through the present, in two progressive roles: Data Scientist I (June 4, 2018 – January 3, 2021) and Data Scientist II (January 4, 2021 – present). As of the March 15, 2025 priority date, this equates to approximately</w:t>
      </w:r>
      <w:r>
        <w:t xml:space="preserve"> </w:t>
      </w:r>
      <w:r>
        <w:rPr>
          <w:b/>
          <w:bCs/>
        </w:rPr>
        <w:t xml:space="preserve">6 years and 9 months</w:t>
      </w:r>
      <w:r>
        <w:t xml:space="preserve"> </w:t>
      </w:r>
      <w:r>
        <w:t xml:space="preserve">of full-time (40 hrs/week), progressive post-master’s experience — exceeding the 5-year minimum. The progression from Data Scientist I to Data Scientist II satisfies the</w:t>
      </w:r>
      <w:r>
        <w:t xml:space="preserve"> </w:t>
      </w:r>
      <w:r>
        <w:t xml:space="preserve">“</w:t>
      </w:r>
      <w:r>
        <w:t xml:space="preserve">progressive</w:t>
      </w:r>
      <w:r>
        <w:t xml:space="preserve">”</w:t>
      </w:r>
      <w:r>
        <w:t xml:space="preserve"> </w:t>
      </w:r>
      <w:r>
        <w:t xml:space="preserve">element. The DataBridge experience letter (Dr. Samuel Okonkwo, April 10, 2025) corroborates the titles, dates, full-time status, and duties.</w:t>
      </w:r>
    </w:p>
    <w:p>
      <w:pPr>
        <w:pStyle w:val="BodyText"/>
      </w:pPr>
      <w:r>
        <w:rPr>
          <w:b/>
          <w:bCs/>
        </w:rPr>
        <w:t xml:space="preserve">Precision note:</w:t>
      </w:r>
      <w:r>
        <w:t xml:space="preserve"> </w:t>
      </w:r>
      <w:r>
        <w:t xml:space="preserve">Section K.2 characterizes this experience as</w:t>
      </w:r>
      <w:r>
        <w:t xml:space="preserve"> </w:t>
      </w:r>
      <w:r>
        <w:t xml:space="preserve">“</w:t>
      </w:r>
      <w:r>
        <w:t xml:space="preserve">approximately 7 years.</w:t>
      </w:r>
      <w:r>
        <w:t xml:space="preserve">”</w:t>
      </w:r>
      <w:r>
        <w:t xml:space="preserve"> </w:t>
      </w:r>
      <w:r>
        <w:t xml:space="preserve">The precise figure as of the priority date is 6 years, 9 months. The rounding is harmless (the minimum is comfortably exceeded), but we recommend that any I-140 cover letter or briefing state the experience duration precisely (6 years, 9 months) rather than</w:t>
      </w:r>
      <w:r>
        <w:t xml:space="preserve"> </w:t>
      </w:r>
      <w:r>
        <w:t xml:space="preserve">“</w:t>
      </w:r>
      <w:r>
        <w:t xml:space="preserve">approximately 7 years</w:t>
      </w:r>
      <w:r>
        <w:t xml:space="preserve">”</w:t>
      </w:r>
      <w:r>
        <w:t xml:space="preserve"> </w:t>
      </w:r>
      <w:r>
        <w:t xml:space="preserve">to avoid any appearance of overstatement.</w:t>
      </w:r>
    </w:p>
    <w:p>
      <w:pPr>
        <w:pStyle w:val="BodyText"/>
      </w:pPr>
      <w:r>
        <w:rPr>
          <w:b/>
          <w:bCs/>
        </w:rPr>
        <w:t xml:space="preserve">Pre-master’s experience (not counted toward the minimum — correctly):</w:t>
      </w:r>
      <w:r>
        <w:t xml:space="preserve"> </w:t>
      </w:r>
      <w:r>
        <w:t xml:space="preserve">The Evalpoint Technologies Software Engineer role (July 1, 2013 – July 15, 2016) and the NC State Research Assistantship (August 15, 2016 – May 15, 2018) both pre-date the master’s conferral and therefore cannot count toward the 5-year post-master’s requirement. The application correctly does not rely on them for that minimum. We address documentation concerns for these entries at Findings F and G below.</w:t>
      </w:r>
    </w:p>
    <w:bookmarkEnd w:id="25"/>
    <w:bookmarkStart w:id="26" w:name="c.-special-skills-ad-requirement-met"/>
    <w:p>
      <w:pPr>
        <w:pStyle w:val="Heading3"/>
      </w:pPr>
      <w:r>
        <w:t xml:space="preserve">C. Special Skills (a)–(d) — Requirement MET</w:t>
      </w:r>
    </w:p>
    <w:p>
      <w:pPr>
        <w:pStyle w:val="FirstParagraph"/>
      </w:pPr>
      <w:r>
        <w:t xml:space="preserve">The DataBridge experience letter and résumé document each of special skills (a) through (d) within the post-master’s qualifying period:</w:t>
      </w:r>
    </w:p>
    <w:p>
      <w:pPr>
        <w:pStyle w:val="Compact"/>
        <w:numPr>
          <w:ilvl w:val="0"/>
          <w:numId w:val="1002"/>
        </w:numPr>
      </w:pPr>
      <w:r>
        <w:rPr>
          <w:b/>
          <w:bCs/>
        </w:rPr>
        <w:t xml:space="preserve">(a) TensorFlow/PyTorch deep learning:</w:t>
      </w:r>
      <w:r>
        <w:t xml:space="preserve"> </w:t>
      </w:r>
      <w:r>
        <w:t xml:space="preserve">Data Scientist I used TensorFlow; Data Scientist II designed and implemented deep learning architectures using both TensorFlow and PyTorch.</w:t>
      </w:r>
    </w:p>
    <w:p>
      <w:pPr>
        <w:pStyle w:val="Compact"/>
        <w:numPr>
          <w:ilvl w:val="0"/>
          <w:numId w:val="1002"/>
        </w:numPr>
      </w:pPr>
      <w:r>
        <w:rPr>
          <w:b/>
          <w:bCs/>
        </w:rPr>
        <w:t xml:space="preserve">(b) Apache Spark:</w:t>
      </w:r>
      <w:r>
        <w:t xml:space="preserve"> </w:t>
      </w:r>
      <w:r>
        <w:t xml:space="preserve">Data Scientist II implemented distributed model training using Apache Spark MLlib.</w:t>
      </w:r>
    </w:p>
    <w:p>
      <w:pPr>
        <w:pStyle w:val="Compact"/>
        <w:numPr>
          <w:ilvl w:val="0"/>
          <w:numId w:val="1002"/>
        </w:numPr>
      </w:pPr>
      <w:r>
        <w:rPr>
          <w:b/>
          <w:bCs/>
        </w:rPr>
        <w:t xml:space="preserve">(c) NLP pipelines:</w:t>
      </w:r>
      <w:r>
        <w:t xml:space="preserve"> </w:t>
      </w:r>
      <w:r>
        <w:t xml:space="preserve">Both roles built NLP pipelines (clinical document processing, named entity recognition, sentiment analysis).</w:t>
      </w:r>
    </w:p>
    <w:p>
      <w:pPr>
        <w:pStyle w:val="Compact"/>
        <w:numPr>
          <w:ilvl w:val="0"/>
          <w:numId w:val="1002"/>
        </w:numPr>
      </w:pPr>
      <w:r>
        <w:rPr>
          <w:b/>
          <w:bCs/>
        </w:rPr>
        <w:t xml:space="preserve">(d) AWS SageMaker:</w:t>
      </w:r>
      <w:r>
        <w:t xml:space="preserve"> </w:t>
      </w:r>
      <w:r>
        <w:t xml:space="preserve">Data Scientist II deployed models on AWS SageMaker (Data Scientist I used AWS EC2, which does not itself satisfy the SageMaker/Vertex AI element, but the Data Scientist II period does).</w:t>
      </w:r>
    </w:p>
    <w:p>
      <w:pPr>
        <w:pStyle w:val="FirstParagraph"/>
      </w:pPr>
      <w:r>
        <w:t xml:space="preserve">No gap as to skills (a)–(d). We note only that skills (b) and (d) are documented solely within the Data Scientist II period (from January 4, 2021), i.e., approximately 4 years and 2 months as of the priority date — still well within the qualifying window and sufficient.</w:t>
      </w:r>
    </w:p>
    <w:bookmarkEnd w:id="26"/>
    <w:bookmarkStart w:id="27" w:name="X28d1a53bdbe6b016c31fe4dd6b378c5f825f67e"/>
    <w:p>
      <w:pPr>
        <w:pStyle w:val="Heading3"/>
      </w:pPr>
      <w:r>
        <w:t xml:space="preserve">D. Special Skill (e) — R Proficiency — MODERATE GAP</w:t>
      </w:r>
    </w:p>
    <w:p>
      <w:pPr>
        <w:pStyle w:val="FirstParagraph"/>
      </w:pPr>
      <w:r>
        <w:t xml:space="preserve">J.B.5(e) requires</w:t>
      </w:r>
      <w:r>
        <w:t xml:space="preserve"> </w:t>
      </w:r>
      <w:r>
        <w:t xml:space="preserve">“</w:t>
      </w:r>
      <w:r>
        <w:t xml:space="preserve">proficiency in Python</w:t>
      </w:r>
      <w:r>
        <w:t xml:space="preserve"> </w:t>
      </w:r>
      <w:r>
        <w:rPr>
          <w:b/>
          <w:bCs/>
        </w:rPr>
        <w:t xml:space="preserve">and R</w:t>
      </w:r>
      <w:r>
        <w:t xml:space="preserve"> </w:t>
      </w:r>
      <w:r>
        <w:t xml:space="preserve">programming languages.</w:t>
      </w:r>
      <w:r>
        <w:t xml:space="preserve">”</w:t>
      </w:r>
      <w:r>
        <w:t xml:space="preserve"> </w:t>
      </w:r>
      <w:r>
        <w:t xml:space="preserve">Python proficiency is well documented (primary language throughout DataBridge;</w:t>
      </w:r>
      <w:r>
        <w:t xml:space="preserve"> </w:t>
      </w:r>
      <w:r>
        <w:t xml:space="preserve">“</w:t>
      </w:r>
      <w:r>
        <w:t xml:space="preserve">expert</w:t>
      </w:r>
      <w:r>
        <w:t xml:space="preserve">”</w:t>
      </w:r>
      <w:r>
        <w:t xml:space="preserve"> </w:t>
      </w:r>
      <w:r>
        <w:t xml:space="preserve">per résumé).</w:t>
      </w:r>
      <w:r>
        <w:t xml:space="preserve"> </w:t>
      </w:r>
      <w:r>
        <w:rPr>
          <w:b/>
          <w:bCs/>
        </w:rPr>
        <w:t xml:space="preserve">R proficiency is not adequately documented.</w:t>
      </w:r>
      <w:r>
        <w:t xml:space="preserve"> </w:t>
      </w:r>
      <w:r>
        <w:t xml:space="preserve">The DataBridge experience letter states only that the beneficiary used</w:t>
      </w:r>
      <w:r>
        <w:t xml:space="preserve"> </w:t>
      </w:r>
      <w:r>
        <w:t xml:space="preserve">“</w:t>
      </w:r>
      <w:r>
        <w:t xml:space="preserve">some use of R for statistical reporting and ad hoc data analysis,</w:t>
      </w:r>
      <w:r>
        <w:t xml:space="preserve">”</w:t>
      </w:r>
      <w:r>
        <w:t xml:space="preserve"> </w:t>
      </w:r>
      <w:r>
        <w:t xml:space="preserve">and the résumé lists R as</w:t>
      </w:r>
      <w:r>
        <w:t xml:space="preserve"> </w:t>
      </w:r>
      <w:r>
        <w:t xml:space="preserve">“</w:t>
      </w:r>
      <w:r>
        <w:t xml:space="preserve">intermediate.</w:t>
      </w:r>
      <w:r>
        <w:t xml:space="preserve">”</w:t>
      </w:r>
      <w:r>
        <w:t xml:space="preserve"> </w:t>
      </w:r>
      <w:r>
        <w:t xml:space="preserve">The NC State transcript reflects a single R course (ST 558, Statistical Computing with R, grade A-), but academic coursework does not establish professional proficiency.</w:t>
      </w:r>
    </w:p>
    <w:p>
      <w:pPr>
        <w:pStyle w:val="BodyText"/>
      </w:pPr>
      <w:r>
        <w:t xml:space="preserve">The phrase</w:t>
      </w:r>
      <w:r>
        <w:t xml:space="preserve"> </w:t>
      </w:r>
      <w:r>
        <w:t xml:space="preserve">“</w:t>
      </w:r>
      <w:r>
        <w:t xml:space="preserve">some use</w:t>
      </w:r>
      <w:r>
        <w:t xml:space="preserve">”</w:t>
      </w:r>
      <w:r>
        <w:t xml:space="preserve"> </w:t>
      </w:r>
      <w:r>
        <w:t xml:space="preserve">/</w:t>
      </w:r>
      <w:r>
        <w:t xml:space="preserve"> </w:t>
      </w:r>
      <w:r>
        <w:t xml:space="preserve">“</w:t>
      </w:r>
      <w:r>
        <w:t xml:space="preserve">intermediate</w:t>
      </w:r>
      <w:r>
        <w:t xml:space="preserve">”</w:t>
      </w:r>
      <w:r>
        <w:t xml:space="preserve"> </w:t>
      </w:r>
      <w:r>
        <w:t xml:space="preserve">is materially weaker than the certified minimum of</w:t>
      </w:r>
      <w:r>
        <w:t xml:space="preserve"> </w:t>
      </w:r>
      <w:r>
        <w:t xml:space="preserve">“</w:t>
      </w:r>
      <w:r>
        <w:t xml:space="preserve">proficiency in R.</w:t>
      </w:r>
      <w:r>
        <w:t xml:space="preserve">”</w:t>
      </w:r>
      <w:r>
        <w:t xml:space="preserve"> </w:t>
      </w:r>
      <w:r>
        <w:t xml:space="preserve">USCIS could conclude that the beneficiary does not meet this special-skill element as attested at §K.3, prompting an RFE or, in a worst case, a denial for failure to meet a stated minimum requirement.</w:t>
      </w:r>
    </w:p>
    <w:bookmarkEnd w:id="27"/>
    <w:bookmarkStart w:id="28" w:name="X61533e1595a6b73a5956d19c364e11173c8af09"/>
    <w:p>
      <w:pPr>
        <w:pStyle w:val="Heading3"/>
      </w:pPr>
      <w:r>
        <w:t xml:space="preserve">E. AWS Certified Machine Learning – Specialty Certification — CRITICAL GAP</w:t>
      </w:r>
    </w:p>
    <w:p>
      <w:pPr>
        <w:pStyle w:val="FirstParagraph"/>
      </w:pPr>
      <w:r>
        <w:t xml:space="preserve">J.B.5 certifies that</w:t>
      </w:r>
      <w:r>
        <w:t xml:space="preserve"> </w:t>
      </w:r>
      <w:r>
        <w:t xml:space="preserve">“</w:t>
      </w:r>
      <w:r>
        <w:t xml:space="preserve">AWS Certified Machine Learning – Specialty certification or equivalent</w:t>
      </w:r>
      <w:r>
        <w:t xml:space="preserve"> </w:t>
      </w:r>
      <w:r>
        <w:rPr>
          <w:b/>
          <w:bCs/>
        </w:rPr>
        <w:t xml:space="preserve">required</w:t>
      </w:r>
      <w:r>
        <w:t xml:space="preserve">,</w:t>
      </w:r>
      <w:r>
        <w:t xml:space="preserve">”</w:t>
      </w:r>
      <w:r>
        <w:t xml:space="preserve"> </w:t>
      </w:r>
      <w:r>
        <w:t xml:space="preserve">and §K.3 attests that the beneficiary</w:t>
      </w:r>
      <w:r>
        <w:t xml:space="preserve"> </w:t>
      </w:r>
      <w:r>
        <w:t xml:space="preserve">“</w:t>
      </w:r>
      <w:r>
        <w:t xml:space="preserve">possesses the special skills and other requirements.</w:t>
      </w:r>
      <w:r>
        <w:t xml:space="preserve">”</w:t>
      </w:r>
      <w:r>
        <w:t xml:space="preserve"> </w:t>
      </w:r>
      <w:r>
        <w:rPr>
          <w:b/>
          <w:bCs/>
        </w:rPr>
        <w:t xml:space="preserve">The beneficiary does not hold this certification, nor any equivalent.</w:t>
      </w:r>
      <w:r>
        <w:t xml:space="preserve"> </w:t>
      </w:r>
      <w:r>
        <w:t xml:space="preserve">The certifications compilation and counsel’s own verification notes establish the following:</w:t>
      </w:r>
    </w:p>
    <w:p>
      <w:pPr>
        <w:pStyle w:val="Compact"/>
        <w:numPr>
          <w:ilvl w:val="0"/>
          <w:numId w:val="1003"/>
        </w:numPr>
      </w:pPr>
      <w:r>
        <w:rPr>
          <w:b/>
          <w:bCs/>
        </w:rPr>
        <w:t xml:space="preserve">AWS Certified Cloud Practitioner</w:t>
      </w:r>
      <w:r>
        <w:t xml:space="preserve"> </w:t>
      </w:r>
      <w:r>
        <w:t xml:space="preserve">— Foundational level; issued January 18, 2022;</w:t>
      </w:r>
      <w:r>
        <w:t xml:space="preserve"> </w:t>
      </w:r>
      <w:r>
        <w:rPr>
          <w:b/>
          <w:bCs/>
        </w:rPr>
        <w:t xml:space="preserve">expired January 18, 2025</w:t>
      </w:r>
      <w:r>
        <w:t xml:space="preserve"> </w:t>
      </w:r>
      <w:r>
        <w:t xml:space="preserve">(i.e., expired</w:t>
      </w:r>
      <w:r>
        <w:t xml:space="preserve"> </w:t>
      </w:r>
      <w:r>
        <w:rPr>
          <w:b/>
          <w:bCs/>
        </w:rPr>
        <w:t xml:space="preserve">before</w:t>
      </w:r>
      <w:r>
        <w:t xml:space="preserve"> </w:t>
      </w:r>
      <w:r>
        <w:t xml:space="preserve">the March 15, 2025 priority date); not renewed. The compilation expressly states this credential</w:t>
      </w:r>
      <w:r>
        <w:t xml:space="preserve"> </w:t>
      </w:r>
      <w:r>
        <w:t xml:space="preserve">“</w:t>
      </w:r>
      <w:r>
        <w:t xml:space="preserve">does not demonstrate specialization in any specific AWS service domain, including machine learning.</w:t>
      </w:r>
      <w:r>
        <w:t xml:space="preserve">”</w:t>
      </w:r>
      <w:r>
        <w:t xml:space="preserve"> </w:t>
      </w:r>
      <w:r>
        <w:t xml:space="preserve">A foundational, expired credential is not the AWS ML – Specialty certification and is not its equivalent.</w:t>
      </w:r>
    </w:p>
    <w:p>
      <w:pPr>
        <w:pStyle w:val="Compact"/>
        <w:numPr>
          <w:ilvl w:val="0"/>
          <w:numId w:val="1003"/>
        </w:numPr>
      </w:pPr>
      <w:r>
        <w:rPr>
          <w:b/>
          <w:bCs/>
        </w:rPr>
        <w:t xml:space="preserve">TensorFlow Developer Certificate</w:t>
      </w:r>
      <w:r>
        <w:t xml:space="preserve"> </w:t>
      </w:r>
      <w:r>
        <w:t xml:space="preserve">— Issued March 10, 2023 by Google; active; framework-specific (TensorFlow model building for CV/NLP/time-series). It is</w:t>
      </w:r>
      <w:r>
        <w:t xml:space="preserve"> </w:t>
      </w:r>
      <w:r>
        <w:rPr>
          <w:b/>
          <w:bCs/>
        </w:rPr>
        <w:t xml:space="preserve">not affiliated with AWS</w:t>
      </w:r>
      <w:r>
        <w:t xml:space="preserve"> </w:t>
      </w:r>
      <w:r>
        <w:t xml:space="preserve">and does not test AWS machine-learning services, deployment, or SageMaker. It is therefore not</w:t>
      </w:r>
      <w:r>
        <w:t xml:space="preserve"> </w:t>
      </w:r>
      <w:r>
        <w:t xml:space="preserve">“</w:t>
      </w:r>
      <w:r>
        <w:t xml:space="preserve">equivalent</w:t>
      </w:r>
      <w:r>
        <w:t xml:space="preserve">”</w:t>
      </w:r>
      <w:r>
        <w:t xml:space="preserve"> </w:t>
      </w:r>
      <w:r>
        <w:t xml:space="preserve">to the AWS Certified Machine Learning – Specialty certification, which examines AWS ML service architecture, deployment, and operations.</w:t>
      </w:r>
    </w:p>
    <w:p>
      <w:pPr>
        <w:pStyle w:val="Compact"/>
        <w:numPr>
          <w:ilvl w:val="0"/>
          <w:numId w:val="1003"/>
        </w:numPr>
      </w:pPr>
      <w:r>
        <w:rPr>
          <w:b/>
          <w:bCs/>
        </w:rPr>
        <w:t xml:space="preserve">Counsel’s verification note No. 3</w:t>
      </w:r>
      <w:r>
        <w:t xml:space="preserve"> </w:t>
      </w:r>
      <w:r>
        <w:t xml:space="preserve">states:</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FirstParagraph"/>
      </w:pPr>
      <w:r>
        <w:t xml:space="preserve">This is the most serious finding in the file. The employer has certified a minimum requirement that the beneficiary does not meet, and has attested at §K.3 that she possesses it. At I-140 adjudication, USCIS will require evidence that the beneficiary held the required certification (or a genuine equivalent) as of the priority date. Absent such evidence, the petition is at substantial risk of denial. The fact that the only AWS credential in the file expired before the priority date compounds the exposure.</w:t>
      </w:r>
    </w:p>
    <w:bookmarkEnd w:id="28"/>
    <w:bookmarkStart w:id="29" w:name="f.-supervisory-scope-lowmoderate-gap"/>
    <w:p>
      <w:pPr>
        <w:pStyle w:val="Heading3"/>
      </w:pPr>
      <w:r>
        <w:t xml:space="preserve">F. Supervisory Scope — LOW–MODERATE GAP</w:t>
      </w:r>
    </w:p>
    <w:p>
      <w:pPr>
        <w:pStyle w:val="FirstParagraph"/>
      </w:pPr>
      <w:r>
        <w:t xml:space="preserve">J.B.5 states the position</w:t>
      </w:r>
      <w:r>
        <w:t xml:space="preserve"> </w:t>
      </w:r>
      <w:r>
        <w:t xml:space="preserve">“</w:t>
      </w:r>
      <w:r>
        <w:t xml:space="preserve">will supervise a team of 3–5 ML engineers.</w:t>
      </w:r>
      <w:r>
        <w:t xml:space="preserve">”</w:t>
      </w:r>
      <w:r>
        <w:t xml:space="preserve"> </w:t>
      </w:r>
      <w:r>
        <w:t xml:space="preserve">The DataBridge experience letter and résumé document that, as Data Scientist II, the beneficiary</w:t>
      </w:r>
      <w:r>
        <w:t xml:space="preserve"> </w:t>
      </w:r>
      <w:r>
        <w:t xml:space="preserve">“</w:t>
      </w:r>
      <w:r>
        <w:t xml:space="preserve">led a team of</w:t>
      </w:r>
      <w:r>
        <w:t xml:space="preserve"> </w:t>
      </w:r>
      <w:r>
        <w:rPr>
          <w:b/>
          <w:bCs/>
        </w:rPr>
        <w:t xml:space="preserve">2</w:t>
      </w:r>
      <w:r>
        <w:t xml:space="preserve"> </w:t>
      </w:r>
      <w:r>
        <w:t xml:space="preserve">junior data scientists.</w:t>
      </w:r>
      <w:r>
        <w:t xml:space="preserve">”</w:t>
      </w:r>
      <w:r>
        <w:t xml:space="preserve"> </w:t>
      </w:r>
      <w:r>
        <w:t xml:space="preserve">Two is below the 3–5 range stated in the certified requirement.</w:t>
      </w:r>
    </w:p>
    <w:p>
      <w:pPr>
        <w:pStyle w:val="BodyText"/>
      </w:pPr>
      <w:r>
        <w:t xml:space="preserve">The requirement is phrased as a prospective job duty (</w:t>
      </w:r>
      <w:r>
        <w:t xml:space="preserve">“</w:t>
      </w:r>
      <w:r>
        <w:t xml:space="preserve">will supervise</w:t>
      </w:r>
      <w:r>
        <w:t xml:space="preserve">”</w:t>
      </w:r>
      <w:r>
        <w:t xml:space="preserve">) rather than expressly as a prior-experience prerequisite, which somewhat mitigates the exposure. However, because supervisory responsibility is bundled into the J.B.5 special-skills/other-requirements block that §K.3 attests the beneficiary possesses, USCIS may look for prior supervisory experience commensurate with the certified scope. Leading two junior data scientists is close but not identical to supervising 3–5 ML engineers, and the discrepancy could generate an RFE.</w:t>
      </w:r>
    </w:p>
    <w:bookmarkEnd w:id="29"/>
    <w:bookmarkStart w:id="30" w:name="X477f02ffa0239d1fd39c32891ba3e9d9368b34a"/>
    <w:p>
      <w:pPr>
        <w:pStyle w:val="Heading3"/>
      </w:pPr>
      <w:r>
        <w:t xml:space="preserve">G. Missing NC State Research Assistantship Verification Letter — LOW GAP (documentation)</w:t>
      </w:r>
    </w:p>
    <w:p>
      <w:pPr>
        <w:pStyle w:val="FirstParagraph"/>
      </w:pPr>
      <w:r>
        <w:t xml:space="preserve">The ETA 9089 lists the NC State Research Assistantship (August 15, 2016 – May 15, 2018) as Experience Entry 2 (related occupation). The transmittal email from Prismex HR expressly flags that</w:t>
      </w:r>
      <w:r>
        <w:t xml:space="preserve"> </w:t>
      </w:r>
      <w:r>
        <w:rPr>
          <w:b/>
          <w:bCs/>
        </w:rPr>
        <w:t xml:space="preserve">no experience verification letter has been obtained</w:t>
      </w:r>
      <w:r>
        <w:t xml:space="preserve"> </w:t>
      </w:r>
      <w:r>
        <w:t xml:space="preserve">for this position: Professor Helen Tsai (the supervisor of record) is on sabbatical and has not responded, and HR proposes relying on the transcript, which notes the RA appointment and funding source (NSF Grant No. IIS-1742956).</w:t>
      </w:r>
    </w:p>
    <w:p>
      <w:pPr>
        <w:pStyle w:val="BodyText"/>
      </w:pPr>
      <w:r>
        <w:t xml:space="preserve">The transcript documents the</w:t>
      </w:r>
      <w:r>
        <w:t xml:space="preserve"> </w:t>
      </w:r>
      <w:r>
        <w:rPr>
          <w:i/>
          <w:iCs/>
        </w:rPr>
        <w:t xml:space="preserve">existence</w:t>
      </w:r>
      <w:r>
        <w:t xml:space="preserve"> </w:t>
      </w:r>
      <w:r>
        <w:t xml:space="preserve">of the appointment but does not describe the</w:t>
      </w:r>
      <w:r>
        <w:t xml:space="preserve"> </w:t>
      </w:r>
      <w:r>
        <w:rPr>
          <w:i/>
          <w:iCs/>
        </w:rPr>
        <w:t xml:space="preserve">duties performed</w:t>
      </w:r>
      <w:r>
        <w:t xml:space="preserve"> </w:t>
      </w:r>
      <w:r>
        <w:t xml:space="preserve">in the detail required for an experience letter. Because this experience is pre-master’s and part-time (20 hrs/week), it is not relied upon to satisfy the 5-year post-master’s minimum, so the practical risk is low. Nonetheless, the position is represented on the ETA 9089, and in an audit USCIS/DOL could request verification. Relying on a transcript in lieu of a duties-bearing experience letter is a documentation weakness.</w:t>
      </w:r>
    </w:p>
    <w:bookmarkEnd w:id="30"/>
    <w:bookmarkStart w:id="31" w:name="Xef90f7e1d7775908b9677a392ce09baa77671d1"/>
    <w:p>
      <w:pPr>
        <w:pStyle w:val="Heading3"/>
      </w:pPr>
      <w:r>
        <w:t xml:space="preserve">H. Document Dating / Audit-Readiness — LOW (housekeeping)</w:t>
      </w:r>
    </w:p>
    <w:p>
      <w:pPr>
        <w:pStyle w:val="FirstParagraph"/>
      </w:pPr>
      <w:r>
        <w:t xml:space="preserve">Several supporting documents bear dates after the March 15, 2025 priority date:</w:t>
      </w:r>
    </w:p>
    <w:p>
      <w:pPr>
        <w:pStyle w:val="Compact"/>
        <w:numPr>
          <w:ilvl w:val="0"/>
          <w:numId w:val="1004"/>
        </w:numPr>
      </w:pPr>
      <w:r>
        <w:t xml:space="preserve">NC State transcript: issued</w:t>
      </w:r>
      <w:r>
        <w:t xml:space="preserve"> </w:t>
      </w:r>
      <w:r>
        <w:rPr>
          <w:b/>
          <w:bCs/>
        </w:rPr>
        <w:t xml:space="preserve">May 20, 2025</w:t>
      </w:r>
      <w:r>
        <w:t xml:space="preserve"> </w:t>
      </w:r>
      <w:r>
        <w:t xml:space="preserve">(post-filing; post-certification).</w:t>
      </w:r>
    </w:p>
    <w:p>
      <w:pPr>
        <w:pStyle w:val="Compact"/>
        <w:numPr>
          <w:ilvl w:val="0"/>
          <w:numId w:val="1004"/>
        </w:numPr>
      </w:pPr>
      <w:r>
        <w:t xml:space="preserve">DataBridge experience letter: dated</w:t>
      </w:r>
      <w:r>
        <w:t xml:space="preserve"> </w:t>
      </w:r>
      <w:r>
        <w:rPr>
          <w:b/>
          <w:bCs/>
        </w:rPr>
        <w:t xml:space="preserve">April 10, 2025</w:t>
      </w:r>
      <w:r>
        <w:t xml:space="preserve"> </w:t>
      </w:r>
      <w:r>
        <w:t xml:space="preserve">(post-filing).</w:t>
      </w:r>
    </w:p>
    <w:p>
      <w:pPr>
        <w:pStyle w:val="Compact"/>
        <w:numPr>
          <w:ilvl w:val="0"/>
          <w:numId w:val="1004"/>
        </w:numPr>
      </w:pPr>
      <w:r>
        <w:t xml:space="preserve">Evalpoint experience letter: dated</w:t>
      </w:r>
      <w:r>
        <w:t xml:space="preserve"> </w:t>
      </w:r>
      <w:r>
        <w:rPr>
          <w:b/>
          <w:bCs/>
        </w:rPr>
        <w:t xml:space="preserve">March 28, 2025</w:t>
      </w:r>
      <w:r>
        <w:t xml:space="preserve"> </w:t>
      </w:r>
      <w:r>
        <w:t xml:space="preserve">(post-filing).</w:t>
      </w:r>
    </w:p>
    <w:p>
      <w:pPr>
        <w:pStyle w:val="FirstParagraph"/>
      </w:pPr>
      <w:r>
        <w:t xml:space="preserve">None of these is fatal: the underlying facts they document (degree conferral May 12, 2018; employment predating the priority date) all pre-date filing, and re-issued transcripts and contemporaneously obtained experience letters are routinely accepted. We flag this only so the file is audit-ready and so counsel can, if asked, explain that the documents evidence pre-existing facts. Where possible, the file should also retain any earlier-dated corroborating documentation (e.g., prior transcripts, pay records, offer/promotion letters).</w:t>
      </w:r>
    </w:p>
    <w:bookmarkEnd w:id="31"/>
    <w:bookmarkStart w:id="32" w:name="Xbb31034b1e2e108e121609d593aa787c9b13066"/>
    <w:p>
      <w:pPr>
        <w:pStyle w:val="Heading3"/>
      </w:pPr>
      <w:r>
        <w:t xml:space="preserve">I. FEIN Discrepancy Between ETA 9089 and PWD — SIGNIFICANT</w:t>
      </w:r>
    </w:p>
    <w:p>
      <w:pPr>
        <w:pStyle w:val="FirstParagraph"/>
      </w:pPr>
      <w:r>
        <w:t xml:space="preserve">The Federal Employer Identification Number (FEIN) stated on the ETA 9089 at §C.7 is</w:t>
      </w:r>
      <w:r>
        <w:t xml:space="preserve"> </w:t>
      </w:r>
      <w:r>
        <w:rPr>
          <w:b/>
          <w:bCs/>
        </w:rPr>
        <w:t xml:space="preserve">84-3291756</w:t>
      </w:r>
      <w:r>
        <w:t xml:space="preserve">, while the FEIN stated on the Prevailing Wage Determination (PWD Tracking No. P-200-24187-329156, §1) is</w:t>
      </w:r>
      <w:r>
        <w:t xml:space="preserve"> </w:t>
      </w:r>
      <w:r>
        <w:rPr>
          <w:b/>
          <w:bCs/>
        </w:rPr>
        <w:t xml:space="preserve">84-3291047</w:t>
      </w:r>
      <w:r>
        <w:t xml:space="preserve">. The two do not match.</w:t>
      </w:r>
    </w:p>
    <w:p>
      <w:pPr>
        <w:pStyle w:val="BodyText"/>
      </w:pPr>
      <w:r>
        <w:t xml:space="preserve">Although this is an employer-identity/PWD-alignment issue rather than a beneficiary-credential gap, it is material to the integrity of the application package and must be reconciled before the I-140 is filed. The I-140 petitioner must be the same employer identified on the certified ETA 9089, and the prevailing wage must have been determined for that same employer. A FEIN mismatch can raise questions about whether the PWD was obtained for the petitioning entity and whether the certified PERM correctly identifies the employer, and can trigger an RFE or scrutiny of the employer’s ability-to-pay evidence (which is keyed to the FEIN).</w:t>
      </w:r>
    </w:p>
    <w:bookmarkEnd w:id="32"/>
    <w:bookmarkStart w:id="33" w:name="X653f96ba67f477023d9c9b01cce2afe60a140fa"/>
    <w:p>
      <w:pPr>
        <w:pStyle w:val="Heading3"/>
      </w:pPr>
      <w:r>
        <w:t xml:space="preserve">J.</w:t>
      </w:r>
      <w:r>
        <w:t xml:space="preserve"> </w:t>
      </w:r>
      <w:r>
        <w:t xml:space="preserve">“</w:t>
      </w:r>
      <w:r>
        <w:t xml:space="preserve">Dr.</w:t>
      </w:r>
      <w:r>
        <w:t xml:space="preserve">”</w:t>
      </w:r>
      <w:r>
        <w:t xml:space="preserve"> </w:t>
      </w:r>
      <w:r>
        <w:t xml:space="preserve">Honorific — MODERATE (consistency / credibility)</w:t>
      </w:r>
    </w:p>
    <w:p>
      <w:pPr>
        <w:pStyle w:val="FirstParagraph"/>
      </w:pPr>
      <w:r>
        <w:t xml:space="preserve">The beneficiary is styled</w:t>
      </w:r>
      <w:r>
        <w:t xml:space="preserve"> </w:t>
      </w:r>
      <w:r>
        <w:t xml:space="preserve">“</w:t>
      </w:r>
      <w:r>
        <w:t xml:space="preserve">Dr. Ananya Mehrotra</w:t>
      </w:r>
      <w:r>
        <w:t xml:space="preserve">”</w:t>
      </w:r>
      <w:r>
        <w:t xml:space="preserve"> </w:t>
      </w:r>
      <w:r>
        <w:t xml:space="preserve">on the ETA 9089 (§I.1,</w:t>
      </w:r>
      <w:r>
        <w:t xml:space="preserve"> </w:t>
      </w:r>
      <w:r>
        <w:t xml:space="preserve">“</w:t>
      </w:r>
      <w:r>
        <w:t xml:space="preserve">also known as: Dr. Ananya Mehrotra</w:t>
      </w:r>
      <w:r>
        <w:t xml:space="preserve">”</w:t>
      </w:r>
      <w:r>
        <w:t xml:space="preserve">), the résumé, the IAE evaluation, the DataBridge experience letter, the certifications compilation, and the HR transmittal email. Her highest conferred degree, however, is a</w:t>
      </w:r>
      <w:r>
        <w:t xml:space="preserve"> </w:t>
      </w:r>
      <w:r>
        <w:rPr>
          <w:b/>
          <w:bCs/>
        </w:rPr>
        <w:t xml:space="preserve">Master of Science</w:t>
      </w:r>
      <w:r>
        <w:t xml:space="preserve">; she holds no doctorate. The NC State transcript styles her</w:t>
      </w:r>
      <w:r>
        <w:t xml:space="preserve"> </w:t>
      </w:r>
      <w:r>
        <w:t xml:space="preserve">“</w:t>
      </w:r>
      <w:r>
        <w:t xml:space="preserve">Ananya Mehrotra,</w:t>
      </w:r>
      <w:r>
        <w:t xml:space="preserve">”</w:t>
      </w:r>
      <w:r>
        <w:t xml:space="preserve"> </w:t>
      </w:r>
      <w:r>
        <w:t xml:space="preserve">and the Evalpoint experience letter addresses her as</w:t>
      </w:r>
      <w:r>
        <w:t xml:space="preserve"> </w:t>
      </w:r>
      <w:r>
        <w:t xml:space="preserve">“</w:t>
      </w:r>
      <w:r>
        <w:t xml:space="preserve">Ms. Ananya Mehrotra</w:t>
      </w:r>
      <w:r>
        <w:t xml:space="preserve">”</w:t>
      </w:r>
      <w:r>
        <w:t xml:space="preserve"> </w:t>
      </w:r>
      <w:r>
        <w:t xml:space="preserve">— both of which are accurate.</w:t>
      </w:r>
    </w:p>
    <w:p>
      <w:pPr>
        <w:pStyle w:val="BodyText"/>
      </w:pPr>
      <w:r>
        <w:t xml:space="preserve">Use of the</w:t>
      </w:r>
      <w:r>
        <w:t xml:space="preserve"> </w:t>
      </w:r>
      <w:r>
        <w:t xml:space="preserve">“</w:t>
      </w:r>
      <w:r>
        <w:t xml:space="preserve">Dr.</w:t>
      </w:r>
      <w:r>
        <w:t xml:space="preserve">”</w:t>
      </w:r>
      <w:r>
        <w:t xml:space="preserve"> </w:t>
      </w:r>
      <w:r>
        <w:t xml:space="preserve">honorific without a supporting doctorate is an inconsistency that, in an immigration context, can create a credibility concern and a superficial mismatch between the petition and the underlying credentials. It should be corrected across all filings.</w:t>
      </w:r>
    </w:p>
    <w:bookmarkEnd w:id="33"/>
    <w:bookmarkEnd w:id="34"/>
    <w:bookmarkStart w:id="39" w:name="vi.-remedial-recommendations-prioritized"/>
    <w:p>
      <w:pPr>
        <w:pStyle w:val="Heading2"/>
      </w:pPr>
      <w:r>
        <w:t xml:space="preserve">VI. Remedial Recommendations (Prioritized)</w:t>
      </w:r>
    </w:p>
    <w:bookmarkStart w:id="35" w:name="X47751ba3374e7525fff8dd433d1be07595f641a"/>
    <w:p>
      <w:pPr>
        <w:pStyle w:val="Heading3"/>
      </w:pPr>
      <w:r>
        <w:t xml:space="preserve">Priority 1 — Critical: Cure the AWS ML – Specialty certification gap (Finding E)</w:t>
      </w:r>
    </w:p>
    <w:p>
      <w:pPr>
        <w:pStyle w:val="Compact"/>
        <w:numPr>
          <w:ilvl w:val="0"/>
          <w:numId w:val="1005"/>
        </w:numPr>
      </w:pPr>
      <w:r>
        <w:rPr>
          <w:b/>
          <w:bCs/>
        </w:rPr>
        <w:t xml:space="preserve">Preferred remedy — obtain the certification.</w:t>
      </w:r>
      <w:r>
        <w:t xml:space="preserve"> </w:t>
      </w:r>
      <w:r>
        <w:t xml:space="preserve">The beneficiary should sit for and pass the</w:t>
      </w:r>
      <w:r>
        <w:t xml:space="preserve"> </w:t>
      </w:r>
      <w:r>
        <w:rPr>
          <w:b/>
          <w:bCs/>
        </w:rPr>
        <w:t xml:space="preserve">AWS Certified Machine Learning – Specialty</w:t>
      </w:r>
      <w:r>
        <w:t xml:space="preserve"> </w:t>
      </w:r>
      <w:r>
        <w:t xml:space="preserve">examination as soon as practicable, and ideally before the Form I-140 is filed (or at the latest before adjudication, to allow response to an RFE). The resulting certificate should be included in the I-140 filing. Note that the certification will post-date the March 15, 2025 priority date; counsel should be prepared to address timing, but a current, valid AWS ML – Specialty credential is the strongest available cure and directly satisfies the certified requirement.</w:t>
      </w:r>
    </w:p>
    <w:p>
      <w:pPr>
        <w:pStyle w:val="Compact"/>
        <w:numPr>
          <w:ilvl w:val="0"/>
          <w:numId w:val="1005"/>
        </w:numPr>
      </w:pPr>
      <w:r>
        <w:rPr>
          <w:b/>
          <w:bCs/>
        </w:rPr>
        <w:t xml:space="preserve">Do not rely on</w:t>
      </w:r>
      <w:r>
        <w:rPr>
          <w:b/>
          <w:bCs/>
        </w:rPr>
        <w:t xml:space="preserve"> </w:t>
      </w:r>
      <w:r>
        <w:rPr>
          <w:b/>
          <w:bCs/>
        </w:rPr>
        <w:t xml:space="preserve">“</w:t>
      </w:r>
      <w:r>
        <w:rPr>
          <w:b/>
          <w:bCs/>
        </w:rPr>
        <w:t xml:space="preserve">equivalent.</w:t>
      </w:r>
      <w:r>
        <w:rPr>
          <w:b/>
          <w:bCs/>
        </w:rPr>
        <w:t xml:space="preserve">”</w:t>
      </w:r>
      <w:r>
        <w:t xml:space="preserve"> </w:t>
      </w:r>
      <w:r>
        <w:t xml:space="preserve">Neither the expired AWS Cloud Practitioner (foundational) nor the TensorFlow Developer Certificate (Google-issued, framework-specific, non-AWS) is a defensible</w:t>
      </w:r>
      <w:r>
        <w:t xml:space="preserve"> </w:t>
      </w:r>
      <w:r>
        <w:t xml:space="preserve">“</w:t>
      </w:r>
      <w:r>
        <w:t xml:space="preserve">equivalent.</w:t>
      </w:r>
      <w:r>
        <w:t xml:space="preserve">”</w:t>
      </w:r>
      <w:r>
        <w:t xml:space="preserve"> </w:t>
      </w:r>
      <w:r>
        <w:t xml:space="preserve">We do not recommend arguing equivalence with the present credentials.</w:t>
      </w:r>
    </w:p>
    <w:p>
      <w:pPr>
        <w:pStyle w:val="Compact"/>
        <w:numPr>
          <w:ilvl w:val="0"/>
          <w:numId w:val="1005"/>
        </w:numPr>
      </w:pPr>
      <w:r>
        <w:rPr>
          <w:b/>
          <w:bCs/>
        </w:rPr>
        <w:t xml:space="preserve">Renew/upgrade the lapsed AWS credential in the interim.</w:t>
      </w:r>
      <w:r>
        <w:t xml:space="preserve"> </w:t>
      </w:r>
      <w:r>
        <w:t xml:space="preserve">Because the AWS Cloud Practitioner expired January 18, 2025, the file currently contains no active AWS certification. If any AWS credential is referenced in the I-140, it should be current.</w:t>
      </w:r>
    </w:p>
    <w:p>
      <w:pPr>
        <w:pStyle w:val="Compact"/>
        <w:numPr>
          <w:ilvl w:val="0"/>
          <w:numId w:val="1005"/>
        </w:numPr>
      </w:pPr>
      <w:r>
        <w:rPr>
          <w:b/>
          <w:bCs/>
        </w:rPr>
        <w:t xml:space="preserve">Assess the attestation.</w:t>
      </w:r>
      <w:r>
        <w:t xml:space="preserve"> </w:t>
      </w:r>
      <w:r>
        <w:t xml:space="preserve">Separately, counsel should evaluate whether the certification was properly imposed as a true minimum requirement and whether the §K.3 attestation is supportable on the existing record. Because the PERM is already certified, the I-140 will be adjudicated against the ETA 9089 as written; the practical path is to ensure the beneficiary holds the certification before adjudication. If for any reason the certification cannot be obtained, counsel should advise the employer on the materiality and on whether alternative strategies (e.g., a fresh recruitment and refiling with a corrected requirement set) are warranted — a drastic step to be avoided if the certification can instead be earned.</w:t>
      </w:r>
    </w:p>
    <w:bookmarkEnd w:id="35"/>
    <w:bookmarkStart w:id="36" w:name="X5094be0ac7ccd28784054634bcafc681eebdfbe"/>
    <w:p>
      <w:pPr>
        <w:pStyle w:val="Heading3"/>
      </w:pPr>
      <w:r>
        <w:t xml:space="preserve">Priority 2 — Significant: Reconcile the FEIN (Finding I)</w:t>
      </w:r>
    </w:p>
    <w:p>
      <w:pPr>
        <w:pStyle w:val="Compact"/>
        <w:numPr>
          <w:ilvl w:val="0"/>
          <w:numId w:val="1006"/>
        </w:numPr>
      </w:pPr>
      <w:r>
        <w:t xml:space="preserve">Verify the correct FEIN against authoritative IRS documentation (e.g., the CP 575 notice, a recent Form 941, or the most recent corporate tax return).</w:t>
      </w:r>
    </w:p>
    <w:p>
      <w:pPr>
        <w:pStyle w:val="Compact"/>
        <w:numPr>
          <w:ilvl w:val="0"/>
          <w:numId w:val="1006"/>
        </w:numPr>
      </w:pPr>
      <w:r>
        <w:t xml:space="preserve">Determine which document (the ETA 9089 or the PWD) bears the incorrect number. If the</w:t>
      </w:r>
      <w:r>
        <w:t xml:space="preserve"> </w:t>
      </w:r>
      <w:r>
        <w:rPr>
          <w:b/>
          <w:bCs/>
        </w:rPr>
        <w:t xml:space="preserve">PWD</w:t>
      </w:r>
      <w:r>
        <w:t xml:space="preserve"> </w:t>
      </w:r>
      <w:r>
        <w:t xml:space="preserve">is wrong, assess whether the determination remains valid for the petitioning employer and whether a corrected/new PWD is required. If the</w:t>
      </w:r>
      <w:r>
        <w:t xml:space="preserve"> </w:t>
      </w:r>
      <w:r>
        <w:rPr>
          <w:b/>
          <w:bCs/>
        </w:rPr>
        <w:t xml:space="preserve">ETA 9089</w:t>
      </w:r>
      <w:r>
        <w:t xml:space="preserve"> </w:t>
      </w:r>
      <w:r>
        <w:t xml:space="preserve">is wrong, assess the impact on the I-140 (the petitioner identity and ability-to-pay evidence must align with the certified form) and be prepared to explain the clerical error.</w:t>
      </w:r>
    </w:p>
    <w:p>
      <w:pPr>
        <w:pStyle w:val="Compact"/>
        <w:numPr>
          <w:ilvl w:val="0"/>
          <w:numId w:val="1006"/>
        </w:numPr>
      </w:pPr>
      <w:r>
        <w:t xml:space="preserve">Ensure the Form I-140 and all ability-to-pay evidence use the verified FEIN, and prepare a brief reconciliation note for the file in case USCIS issues an RFE.</w:t>
      </w:r>
    </w:p>
    <w:bookmarkEnd w:id="36"/>
    <w:bookmarkStart w:id="37" w:name="Xf484541b4aa4d11a44f90c927a39db0aeffa33e"/>
    <w:p>
      <w:pPr>
        <w:pStyle w:val="Heading3"/>
      </w:pPr>
      <w:r>
        <w:t xml:space="preserve">Priority 3 — Moderate: Document R proficiency and correct the</w:t>
      </w:r>
      <w:r>
        <w:t xml:space="preserve"> </w:t>
      </w:r>
      <w:r>
        <w:t xml:space="preserve">“</w:t>
      </w:r>
      <w:r>
        <w:t xml:space="preserve">Dr.</w:t>
      </w:r>
      <w:r>
        <w:t xml:space="preserve">”</w:t>
      </w:r>
      <w:r>
        <w:t xml:space="preserve"> </w:t>
      </w:r>
      <w:r>
        <w:t xml:space="preserve">styling (Findings D and J)</w:t>
      </w:r>
    </w:p>
    <w:p>
      <w:pPr>
        <w:pStyle w:val="Compact"/>
        <w:numPr>
          <w:ilvl w:val="0"/>
          <w:numId w:val="1007"/>
        </w:numPr>
      </w:pPr>
      <w:r>
        <w:rPr>
          <w:b/>
          <w:bCs/>
        </w:rPr>
        <w:t xml:space="preserve">R proficiency.</w:t>
      </w:r>
      <w:r>
        <w:t xml:space="preserve"> </w:t>
      </w:r>
      <w:r>
        <w:t xml:space="preserve">Obtain a supplemental or amended experience letter from DataBridge (Dr. Okonkwo) that details specific, substantive R usage — projects, duration, complexity, and deliverables — sufficient to support</w:t>
      </w:r>
      <w:r>
        <w:t xml:space="preserve"> </w:t>
      </w:r>
      <w:r>
        <w:t xml:space="preserve">“</w:t>
      </w:r>
      <w:r>
        <w:t xml:space="preserve">proficiency,</w:t>
      </w:r>
      <w:r>
        <w:t xml:space="preserve">”</w:t>
      </w:r>
      <w:r>
        <w:t xml:space="preserve"> </w:t>
      </w:r>
      <w:r>
        <w:t xml:space="preserve">or supplement with additional evidence (e.g., R-based project artifacts, an R certification, or a letter from a client engagement). If R proficiency at the certified level is not genuinely supportable, counsel should assess whether the requirement is defensible as certified; the safest course is to build the record to meet it.</w:t>
      </w:r>
    </w:p>
    <w:p>
      <w:pPr>
        <w:pStyle w:val="Compact"/>
        <w:numPr>
          <w:ilvl w:val="0"/>
          <w:numId w:val="1007"/>
        </w:numPr>
      </w:pPr>
      <w:r>
        <w:rPr>
          <w:b/>
          <w:bCs/>
        </w:rPr>
        <w:t xml:space="preserve">“</w:t>
      </w:r>
      <w:r>
        <w:rPr>
          <w:b/>
          <w:bCs/>
        </w:rPr>
        <w:t xml:space="preserve">Dr.</w:t>
      </w:r>
      <w:r>
        <w:rPr>
          <w:b/>
          <w:bCs/>
        </w:rPr>
        <w:t xml:space="preserve">”</w:t>
      </w:r>
      <w:r>
        <w:rPr>
          <w:b/>
          <w:bCs/>
        </w:rPr>
        <w:t xml:space="preserve"> </w:t>
      </w:r>
      <w:r>
        <w:rPr>
          <w:b/>
          <w:bCs/>
        </w:rPr>
        <w:t xml:space="preserve">honorific.</w:t>
      </w:r>
      <w:r>
        <w:t xml:space="preserve"> </w:t>
      </w:r>
      <w:r>
        <w:t xml:space="preserve">Remove</w:t>
      </w:r>
      <w:r>
        <w:t xml:space="preserve"> </w:t>
      </w:r>
      <w:r>
        <w:t xml:space="preserve">“</w:t>
      </w:r>
      <w:r>
        <w:t xml:space="preserve">Dr.</w:t>
      </w:r>
      <w:r>
        <w:t xml:space="preserve">”</w:t>
      </w:r>
      <w:r>
        <w:t xml:space="preserve"> </w:t>
      </w:r>
      <w:r>
        <w:t xml:space="preserve">from the beneficiary’s name in all petition filings, forms, and cover correspondence, and use</w:t>
      </w:r>
      <w:r>
        <w:t xml:space="preserve"> </w:t>
      </w:r>
      <w:r>
        <w:t xml:space="preserve">“</w:t>
      </w:r>
      <w:r>
        <w:t xml:space="preserve">Ananya Mehrotra</w:t>
      </w:r>
      <w:r>
        <w:t xml:space="preserve">”</w:t>
      </w:r>
      <w:r>
        <w:t xml:space="preserve"> </w:t>
      </w:r>
      <w:r>
        <w:t xml:space="preserve">(or</w:t>
      </w:r>
      <w:r>
        <w:t xml:space="preserve"> </w:t>
      </w:r>
      <w:r>
        <w:t xml:space="preserve">“</w:t>
      </w:r>
      <w:r>
        <w:t xml:space="preserve">Ms.</w:t>
      </w:r>
      <w:r>
        <w:t xml:space="preserve">”</w:t>
      </w:r>
      <w:r>
        <w:t xml:space="preserve">) consistently. Confirm the I-140, I-129, and all supporting documents use a single, accurate name form matching the NC State transcript and passport.</w:t>
      </w:r>
    </w:p>
    <w:bookmarkEnd w:id="37"/>
    <w:bookmarkStart w:id="38" w:name="X57ec6257e6beae2f69a4eca0e503bdddb22f0df"/>
    <w:p>
      <w:pPr>
        <w:pStyle w:val="Heading3"/>
      </w:pPr>
      <w:r>
        <w:t xml:space="preserve">Priority 4 — Low: Supervisory clarification, RA letter, dating, and evaluation purpose (Findings F, G, H, A)</w:t>
      </w:r>
    </w:p>
    <w:p>
      <w:pPr>
        <w:pStyle w:val="Compact"/>
        <w:numPr>
          <w:ilvl w:val="0"/>
          <w:numId w:val="1008"/>
        </w:numPr>
      </w:pPr>
      <w:r>
        <w:rPr>
          <w:b/>
          <w:bCs/>
        </w:rPr>
        <w:t xml:space="preserve">Supervisory scope.</w:t>
      </w:r>
      <w:r>
        <w:t xml:space="preserve"> </w:t>
      </w:r>
      <w:r>
        <w:t xml:space="preserve">Obtain a supplemental letter from DataBridge clarifying the breadth of the beneficiary’s team-lead responsibilities (e.g., cross-team mentorship, code-review authority over additional engineers, project leadership) to bring the documented supervisory experience as close as possible to the 3–5 engineer scope. If the</w:t>
      </w:r>
      <w:r>
        <w:t xml:space="preserve"> </w:t>
      </w:r>
      <w:r>
        <w:t xml:space="preserve">“</w:t>
      </w:r>
      <w:r>
        <w:t xml:space="preserve">3–5</w:t>
      </w:r>
      <w:r>
        <w:t xml:space="preserve">”</w:t>
      </w:r>
      <w:r>
        <w:t xml:space="preserve"> </w:t>
      </w:r>
      <w:r>
        <w:t xml:space="preserve">figure is not supportable as a true minimum, flag for counsel’s assessment; otherwise, document the leadership role robustly.</w:t>
      </w:r>
    </w:p>
    <w:p>
      <w:pPr>
        <w:pStyle w:val="Compact"/>
        <w:numPr>
          <w:ilvl w:val="0"/>
          <w:numId w:val="1008"/>
        </w:numPr>
      </w:pPr>
      <w:r>
        <w:rPr>
          <w:b/>
          <w:bCs/>
        </w:rPr>
        <w:t xml:space="preserve">NC State RA letter.</w:t>
      </w:r>
      <w:r>
        <w:t xml:space="preserve"> </w:t>
      </w:r>
      <w:r>
        <w:t xml:space="preserve">Pursue the backup HR proposed — contact the NC State Department of Computer Science administrator or university HR — to obtain a duties-bearing experience/assistantship verification letter. Although this experience is not needed for the 5-year minimum, it should be documented for audit completeness.</w:t>
      </w:r>
    </w:p>
    <w:p>
      <w:pPr>
        <w:pStyle w:val="Compact"/>
        <w:numPr>
          <w:ilvl w:val="0"/>
          <w:numId w:val="1008"/>
        </w:numPr>
      </w:pPr>
      <w:r>
        <w:rPr>
          <w:b/>
          <w:bCs/>
        </w:rPr>
        <w:t xml:space="preserve">Audit-readiness/dating.</w:t>
      </w:r>
      <w:r>
        <w:t xml:space="preserve"> </w:t>
      </w:r>
      <w:r>
        <w:t xml:space="preserve">Retain any earlier-dated corroborating records (prior transcripts, pay stubs, offer/promotion letters) in the audit file, and be prepared to explain post-priority-date issuance of the transcript and experience letters if questioned.</w:t>
      </w:r>
    </w:p>
    <w:p>
      <w:pPr>
        <w:pStyle w:val="Compact"/>
        <w:numPr>
          <w:ilvl w:val="0"/>
          <w:numId w:val="1008"/>
        </w:numPr>
      </w:pPr>
      <w:r>
        <w:rPr>
          <w:b/>
          <w:bCs/>
        </w:rPr>
        <w:t xml:space="preserve">IAE evaluation purpose.</w:t>
      </w:r>
      <w:r>
        <w:t xml:space="preserve"> </w:t>
      </w:r>
      <w:r>
        <w:t xml:space="preserve">No action required for the education requirement. If desired for cleanliness, counsel may request IAE re-issue the report with a purpose statement referencing the permanent labor certification / I-140 in addition to USCIS.</w:t>
      </w:r>
    </w:p>
    <w:bookmarkEnd w:id="38"/>
    <w:bookmarkEnd w:id="39"/>
    <w:bookmarkStart w:id="40" w:name="X4d5c61c04f390b11d5d3c47014e51089d23b492"/>
    <w:p>
      <w:pPr>
        <w:pStyle w:val="Heading2"/>
      </w:pPr>
      <w:r>
        <w:t xml:space="preserve">VII. Risk Assessment and Impact on the I-140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I-140 Exposure</w:t>
            </w:r>
          </w:p>
        </w:tc>
        <w:tc>
          <w:tcPr/>
          <w:p>
            <w:pPr>
              <w:pStyle w:val="Compact"/>
              <w:jc w:val="left"/>
            </w:pPr>
            <w:r>
              <w:t xml:space="preserve">Likelihood of RFE/Denial if Unaddressed</w:t>
            </w:r>
          </w:p>
        </w:tc>
      </w:tr>
      <w:tr>
        <w:tc>
          <w:tcPr/>
          <w:p>
            <w:pPr>
              <w:pStyle w:val="Compact"/>
              <w:jc w:val="left"/>
            </w:pPr>
            <w:r>
              <w:t xml:space="preserve">AWS ML – Specialty certification not held (E)</w:t>
            </w:r>
          </w:p>
        </w:tc>
        <w:tc>
          <w:tcPr/>
          <w:p>
            <w:pPr>
              <w:pStyle w:val="Compact"/>
              <w:jc w:val="left"/>
            </w:pPr>
            <w:r>
              <w:rPr>
                <w:b/>
                <w:bCs/>
              </w:rPr>
              <w:t xml:space="preserve">High</w:t>
            </w:r>
            <w:r>
              <w:t xml:space="preserve"> </w:t>
            </w:r>
            <w:r>
              <w:t xml:space="preserve">— failure to meet an attested minimum requirement</w:t>
            </w:r>
          </w:p>
        </w:tc>
        <w:tc>
          <w:tcPr/>
          <w:p>
            <w:pPr>
              <w:pStyle w:val="Compact"/>
              <w:jc w:val="left"/>
            </w:pPr>
            <w:r>
              <w:t xml:space="preserve">High (denial risk)</w:t>
            </w:r>
          </w:p>
        </w:tc>
      </w:tr>
      <w:tr>
        <w:tc>
          <w:tcPr/>
          <w:p>
            <w:pPr>
              <w:pStyle w:val="Compact"/>
              <w:jc w:val="left"/>
            </w:pPr>
            <w:r>
              <w:t xml:space="preserve">FEIN mismatch (I)</w:t>
            </w:r>
          </w:p>
        </w:tc>
        <w:tc>
          <w:tcPr/>
          <w:p>
            <w:pPr>
              <w:pStyle w:val="Compact"/>
              <w:jc w:val="left"/>
            </w:pPr>
            <w:r>
              <w:rPr>
                <w:b/>
                <w:bCs/>
              </w:rPr>
              <w:t xml:space="preserve">High</w:t>
            </w:r>
            <w:r>
              <w:t xml:space="preserve"> </w:t>
            </w:r>
            <w:r>
              <w:t xml:space="preserve">— employer-identity / PWD-alignment / ability-to-pay</w:t>
            </w:r>
          </w:p>
        </w:tc>
        <w:tc>
          <w:tcPr/>
          <w:p>
            <w:pPr>
              <w:pStyle w:val="Compact"/>
              <w:jc w:val="left"/>
            </w:pPr>
            <w:r>
              <w:t xml:space="preserve">High (RFE likely)</w:t>
            </w:r>
          </w:p>
        </w:tc>
      </w:tr>
      <w:tr>
        <w:tc>
          <w:tcPr/>
          <w:p>
            <w:pPr>
              <w:pStyle w:val="Compact"/>
              <w:jc w:val="left"/>
            </w:pPr>
            <w:r>
              <w:t xml:space="preserve">R proficiency under-documented (D)</w:t>
            </w:r>
          </w:p>
        </w:tc>
        <w:tc>
          <w:tcPr/>
          <w:p>
            <w:pPr>
              <w:pStyle w:val="Compact"/>
              <w:jc w:val="left"/>
            </w:pPr>
            <w:r>
              <w:t xml:space="preserve">Moderate — special-skill element</w:t>
            </w:r>
          </w:p>
        </w:tc>
        <w:tc>
          <w:tcPr/>
          <w:p>
            <w:pPr>
              <w:pStyle w:val="Compact"/>
              <w:jc w:val="left"/>
            </w:pPr>
            <w:r>
              <w:t xml:space="preserve">Moderate (RFE likely)</w:t>
            </w:r>
          </w:p>
        </w:tc>
      </w:tr>
      <w:tr>
        <w:tc>
          <w:tcPr/>
          <w:p>
            <w:pPr>
              <w:pStyle w:val="Compact"/>
              <w:jc w:val="left"/>
            </w:pPr>
            <w:r>
              <w:t xml:space="preserve">“</w:t>
            </w:r>
            <w:r>
              <w:t xml:space="preserve">Dr.</w:t>
            </w:r>
            <w:r>
              <w:t xml:space="preserve">”</w:t>
            </w:r>
            <w:r>
              <w:t xml:space="preserve"> </w:t>
            </w:r>
            <w:r>
              <w:t xml:space="preserve">honorific (J)</w:t>
            </w:r>
          </w:p>
        </w:tc>
        <w:tc>
          <w:tcPr/>
          <w:p>
            <w:pPr>
              <w:pStyle w:val="Compact"/>
              <w:jc w:val="left"/>
            </w:pPr>
            <w:r>
              <w:t xml:space="preserve">Low–Moderate — credibility/naming consistency</w:t>
            </w:r>
          </w:p>
        </w:tc>
        <w:tc>
          <w:tcPr/>
          <w:p>
            <w:pPr>
              <w:pStyle w:val="Compact"/>
              <w:jc w:val="left"/>
            </w:pPr>
            <w:r>
              <w:t xml:space="preserve">Low (RFE possible)</w:t>
            </w:r>
          </w:p>
        </w:tc>
      </w:tr>
      <w:tr>
        <w:tc>
          <w:tcPr/>
          <w:p>
            <w:pPr>
              <w:pStyle w:val="Compact"/>
              <w:jc w:val="left"/>
            </w:pPr>
            <w:r>
              <w:t xml:space="preserve">Supervisory scope 2 vs. 3–5 (F)</w:t>
            </w:r>
          </w:p>
        </w:tc>
        <w:tc>
          <w:tcPr/>
          <w:p>
            <w:pPr>
              <w:pStyle w:val="Compact"/>
              <w:jc w:val="left"/>
            </w:pPr>
            <w:r>
              <w:t xml:space="preserve">Low–Moderate</w:t>
            </w:r>
          </w:p>
        </w:tc>
        <w:tc>
          <w:tcPr/>
          <w:p>
            <w:pPr>
              <w:pStyle w:val="Compact"/>
              <w:jc w:val="left"/>
            </w:pPr>
            <w:r>
              <w:t xml:space="preserve">Low–Moderate (RFE possible)</w:t>
            </w:r>
          </w:p>
        </w:tc>
      </w:tr>
      <w:tr>
        <w:tc>
          <w:tcPr/>
          <w:p>
            <w:pPr>
              <w:pStyle w:val="Compact"/>
              <w:jc w:val="left"/>
            </w:pPr>
            <w:r>
              <w:t xml:space="preserve">Missing RA letter (G)</w:t>
            </w:r>
          </w:p>
        </w:tc>
        <w:tc>
          <w:tcPr/>
          <w:p>
            <w:pPr>
              <w:pStyle w:val="Compact"/>
              <w:jc w:val="left"/>
            </w:pPr>
            <w:r>
              <w:t xml:space="preserve">Low — not relied upon for minimum</w:t>
            </w:r>
          </w:p>
        </w:tc>
        <w:tc>
          <w:tcPr/>
          <w:p>
            <w:pPr>
              <w:pStyle w:val="Compact"/>
              <w:jc w:val="left"/>
            </w:pPr>
            <w:r>
              <w:t xml:space="preserve">Low</w:t>
            </w:r>
          </w:p>
        </w:tc>
      </w:tr>
      <w:tr>
        <w:tc>
          <w:tcPr/>
          <w:p>
            <w:pPr>
              <w:pStyle w:val="Compact"/>
              <w:jc w:val="left"/>
            </w:pPr>
            <w:r>
              <w:t xml:space="preserve">Document dating (H)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IAE purpose / B.Tech field (A)</w:t>
            </w:r>
          </w:p>
        </w:tc>
        <w:tc>
          <w:tcPr/>
          <w:p>
            <w:pPr>
              <w:pStyle w:val="Compact"/>
              <w:jc w:val="left"/>
            </w:pPr>
            <w:r>
              <w:t xml:space="preserve">Negligible</w:t>
            </w:r>
          </w:p>
        </w:tc>
        <w:tc>
          <w:tcPr/>
          <w:p>
            <w:pPr>
              <w:pStyle w:val="Compact"/>
              <w:jc w:val="left"/>
            </w:pPr>
            <w:r>
              <w:t xml:space="preserve">Negligible</w:t>
            </w:r>
          </w:p>
        </w:tc>
      </w:tr>
    </w:tbl>
    <w:p>
      <w:pPr>
        <w:pStyle w:val="BodyText"/>
      </w:pPr>
      <w:r>
        <w:t xml:space="preserve">The AWS ML – Specialty certification gap and the FEIN discrepancy are the two items that, if left unaddressed, place the I-140 at material risk. The R-proficiency and supervisory items are curable with supplemental documentation and should be addressed proactively to preempt an RFE. The remaining items are housekeeping or low-risk documentation matters.</w:t>
      </w:r>
    </w:p>
    <w:bookmarkEnd w:id="40"/>
    <w:bookmarkStart w:id="41" w:name="viii.-timing-considerations"/>
    <w:p>
      <w:pPr>
        <w:pStyle w:val="Heading2"/>
      </w:pPr>
      <w:r>
        <w:t xml:space="preserve">VIII. Timing Considerations</w:t>
      </w:r>
    </w:p>
    <w:p>
      <w:pPr>
        <w:pStyle w:val="FirstParagraph"/>
      </w:pPr>
      <w:r>
        <w:t xml:space="preserve">The transmittal email indicates the beneficiary’s F-1 STEM OPT employment authorization expires</w:t>
      </w:r>
      <w:r>
        <w:t xml:space="preserve"> </w:t>
      </w:r>
      <w:r>
        <w:rPr>
          <w:b/>
          <w:bCs/>
        </w:rPr>
        <w:t xml:space="preserve">September 15, 2025</w:t>
      </w:r>
      <w:r>
        <w:t xml:space="preserve">, and that Prismex targets filing the Form I-129 by</w:t>
      </w:r>
      <w:r>
        <w:t xml:space="preserve"> </w:t>
      </w:r>
      <w:r>
        <w:rPr>
          <w:b/>
          <w:bCs/>
        </w:rPr>
        <w:t xml:space="preserve">July 15, 2025</w:t>
      </w:r>
      <w:r>
        <w:t xml:space="preserve">. The AWS Certified Machine Learning – Specialty examination requires meaningful preparation and scheduling lead time; we recommend the beneficiary begin preparation immediately so that the credential can be secured before the I-140 is filed or, at minimum, before any RFE response deadline. The FEIN reconciliation and the R-proficiency / supervisory / naming corrections can and should be completed within the same window.</w:t>
      </w:r>
    </w:p>
    <w:bookmarkEnd w:id="41"/>
    <w:bookmarkStart w:id="42" w:name="Xa099807a4dd1ba7678ed9985cddcf933ed10030"/>
    <w:p>
      <w:pPr>
        <w:pStyle w:val="Heading2"/>
      </w:pPr>
      <w:r>
        <w:t xml:space="preserve">IX. Conclusion and Recommended Next Steps</w:t>
      </w:r>
    </w:p>
    <w:p>
      <w:pPr>
        <w:pStyle w:val="FirstParagraph"/>
      </w:pPr>
      <w:r>
        <w:t xml:space="preserve">The beneficiary clearly meets the certified education and post-master’s experience requirements, and meets special skills (a)–(d). However, the file contains one</w:t>
      </w:r>
      <w:r>
        <w:t xml:space="preserve"> </w:t>
      </w:r>
      <w:r>
        <w:rPr>
          <w:b/>
          <w:bCs/>
        </w:rPr>
        <w:t xml:space="preserve">critical</w:t>
      </w:r>
      <w:r>
        <w:t xml:space="preserve"> </w:t>
      </w:r>
      <w:r>
        <w:t xml:space="preserve">gap (the missing AWS Certified Machine Learning – Specialty certification, which the employer attested the beneficiary holds), one</w:t>
      </w:r>
      <w:r>
        <w:t xml:space="preserve"> </w:t>
      </w:r>
      <w:r>
        <w:rPr>
          <w:b/>
          <w:bCs/>
        </w:rPr>
        <w:t xml:space="preserve">significant</w:t>
      </w:r>
      <w:r>
        <w:t xml:space="preserve"> </w:t>
      </w:r>
      <w:r>
        <w:t xml:space="preserve">integrity issue (the FEIN mismatch), and several</w:t>
      </w:r>
      <w:r>
        <w:t xml:space="preserve"> </w:t>
      </w:r>
      <w:r>
        <w:rPr>
          <w:b/>
          <w:bCs/>
        </w:rPr>
        <w:t xml:space="preserve">moderate-to-low</w:t>
      </w:r>
      <w:r>
        <w:t xml:space="preserve"> </w:t>
      </w:r>
      <w:r>
        <w:t xml:space="preserve">documentation gaps (R proficiency, supervisory scope, the</w:t>
      </w:r>
      <w:r>
        <w:t xml:space="preserve"> </w:t>
      </w:r>
      <w:r>
        <w:t xml:space="preserve">“</w:t>
      </w:r>
      <w:r>
        <w:t xml:space="preserve">Dr.</w:t>
      </w:r>
      <w:r>
        <w:t xml:space="preserve">”</w:t>
      </w:r>
      <w:r>
        <w:t xml:space="preserve"> </w:t>
      </w:r>
      <w:r>
        <w:t xml:space="preserve">styling, the missing RA letter, and post-filing document dates). We recommend the following sequence:</w:t>
      </w:r>
    </w:p>
    <w:p>
      <w:pPr>
        <w:pStyle w:val="Compact"/>
        <w:numPr>
          <w:ilvl w:val="0"/>
          <w:numId w:val="1009"/>
        </w:numPr>
      </w:pPr>
      <w:r>
        <w:rPr>
          <w:b/>
          <w:bCs/>
        </w:rPr>
        <w:t xml:space="preserve">Immediately</w:t>
      </w:r>
      <w:r>
        <w:t xml:space="preserve"> </w:t>
      </w:r>
      <w:r>
        <w:t xml:space="preserve">initiate AWS Certified Machine Learning – Specialty exam preparation and scheduling (Priority 1), and begin FEIN reconciliation (Priority 2).</w:t>
      </w:r>
    </w:p>
    <w:p>
      <w:pPr>
        <w:pStyle w:val="Compact"/>
        <w:numPr>
          <w:ilvl w:val="0"/>
          <w:numId w:val="1009"/>
        </w:numPr>
      </w:pPr>
      <w:r>
        <w:rPr>
          <w:b/>
          <w:bCs/>
        </w:rPr>
        <w:t xml:space="preserve">Within two weeks</w:t>
      </w:r>
      <w:r>
        <w:t xml:space="preserve"> </w:t>
      </w:r>
      <w:r>
        <w:t xml:space="preserve">obtain the supplemental DataBridge letter addressing R proficiency and supervisory scope, and correct the beneficiary’s name styling across all draft filings (Priority 3).</w:t>
      </w:r>
    </w:p>
    <w:p>
      <w:pPr>
        <w:pStyle w:val="Compact"/>
        <w:numPr>
          <w:ilvl w:val="0"/>
          <w:numId w:val="1009"/>
        </w:numPr>
      </w:pPr>
      <w:r>
        <w:rPr>
          <w:b/>
          <w:bCs/>
        </w:rPr>
        <w:t xml:space="preserve">Before I-140 filing</w:t>
      </w:r>
      <w:r>
        <w:t xml:space="preserve"> </w:t>
      </w:r>
      <w:r>
        <w:t xml:space="preserve">obtain the NC State RA verification letter and assemble earlier-dated corroborating documents (Priority 4).</w:t>
      </w:r>
    </w:p>
    <w:p>
      <w:pPr>
        <w:pStyle w:val="Compact"/>
        <w:numPr>
          <w:ilvl w:val="0"/>
          <w:numId w:val="1009"/>
        </w:numPr>
      </w:pPr>
      <w:r>
        <w:rPr>
          <w:b/>
          <w:bCs/>
        </w:rPr>
        <w:t xml:space="preserve">Do not file the I-140</w:t>
      </w:r>
      <w:r>
        <w:t xml:space="preserve"> </w:t>
      </w:r>
      <w:r>
        <w:t xml:space="preserve">until the certification gap is cured or counsel has advised on an alternative strategy, and until the FEIN is reconciled.</w:t>
      </w:r>
    </w:p>
    <w:p>
      <w:pPr>
        <w:pStyle w:val="FirstParagraph"/>
      </w:pPr>
      <w:r>
        <w:t xml:space="preserve">We are available to discuss these findings and to assist with execution of the remedial steps. Please contact us with any questions.</w:t>
      </w:r>
    </w:p>
    <w:p>
      <w:r>
        <w:pict>
          <v:rect style="width:0;height:1.5pt" o:hralign="center" o:hrstd="t" o:hr="t"/>
        </w:pict>
      </w:r>
    </w:p>
    <w:p>
      <w:pPr>
        <w:pStyle w:val="FirstParagraph"/>
      </w:pPr>
      <w:r>
        <w:rPr>
          <w:i/>
          <w:iCs/>
        </w:rPr>
        <w:t xml:space="preserve">Whitmore &amp; Callahan LLP | 1750 K Street NW, Suite 800, Washington, DC 20006 | (202) 555-0392</w:t>
      </w:r>
    </w:p>
    <w:p>
      <w:pPr>
        <w:pStyle w:val="BodyText"/>
      </w:pPr>
      <w:r>
        <w:rPr>
          <w:i/>
          <w:iCs/>
        </w:rPr>
        <w:t xml:space="preserve">This memorandum is privileged and confidential attorney work product prepared for Prismex Analytics, Inc. in connection with the above-referenced immigration matters. It is not intended for distribution outside the employer and its authorized representatives.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2026-06-28T21:27:47Z</dcterms:created>
  <dcterms:modified xsi:type="dcterms:W3CDTF">2026-06-28T21:27:47Z</dcterms:modified>
</cp:coreProperties>
</file>

<file path=docProps/custom.xml><?xml version="1.0" encoding="utf-8"?>
<Properties xmlns="http://schemas.openxmlformats.org/officeDocument/2006/custom-properties" xmlns:vt="http://schemas.openxmlformats.org/officeDocument/2006/docPropsVTypes"/>
</file>