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ATTORNEY-CLIENT COMMUNICATION / ATTORNEY WORK PRODUCT</w:t>
      </w:r>
    </w:p>
    <w:p>
      <w:pPr>
        <w:pStyle w:val="BodyText"/>
      </w:pPr>
      <w:r>
        <w:rPr>
          <w:b/>
          <w:bCs/>
        </w:rPr>
        <w:t xml:space="preserve">PREPARED IN ANTICIPATION OF LITIGATION AND AGENCY PROCEEDINGS. DO NOT FORWARD OR DISCLOSE TO THIRD PARTIES WITHOUT PRIOR AUTHORIZATION OF COUNSEL.</w:t>
      </w:r>
    </w:p>
    <w:p>
      <w:r>
        <w:pict>
          <v:rect style="width:0;height:1.5pt" o:hralign="center" o:hrstd="t" o:hr="t"/>
        </w:pict>
      </w:r>
    </w:p>
    <w:bookmarkStart w:id="39" w:name="memorandum"/>
    <w:p>
      <w:pPr>
        <w:pStyle w:val="Heading1"/>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Melanie Foss, HR Director; Rajiv Sunderajan, Chief Executive Officer — Prismex Analytics, Inc.</w:t>
            </w:r>
          </w:p>
        </w:tc>
      </w:tr>
      <w:tr>
        <w:tc>
          <w:tcPr/>
          <w:p>
            <w:pPr>
              <w:pStyle w:val="Compact"/>
              <w:jc w:val="left"/>
            </w:pPr>
            <w:r>
              <w:rPr>
                <w:b/>
                <w:bCs/>
              </w:rPr>
              <w:t xml:space="preserve">FROM:</w:t>
            </w:r>
          </w:p>
        </w:tc>
        <w:tc>
          <w:tcPr/>
          <w:p>
            <w:pPr>
              <w:pStyle w:val="Compact"/>
              <w:jc w:val="left"/>
            </w:pPr>
            <w:r>
              <w:t xml:space="preserve">Craig Halloran, Esq. — Whitmore &amp; Callahan LLP</w:t>
            </w:r>
          </w:p>
        </w:tc>
      </w:tr>
      <w:tr>
        <w:tc>
          <w:tcPr/>
          <w:p>
            <w:pPr>
              <w:pStyle w:val="Compact"/>
              <w:jc w:val="left"/>
            </w:pPr>
            <w:r>
              <w:rPr>
                <w:b/>
                <w:bCs/>
              </w:rPr>
              <w:t xml:space="preserve">DATE:</w:t>
            </w:r>
          </w:p>
        </w:tc>
        <w:tc>
          <w:tcPr/>
          <w:p>
            <w:pPr>
              <w:pStyle w:val="Compact"/>
              <w:jc w:val="left"/>
            </w:pPr>
            <w:r>
              <w:t xml:space="preserve">June 12, 2025</w:t>
            </w:r>
          </w:p>
        </w:tc>
      </w:tr>
      <w:tr>
        <w:tc>
          <w:tcPr/>
          <w:p>
            <w:pPr>
              <w:pStyle w:val="Compact"/>
              <w:jc w:val="left"/>
            </w:pPr>
            <w:r>
              <w:rPr>
                <w:b/>
                <w:bCs/>
              </w:rPr>
              <w:t xml:space="preserve">RE:</w:t>
            </w:r>
          </w:p>
        </w:tc>
        <w:tc>
          <w:tcPr/>
          <w:p>
            <w:pPr>
              <w:pStyle w:val="Compact"/>
              <w:jc w:val="left"/>
            </w:pPr>
            <w:r>
              <w:t xml:space="preserve">Credential Gap Analysis — Certified PERM Application (ETA Form 9089), Case No. A-18247-63910, filed on behalf of Dr. Ananya Mehrotra for the position of Senior Machine Learning Engineer</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responds to your June 4, 2025 request that we review the certified PERM application (ETA Form 9089, Case No. A-18247-63910) against the beneficiary’s supporting credentials and identify any gaps, with remedial recommendations. The PERM application was filed on March 15, 2025 and certified by the U.S. Department of Labor on May 22, 2025. The supporting credential package was transmitted to this firm on June 4, 2025 in connection with the forthcoming H-1B petition and the eventual Form I-140 immigrant petition.</w:t>
      </w:r>
    </w:p>
    <w:p>
      <w:pPr>
        <w:pStyle w:val="BodyText"/>
      </w:pPr>
      <w:r>
        <w:t xml:space="preserve">Our review confirms that the beneficiary’s documented education and the core of her post-master’s machine-learning experience are</w:t>
      </w:r>
      <w:r>
        <w:t xml:space="preserve"> </w:t>
      </w:r>
      <w:r>
        <w:rPr>
          <w:b/>
          <w:bCs/>
        </w:rPr>
        <w:t xml:space="preserve">substantially aligned</w:t>
      </w:r>
      <w:r>
        <w:t xml:space="preserve"> </w:t>
      </w:r>
      <w:r>
        <w:t xml:space="preserve">with the position’s minimum requirements, and that the prevailing-wage and recruitment framework is internally consistent. However, we have identified</w:t>
      </w:r>
      <w:r>
        <w:t xml:space="preserve"> </w:t>
      </w:r>
      <w:r>
        <w:rPr>
          <w:b/>
          <w:bCs/>
        </w:rPr>
        <w:t xml:space="preserve">one critical gap</w:t>
      </w:r>
      <w:r>
        <w:t xml:space="preserve"> </w:t>
      </w:r>
      <w:r>
        <w:t xml:space="preserve">and</w:t>
      </w:r>
      <w:r>
        <w:t xml:space="preserve"> </w:t>
      </w:r>
      <w:r>
        <w:rPr>
          <w:b/>
          <w:bCs/>
        </w:rPr>
        <w:t xml:space="preserve">three moderate gaps</w:t>
      </w:r>
      <w:r>
        <w:t xml:space="preserve"> </w:t>
      </w:r>
      <w:r>
        <w:t xml:space="preserve">between the requirements as attested on the ETA 9089 and the evidence currently in the file, together with several minor consistency discrepancies. The most serious issue is that the position requires the</w:t>
      </w:r>
      <w:r>
        <w:t xml:space="preserve"> </w:t>
      </w:r>
      <w:r>
        <w:rPr>
          <w:b/>
          <w:bCs/>
        </w:rPr>
        <w:t xml:space="preserve">AWS Certified Machine Learning – Specialty</w:t>
      </w:r>
      <w:r>
        <w:t xml:space="preserve"> </w:t>
      </w:r>
      <w:r>
        <w:t xml:space="preserve">certification (or equivalent), and the beneficiary</w:t>
      </w:r>
      <w:r>
        <w:t xml:space="preserve"> </w:t>
      </w:r>
      <w:r>
        <w:rPr>
          <w:b/>
          <w:bCs/>
        </w:rPr>
        <w:t xml:space="preserve">does not hold that certification or any defensible equivalent</w:t>
      </w:r>
      <w:r>
        <w:t xml:space="preserve"> </w:t>
      </w:r>
      <w:r>
        <w:t xml:space="preserve">— notwithstanding the employer’s attestation in Section K.3 that she possesses all special-skills requirements.</w:t>
      </w:r>
    </w:p>
    <w:p>
      <w:pPr>
        <w:pStyle w:val="BodyText"/>
      </w:pPr>
      <w:r>
        <w:t xml:space="preserve">Because the Form I-140 will be adjudicated on the beneficiary’s qualifications</w:t>
      </w:r>
      <w:r>
        <w:t xml:space="preserve"> </w:t>
      </w:r>
      <w:r>
        <w:rPr>
          <w:b/>
          <w:bCs/>
        </w:rPr>
        <w:t xml:space="preserve">as of the PERM priority date (March 15, 2025)</w:t>
      </w:r>
      <w:r>
        <w:t xml:space="preserve">, the certification gap in particular requires prompt attention. The good news is that the I-140 must be filed within 180 days of certification (i.e., on or before approximately November 18, 2025), which provides a workable window to remediate most items before filing. A prioritized action plan appears in Section VI.</w:t>
      </w:r>
    </w:p>
    <w:p>
      <w:pPr>
        <w:pStyle w:val="BodyText"/>
      </w:pPr>
      <w:r>
        <w:rPr>
          <w:b/>
          <w:bCs/>
        </w:rPr>
        <w:t xml:space="preserve">Summary of findings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Gap</w:t>
            </w:r>
          </w:p>
        </w:tc>
        <w:tc>
          <w:tcPr/>
          <w:p>
            <w:pPr>
              <w:pStyle w:val="Compact"/>
              <w:jc w:val="left"/>
            </w:pPr>
            <w:r>
              <w:t xml:space="preserve">Status</w:t>
            </w:r>
          </w:p>
        </w:tc>
      </w:tr>
      <w:tr>
        <w:tc>
          <w:tcPr/>
          <w:p>
            <w:pPr>
              <w:pStyle w:val="Compact"/>
              <w:jc w:val="left"/>
            </w:pPr>
            <w:r>
              <w:t xml:space="preserve">Critical</w:t>
            </w:r>
          </w:p>
        </w:tc>
        <w:tc>
          <w:tcPr/>
          <w:p>
            <w:pPr>
              <w:pStyle w:val="Compact"/>
              <w:jc w:val="left"/>
            </w:pPr>
            <w:r>
              <w:t xml:space="preserve">AWS Certified Machine Learning – Specialty certification not held; no defensible</w:t>
            </w:r>
            <w:r>
              <w:t xml:space="preserve"> </w:t>
            </w:r>
            <w:r>
              <w:t xml:space="preserve">“</w:t>
            </w:r>
            <w:r>
              <w:t xml:space="preserve">equivalent</w:t>
            </w:r>
            <w:r>
              <w:t xml:space="preserve">”</w:t>
            </w:r>
          </w:p>
        </w:tc>
        <w:tc>
          <w:tcPr/>
          <w:p>
            <w:pPr>
              <w:pStyle w:val="Compact"/>
              <w:jc w:val="left"/>
            </w:pPr>
            <w:r>
              <w:t xml:space="preserve">Not met</w:t>
            </w:r>
          </w:p>
        </w:tc>
      </w:tr>
      <w:tr>
        <w:tc>
          <w:tcPr/>
          <w:p>
            <w:pPr>
              <w:pStyle w:val="Compact"/>
              <w:jc w:val="left"/>
            </w:pPr>
            <w:r>
              <w:t xml:space="preserve">Moderate</w:t>
            </w:r>
          </w:p>
        </w:tc>
        <w:tc>
          <w:tcPr/>
          <w:p>
            <w:pPr>
              <w:pStyle w:val="Compact"/>
              <w:jc w:val="left"/>
            </w:pPr>
            <w:r>
              <w:t xml:space="preserve">“</w:t>
            </w:r>
            <w:r>
              <w:t xml:space="preserve">Proficiency in R</w:t>
            </w:r>
            <w:r>
              <w:t xml:space="preserve">”</w:t>
            </w:r>
            <w:r>
              <w:t xml:space="preserve"> </w:t>
            </w:r>
            <w:r>
              <w:t xml:space="preserve">understated by experience letters (</w:t>
            </w:r>
            <w:r>
              <w:t xml:space="preserve">“</w:t>
            </w:r>
            <w:r>
              <w:t xml:space="preserve">some use</w:t>
            </w:r>
            <w:r>
              <w:t xml:space="preserve">”</w:t>
            </w:r>
            <w:r>
              <w:t xml:space="preserve"> </w:t>
            </w:r>
            <w:r>
              <w:t xml:space="preserve">/</w:t>
            </w:r>
            <w:r>
              <w:t xml:space="preserve"> </w:t>
            </w:r>
            <w:r>
              <w:t xml:space="preserve">“</w:t>
            </w:r>
            <w:r>
              <w:t xml:space="preserve">intermediate</w:t>
            </w:r>
            <w:r>
              <w:t xml:space="preserve">”</w:t>
            </w:r>
            <w:r>
              <w:t xml:space="preserve">)</w:t>
            </w:r>
          </w:p>
        </w:tc>
        <w:tc>
          <w:tcPr/>
          <w:p>
            <w:pPr>
              <w:pStyle w:val="Compact"/>
              <w:jc w:val="left"/>
            </w:pPr>
            <w:r>
              <w:t xml:space="preserve">Documentation gap</w:t>
            </w:r>
          </w:p>
        </w:tc>
      </w:tr>
      <w:tr>
        <w:tc>
          <w:tcPr/>
          <w:p>
            <w:pPr>
              <w:pStyle w:val="Compact"/>
              <w:jc w:val="left"/>
            </w:pPr>
            <w:r>
              <w:t xml:space="preserve">Moderate</w:t>
            </w:r>
          </w:p>
        </w:tc>
        <w:tc>
          <w:tcPr/>
          <w:p>
            <w:pPr>
              <w:pStyle w:val="Compact"/>
              <w:jc w:val="left"/>
            </w:pPr>
            <w:r>
              <w:t xml:space="preserve">Supervisory experience: documented team of 2 vs. required 3–5 ML engineers</w:t>
            </w:r>
          </w:p>
        </w:tc>
        <w:tc>
          <w:tcPr/>
          <w:p>
            <w:pPr>
              <w:pStyle w:val="Compact"/>
              <w:jc w:val="left"/>
            </w:pPr>
            <w:r>
              <w:t xml:space="preserve">Partial mismatch</w:t>
            </w:r>
          </w:p>
        </w:tc>
      </w:tr>
      <w:tr>
        <w:tc>
          <w:tcPr/>
          <w:p>
            <w:pPr>
              <w:pStyle w:val="Compact"/>
              <w:jc w:val="left"/>
            </w:pPr>
            <w:r>
              <w:t xml:space="preserve">Moderate</w:t>
            </w:r>
          </w:p>
        </w:tc>
        <w:tc>
          <w:tcPr/>
          <w:p>
            <w:pPr>
              <w:pStyle w:val="Compact"/>
              <w:jc w:val="left"/>
            </w:pPr>
            <w:r>
              <w:t xml:space="preserve">Missing NC State Research Assistant verification letter (Experience Entry 2)</w:t>
            </w:r>
          </w:p>
        </w:tc>
        <w:tc>
          <w:tcPr/>
          <w:p>
            <w:pPr>
              <w:pStyle w:val="Compact"/>
              <w:jc w:val="left"/>
            </w:pPr>
            <w:r>
              <w:t xml:space="preserve">Documentation gap</w:t>
            </w:r>
          </w:p>
        </w:tc>
      </w:tr>
      <w:tr>
        <w:tc>
          <w:tcPr/>
          <w:p>
            <w:pPr>
              <w:pStyle w:val="Compact"/>
              <w:jc w:val="left"/>
            </w:pPr>
            <w:r>
              <w:t xml:space="preserve">Minor</w:t>
            </w:r>
          </w:p>
        </w:tc>
        <w:tc>
          <w:tcPr/>
          <w:p>
            <w:pPr>
              <w:pStyle w:val="Compact"/>
              <w:jc w:val="left"/>
            </w:pPr>
            <w:r>
              <w:t xml:space="preserve">FEIN discrepancy between PWD and ETA 9089</w:t>
            </w:r>
          </w:p>
        </w:tc>
        <w:tc>
          <w:tcPr/>
          <w:p>
            <w:pPr>
              <w:pStyle w:val="Compact"/>
              <w:jc w:val="left"/>
            </w:pPr>
            <w:r>
              <w:t xml:space="preserve">Reconcile</w:t>
            </w:r>
          </w:p>
        </w:tc>
      </w:tr>
      <w:tr>
        <w:tc>
          <w:tcPr/>
          <w:p>
            <w:pPr>
              <w:pStyle w:val="Compact"/>
              <w:jc w:val="left"/>
            </w:pPr>
            <w:r>
              <w:t xml:space="preserve">Minor</w:t>
            </w:r>
          </w:p>
        </w:tc>
        <w:tc>
          <w:tcPr/>
          <w:p>
            <w:pPr>
              <w:pStyle w:val="Compact"/>
              <w:jc w:val="left"/>
            </w:pPr>
            <w:r>
              <w:t xml:space="preserve">“</w:t>
            </w:r>
            <w:r>
              <w:t xml:space="preserve">Dr.</w:t>
            </w:r>
            <w:r>
              <w:t xml:space="preserve">”</w:t>
            </w:r>
            <w:r>
              <w:t xml:space="preserve"> </w:t>
            </w:r>
            <w:r>
              <w:t xml:space="preserve">honorific not supported by a doctoral credential</w:t>
            </w:r>
          </w:p>
        </w:tc>
        <w:tc>
          <w:tcPr/>
          <w:p>
            <w:pPr>
              <w:pStyle w:val="Compact"/>
              <w:jc w:val="left"/>
            </w:pPr>
            <w:r>
              <w:t xml:space="preserve">Reconcile</w:t>
            </w:r>
          </w:p>
        </w:tc>
      </w:tr>
      <w:tr>
        <w:tc>
          <w:tcPr/>
          <w:p>
            <w:pPr>
              <w:pStyle w:val="Compact"/>
              <w:jc w:val="left"/>
            </w:pPr>
            <w:r>
              <w:t xml:space="preserve">Minor</w:t>
            </w:r>
          </w:p>
        </w:tc>
        <w:tc>
          <w:tcPr/>
          <w:p>
            <w:pPr>
              <w:pStyle w:val="Compact"/>
              <w:jc w:val="left"/>
            </w:pPr>
            <w:r>
              <w:t xml:space="preserve">Phone-number and experience-duration inconsistencies</w:t>
            </w:r>
          </w:p>
        </w:tc>
        <w:tc>
          <w:tcPr/>
          <w:p>
            <w:pPr>
              <w:pStyle w:val="Compact"/>
              <w:jc w:val="left"/>
            </w:pPr>
            <w:r>
              <w:t xml:space="preserve">Reconcile</w:t>
            </w:r>
          </w:p>
        </w:tc>
      </w:tr>
    </w:tbl>
    <w:p>
      <w:r>
        <w:pict>
          <v:rect style="width:0;height:1.5pt" o:hralign="center" o:hrstd="t" o:hr="t"/>
        </w:pict>
      </w:r>
    </w:p>
    <w:bookmarkEnd w:id="20"/>
    <w:bookmarkStart w:id="21" w:name="ii.-documents-reviewed"/>
    <w:p>
      <w:pPr>
        <w:pStyle w:val="Heading2"/>
      </w:pPr>
      <w:r>
        <w:t xml:space="preserve">II. Documents Reviewed</w:t>
      </w:r>
    </w:p>
    <w:p>
      <w:pPr>
        <w:pStyle w:val="FirstParagraph"/>
      </w:pPr>
      <w:r>
        <w:t xml:space="preserve">We reviewed the complete package transmitted on June 4, 2025, together with the certified ETA 9089:</w:t>
      </w:r>
    </w:p>
    <w:p>
      <w:pPr>
        <w:pStyle w:val="Compact"/>
        <w:numPr>
          <w:ilvl w:val="0"/>
          <w:numId w:val="1001"/>
        </w:numPr>
      </w:pPr>
      <w:r>
        <w:rPr>
          <w:b/>
          <w:bCs/>
        </w:rPr>
        <w:t xml:space="preserve">Certified PERM application (ETA Form 9089)</w:t>
      </w:r>
      <w:r>
        <w:t xml:space="preserve"> </w:t>
      </w:r>
      <w:r>
        <w:t xml:space="preserve">— Case No. A-18247-63910 (filed March 15, 2025; certified May 22, 2025), including the addenda to Sections H.10, J.B.5, and J.C.</w:t>
      </w:r>
    </w:p>
    <w:p>
      <w:pPr>
        <w:pStyle w:val="Compact"/>
        <w:numPr>
          <w:ilvl w:val="0"/>
          <w:numId w:val="1001"/>
        </w:numPr>
      </w:pPr>
      <w:r>
        <w:rPr>
          <w:b/>
          <w:bCs/>
        </w:rPr>
        <w:t xml:space="preserve">Beneficiary résumé/CV</w:t>
      </w:r>
      <w:r>
        <w:t xml:space="preserve"> </w:t>
      </w:r>
      <w:r>
        <w:t xml:space="preserve">— Dr. Ananya Mehrotra.</w:t>
      </w:r>
    </w:p>
    <w:p>
      <w:pPr>
        <w:pStyle w:val="Compact"/>
        <w:numPr>
          <w:ilvl w:val="0"/>
          <w:numId w:val="1001"/>
        </w:numPr>
      </w:pPr>
      <w:r>
        <w:rPr>
          <w:b/>
          <w:bCs/>
        </w:rPr>
        <w:t xml:space="preserve">Experience letter — DataBridge Solutions LLC</w:t>
      </w:r>
      <w:r>
        <w:t xml:space="preserve"> </w:t>
      </w:r>
      <w:r>
        <w:t xml:space="preserve">— signed by Dr. Samuel Okonkwo, VP of Data Science, dated April 10, 2025.</w:t>
      </w:r>
    </w:p>
    <w:p>
      <w:pPr>
        <w:pStyle w:val="Compact"/>
        <w:numPr>
          <w:ilvl w:val="0"/>
          <w:numId w:val="1001"/>
        </w:numPr>
      </w:pPr>
      <w:r>
        <w:rPr>
          <w:b/>
          <w:bCs/>
        </w:rPr>
        <w:t xml:space="preserve">Experience letter — Evalpoint Technologies Pvt. Ltd.</w:t>
      </w:r>
      <w:r>
        <w:t xml:space="preserve"> </w:t>
      </w:r>
      <w:r>
        <w:t xml:space="preserve">— signed by Vikram Reddy, Director of Engineering, dated March 28, 2025.</w:t>
      </w:r>
    </w:p>
    <w:p>
      <w:pPr>
        <w:pStyle w:val="Compact"/>
        <w:numPr>
          <w:ilvl w:val="0"/>
          <w:numId w:val="1001"/>
        </w:numPr>
      </w:pPr>
      <w:r>
        <w:rPr>
          <w:b/>
          <w:bCs/>
        </w:rPr>
        <w:t xml:space="preserve">NC State University official transcript</w:t>
      </w:r>
      <w:r>
        <w:t xml:space="preserve"> </w:t>
      </w:r>
      <w:r>
        <w:t xml:space="preserve">— M.S. in Computer Science, conferred May 12, 2018 (transcript issued May 20, 2025).</w:t>
      </w:r>
    </w:p>
    <w:p>
      <w:pPr>
        <w:pStyle w:val="Compact"/>
        <w:numPr>
          <w:ilvl w:val="0"/>
          <w:numId w:val="1001"/>
        </w:numPr>
      </w:pPr>
      <w:r>
        <w:rPr>
          <w:b/>
          <w:bCs/>
        </w:rPr>
        <w:t xml:space="preserve">Credential evaluation report — International Academic Evaluators (IAE)</w:t>
      </w:r>
      <w:r>
        <w:t xml:space="preserve"> </w:t>
      </w:r>
      <w:r>
        <w:t xml:space="preserve">— Report No. IAE-2025-02-4738, dated February 15, 2025 (B.Tech evaluation only).</w:t>
      </w:r>
    </w:p>
    <w:p>
      <w:pPr>
        <w:pStyle w:val="Compact"/>
        <w:numPr>
          <w:ilvl w:val="0"/>
          <w:numId w:val="1001"/>
        </w:numPr>
      </w:pPr>
      <w:r>
        <w:rPr>
          <w:b/>
          <w:bCs/>
        </w:rPr>
        <w:t xml:space="preserve">Professional certifications compilation</w:t>
      </w:r>
      <w:r>
        <w:t xml:space="preserve"> </w:t>
      </w:r>
      <w:r>
        <w:t xml:space="preserve">— Whitmore &amp; Callahan LLP, June 2025 (AWS Certified Cloud Practitioner; TensorFlow Developer Certificate).</w:t>
      </w:r>
    </w:p>
    <w:p>
      <w:pPr>
        <w:pStyle w:val="Compact"/>
        <w:numPr>
          <w:ilvl w:val="0"/>
          <w:numId w:val="1001"/>
        </w:numPr>
      </w:pPr>
      <w:r>
        <w:rPr>
          <w:b/>
          <w:bCs/>
        </w:rPr>
        <w:t xml:space="preserve">Prevailing Wage Determination (PWD)</w:t>
      </w:r>
      <w:r>
        <w:t xml:space="preserve"> </w:t>
      </w:r>
      <w:r>
        <w:t xml:space="preserve">— Tracking No. P-200-24187-329156, issued November 8, 2024 (valid through November 7, 2025).</w:t>
      </w:r>
    </w:p>
    <w:p>
      <w:pPr>
        <w:pStyle w:val="Compact"/>
        <w:numPr>
          <w:ilvl w:val="0"/>
          <w:numId w:val="1001"/>
        </w:numPr>
      </w:pPr>
      <w:r>
        <w:rPr>
          <w:b/>
          <w:bCs/>
        </w:rPr>
        <w:t xml:space="preserve">HR-to-counsel email</w:t>
      </w:r>
      <w:r>
        <w:t xml:space="preserve"> </w:t>
      </w:r>
      <w:r>
        <w:t xml:space="preserve">— Melanie Foss to Craig Halloran, dated June 4, 2025.</w:t>
      </w:r>
    </w:p>
    <w:p>
      <w:r>
        <w:pict>
          <v:rect style="width:0;height:1.5pt" o:hralign="center" o:hrstd="t" o:hr="t"/>
        </w:pict>
      </w:r>
    </w:p>
    <w:bookmarkEnd w:id="21"/>
    <w:bookmarkStart w:id="22" w:name="X5d6b84182669fbd0c12eea7d656825ddbd7892e"/>
    <w:p>
      <w:pPr>
        <w:pStyle w:val="Heading2"/>
      </w:pPr>
      <w:r>
        <w:t xml:space="preserve">III. The Benchmark — Minimum Requirements as Attested on the ETA 9089</w:t>
      </w:r>
    </w:p>
    <w:p>
      <w:pPr>
        <w:pStyle w:val="FirstParagraph"/>
      </w:pPr>
      <w:r>
        <w:t xml:space="preserve">The gap analysis measures the supporting credentials against the employer’s attested minimum requirements (Section J.B) and the beneficiary’s claimed qualifying experience (Sections J.C and K). The controlling requirements are:</w:t>
      </w:r>
    </w:p>
    <w:p>
      <w:pPr>
        <w:pStyle w:val="Compact"/>
        <w:numPr>
          <w:ilvl w:val="0"/>
          <w:numId w:val="1002"/>
        </w:numPr>
      </w:pPr>
      <w:r>
        <w:rPr>
          <w:b/>
          <w:bCs/>
        </w:rPr>
        <w:t xml:space="preserve">Education (J.B.1):</w:t>
      </w:r>
      <w:r>
        <w:t xml:space="preserve"> </w:t>
      </w:r>
      <w:r>
        <w:t xml:space="preserve">Master’s degree in Computer Science, Machine Learning, or a closely related field.</w:t>
      </w:r>
    </w:p>
    <w:p>
      <w:pPr>
        <w:pStyle w:val="Compact"/>
        <w:numPr>
          <w:ilvl w:val="0"/>
          <w:numId w:val="1002"/>
        </w:numPr>
      </w:pPr>
      <w:r>
        <w:rPr>
          <w:b/>
          <w:bCs/>
        </w:rPr>
        <w:t xml:space="preserve">Experience (J.B.3):</w:t>
      </w:r>
      <w:r>
        <w:t xml:space="preserve"> </w:t>
      </w:r>
      <w:r>
        <w:t xml:space="preserve">Five (5) years of progressive post-master’s experience in machine learning engineering or a closely related occupation.</w:t>
      </w:r>
    </w:p>
    <w:p>
      <w:pPr>
        <w:pStyle w:val="Compact"/>
        <w:numPr>
          <w:ilvl w:val="0"/>
          <w:numId w:val="1002"/>
        </w:numPr>
      </w:pPr>
      <w:r>
        <w:rPr>
          <w:b/>
          <w:bCs/>
        </w:rPr>
        <w:t xml:space="preserve">Special skills / other requirements (J.B.5):</w:t>
      </w:r>
      <w:r>
        <w:t xml:space="preserve"> </w:t>
      </w:r>
      <w:r>
        <w:t xml:space="preserve">Experience must include —</w:t>
      </w:r>
    </w:p>
    <w:p>
      <w:pPr>
        <w:pStyle w:val="Compact"/>
        <w:numPr>
          <w:ilvl w:val="1"/>
          <w:numId w:val="1003"/>
        </w:numPr>
      </w:pPr>
    </w:p>
    <w:p>
      <w:pPr>
        <w:pStyle w:val="Compact"/>
        <w:numPr>
          <w:ilvl w:val="2"/>
          <w:numId w:val="1004"/>
        </w:numPr>
      </w:pPr>
      <w:r>
        <w:t xml:space="preserve">designing and deploying production-grade deep learning models using TensorFlow or PyTorch;</w:t>
      </w:r>
    </w:p>
    <w:p>
      <w:pPr>
        <w:pStyle w:val="Compact"/>
        <w:numPr>
          <w:ilvl w:val="1"/>
          <w:numId w:val="1003"/>
        </w:numPr>
      </w:pPr>
    </w:p>
    <w:p>
      <w:pPr>
        <w:pStyle w:val="Compact"/>
        <w:numPr>
          <w:ilvl w:val="2"/>
          <w:numId w:val="1005"/>
        </w:numPr>
      </w:pPr>
      <w:r>
        <w:t xml:space="preserve">experience with distributed computing frameworks including Apache Spark;</w:t>
      </w:r>
    </w:p>
    <w:p>
      <w:pPr>
        <w:pStyle w:val="Compact"/>
        <w:numPr>
          <w:ilvl w:val="1"/>
          <w:numId w:val="1003"/>
        </w:numPr>
      </w:pPr>
    </w:p>
    <w:p>
      <w:pPr>
        <w:pStyle w:val="Compact"/>
        <w:numPr>
          <w:ilvl w:val="2"/>
          <w:numId w:val="1006"/>
        </w:numPr>
      </w:pPr>
      <w:r>
        <w:t xml:space="preserve">natural language processing (NLP) pipeline development;</w:t>
      </w:r>
    </w:p>
    <w:p>
      <w:pPr>
        <w:pStyle w:val="Compact"/>
        <w:numPr>
          <w:ilvl w:val="1"/>
          <w:numId w:val="1003"/>
        </w:numPr>
      </w:pPr>
    </w:p>
    <w:p>
      <w:pPr>
        <w:pStyle w:val="Compact"/>
        <w:numPr>
          <w:ilvl w:val="2"/>
          <w:numId w:val="1007"/>
        </w:numPr>
      </w:pPr>
      <w:r>
        <w:t xml:space="preserve">cloud-based ML deployment on AWS SageMaker or Google Vertex AI;</w:t>
      </w:r>
    </w:p>
    <w:p>
      <w:pPr>
        <w:pStyle w:val="Compact"/>
        <w:numPr>
          <w:ilvl w:val="1"/>
          <w:numId w:val="1003"/>
        </w:numPr>
      </w:pPr>
    </w:p>
    <w:p>
      <w:pPr>
        <w:pStyle w:val="Compact"/>
        <w:numPr>
          <w:ilvl w:val="2"/>
          <w:numId w:val="1008"/>
        </w:numPr>
      </w:pPr>
      <w:r>
        <w:t xml:space="preserve">proficiency in Python</w:t>
      </w:r>
      <w:r>
        <w:t xml:space="preserve"> </w:t>
      </w:r>
      <w:r>
        <w:rPr>
          <w:b/>
          <w:bCs/>
        </w:rPr>
        <w:t xml:space="preserve">and R</w:t>
      </w:r>
      <w:r>
        <w:t xml:space="preserve"> </w:t>
      </w:r>
      <w:r>
        <w:t xml:space="preserve">programming languages;</w:t>
      </w:r>
    </w:p>
    <w:p>
      <w:pPr>
        <w:pStyle w:val="Compact"/>
        <w:numPr>
          <w:ilvl w:val="1"/>
          <w:numId w:val="1003"/>
        </w:numPr>
      </w:pPr>
      <w:r>
        <w:rPr>
          <w:b/>
          <w:bCs/>
        </w:rPr>
        <w:t xml:space="preserve">AWS Certified Machine Learning – Specialty certification or equivalent required;</w:t>
      </w:r>
    </w:p>
    <w:p>
      <w:pPr>
        <w:pStyle w:val="Compact"/>
        <w:numPr>
          <w:ilvl w:val="1"/>
          <w:numId w:val="1003"/>
        </w:numPr>
      </w:pPr>
      <w:r>
        <w:t xml:space="preserve">up to 10% domestic travel; and</w:t>
      </w:r>
    </w:p>
    <w:p>
      <w:pPr>
        <w:pStyle w:val="Compact"/>
        <w:numPr>
          <w:ilvl w:val="1"/>
          <w:numId w:val="1003"/>
        </w:numPr>
      </w:pPr>
      <w:r>
        <w:rPr>
          <w:b/>
          <w:bCs/>
        </w:rPr>
        <w:t xml:space="preserve">supervision of a team of 3–5 ML engineers.</w:t>
      </w:r>
    </w:p>
    <w:p>
      <w:pPr>
        <w:pStyle w:val="FirstParagraph"/>
      </w:pPr>
      <w:r>
        <w:t xml:space="preserve">The employer attested in Section K that the beneficiary meets the education requirement (K.1 = Yes), the experience requirement (K.2 = Yes), and the special-skills requirement (K.3 = Yes), and that she is qualified for the position (K.4 = Yes). The employer also attested that no qualifying experience was gained with the petitioning employer (K.5 = No), which is consistent with the record.</w:t>
      </w:r>
    </w:p>
    <w:p>
      <w:r>
        <w:pict>
          <v:rect style="width:0;height:1.5pt" o:hralign="center" o:hrstd="t" o:hr="t"/>
        </w:pict>
      </w:r>
    </w:p>
    <w:bookmarkEnd w:id="22"/>
    <w:bookmarkStart w:id="28" w:name="iv.-gap-analysis"/>
    <w:p>
      <w:pPr>
        <w:pStyle w:val="Heading2"/>
      </w:pPr>
      <w:r>
        <w:t xml:space="preserve">IV. Gap Analysis</w:t>
      </w:r>
    </w:p>
    <w:bookmarkStart w:id="23" w:name="X66945775878a6cef00d57539026594aeafc9f2e"/>
    <w:p>
      <w:pPr>
        <w:pStyle w:val="Heading3"/>
      </w:pPr>
      <w:r>
        <w:t xml:space="preserve">A. CRITICAL — AWS Certified Machine Learning – Specialty Certification Not Held</w:t>
      </w:r>
    </w:p>
    <w:p>
      <w:pPr>
        <w:pStyle w:val="FirstParagraph"/>
      </w:pPr>
      <w:r>
        <w:rPr>
          <w:b/>
          <w:bCs/>
        </w:rPr>
        <w:t xml:space="preserve">The requirement.</w:t>
      </w:r>
      <w:r>
        <w:t xml:space="preserve"> </w:t>
      </w:r>
      <w:r>
        <w:t xml:space="preserve">Section J.B.5 (and its addendum) states that the</w:t>
      </w:r>
      <w:r>
        <w:t xml:space="preserve"> </w:t>
      </w:r>
      <w:r>
        <w:t xml:space="preserve">“</w:t>
      </w:r>
      <w:r>
        <w:t xml:space="preserve">AWS Certified Machine Learning – Specialty certification or equivalent [is] required.</w:t>
      </w:r>
      <w:r>
        <w:t xml:space="preserve">”</w:t>
      </w:r>
      <w:r>
        <w:t xml:space="preserve"> </w:t>
      </w:r>
      <w:r>
        <w:t xml:space="preserve">This is a stated minimum special-skills requirement, and the employer attested in Section K.3 that the beneficiary possesses all special-skills requirements.</w:t>
      </w:r>
    </w:p>
    <w:p>
      <w:pPr>
        <w:pStyle w:val="BodyText"/>
      </w:pPr>
      <w:r>
        <w:rPr>
          <w:b/>
          <w:bCs/>
        </w:rPr>
        <w:t xml:space="preserve">The evidence.</w:t>
      </w:r>
      <w:r>
        <w:t xml:space="preserve"> </w:t>
      </w:r>
      <w:r>
        <w:t xml:space="preserve">The certifications compilation (June 2025) reflects only two credentials: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Certification</w:t>
            </w:r>
          </w:p>
        </w:tc>
        <w:tc>
          <w:tcPr/>
          <w:p>
            <w:pPr>
              <w:pStyle w:val="Compact"/>
              <w:jc w:val="left"/>
            </w:pPr>
            <w:r>
              <w:t xml:space="preserve">Level</w:t>
            </w:r>
          </w:p>
        </w:tc>
        <w:tc>
          <w:tcPr/>
          <w:p>
            <w:pPr>
              <w:pStyle w:val="Compact"/>
              <w:jc w:val="left"/>
            </w:pPr>
            <w:r>
              <w:t xml:space="preserve">Issued</w:t>
            </w:r>
          </w:p>
        </w:tc>
        <w:tc>
          <w:tcPr/>
          <w:p>
            <w:pPr>
              <w:pStyle w:val="Compact"/>
              <w:jc w:val="left"/>
            </w:pPr>
            <w:r>
              <w:t xml:space="preserve">Status</w:t>
            </w:r>
          </w:p>
        </w:tc>
        <w:tc>
          <w:tcPr/>
          <w:p>
            <w:pPr>
              <w:pStyle w:val="Compact"/>
              <w:jc w:val="left"/>
            </w:pPr>
            <w:r>
              <w:t xml:space="preserve">Issuer</w:t>
            </w:r>
          </w:p>
        </w:tc>
      </w:tr>
      <w:tr>
        <w:tc>
          <w:tcPr/>
          <w:p>
            <w:pPr>
              <w:pStyle w:val="Compact"/>
              <w:jc w:val="left"/>
            </w:pPr>
            <w:r>
              <w:t xml:space="preserve">AWS Certified Cloud Practitioner</w:t>
            </w:r>
          </w:p>
        </w:tc>
        <w:tc>
          <w:tcPr/>
          <w:p>
            <w:pPr>
              <w:pStyle w:val="Compact"/>
              <w:jc w:val="left"/>
            </w:pPr>
            <w:r>
              <w:t xml:space="preserve">Foundational</w:t>
            </w:r>
          </w:p>
        </w:tc>
        <w:tc>
          <w:tcPr/>
          <w:p>
            <w:pPr>
              <w:pStyle w:val="Compact"/>
              <w:jc w:val="left"/>
            </w:pPr>
            <w:r>
              <w:t xml:space="preserve">Jan. 18, 2022</w:t>
            </w:r>
          </w:p>
        </w:tc>
        <w:tc>
          <w:tcPr/>
          <w:p>
            <w:pPr>
              <w:pStyle w:val="Compact"/>
              <w:jc w:val="left"/>
            </w:pPr>
            <w:r>
              <w:rPr>
                <w:b/>
                <w:bCs/>
              </w:rPr>
              <w:t xml:space="preserve">Expired</w:t>
            </w:r>
            <w:r>
              <w:t xml:space="preserve"> </w:t>
            </w:r>
            <w:r>
              <w:t xml:space="preserve">Jan. 18, 2025 (not renewed)</w:t>
            </w:r>
          </w:p>
        </w:tc>
        <w:tc>
          <w:tcPr/>
          <w:p>
            <w:pPr>
              <w:pStyle w:val="Compact"/>
              <w:jc w:val="left"/>
            </w:pPr>
            <w:r>
              <w:t xml:space="preserve">Amazon Web Services</w:t>
            </w:r>
          </w:p>
        </w:tc>
      </w:tr>
      <w:tr>
        <w:tc>
          <w:tcPr/>
          <w:p>
            <w:pPr>
              <w:pStyle w:val="Compact"/>
              <w:jc w:val="left"/>
            </w:pPr>
            <w:r>
              <w:t xml:space="preserve">TensorFlow Developer Certificate</w:t>
            </w:r>
          </w:p>
        </w:tc>
        <w:tc>
          <w:tcPr/>
          <w:p>
            <w:pPr>
              <w:pStyle w:val="Compact"/>
              <w:jc w:val="left"/>
            </w:pPr>
            <w:r>
              <w:t xml:space="preserve">Professional / Developer</w:t>
            </w:r>
          </w:p>
        </w:tc>
        <w:tc>
          <w:tcPr/>
          <w:p>
            <w:pPr>
              <w:pStyle w:val="Compact"/>
              <w:jc w:val="left"/>
            </w:pPr>
            <w:r>
              <w:t xml:space="preserve">Mar. 10, 2023</w:t>
            </w:r>
          </w:p>
        </w:tc>
        <w:tc>
          <w:tcPr/>
          <w:p>
            <w:pPr>
              <w:pStyle w:val="Compact"/>
              <w:jc w:val="left"/>
            </w:pPr>
            <w:r>
              <w:t xml:space="preserve">Active (no expiration)</w:t>
            </w:r>
          </w:p>
        </w:tc>
        <w:tc>
          <w:tcPr/>
          <w:p>
            <w:pPr>
              <w:pStyle w:val="Compact"/>
              <w:jc w:val="left"/>
            </w:pPr>
            <w:r>
              <w:t xml:space="preserve">Google (TensorFlow program)</w:t>
            </w:r>
          </w:p>
        </w:tc>
      </w:tr>
    </w:tbl>
    <w:p>
      <w:pPr>
        <w:pStyle w:val="BodyText"/>
      </w:pPr>
      <w:r>
        <w:t xml:space="preserve">Critically, the compilation’s own verification notes state:</w:t>
      </w:r>
      <w:r>
        <w:t xml:space="preserve"> </w:t>
      </w:r>
      <w:r>
        <w:rPr>
          <w:i/>
          <w:iCs/>
        </w:rPr>
        <w:t xml:space="preserve">“</w:t>
      </w:r>
      <w:r>
        <w:rPr>
          <w:i/>
          <w:iCs/>
        </w:rPr>
        <w:t xml:space="preserve">Counsel specifically inquired whether the beneficiary holds the AWS Certified Machine Learning – Specialty certification or any other AWS specialty-level certification; the beneficiary confirmed she does not hold any such certification.</w:t>
      </w:r>
      <w:r>
        <w:rPr>
          <w:i/>
          <w:iCs/>
        </w:rPr>
        <w:t xml:space="preserve">”</w:t>
      </w:r>
    </w:p>
    <w:p>
      <w:pPr>
        <w:pStyle w:val="BodyText"/>
      </w:pPr>
      <w:r>
        <w:rPr>
          <w:b/>
          <w:bCs/>
        </w:rPr>
        <w:t xml:space="preserve">Analysis.</w:t>
      </w:r>
      <w:r>
        <w:t xml:space="preserve"> </w:t>
      </w:r>
      <w:r>
        <w:t xml:space="preserve">Neither held credential is a defensible</w:t>
      </w:r>
      <w:r>
        <w:t xml:space="preserve"> </w:t>
      </w:r>
      <w:r>
        <w:t xml:space="preserve">“</w:t>
      </w:r>
      <w:r>
        <w:t xml:space="preserve">equivalent</w:t>
      </w:r>
      <w:r>
        <w:t xml:space="preserve">”</w:t>
      </w:r>
      <w:r>
        <w:t xml:space="preserve"> </w:t>
      </w:r>
      <w:r>
        <w:t xml:space="preserve">to the AWS Certified Machine Learning – Specialty certification:</w:t>
      </w:r>
    </w:p>
    <w:p>
      <w:pPr>
        <w:pStyle w:val="Compact"/>
        <w:numPr>
          <w:ilvl w:val="0"/>
          <w:numId w:val="1009"/>
        </w:numPr>
      </w:pPr>
      <w:r>
        <w:t xml:space="preserve">The</w:t>
      </w:r>
      <w:r>
        <w:t xml:space="preserve"> </w:t>
      </w:r>
      <w:r>
        <w:rPr>
          <w:b/>
          <w:bCs/>
        </w:rPr>
        <w:t xml:space="preserve">AWS Certified Cloud Practitioner</w:t>
      </w:r>
      <w:r>
        <w:t xml:space="preserve"> </w:t>
      </w:r>
      <w:r>
        <w:t xml:space="preserve">is a</w:t>
      </w:r>
      <w:r>
        <w:t xml:space="preserve"> </w:t>
      </w:r>
      <w:r>
        <w:rPr>
          <w:i/>
          <w:iCs/>
        </w:rPr>
        <w:t xml:space="preserve">foundational</w:t>
      </w:r>
      <w:r>
        <w:t xml:space="preserve">, general cloud-literacy credential. It does not test machine-learning specialization, it is not a specialty-level certification, and it</w:t>
      </w:r>
      <w:r>
        <w:t xml:space="preserve"> </w:t>
      </w:r>
      <w:r>
        <w:rPr>
          <w:b/>
          <w:bCs/>
        </w:rPr>
        <w:t xml:space="preserve">expired before the PERM filing date</w:t>
      </w:r>
      <w:r>
        <w:t xml:space="preserve"> </w:t>
      </w:r>
      <w:r>
        <w:t xml:space="preserve">(March 15, 2025). It therefore cannot satisfy the requirement as of the priority date.</w:t>
      </w:r>
    </w:p>
    <w:p>
      <w:pPr>
        <w:pStyle w:val="Compact"/>
        <w:numPr>
          <w:ilvl w:val="0"/>
          <w:numId w:val="1009"/>
        </w:numPr>
      </w:pPr>
      <w:r>
        <w:t xml:space="preserve">The</w:t>
      </w:r>
      <w:r>
        <w:t xml:space="preserve"> </w:t>
      </w:r>
      <w:r>
        <w:rPr>
          <w:b/>
          <w:bCs/>
        </w:rPr>
        <w:t xml:space="preserve">TensorFlow Developer Certificate</w:t>
      </w:r>
      <w:r>
        <w:t xml:space="preserve"> </w:t>
      </w:r>
      <w:r>
        <w:t xml:space="preserve">is a framework-specific proficiency credential issued by</w:t>
      </w:r>
      <w:r>
        <w:t xml:space="preserve"> </w:t>
      </w:r>
      <w:r>
        <w:rPr>
          <w:b/>
          <w:bCs/>
        </w:rPr>
        <w:t xml:space="preserve">Google</w:t>
      </w:r>
      <w:r>
        <w:t xml:space="preserve">, not AWS. It validates TensorFlow model-building skill; it does not test AWS ML services (SageMaker, model deployment, AWS-specific ML pipelines) that the AWS ML – Specialty exam covers. The compilation itself notes the TensorFlow certificate</w:t>
      </w:r>
      <w:r>
        <w:t xml:space="preserve"> </w:t>
      </w:r>
      <w:r>
        <w:t xml:space="preserve">“</w:t>
      </w:r>
      <w:r>
        <w:t xml:space="preserve">is not affiliated with Amazon Web Services (AWS).</w:t>
      </w:r>
      <w:r>
        <w:t xml:space="preserve">”</w:t>
      </w:r>
      <w:r>
        <w:t xml:space="preserve"> </w:t>
      </w:r>
      <w:r>
        <w:t xml:space="preserve">It is not equivalent in scope, vendor, or tested competencies.</w:t>
      </w:r>
    </w:p>
    <w:p>
      <w:pPr>
        <w:pStyle w:val="FirstParagraph"/>
      </w:pPr>
      <w:r>
        <w:rPr>
          <w:b/>
          <w:bCs/>
        </w:rPr>
        <w:t xml:space="preserve">Implications.</w:t>
      </w:r>
      <w:r>
        <w:t xml:space="preserve"> </w:t>
      </w:r>
      <w:r>
        <w:t xml:space="preserve">This is the most material gap in the file:</w:t>
      </w:r>
    </w:p>
    <w:p>
      <w:pPr>
        <w:pStyle w:val="Compact"/>
        <w:numPr>
          <w:ilvl w:val="0"/>
          <w:numId w:val="1010"/>
        </w:numPr>
      </w:pPr>
      <w:r>
        <w:rPr>
          <w:b/>
          <w:bCs/>
        </w:rPr>
        <w:t xml:space="preserve">I-140 qualification risk.</w:t>
      </w:r>
      <w:r>
        <w:t xml:space="preserve"> </w:t>
      </w:r>
      <w:r>
        <w:t xml:space="preserve">USCIS adjudicates the beneficiary’s qualifications as of the PERM priority date (March 15, 2025). The beneficiary did not hold the required certification (or an active equivalent) on that date, which exposes the I-140 to a Request for Evidence (RFE) or denial on the ground that the beneficiary does not meet the employer’s minimum special-skills requirements.</w:t>
      </w:r>
    </w:p>
    <w:p>
      <w:pPr>
        <w:pStyle w:val="Compact"/>
        <w:numPr>
          <w:ilvl w:val="0"/>
          <w:numId w:val="1010"/>
        </w:numPr>
      </w:pPr>
      <w:r>
        <w:rPr>
          <w:b/>
          <w:bCs/>
        </w:rPr>
        <w:t xml:space="preserve">Attestation-accuracy concern.</w:t>
      </w:r>
      <w:r>
        <w:t xml:space="preserve"> </w:t>
      </w:r>
      <w:r>
        <w:t xml:space="preserve">Section K.3 attests that the beneficiary possesses the special-skills requirements, which on its face includes the AWS ML – Specialty certification. The record does not support that attestation. While the PERM is already certified (and the audit-selection window has in all likelihood closed), the accuracy of the attestation is a sensitivity that should be managed deliberately, not papered over.</w:t>
      </w:r>
    </w:p>
    <w:p>
      <w:pPr>
        <w:pStyle w:val="Compact"/>
        <w:numPr>
          <w:ilvl w:val="0"/>
          <w:numId w:val="1010"/>
        </w:numPr>
      </w:pPr>
      <w:r>
        <w:rPr>
          <w:b/>
          <w:bCs/>
        </w:rPr>
        <w:t xml:space="preserve">“</w:t>
      </w:r>
      <w:r>
        <w:rPr>
          <w:b/>
          <w:bCs/>
        </w:rPr>
        <w:t xml:space="preserve">Or equivalent</w:t>
      </w:r>
      <w:r>
        <w:rPr>
          <w:b/>
          <w:bCs/>
        </w:rPr>
        <w:t xml:space="preserve">”</w:t>
      </w:r>
      <w:r>
        <w:rPr>
          <w:b/>
          <w:bCs/>
        </w:rPr>
        <w:t xml:space="preserve"> </w:t>
      </w:r>
      <w:r>
        <w:rPr>
          <w:b/>
          <w:bCs/>
        </w:rPr>
        <w:t xml:space="preserve">vulnerability.</w:t>
      </w:r>
      <w:r>
        <w:t xml:space="preserve"> </w:t>
      </w:r>
      <w:r>
        <w:t xml:space="preserve">Undefined</w:t>
      </w:r>
      <w:r>
        <w:t xml:space="preserve"> </w:t>
      </w:r>
      <w:r>
        <w:t xml:space="preserve">“</w:t>
      </w:r>
      <w:r>
        <w:t xml:space="preserve">or equivalent</w:t>
      </w:r>
      <w:r>
        <w:t xml:space="preserve">”</w:t>
      </w:r>
      <w:r>
        <w:t xml:space="preserve"> </w:t>
      </w:r>
      <w:r>
        <w:t xml:space="preserve">language in special-skills requirements is disfavored because it can be read as a vehicle to tailor requirements to the alien. Here the problem cuts the other way: even under a generous reading of</w:t>
      </w:r>
      <w:r>
        <w:t xml:space="preserve"> </w:t>
      </w:r>
      <w:r>
        <w:t xml:space="preserve">“</w:t>
      </w:r>
      <w:r>
        <w:t xml:space="preserve">equivalent,</w:t>
      </w:r>
      <w:r>
        <w:t xml:space="preserve">”</w:t>
      </w:r>
      <w:r>
        <w:t xml:space="preserve"> </w:t>
      </w:r>
      <w:r>
        <w:t xml:space="preserve">the record does not support equivalence, and the firm’s own compilation affirmatively undercuts any equivalence argument.</w:t>
      </w:r>
    </w:p>
    <w:bookmarkEnd w:id="23"/>
    <w:bookmarkStart w:id="24" w:name="X287c0ee3df25732256cf460f83f20cd33bc6513"/>
    <w:p>
      <w:pPr>
        <w:pStyle w:val="Heading3"/>
      </w:pPr>
      <w:r>
        <w:t xml:space="preserve">B. MODERATE —</w:t>
      </w:r>
      <w:r>
        <w:t xml:space="preserve"> </w:t>
      </w:r>
      <w:r>
        <w:t xml:space="preserve">“</w:t>
      </w:r>
      <w:r>
        <w:t xml:space="preserve">Proficiency in R</w:t>
      </w:r>
      <w:r>
        <w:t xml:space="preserve">”</w:t>
      </w:r>
      <w:r>
        <w:t xml:space="preserve"> </w:t>
      </w:r>
      <w:r>
        <w:t xml:space="preserve">Understated by the Experience Letters</w:t>
      </w:r>
    </w:p>
    <w:p>
      <w:pPr>
        <w:pStyle w:val="FirstParagraph"/>
      </w:pPr>
      <w:r>
        <w:rPr>
          <w:b/>
          <w:bCs/>
        </w:rPr>
        <w:t xml:space="preserve">The requirement.</w:t>
      </w:r>
      <w:r>
        <w:t xml:space="preserve"> </w:t>
      </w:r>
      <w:r>
        <w:t xml:space="preserve">Section J.B.5(e) requires</w:t>
      </w:r>
      <w:r>
        <w:t xml:space="preserve"> </w:t>
      </w:r>
      <w:r>
        <w:t xml:space="preserve">“</w:t>
      </w:r>
      <w:r>
        <w:t xml:space="preserve">proficiency in Python</w:t>
      </w:r>
      <w:r>
        <w:t xml:space="preserve"> </w:t>
      </w:r>
      <w:r>
        <w:rPr>
          <w:b/>
          <w:bCs/>
        </w:rPr>
        <w:t xml:space="preserve">and R</w:t>
      </w:r>
      <w:r>
        <w:t xml:space="preserve"> </w:t>
      </w:r>
      <w:r>
        <w:t xml:space="preserve">programming languages.</w:t>
      </w:r>
      <w:r>
        <w:t xml:space="preserve">”</w:t>
      </w:r>
    </w:p>
    <w:p>
      <w:pPr>
        <w:pStyle w:val="BodyText"/>
      </w:pPr>
      <w:r>
        <w:rPr>
          <w:b/>
          <w:bCs/>
        </w:rPr>
        <w:t xml:space="preserve">The evidence.</w:t>
      </w:r>
    </w:p>
    <w:p>
      <w:pPr>
        <w:pStyle w:val="Compact"/>
        <w:numPr>
          <w:ilvl w:val="0"/>
          <w:numId w:val="1011"/>
        </w:numPr>
      </w:pPr>
      <w:r>
        <w:t xml:space="preserve">The</w:t>
      </w:r>
      <w:r>
        <w:t xml:space="preserve"> </w:t>
      </w:r>
      <w:r>
        <w:rPr>
          <w:b/>
          <w:bCs/>
        </w:rPr>
        <w:t xml:space="preserve">DataBridge experience letter</w:t>
      </w:r>
      <w:r>
        <w:t xml:space="preserve"> </w:t>
      </w:r>
      <w:r>
        <w:t xml:space="preserve">(the principal qualifying employer) states the beneficiary</w:t>
      </w:r>
      <w:r>
        <w:t xml:space="preserve"> </w:t>
      </w:r>
      <w:r>
        <w:t xml:space="preserve">“</w:t>
      </w:r>
      <w:r>
        <w:t xml:space="preserve">Used Python as the primary programming language,</w:t>
      </w:r>
      <w:r>
        <w:t xml:space="preserve"> </w:t>
      </w:r>
      <w:r>
        <w:rPr>
          <w:b/>
          <w:bCs/>
        </w:rPr>
        <w:t xml:space="preserve">with some use of R for statistical reporting and ad hoc data analysis</w:t>
      </w:r>
      <w:r>
        <w:t xml:space="preserve">.</w:t>
      </w:r>
      <w:r>
        <w:t xml:space="preserve">”</w:t>
      </w:r>
    </w:p>
    <w:p>
      <w:pPr>
        <w:pStyle w:val="Compact"/>
        <w:numPr>
          <w:ilvl w:val="0"/>
          <w:numId w:val="1011"/>
        </w:numPr>
      </w:pPr>
      <w:r>
        <w:t xml:space="preserve">The</w:t>
      </w:r>
      <w:r>
        <w:t xml:space="preserve"> </w:t>
      </w:r>
      <w:r>
        <w:rPr>
          <w:b/>
          <w:bCs/>
        </w:rPr>
        <w:t xml:space="preserve">résumé</w:t>
      </w:r>
      <w:r>
        <w:t xml:space="preserve"> </w:t>
      </w:r>
      <w:r>
        <w:t xml:space="preserve">self-rates R as</w:t>
      </w:r>
      <w:r>
        <w:t xml:space="preserve"> </w:t>
      </w:r>
      <w:r>
        <w:t xml:space="preserve">“</w:t>
      </w:r>
      <w:r>
        <w:rPr>
          <w:b/>
          <w:bCs/>
        </w:rPr>
        <w:t xml:space="preserve">intermediate</w:t>
      </w:r>
      <w:r>
        <w:t xml:space="preserve">”</w:t>
      </w:r>
      <w:r>
        <w:t xml:space="preserve"> </w:t>
      </w:r>
      <w:r>
        <w:t xml:space="preserve">(versus Python</w:t>
      </w:r>
      <w:r>
        <w:t xml:space="preserve"> </w:t>
      </w:r>
      <w:r>
        <w:t xml:space="preserve">“</w:t>
      </w:r>
      <w:r>
        <w:t xml:space="preserve">expert,</w:t>
      </w:r>
      <w:r>
        <w:t xml:space="preserve">”</w:t>
      </w:r>
      <w:r>
        <w:t xml:space="preserve"> </w:t>
      </w:r>
      <w:r>
        <w:t xml:space="preserve">SQL</w:t>
      </w:r>
      <w:r>
        <w:t xml:space="preserve"> </w:t>
      </w:r>
      <w:r>
        <w:t xml:space="preserve">“</w:t>
      </w:r>
      <w:r>
        <w:t xml:space="preserve">advanced,</w:t>
      </w:r>
      <w:r>
        <w:t xml:space="preserve">”</w:t>
      </w:r>
      <w:r>
        <w:t xml:space="preserve"> </w:t>
      </w:r>
      <w:r>
        <w:t xml:space="preserve">Java</w:t>
      </w:r>
      <w:r>
        <w:t xml:space="preserve"> </w:t>
      </w:r>
      <w:r>
        <w:t xml:space="preserve">“</w:t>
      </w:r>
      <w:r>
        <w:t xml:space="preserve">proficient</w:t>
      </w:r>
      <w:r>
        <w:t xml:space="preserve">”</w:t>
      </w:r>
      <w:r>
        <w:t xml:space="preserve">).</w:t>
      </w:r>
    </w:p>
    <w:p>
      <w:pPr>
        <w:pStyle w:val="Compact"/>
        <w:numPr>
          <w:ilvl w:val="0"/>
          <w:numId w:val="1011"/>
        </w:numPr>
      </w:pPr>
      <w:r>
        <w:t xml:space="preserve">The</w:t>
      </w:r>
      <w:r>
        <w:t xml:space="preserve"> </w:t>
      </w:r>
      <w:r>
        <w:rPr>
          <w:b/>
          <w:bCs/>
        </w:rPr>
        <w:t xml:space="preserve">NC State transcript</w:t>
      </w:r>
      <w:r>
        <w:t xml:space="preserve"> </w:t>
      </w:r>
      <w:r>
        <w:t xml:space="preserve">shows graduate coursework in R:</w:t>
      </w:r>
      <w:r>
        <w:t xml:space="preserve"> </w:t>
      </w:r>
      <w:r>
        <w:rPr>
          <w:b/>
          <w:bCs/>
        </w:rPr>
        <w:t xml:space="preserve">ST 558 — Statistical Computing with R</w:t>
      </w:r>
      <w:r>
        <w:t xml:space="preserve">, grade</w:t>
      </w:r>
      <w:r>
        <w:t xml:space="preserve"> </w:t>
      </w:r>
      <w:r>
        <w:rPr>
          <w:b/>
          <w:bCs/>
        </w:rPr>
        <w:t xml:space="preserve">A-</w:t>
      </w:r>
      <w:r>
        <w:t xml:space="preserve"> </w:t>
      </w:r>
      <w:r>
        <w:t xml:space="preserve">(Spring 2017).</w:t>
      </w:r>
    </w:p>
    <w:p>
      <w:pPr>
        <w:pStyle w:val="FirstParagraph"/>
      </w:pPr>
      <w:r>
        <w:rPr>
          <w:b/>
          <w:bCs/>
        </w:rPr>
        <w:t xml:space="preserve">Analysis.</w:t>
      </w:r>
      <w:r>
        <w:t xml:space="preserve"> </w:t>
      </w:r>
      <w:r>
        <w:t xml:space="preserve">Python proficiency is fully supported. R is only partially supported. The professional experience letters characterize R usage as</w:t>
      </w:r>
      <w:r>
        <w:t xml:space="preserve"> </w:t>
      </w:r>
      <w:r>
        <w:t xml:space="preserve">“</w:t>
      </w:r>
      <w:r>
        <w:t xml:space="preserve">some use … for statistical reporting and ad hoc data analysis,</w:t>
      </w:r>
      <w:r>
        <w:t xml:space="preserve">”</w:t>
      </w:r>
      <w:r>
        <w:t xml:space="preserve"> </w:t>
      </w:r>
      <w:r>
        <w:t xml:space="preserve">and the résumé rates it</w:t>
      </w:r>
      <w:r>
        <w:t xml:space="preserve"> </w:t>
      </w:r>
      <w:r>
        <w:t xml:space="preserve">“</w:t>
      </w:r>
      <w:r>
        <w:t xml:space="preserve">intermediate</w:t>
      </w:r>
      <w:r>
        <w:t xml:space="preserve">”</w:t>
      </w:r>
      <w:r>
        <w:t xml:space="preserve"> </w:t>
      </w:r>
      <w:r>
        <w:t xml:space="preserve">— both of which fall short of</w:t>
      </w:r>
      <w:r>
        <w:t xml:space="preserve"> </w:t>
      </w:r>
      <w:r>
        <w:t xml:space="preserve">“</w:t>
      </w:r>
      <w:r>
        <w:t xml:space="preserve">proficiency</w:t>
      </w:r>
      <w:r>
        <w:t xml:space="preserve">”</w:t>
      </w:r>
      <w:r>
        <w:t xml:space="preserve"> </w:t>
      </w:r>
      <w:r>
        <w:t xml:space="preserve">as a stated minimum requirement. The academic coursework (ST 558, A-) provides corroboration that the beneficiary has substantive R training, but PERM special skills are ordinarily established through the qualifying employment experience, and the experience letters understate R relative to the requirement. This is a documentation-strength gap rather than a clear non-compliance, but it is sufficient to invite an RFE at the I-140 stage.</w:t>
      </w:r>
    </w:p>
    <w:bookmarkEnd w:id="24"/>
    <w:bookmarkStart w:id="25" w:name="Xb559d590d88bce744b4b16d91c35d1599f4d8a0"/>
    <w:p>
      <w:pPr>
        <w:pStyle w:val="Heading3"/>
      </w:pPr>
      <w:r>
        <w:t xml:space="preserve">C. MODERATE — Supervisory Experience: Team of 2 vs. Required 3–5</w:t>
      </w:r>
    </w:p>
    <w:p>
      <w:pPr>
        <w:pStyle w:val="FirstParagraph"/>
      </w:pPr>
      <w:r>
        <w:rPr>
          <w:b/>
          <w:bCs/>
        </w:rPr>
        <w:t xml:space="preserve">The requirement.</w:t>
      </w:r>
      <w:r>
        <w:t xml:space="preserve"> </w:t>
      </w:r>
      <w:r>
        <w:t xml:space="preserve">Section J.B.5 states the position will</w:t>
      </w:r>
      <w:r>
        <w:t xml:space="preserve"> </w:t>
      </w:r>
      <w:r>
        <w:t xml:space="preserve">“</w:t>
      </w:r>
      <w:r>
        <w:t xml:space="preserve">supervise a team of 3–5 ML engineers.</w:t>
      </w:r>
      <w:r>
        <w:t xml:space="preserve">”</w:t>
      </w:r>
    </w:p>
    <w:p>
      <w:pPr>
        <w:pStyle w:val="BodyText"/>
      </w:pPr>
      <w:r>
        <w:rPr>
          <w:b/>
          <w:bCs/>
        </w:rPr>
        <w:t xml:space="preserve">The evidence.</w:t>
      </w:r>
      <w:r>
        <w:t xml:space="preserve"> </w:t>
      </w:r>
      <w:r>
        <w:t xml:space="preserve">Both the résumé and the DataBridge experience letter describe the beneficiary as having</w:t>
      </w:r>
      <w:r>
        <w:t xml:space="preserve"> </w:t>
      </w:r>
      <w:r>
        <w:t xml:space="preserve">“</w:t>
      </w:r>
      <w:r>
        <w:rPr>
          <w:b/>
          <w:bCs/>
        </w:rPr>
        <w:t xml:space="preserve">Led a team of 2 junior data scientists</w:t>
      </w:r>
      <w:r>
        <w:t xml:space="preserve">,</w:t>
      </w:r>
      <w:r>
        <w:t xml:space="preserve">”</w:t>
      </w:r>
      <w:r>
        <w:t xml:space="preserve"> </w:t>
      </w:r>
      <w:r>
        <w:t xml:space="preserve">providing technical guidance, code reviews, and mentorship.</w:t>
      </w:r>
    </w:p>
    <w:p>
      <w:pPr>
        <w:pStyle w:val="BodyText"/>
      </w:pPr>
      <w:r>
        <w:rPr>
          <w:b/>
          <w:bCs/>
        </w:rPr>
        <w:t xml:space="preserve">Analysis.</w:t>
      </w:r>
      <w:r>
        <w:t xml:space="preserve"> </w:t>
      </w:r>
      <w:r>
        <w:t xml:space="preserve">The beneficiary has documented supervisory/leadership experience, which is favorable. However, the documented team size (2) is below the stated 3–5 range, and the supervised personnel were</w:t>
      </w:r>
      <w:r>
        <w:t xml:space="preserve"> </w:t>
      </w:r>
      <w:r>
        <w:t xml:space="preserve">“</w:t>
      </w:r>
      <w:r>
        <w:t xml:space="preserve">junior data scientists</w:t>
      </w:r>
      <w:r>
        <w:t xml:space="preserve">”</w:t>
      </w:r>
      <w:r>
        <w:t xml:space="preserve"> </w:t>
      </w:r>
      <w:r>
        <w:t xml:space="preserve">rather than</w:t>
      </w:r>
      <w:r>
        <w:t xml:space="preserve"> </w:t>
      </w:r>
      <w:r>
        <w:t xml:space="preserve">“</w:t>
      </w:r>
      <w:r>
        <w:t xml:space="preserve">ML engineers</w:t>
      </w:r>
      <w:r>
        <w:t xml:space="preserve">”</w:t>
      </w:r>
      <w:r>
        <w:t xml:space="preserve"> </w:t>
      </w:r>
      <w:r>
        <w:t xml:space="preserve">specifically. If the supervisory headcount is treated as a strict minimum requirement, the record does not yet show the beneficiary supervised a team of the requisite size. If, as is often the more defensible framing, the</w:t>
      </w:r>
      <w:r>
        <w:t xml:space="preserve"> </w:t>
      </w:r>
      <w:r>
        <w:t xml:space="preserve">“</w:t>
      </w:r>
      <w:r>
        <w:t xml:space="preserve">3–5</w:t>
      </w:r>
      <w:r>
        <w:t xml:space="preserve">”</w:t>
      </w:r>
      <w:r>
        <w:t xml:space="preserve"> </w:t>
      </w:r>
      <w:r>
        <w:t xml:space="preserve">figure describes the team the beneficiary</w:t>
      </w:r>
      <w:r>
        <w:t xml:space="preserve"> </w:t>
      </w:r>
      <w:r>
        <w:rPr>
          <w:i/>
          <w:iCs/>
        </w:rPr>
        <w:t xml:space="preserve">will</w:t>
      </w:r>
      <w:r>
        <w:t xml:space="preserve"> </w:t>
      </w:r>
      <w:r>
        <w:t xml:space="preserve">manage at Prismex (a job duty) rather than a pre-requisite headcount she must already have matched, then her demonstrated supervisory capability supports the requirement — but the file should be strengthened to make that capability unmistakable. As currently documented, this is a partial mismatch that could draw scrutiny.</w:t>
      </w:r>
    </w:p>
    <w:bookmarkEnd w:id="25"/>
    <w:bookmarkStart w:id="26" w:name="Xbe3415832136fff54bffb5434d15cc20274d379"/>
    <w:p>
      <w:pPr>
        <w:pStyle w:val="Heading3"/>
      </w:pPr>
      <w:r>
        <w:t xml:space="preserve">D. MODERATE — Missing NC State Research Assistant Verification Letter</w:t>
      </w:r>
    </w:p>
    <w:p>
      <w:pPr>
        <w:pStyle w:val="FirstParagraph"/>
      </w:pPr>
      <w:r>
        <w:rPr>
          <w:b/>
          <w:bCs/>
        </w:rPr>
        <w:t xml:space="preserve">The requirement / claim.</w:t>
      </w:r>
      <w:r>
        <w:t xml:space="preserve"> </w:t>
      </w:r>
      <w:r>
        <w:t xml:space="preserve">Section J.C, Experience Entry 2, lists a Research Assistant appointment at NC State University (Department of Computer Science), August 15, 2016 – May 15, 2018, 20 hours/week, in a</w:t>
      </w:r>
      <w:r>
        <w:t xml:space="preserve"> </w:t>
      </w:r>
      <w:r>
        <w:t xml:space="preserve">“</w:t>
      </w:r>
      <w:r>
        <w:t xml:space="preserve">related occupation,</w:t>
      </w:r>
      <w:r>
        <w:t xml:space="preserve">”</w:t>
      </w:r>
      <w:r>
        <w:t xml:space="preserve"> </w:t>
      </w:r>
      <w:r>
        <w:t xml:space="preserve">with duties including NLP research, transformer-based text classification in PyTorch, clinical-dataset preprocessing, and two co-authored conference papers.</w:t>
      </w:r>
    </w:p>
    <w:p>
      <w:pPr>
        <w:pStyle w:val="BodyText"/>
      </w:pPr>
      <w:r>
        <w:rPr>
          <w:b/>
          <w:bCs/>
        </w:rPr>
        <w:t xml:space="preserve">The evidence.</w:t>
      </w:r>
      <w:r>
        <w:t xml:space="preserve"> </w:t>
      </w:r>
      <w:r>
        <w:t xml:space="preserve">As you flagged in your June 4 email,</w:t>
      </w:r>
      <w:r>
        <w:t xml:space="preserve"> </w:t>
      </w:r>
      <w:r>
        <w:rPr>
          <w:b/>
          <w:bCs/>
        </w:rPr>
        <w:t xml:space="preserve">no experience verification letter from NC State has been obtained</w:t>
      </w:r>
      <w:r>
        <w:t xml:space="preserve">; Professor Helen Tsai (the named supervisor) is on sabbatical and has not responded. The transcript documents the appointment (dates, 20 hrs/week, supervisor, NSF Grant No. IIS-1742956) but does</w:t>
      </w:r>
      <w:r>
        <w:t xml:space="preserve"> </w:t>
      </w:r>
      <w:r>
        <w:rPr>
          <w:b/>
          <w:bCs/>
        </w:rPr>
        <w:t xml:space="preserve">not</w:t>
      </w:r>
      <w:r>
        <w:t xml:space="preserve"> </w:t>
      </w:r>
      <w:r>
        <w:t xml:space="preserve">describe the specific duties claimed in Experience Entry 2.</w:t>
      </w:r>
    </w:p>
    <w:p>
      <w:pPr>
        <w:pStyle w:val="BodyText"/>
      </w:pPr>
      <w:r>
        <w:rPr>
          <w:b/>
          <w:bCs/>
        </w:rPr>
        <w:t xml:space="preserve">Analysis.</w:t>
      </w:r>
      <w:r>
        <w:t xml:space="preserve"> </w:t>
      </w:r>
      <w:r>
        <w:t xml:space="preserve">For audit and I-140 purposes, qualifying experience is best documented by a contemporaneous or retrospective letter from the employer/supervisor describing dates, title, and duties. The transcript alone establishes the</w:t>
      </w:r>
      <w:r>
        <w:t xml:space="preserve"> </w:t>
      </w:r>
      <w:r>
        <w:rPr>
          <w:i/>
          <w:iCs/>
        </w:rPr>
        <w:t xml:space="preserve">fact</w:t>
      </w:r>
      <w:r>
        <w:t xml:space="preserve"> </w:t>
      </w:r>
      <w:r>
        <w:t xml:space="preserve">of the appointment but not its</w:t>
      </w:r>
      <w:r>
        <w:t xml:space="preserve"> </w:t>
      </w:r>
      <w:r>
        <w:rPr>
          <w:i/>
          <w:iCs/>
        </w:rPr>
        <w:t xml:space="preserve">substance</w:t>
      </w:r>
      <w:r>
        <w:t xml:space="preserve">. Two mitigating factors reduce (but do not eliminate) the urgency: (i) the two co-authored peer-reviewed papers (EMNLP 2018; ACL 2017) corroborate the NLP-research duties; and (ii) this experience is</w:t>
      </w:r>
      <w:r>
        <w:t xml:space="preserve"> </w:t>
      </w:r>
      <w:r>
        <w:rPr>
          <w:b/>
          <w:bCs/>
        </w:rPr>
        <w:t xml:space="preserve">pre-master’s</w:t>
      </w:r>
      <w:r>
        <w:t xml:space="preserve"> </w:t>
      </w:r>
      <w:r>
        <w:t xml:space="preserve">(the M.S. was conferred May 12, 2018) and is therefore</w:t>
      </w:r>
      <w:r>
        <w:t xml:space="preserve"> </w:t>
      </w:r>
      <w:r>
        <w:rPr>
          <w:b/>
          <w:bCs/>
        </w:rPr>
        <w:t xml:space="preserve">not relied upon to satisfy the five-year post-master’s minimum</w:t>
      </w:r>
      <w:r>
        <w:t xml:space="preserve">, which rests entirely on the DataBridge tenure. Nonetheless, because the position is listed on the ETA 9089 as a qualifying experience entry, the file should contain supporting documentation for it.</w:t>
      </w:r>
    </w:p>
    <w:bookmarkEnd w:id="26"/>
    <w:bookmarkStart w:id="27" w:name="X37454eaef7058eb2629ff350a04d77cbd0a6519"/>
    <w:p>
      <w:pPr>
        <w:pStyle w:val="Heading3"/>
      </w:pPr>
      <w:r>
        <w:t xml:space="preserve">E. MINOR — Discrepancies and Consistency Items</w:t>
      </w:r>
    </w:p>
    <w:p>
      <w:pPr>
        <w:numPr>
          <w:ilvl w:val="0"/>
          <w:numId w:val="1012"/>
        </w:numPr>
      </w:pPr>
      <w:r>
        <w:rPr>
          <w:b/>
          <w:bCs/>
        </w:rPr>
        <w:t xml:space="preserve">FEIN discrepancy.</w:t>
      </w:r>
      <w:r>
        <w:t xml:space="preserve"> </w:t>
      </w:r>
      <w:r>
        <w:t xml:space="preserve">The ETA 9089 (Section C.7) lists the employer FEIN as</w:t>
      </w:r>
      <w:r>
        <w:t xml:space="preserve"> </w:t>
      </w:r>
      <w:r>
        <w:rPr>
          <w:b/>
          <w:bCs/>
        </w:rPr>
        <w:t xml:space="preserve">84-3291756</w:t>
      </w:r>
      <w:r>
        <w:t xml:space="preserve">, while the PWD (Section 1) lists</w:t>
      </w:r>
      <w:r>
        <w:t xml:space="preserve"> </w:t>
      </w:r>
      <w:r>
        <w:rPr>
          <w:b/>
          <w:bCs/>
        </w:rPr>
        <w:t xml:space="preserve">84-3291047</w:t>
      </w:r>
      <w:r>
        <w:t xml:space="preserve">. The employer name and address are otherwise identical. This should be reconciled with the payroll provider (Cornerpoint Payroll Services) before the I-140 and H-1B are filed, and counsel should assess whether the PERM FEIN requires correction.</w:t>
      </w:r>
    </w:p>
    <w:p>
      <w:pPr>
        <w:numPr>
          <w:ilvl w:val="0"/>
          <w:numId w:val="1012"/>
        </w:numPr>
      </w:pPr>
      <w:r>
        <w:rPr>
          <w:b/>
          <w:bCs/>
        </w:rPr>
        <w:t xml:space="preserve">“</w:t>
      </w:r>
      <w:r>
        <w:rPr>
          <w:b/>
          <w:bCs/>
        </w:rPr>
        <w:t xml:space="preserve">Dr.</w:t>
      </w:r>
      <w:r>
        <w:rPr>
          <w:b/>
          <w:bCs/>
        </w:rPr>
        <w:t xml:space="preserve">”</w:t>
      </w:r>
      <w:r>
        <w:rPr>
          <w:b/>
          <w:bCs/>
        </w:rPr>
        <w:t xml:space="preserve"> </w:t>
      </w:r>
      <w:r>
        <w:rPr>
          <w:b/>
          <w:bCs/>
        </w:rPr>
        <w:t xml:space="preserve">honorific.</w:t>
      </w:r>
      <w:r>
        <w:t xml:space="preserve"> </w:t>
      </w:r>
      <w:r>
        <w:t xml:space="preserve">The beneficiary is styled</w:t>
      </w:r>
      <w:r>
        <w:t xml:space="preserve"> </w:t>
      </w:r>
      <w:r>
        <w:t xml:space="preserve">“</w:t>
      </w:r>
      <w:r>
        <w:t xml:space="preserve">Dr. Ananya Mehrotra</w:t>
      </w:r>
      <w:r>
        <w:t xml:space="preserve">”</w:t>
      </w:r>
      <w:r>
        <w:t xml:space="preserve"> </w:t>
      </w:r>
      <w:r>
        <w:t xml:space="preserve">on the ETA 9089, the résumé, the IAE evaluation, the DataBridge letter, and the certifications compilation, but the</w:t>
      </w:r>
      <w:r>
        <w:t xml:space="preserve"> </w:t>
      </w:r>
      <w:r>
        <w:rPr>
          <w:b/>
          <w:bCs/>
        </w:rPr>
        <w:t xml:space="preserve">Evalpoint letter</w:t>
      </w:r>
      <w:r>
        <w:t xml:space="preserve"> </w:t>
      </w:r>
      <w:r>
        <w:t xml:space="preserve">addresses her as</w:t>
      </w:r>
      <w:r>
        <w:t xml:space="preserve"> </w:t>
      </w:r>
      <w:r>
        <w:t xml:space="preserve">“</w:t>
      </w:r>
      <w:r>
        <w:rPr>
          <w:b/>
          <w:bCs/>
        </w:rPr>
        <w:t xml:space="preserve">Ms.</w:t>
      </w:r>
      <w:r>
        <w:t xml:space="preserve"> </w:t>
      </w:r>
      <w:r>
        <w:t xml:space="preserve">Ananya Mehrotra.</w:t>
      </w:r>
      <w:r>
        <w:t xml:space="preserve">”</w:t>
      </w:r>
      <w:r>
        <w:t xml:space="preserve"> </w:t>
      </w:r>
      <w:r>
        <w:t xml:space="preserve">Her highest documented degree is an</w:t>
      </w:r>
      <w:r>
        <w:t xml:space="preserve"> </w:t>
      </w:r>
      <w:r>
        <w:rPr>
          <w:b/>
          <w:bCs/>
        </w:rPr>
        <w:t xml:space="preserve">M.S.</w:t>
      </w:r>
      <w:r>
        <w:t xml:space="preserve"> </w:t>
      </w:r>
      <w:r>
        <w:t xml:space="preserve">(not a doctorate). The</w:t>
      </w:r>
      <w:r>
        <w:t xml:space="preserve"> </w:t>
      </w:r>
      <w:r>
        <w:t xml:space="preserve">“</w:t>
      </w:r>
      <w:r>
        <w:t xml:space="preserve">Dr.</w:t>
      </w:r>
      <w:r>
        <w:t xml:space="preserve">”</w:t>
      </w:r>
      <w:r>
        <w:t xml:space="preserve"> </w:t>
      </w:r>
      <w:r>
        <w:t xml:space="preserve">honorific is therefore not supported by a doctoral credential. While not material to the Master’s-degree requirement (which she meets), an unsupported</w:t>
      </w:r>
      <w:r>
        <w:t xml:space="preserve"> </w:t>
      </w:r>
      <w:r>
        <w:t xml:space="preserve">“</w:t>
      </w:r>
      <w:r>
        <w:t xml:space="preserve">Dr.</w:t>
      </w:r>
      <w:r>
        <w:t xml:space="preserve">”</w:t>
      </w:r>
      <w:r>
        <w:t xml:space="preserve"> </w:t>
      </w:r>
      <w:r>
        <w:t xml:space="preserve">in an immigration filing can invite avoidable confusion. We recommend reconciling the form of address across all filings.</w:t>
      </w:r>
    </w:p>
    <w:p>
      <w:pPr>
        <w:numPr>
          <w:ilvl w:val="0"/>
          <w:numId w:val="1012"/>
        </w:numPr>
      </w:pPr>
      <w:r>
        <w:rPr>
          <w:b/>
          <w:bCs/>
        </w:rPr>
        <w:t xml:space="preserve">Phone number.</w:t>
      </w:r>
      <w:r>
        <w:t xml:space="preserve"> </w:t>
      </w:r>
      <w:r>
        <w:t xml:space="preserve">The ETA 9089 and PWD list the employer/POC phone as</w:t>
      </w:r>
      <w:r>
        <w:t xml:space="preserve"> </w:t>
      </w:r>
      <w:r>
        <w:rPr>
          <w:b/>
          <w:bCs/>
        </w:rPr>
        <w:t xml:space="preserve">(512) 555-0174</w:t>
      </w:r>
      <w:r>
        <w:t xml:space="preserve">, while your June 4 email signature lists</w:t>
      </w:r>
      <w:r>
        <w:t xml:space="preserve"> </w:t>
      </w:r>
      <w:r>
        <w:rPr>
          <w:b/>
          <w:bCs/>
        </w:rPr>
        <w:t xml:space="preserve">(512) 555-0184</w:t>
      </w:r>
      <w:r>
        <w:t xml:space="preserve">. Minor, but should be made consistent.</w:t>
      </w:r>
    </w:p>
    <w:p>
      <w:pPr>
        <w:numPr>
          <w:ilvl w:val="0"/>
          <w:numId w:val="1012"/>
        </w:numPr>
      </w:pPr>
      <w:r>
        <w:rPr>
          <w:b/>
          <w:bCs/>
        </w:rPr>
        <w:t xml:space="preserve">Experience-duration phrasing.</w:t>
      </w:r>
      <w:r>
        <w:t xml:space="preserve"> </w:t>
      </w:r>
      <w:r>
        <w:t xml:space="preserve">Section K.2 states</w:t>
      </w:r>
      <w:r>
        <w:t xml:space="preserve"> </w:t>
      </w:r>
      <w:r>
        <w:t xml:space="preserve">“</w:t>
      </w:r>
      <w:r>
        <w:t xml:space="preserve">approximately 7 years of post-master’s experience at DataBridge Solutions LLC (June 2018 – present).</w:t>
      </w:r>
      <w:r>
        <w:t xml:space="preserve">”</w:t>
      </w:r>
      <w:r>
        <w:t xml:space="preserve"> </w:t>
      </w:r>
      <w:r>
        <w:t xml:space="preserve">The precise duration as of the March 15, 2025 filing date is approximately</w:t>
      </w:r>
      <w:r>
        <w:t xml:space="preserve"> </w:t>
      </w:r>
      <w:r>
        <w:rPr>
          <w:b/>
          <w:bCs/>
        </w:rPr>
        <w:t xml:space="preserve">6 years, 9 months</w:t>
      </w:r>
      <w:r>
        <w:t xml:space="preserve"> </w:t>
      </w:r>
      <w:r>
        <w:t xml:space="preserve">— still comfortably above the five-year minimum, but the I-140 filings and any experience letters should use the precise figure rather than the rounded</w:t>
      </w:r>
      <w:r>
        <w:t xml:space="preserve"> </w:t>
      </w:r>
      <w:r>
        <w:t xml:space="preserve">“</w:t>
      </w:r>
      <w:r>
        <w:t xml:space="preserve">approximately 7 years.</w:t>
      </w:r>
      <w:r>
        <w:t xml:space="preserve">”</w:t>
      </w:r>
    </w:p>
    <w:p>
      <w:pPr>
        <w:numPr>
          <w:ilvl w:val="0"/>
          <w:numId w:val="1012"/>
        </w:numPr>
      </w:pPr>
      <w:r>
        <w:rPr>
          <w:b/>
          <w:bCs/>
        </w:rPr>
        <w:t xml:space="preserve">Transcript issue date.</w:t>
      </w:r>
      <w:r>
        <w:t xml:space="preserve"> </w:t>
      </w:r>
      <w:r>
        <w:t xml:space="preserve">The NC State transcript is dated May 20, 2025 (after the PERM filing and just before certification). This is an acceptable re-issue for the audit file and I-140; no action required, noted for completeness.</w:t>
      </w:r>
    </w:p>
    <w:p>
      <w:r>
        <w:pict>
          <v:rect style="width:0;height:1.5pt" o:hralign="center" o:hrstd="t" o:hr="t"/>
        </w:pict>
      </w:r>
    </w:p>
    <w:bookmarkEnd w:id="27"/>
    <w:bookmarkEnd w:id="28"/>
    <w:bookmarkStart w:id="29" w:name="Xaa833cd355f8da01ebd6cc9743ef2a21293d657"/>
    <w:p>
      <w:pPr>
        <w:pStyle w:val="Heading2"/>
      </w:pPr>
      <w:r>
        <w:t xml:space="preserve">V. Items That Check Out (No Gap Identified)</w:t>
      </w:r>
    </w:p>
    <w:p>
      <w:pPr>
        <w:pStyle w:val="FirstParagraph"/>
      </w:pPr>
      <w:r>
        <w:t xml:space="preserve">For balance, the following elements of the PERM are supported by the credentials and present no gap:</w:t>
      </w:r>
    </w:p>
    <w:p>
      <w:pPr>
        <w:pStyle w:val="Compact"/>
        <w:numPr>
          <w:ilvl w:val="0"/>
          <w:numId w:val="1013"/>
        </w:numPr>
      </w:pPr>
      <w:r>
        <w:rPr>
          <w:b/>
          <w:bCs/>
        </w:rPr>
        <w:t xml:space="preserve">Education minimum.</w:t>
      </w:r>
      <w:r>
        <w:t xml:space="preserve"> </w:t>
      </w:r>
      <w:r>
        <w:t xml:space="preserve">The M.S. in Computer Science from NC State (conferred May 12, 2018; GPA 3.74/4.00) satisfies the</w:t>
      </w:r>
      <w:r>
        <w:t xml:space="preserve"> </w:t>
      </w:r>
      <w:r>
        <w:t xml:space="preserve">“</w:t>
      </w:r>
      <w:r>
        <w:t xml:space="preserve">Master’s degree in Computer Science, Machine Learning, or a closely related field</w:t>
      </w:r>
      <w:r>
        <w:t xml:space="preserve">”</w:t>
      </w:r>
      <w:r>
        <w:t xml:space="preserve"> </w:t>
      </w:r>
      <w:r>
        <w:t xml:space="preserve">requirement. The transcript confirms the degree, relevant coursework (Deep Learning, NLP, Automated Learning &amp; Data Analysis, Advanced Topics in ML), and thesis.</w:t>
      </w:r>
    </w:p>
    <w:p>
      <w:pPr>
        <w:pStyle w:val="Compact"/>
        <w:numPr>
          <w:ilvl w:val="0"/>
          <w:numId w:val="1013"/>
        </w:numPr>
      </w:pPr>
      <w:r>
        <w:rPr>
          <w:b/>
          <w:bCs/>
        </w:rPr>
        <w:t xml:space="preserve">Foreign-credential evaluation.</w:t>
      </w:r>
      <w:r>
        <w:t xml:space="preserve"> </w:t>
      </w:r>
      <w:r>
        <w:t xml:space="preserve">The IAE evaluation (NACES-member) appropriately scopes the B.Tech as equivalent to a U.S. four-year bachelor’s in Electronics &amp; Communication Engineering. Because the Master’s is the qualifying degree, the B.Tech evaluation is supplementary rather than necessary, but it is properly prepared and does not create any issue.</w:t>
      </w:r>
    </w:p>
    <w:p>
      <w:pPr>
        <w:pStyle w:val="Compact"/>
        <w:numPr>
          <w:ilvl w:val="0"/>
          <w:numId w:val="1013"/>
        </w:numPr>
      </w:pPr>
      <w:r>
        <w:rPr>
          <w:b/>
          <w:bCs/>
        </w:rPr>
        <w:t xml:space="preserve">Post-master’s experience duration.</w:t>
      </w:r>
      <w:r>
        <w:t xml:space="preserve"> </w:t>
      </w:r>
      <w:r>
        <w:t xml:space="preserve">DataBridge tenure (June 4, 2018 – present) yields approximately 6 years, 9 months as of filing — exceeding the five-year minimum — and shows progression (Data Scientist I → Data Scientist II promotion, January 4, 2021), supporting the</w:t>
      </w:r>
      <w:r>
        <w:t xml:space="preserve"> </w:t>
      </w:r>
      <w:r>
        <w:t xml:space="preserve">“</w:t>
      </w:r>
      <w:r>
        <w:t xml:space="preserve">progressive</w:t>
      </w:r>
      <w:r>
        <w:t xml:space="preserve">”</w:t>
      </w:r>
      <w:r>
        <w:t xml:space="preserve"> </w:t>
      </w:r>
      <w:r>
        <w:t xml:space="preserve">element.</w:t>
      </w:r>
    </w:p>
    <w:p>
      <w:pPr>
        <w:pStyle w:val="Compact"/>
        <w:numPr>
          <w:ilvl w:val="0"/>
          <w:numId w:val="1013"/>
        </w:numPr>
      </w:pPr>
      <w:r>
        <w:rPr>
          <w:b/>
          <w:bCs/>
        </w:rPr>
        <w:t xml:space="preserve">Special skills (a)–(d).</w:t>
      </w:r>
      <w:r>
        <w:t xml:space="preserve"> </w:t>
      </w:r>
      <w:r>
        <w:t xml:space="preserve">Designing/deploying deep learning models in TensorFlow and PyTorch (DataBridge DS II; NC State RA), Apache Spark MLlib distributed training (DataBridge DS II), NLP pipeline development including NER and sentiment analysis (DataBridge DS II; RA), and cloud-based ML deployment on AWS SageMaker (DataBridge DS II) are all documented. (Google Vertex AI is not required because the requirement is disjunctive —</w:t>
      </w:r>
      <w:r>
        <w:t xml:space="preserve"> </w:t>
      </w:r>
      <w:r>
        <w:t xml:space="preserve">“</w:t>
      </w:r>
      <w:r>
        <w:t xml:space="preserve">AWS SageMaker</w:t>
      </w:r>
      <w:r>
        <w:t xml:space="preserve"> </w:t>
      </w:r>
      <w:r>
        <w:rPr>
          <w:b/>
          <w:bCs/>
        </w:rPr>
        <w:t xml:space="preserve">or</w:t>
      </w:r>
      <w:r>
        <w:t xml:space="preserve"> </w:t>
      </w:r>
      <w:r>
        <w:t xml:space="preserve">Google Vertex AI.</w:t>
      </w:r>
      <w:r>
        <w:t xml:space="preserve">”</w:t>
      </w:r>
      <w:r>
        <w:t xml:space="preserve">)</w:t>
      </w:r>
    </w:p>
    <w:p>
      <w:pPr>
        <w:pStyle w:val="Compact"/>
        <w:numPr>
          <w:ilvl w:val="0"/>
          <w:numId w:val="1013"/>
        </w:numPr>
      </w:pPr>
      <w:r>
        <w:rPr>
          <w:b/>
          <w:bCs/>
        </w:rPr>
        <w:t xml:space="preserve">Python proficiency.</w:t>
      </w:r>
      <w:r>
        <w:t xml:space="preserve"> </w:t>
      </w:r>
      <w:r>
        <w:t xml:space="preserve">Fully supported as the beneficiary’s primary language across all experience entries.</w:t>
      </w:r>
    </w:p>
    <w:p>
      <w:pPr>
        <w:pStyle w:val="Compact"/>
        <w:numPr>
          <w:ilvl w:val="0"/>
          <w:numId w:val="1013"/>
        </w:numPr>
      </w:pPr>
      <w:r>
        <w:rPr>
          <w:b/>
          <w:bCs/>
        </w:rPr>
        <w:t xml:space="preserve">No experience gained with the petitioning employer (K.5).</w:t>
      </w:r>
      <w:r>
        <w:t xml:space="preserve"> </w:t>
      </w:r>
      <w:r>
        <w:t xml:space="preserve">Correct — the beneficiary has never been employed by Prismex; all qualifying experience is with third parties. No 20 CFR 656.17(g) issue.</w:t>
      </w:r>
    </w:p>
    <w:p>
      <w:pPr>
        <w:pStyle w:val="Compact"/>
        <w:numPr>
          <w:ilvl w:val="0"/>
          <w:numId w:val="1013"/>
        </w:numPr>
      </w:pPr>
      <w:r>
        <w:rPr>
          <w:b/>
          <w:bCs/>
        </w:rPr>
        <w:t xml:space="preserve">Prevailing wage.</w:t>
      </w:r>
      <w:r>
        <w:t xml:space="preserve"> </w:t>
      </w:r>
      <w:r>
        <w:t xml:space="preserve">Offered wage $142,000/yr exceeds the PWD of $131,747/yr (SOC 15-2051, Level III, Austin-Round Rock-Georgetown, TX MSA). The PWD (issued Nov. 8, 2024; valid through Nov. 7, 2025) was valid at filing and remains valid. The PWD’s stated minimums (Master’s + 5 years) are consistent with J.B.1 and J.B.3.</w:t>
      </w:r>
    </w:p>
    <w:p>
      <w:pPr>
        <w:pStyle w:val="Compact"/>
        <w:numPr>
          <w:ilvl w:val="0"/>
          <w:numId w:val="1013"/>
        </w:numPr>
      </w:pPr>
      <w:r>
        <w:rPr>
          <w:b/>
          <w:bCs/>
        </w:rPr>
        <w:t xml:space="preserve">Recruitment.</w:t>
      </w:r>
      <w:r>
        <w:t xml:space="preserve"> </w:t>
      </w:r>
      <w:r>
        <w:t xml:space="preserve">The mandatory steps (30-day TWC job order; two Sunday advertisements in the Austin American-Statesman) and three additional professional-occupation steps (company website; IEEE Computational Intelligence Magazine job board; NC State campus recruitment), plus the 30-business-day notice of filing, appear compliant and fall within the six-month pre-filing window. The recruitment report (three applicants, all unqualified) is consistent.</w:t>
      </w:r>
    </w:p>
    <w:p>
      <w:r>
        <w:pict>
          <v:rect style="width:0;height:1.5pt" o:hralign="center" o:hrstd="t" o:hr="t"/>
        </w:pict>
      </w:r>
    </w:p>
    <w:bookmarkEnd w:id="29"/>
    <w:bookmarkStart w:id="34" w:name="X20376d8ef027da84b07ce1d167aed2bc5b5f24e"/>
    <w:p>
      <w:pPr>
        <w:pStyle w:val="Heading2"/>
      </w:pPr>
      <w:r>
        <w:t xml:space="preserve">VI. Remedial Recommendations — Prioritized Action Plan</w:t>
      </w:r>
    </w:p>
    <w:bookmarkStart w:id="30" w:name="priority-1-critical-begin-immediately"/>
    <w:p>
      <w:pPr>
        <w:pStyle w:val="Heading3"/>
      </w:pPr>
      <w:r>
        <w:t xml:space="preserve">Priority 1 — Critical (begin immediately)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Timing</w:t>
            </w:r>
          </w:p>
        </w:tc>
      </w:tr>
      <w:tr>
        <w:tc>
          <w:tcPr/>
          <w:p>
            <w:pPr>
              <w:pStyle w:val="Compact"/>
              <w:jc w:val="left"/>
            </w:pPr>
            <w:r>
              <w:t xml:space="preserve">1.1</w:t>
            </w:r>
          </w:p>
        </w:tc>
        <w:tc>
          <w:tcPr/>
          <w:p>
            <w:pPr>
              <w:pStyle w:val="Compact"/>
              <w:jc w:val="left"/>
            </w:pPr>
            <w:r>
              <w:rPr>
                <w:b/>
                <w:bCs/>
              </w:rPr>
              <w:t xml:space="preserve">Beneficiary to register for and sit the AWS Certified Machine Learning – Specialty exam.</w:t>
            </w:r>
            <w:r>
              <w:t xml:space="preserve"> </w:t>
            </w:r>
            <w:r>
              <w:t xml:space="preserve">Provide a study plan and resources; target an exam date within 2–3 weeks.</w:t>
            </w:r>
          </w:p>
        </w:tc>
        <w:tc>
          <w:tcPr/>
          <w:p>
            <w:pPr>
              <w:pStyle w:val="Compact"/>
              <w:jc w:val="left"/>
            </w:pPr>
            <w:r>
              <w:t xml:space="preserve">Beneficiary / HR</w:t>
            </w:r>
          </w:p>
        </w:tc>
        <w:tc>
          <w:tcPr/>
          <w:p>
            <w:pPr>
              <w:pStyle w:val="Compact"/>
              <w:jc w:val="left"/>
            </w:pPr>
            <w:r>
              <w:t xml:space="preserve">Immediately</w:t>
            </w:r>
          </w:p>
        </w:tc>
      </w:tr>
      <w:tr>
        <w:tc>
          <w:tcPr/>
          <w:p>
            <w:pPr>
              <w:pStyle w:val="Compact"/>
              <w:jc w:val="left"/>
            </w:pPr>
            <w:r>
              <w:t xml:space="preserve">1.2</w:t>
            </w:r>
          </w:p>
        </w:tc>
        <w:tc>
          <w:tcPr/>
          <w:p>
            <w:pPr>
              <w:pStyle w:val="Compact"/>
              <w:jc w:val="left"/>
            </w:pPr>
            <w:r>
              <w:rPr>
                <w:b/>
                <w:bCs/>
              </w:rPr>
              <w:t xml:space="preserve">Counsel to prepare a written legal analysis</w:t>
            </w:r>
            <w:r>
              <w:t xml:space="preserve"> </w:t>
            </w:r>
            <w:r>
              <w:t xml:space="preserve">addressing: (a) the priority-date qualification issue (USCIS evaluates qualifications as of March 15, 2025) and whether a post-filing certification can cure it; (b) whether the certification is more defensibly framed as a</w:t>
            </w:r>
            <w:r>
              <w:t xml:space="preserve"> </w:t>
            </w:r>
            <w:r>
              <w:rPr>
                <w:i/>
                <w:iCs/>
              </w:rPr>
              <w:t xml:space="preserve">hire-on / post-employment</w:t>
            </w:r>
            <w:r>
              <w:t xml:space="preserve"> </w:t>
            </w:r>
            <w:r>
              <w:t xml:space="preserve">expectation rather than a pre-filing minimum, and how to document that framing; (c) the defensibility of the</w:t>
            </w:r>
            <w:r>
              <w:t xml:space="preserve"> </w:t>
            </w:r>
            <w:r>
              <w:t xml:space="preserve">“</w:t>
            </w:r>
            <w:r>
              <w:t xml:space="preserve">or equivalent</w:t>
            </w:r>
            <w:r>
              <w:t xml:space="preserve">”</w:t>
            </w:r>
            <w:r>
              <w:t xml:space="preserve"> </w:t>
            </w:r>
            <w:r>
              <w:t xml:space="preserve">language — we do</w:t>
            </w:r>
            <w:r>
              <w:t xml:space="preserve"> </w:t>
            </w:r>
            <w:r>
              <w:rPr>
                <w:b/>
                <w:bCs/>
              </w:rPr>
              <w:t xml:space="preserve">not</w:t>
            </w:r>
            <w:r>
              <w:t xml:space="preserve"> </w:t>
            </w:r>
            <w:r>
              <w:t xml:space="preserve">recommend relying on equivalence, as the firm’s own compilation states the beneficiary lacks the AWS specialty and the TensorFlow certificate is non-AWS; and (d) a business-necessity justification for the AWS ML – Specialty requirement (the SageMaker deployment duties supply a defensible basis).</w:t>
            </w:r>
          </w:p>
        </w:tc>
        <w:tc>
          <w:tcPr/>
          <w:p>
            <w:pPr>
              <w:pStyle w:val="Compact"/>
              <w:jc w:val="left"/>
            </w:pPr>
            <w:r>
              <w:t xml:space="preserve">Counsel</w:t>
            </w:r>
          </w:p>
        </w:tc>
        <w:tc>
          <w:tcPr/>
          <w:p>
            <w:pPr>
              <w:pStyle w:val="Compact"/>
              <w:jc w:val="left"/>
            </w:pPr>
            <w:r>
              <w:t xml:space="preserve">Before I-140 filing</w:t>
            </w:r>
          </w:p>
        </w:tc>
      </w:tr>
      <w:tr>
        <w:tc>
          <w:tcPr/>
          <w:p>
            <w:pPr>
              <w:pStyle w:val="Compact"/>
              <w:jc w:val="left"/>
            </w:pPr>
            <w:r>
              <w:t xml:space="preserve">1.3</w:t>
            </w:r>
          </w:p>
        </w:tc>
        <w:tc>
          <w:tcPr/>
          <w:p>
            <w:pPr>
              <w:pStyle w:val="Compact"/>
              <w:jc w:val="left"/>
            </w:pPr>
            <w:r>
              <w:rPr>
                <w:b/>
                <w:bCs/>
              </w:rPr>
              <w:t xml:space="preserve">Renew the expired AWS Certified Cloud Practitioner</w:t>
            </w:r>
            <w:r>
              <w:t xml:space="preserve"> </w:t>
            </w:r>
            <w:r>
              <w:t xml:space="preserve">as an interim measure. This does</w:t>
            </w:r>
            <w:r>
              <w:t xml:space="preserve"> </w:t>
            </w:r>
            <w:r>
              <w:rPr>
                <w:b/>
                <w:bCs/>
              </w:rPr>
              <w:t xml:space="preserve">not</w:t>
            </w:r>
            <w:r>
              <w:t xml:space="preserve"> </w:t>
            </w:r>
            <w:r>
              <w:t xml:space="preserve">satisfy the specialty requirement, but it restores an active AWS credential and reinforces the AWS-deployment skill set while the specialty exam is pursued.</w:t>
            </w:r>
          </w:p>
        </w:tc>
        <w:tc>
          <w:tcPr/>
          <w:p>
            <w:pPr>
              <w:pStyle w:val="Compact"/>
              <w:jc w:val="left"/>
            </w:pPr>
            <w:r>
              <w:t xml:space="preserve">Beneficiary</w:t>
            </w:r>
          </w:p>
        </w:tc>
        <w:tc>
          <w:tcPr/>
          <w:p>
            <w:pPr>
              <w:pStyle w:val="Compact"/>
              <w:jc w:val="left"/>
            </w:pPr>
            <w:r>
              <w:t xml:space="preserve">Within 2 weeks</w:t>
            </w:r>
          </w:p>
        </w:tc>
      </w:tr>
      <w:tr>
        <w:tc>
          <w:tcPr/>
          <w:p>
            <w:pPr>
              <w:pStyle w:val="Compact"/>
              <w:jc w:val="left"/>
            </w:pPr>
            <w:r>
              <w:t xml:space="preserve">1.4</w:t>
            </w:r>
          </w:p>
        </w:tc>
        <w:tc>
          <w:tcPr/>
          <w:p>
            <w:pPr>
              <w:pStyle w:val="Compact"/>
              <w:jc w:val="left"/>
            </w:pPr>
            <w:r>
              <w:rPr>
                <w:b/>
                <w:bCs/>
              </w:rPr>
              <w:t xml:space="preserve">Manage the Section K.3 attestation-accuracy concern.</w:t>
            </w:r>
            <w:r>
              <w:t xml:space="preserve"> </w:t>
            </w:r>
            <w:r>
              <w:t xml:space="preserve">Counsel to advise on disclosure strategy and how to present the certification evidence to USCIS without compounding the attestation issue.</w:t>
            </w:r>
          </w:p>
        </w:tc>
        <w:tc>
          <w:tcPr/>
          <w:p>
            <w:pPr>
              <w:pStyle w:val="Compact"/>
              <w:jc w:val="left"/>
            </w:pPr>
            <w:r>
              <w:t xml:space="preserve">Counsel</w:t>
            </w:r>
          </w:p>
        </w:tc>
        <w:tc>
          <w:tcPr/>
          <w:p>
            <w:pPr>
              <w:pStyle w:val="Compact"/>
              <w:jc w:val="left"/>
            </w:pPr>
            <w:r>
              <w:t xml:space="preserve">Before I-140 filing</w:t>
            </w:r>
          </w:p>
        </w:tc>
      </w:tr>
    </w:tbl>
    <w:bookmarkEnd w:id="30"/>
    <w:bookmarkStart w:id="31" w:name="Xf9456d284991bf9b0e5714c27a1088ddaed8aa6"/>
    <w:p>
      <w:pPr>
        <w:pStyle w:val="Heading3"/>
      </w:pPr>
      <w:r>
        <w:t xml:space="preserve">Priority 2 — Moderate (complete before I-140 filing)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Timing</w:t>
            </w:r>
          </w:p>
        </w:tc>
      </w:tr>
      <w:tr>
        <w:tc>
          <w:tcPr/>
          <w:p>
            <w:pPr>
              <w:pStyle w:val="Compact"/>
              <w:jc w:val="left"/>
            </w:pPr>
            <w:r>
              <w:t xml:space="preserve">2.1</w:t>
            </w:r>
          </w:p>
        </w:tc>
        <w:tc>
          <w:tcPr/>
          <w:p>
            <w:pPr>
              <w:pStyle w:val="Compact"/>
              <w:jc w:val="left"/>
            </w:pPr>
            <w:r>
              <w:rPr>
                <w:b/>
                <w:bCs/>
              </w:rPr>
              <w:t xml:space="preserve">Obtain a supplemental experience letter from Dr. Okonkwo (DataBridge)</w:t>
            </w:r>
            <w:r>
              <w:t xml:space="preserve"> </w:t>
            </w:r>
            <w:r>
              <w:t xml:space="preserve">that specifically details the beneficiary’s</w:t>
            </w:r>
            <w:r>
              <w:t xml:space="preserve"> </w:t>
            </w:r>
            <w:r>
              <w:rPr>
                <w:b/>
                <w:bCs/>
              </w:rPr>
              <w:t xml:space="preserve">R</w:t>
            </w:r>
            <w:r>
              <w:t xml:space="preserve"> </w:t>
            </w:r>
            <w:r>
              <w:t xml:space="preserve">usage — projects, packages (e.g., tidyverse, ggplot2, dplyr, caret), frequency, complexity, and deliverables — to support</w:t>
            </w:r>
            <w:r>
              <w:t xml:space="preserve"> </w:t>
            </w:r>
            <w:r>
              <w:t xml:space="preserve">“</w:t>
            </w:r>
            <w:r>
              <w:t xml:space="preserve">proficiency in R</w:t>
            </w:r>
            <w:r>
              <w:t xml:space="preserve">”</w:t>
            </w:r>
            <w:r>
              <w:t xml:space="preserve"> </w:t>
            </w:r>
            <w:r>
              <w:t xml:space="preserve">rather than</w:t>
            </w:r>
            <w:r>
              <w:t xml:space="preserve"> </w:t>
            </w:r>
            <w:r>
              <w:t xml:space="preserve">“</w:t>
            </w:r>
            <w:r>
              <w:t xml:space="preserve">some use.</w:t>
            </w:r>
            <w:r>
              <w:t xml:space="preserve">”</w:t>
            </w:r>
            <w:r>
              <w:t xml:space="preserve"> </w:t>
            </w:r>
            <w:r>
              <w:t xml:space="preserve">Supplement with the ST 558 transcript evidence and any R-based project artifacts.</w:t>
            </w:r>
          </w:p>
        </w:tc>
        <w:tc>
          <w:tcPr/>
          <w:p>
            <w:pPr>
              <w:pStyle w:val="Compact"/>
              <w:jc w:val="left"/>
            </w:pPr>
            <w:r>
              <w:t xml:space="preserve">Counsel / HR / Beneficiary</w:t>
            </w:r>
          </w:p>
        </w:tc>
        <w:tc>
          <w:tcPr/>
          <w:p>
            <w:pPr>
              <w:pStyle w:val="Compact"/>
              <w:jc w:val="left"/>
            </w:pPr>
            <w:r>
              <w:t xml:space="preserve">Before I-140</w:t>
            </w:r>
          </w:p>
        </w:tc>
      </w:tr>
      <w:tr>
        <w:tc>
          <w:tcPr/>
          <w:p>
            <w:pPr>
              <w:pStyle w:val="Compact"/>
              <w:jc w:val="left"/>
            </w:pPr>
            <w:r>
              <w:t xml:space="preserve">2.2</w:t>
            </w:r>
          </w:p>
        </w:tc>
        <w:tc>
          <w:tcPr/>
          <w:p>
            <w:pPr>
              <w:pStyle w:val="Compact"/>
              <w:jc w:val="left"/>
            </w:pPr>
            <w:r>
              <w:rPr>
                <w:b/>
                <w:bCs/>
              </w:rPr>
              <w:t xml:space="preserve">If R usage was genuinely limited</w:t>
            </w:r>
            <w:r>
              <w:t xml:space="preserve">, counsel to assess whether</w:t>
            </w:r>
            <w:r>
              <w:t xml:space="preserve"> </w:t>
            </w:r>
            <w:r>
              <w:t xml:space="preserve">“</w:t>
            </w:r>
            <w:r>
              <w:t xml:space="preserve">proficiency in R</w:t>
            </w:r>
            <w:r>
              <w:t xml:space="preserve">”</w:t>
            </w:r>
            <w:r>
              <w:t xml:space="preserve"> </w:t>
            </w:r>
            <w:r>
              <w:t xml:space="preserve">overstates the actual job requirement (a tailoring risk under the business-necessity doctrine) and whether the requirement should be aligned with the position’s true R usage.</w:t>
            </w:r>
          </w:p>
        </w:tc>
        <w:tc>
          <w:tcPr/>
          <w:p>
            <w:pPr>
              <w:pStyle w:val="Compact"/>
              <w:jc w:val="left"/>
            </w:pPr>
            <w:r>
              <w:t xml:space="preserve">Counsel</w:t>
            </w:r>
          </w:p>
        </w:tc>
        <w:tc>
          <w:tcPr/>
          <w:p>
            <w:pPr>
              <w:pStyle w:val="Compact"/>
              <w:jc w:val="left"/>
            </w:pPr>
            <w:r>
              <w:t xml:space="preserve">Before I-140</w:t>
            </w:r>
          </w:p>
        </w:tc>
      </w:tr>
      <w:tr>
        <w:tc>
          <w:tcPr/>
          <w:p>
            <w:pPr>
              <w:pStyle w:val="Compact"/>
              <w:jc w:val="left"/>
            </w:pPr>
            <w:r>
              <w:t xml:space="preserve">2.3</w:t>
            </w:r>
          </w:p>
        </w:tc>
        <w:tc>
          <w:tcPr/>
          <w:p>
            <w:pPr>
              <w:pStyle w:val="Compact"/>
              <w:jc w:val="left"/>
            </w:pPr>
            <w:r>
              <w:rPr>
                <w:b/>
                <w:bCs/>
              </w:rPr>
              <w:t xml:space="preserve">Obtain a supplemental letter from Dr. Okonkwo clarifying the full scope of supervisory/leadership responsibilities</w:t>
            </w:r>
            <w:r>
              <w:t xml:space="preserve"> </w:t>
            </w:r>
            <w:r>
              <w:t xml:space="preserve">— including any personnel beyond the two junior data scientists (interns, contractors, ML engineers on specific projects) that could support a 3–5 headcount, and the breadth of mentorship, code-review, and project-leadership duties. Frame the</w:t>
            </w:r>
            <w:r>
              <w:t xml:space="preserve"> </w:t>
            </w:r>
            <w:r>
              <w:t xml:space="preserve">“</w:t>
            </w:r>
            <w:r>
              <w:t xml:space="preserve">3–5</w:t>
            </w:r>
            <w:r>
              <w:t xml:space="preserve">”</w:t>
            </w:r>
            <w:r>
              <w:t xml:space="preserve"> </w:t>
            </w:r>
            <w:r>
              <w:t xml:space="preserve">figure as a job duty supported by demonstrated supervisory capability.</w:t>
            </w:r>
          </w:p>
        </w:tc>
        <w:tc>
          <w:tcPr/>
          <w:p>
            <w:pPr>
              <w:pStyle w:val="Compact"/>
              <w:jc w:val="left"/>
            </w:pPr>
            <w:r>
              <w:t xml:space="preserve">Counsel / HR / Beneficiary</w:t>
            </w:r>
          </w:p>
        </w:tc>
        <w:tc>
          <w:tcPr/>
          <w:p>
            <w:pPr>
              <w:pStyle w:val="Compact"/>
              <w:jc w:val="left"/>
            </w:pPr>
            <w:r>
              <w:t xml:space="preserve">Before I-140</w:t>
            </w:r>
          </w:p>
        </w:tc>
      </w:tr>
      <w:tr>
        <w:tc>
          <w:tcPr/>
          <w:p>
            <w:pPr>
              <w:pStyle w:val="Compact"/>
              <w:jc w:val="left"/>
            </w:pPr>
            <w:r>
              <w:t xml:space="preserve">2.4</w:t>
            </w:r>
          </w:p>
        </w:tc>
        <w:tc>
          <w:tcPr/>
          <w:p>
            <w:pPr>
              <w:pStyle w:val="Compact"/>
              <w:jc w:val="left"/>
            </w:pPr>
            <w:r>
              <w:rPr>
                <w:b/>
                <w:bCs/>
              </w:rPr>
              <w:t xml:space="preserve">If only two were supervised</w:t>
            </w:r>
            <w:r>
              <w:t xml:space="preserve">, counsel to assess the business-necessity defensibility of the headcount requirement and the best framing for the I-140.</w:t>
            </w:r>
          </w:p>
        </w:tc>
        <w:tc>
          <w:tcPr/>
          <w:p>
            <w:pPr>
              <w:pStyle w:val="Compact"/>
              <w:jc w:val="left"/>
            </w:pPr>
            <w:r>
              <w:t xml:space="preserve">Counsel</w:t>
            </w:r>
          </w:p>
        </w:tc>
        <w:tc>
          <w:tcPr/>
          <w:p>
            <w:pPr>
              <w:pStyle w:val="Compact"/>
              <w:jc w:val="left"/>
            </w:pPr>
            <w:r>
              <w:t xml:space="preserve">Before I-140</w:t>
            </w:r>
          </w:p>
        </w:tc>
      </w:tr>
    </w:tbl>
    <w:bookmarkEnd w:id="31"/>
    <w:bookmarkStart w:id="32" w:name="Xd9c521ccc5376eff5d14a22f561b38f4f16d033"/>
    <w:p>
      <w:pPr>
        <w:pStyle w:val="Heading3"/>
      </w:pPr>
      <w:r>
        <w:t xml:space="preserve">Priority 3 — Moderate (audit / I-140 completeness)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Timing</w:t>
            </w:r>
          </w:p>
        </w:tc>
      </w:tr>
      <w:tr>
        <w:tc>
          <w:tcPr/>
          <w:p>
            <w:pPr>
              <w:pStyle w:val="Compact"/>
              <w:jc w:val="left"/>
            </w:pPr>
            <w:r>
              <w:t xml:space="preserve">3.1</w:t>
            </w:r>
          </w:p>
        </w:tc>
        <w:tc>
          <w:tcPr/>
          <w:p>
            <w:pPr>
              <w:pStyle w:val="Compact"/>
              <w:jc w:val="left"/>
            </w:pPr>
            <w:r>
              <w:rPr>
                <w:b/>
                <w:bCs/>
              </w:rPr>
              <w:t xml:space="preserve">Obtain a verification letter for the NC State Research Assistant appointment.</w:t>
            </w:r>
            <w:r>
              <w:t xml:space="preserve"> </w:t>
            </w:r>
            <w:r>
              <w:t xml:space="preserve">Pursue backup sources: NC State HR, the department administrator, the department chair, or a co-PI on NSF Grant No. IIS-1742956.</w:t>
            </w:r>
          </w:p>
        </w:tc>
        <w:tc>
          <w:tcPr/>
          <w:p>
            <w:pPr>
              <w:pStyle w:val="Compact"/>
              <w:jc w:val="left"/>
            </w:pPr>
            <w:r>
              <w:t xml:space="preserve">Beneficiary / Counsel</w:t>
            </w:r>
          </w:p>
        </w:tc>
        <w:tc>
          <w:tcPr/>
          <w:p>
            <w:pPr>
              <w:pStyle w:val="Compact"/>
              <w:jc w:val="left"/>
            </w:pPr>
            <w:r>
              <w:t xml:space="preserve">Before I-140 (lower urgency)</w:t>
            </w:r>
          </w:p>
        </w:tc>
      </w:tr>
      <w:tr>
        <w:tc>
          <w:tcPr/>
          <w:p>
            <w:pPr>
              <w:pStyle w:val="Compact"/>
              <w:jc w:val="left"/>
            </w:pPr>
            <w:r>
              <w:t xml:space="preserve">3.2</w:t>
            </w:r>
          </w:p>
        </w:tc>
        <w:tc>
          <w:tcPr/>
          <w:p>
            <w:pPr>
              <w:pStyle w:val="Compact"/>
              <w:jc w:val="left"/>
            </w:pPr>
            <w:r>
              <w:rPr>
                <w:b/>
                <w:bCs/>
              </w:rPr>
              <w:t xml:space="preserve">Interim:</w:t>
            </w:r>
            <w:r>
              <w:t xml:space="preserve"> </w:t>
            </w:r>
            <w:r>
              <w:t xml:space="preserve">rely on the transcript (appointment, dates, supervisor, funding) together with the two co-authored papers (EMNLP 2018; ACL 2017) as corroborating evidence of the NLP-research duties until a letter is obtained.</w:t>
            </w:r>
          </w:p>
        </w:tc>
        <w:tc>
          <w:tcPr/>
          <w:p>
            <w:pPr>
              <w:pStyle w:val="Compact"/>
              <w:jc w:val="left"/>
            </w:pPr>
            <w:r>
              <w:t xml:space="preserve">Counsel</w:t>
            </w:r>
          </w:p>
        </w:tc>
        <w:tc>
          <w:tcPr/>
          <w:p>
            <w:pPr>
              <w:pStyle w:val="Compact"/>
              <w:jc w:val="left"/>
            </w:pPr>
            <w:r>
              <w:t xml:space="preserve">Now</w:t>
            </w:r>
          </w:p>
        </w:tc>
      </w:tr>
    </w:tbl>
    <w:bookmarkEnd w:id="32"/>
    <w:bookmarkStart w:id="33" w:name="priority-4-minor-housekeeping"/>
    <w:p>
      <w:pPr>
        <w:pStyle w:val="Heading3"/>
      </w:pPr>
      <w:r>
        <w:t xml:space="preserve">Priority 4 — Minor (housekeeping)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Timing</w:t>
            </w:r>
          </w:p>
        </w:tc>
      </w:tr>
      <w:tr>
        <w:tc>
          <w:tcPr/>
          <w:p>
            <w:pPr>
              <w:pStyle w:val="Compact"/>
              <w:jc w:val="left"/>
            </w:pPr>
            <w:r>
              <w:t xml:space="preserve">4.1</w:t>
            </w:r>
          </w:p>
        </w:tc>
        <w:tc>
          <w:tcPr/>
          <w:p>
            <w:pPr>
              <w:pStyle w:val="Compact"/>
              <w:jc w:val="left"/>
            </w:pPr>
            <w:r>
              <w:rPr>
                <w:b/>
                <w:bCs/>
              </w:rPr>
              <w:t xml:space="preserve">Reconcile the FEIN.</w:t>
            </w:r>
            <w:r>
              <w:t xml:space="preserve"> </w:t>
            </w:r>
            <w:r>
              <w:t xml:space="preserve">Verify the correct FEIN with Cornerpoint Payroll Services; reconcile the PWD (84-3291047) and ETA 9089 (84-3291756); ensure the I-140 and H-1B use the correct FEIN; counsel to assess whether the PERM FEIN requires correction.</w:t>
            </w:r>
          </w:p>
        </w:tc>
        <w:tc>
          <w:tcPr/>
          <w:p>
            <w:pPr>
              <w:pStyle w:val="Compact"/>
              <w:jc w:val="left"/>
            </w:pPr>
            <w:r>
              <w:t xml:space="preserve">HR / Counsel</w:t>
            </w:r>
          </w:p>
        </w:tc>
        <w:tc>
          <w:tcPr/>
          <w:p>
            <w:pPr>
              <w:pStyle w:val="Compact"/>
              <w:jc w:val="left"/>
            </w:pPr>
            <w:r>
              <w:t xml:space="preserve">Before any filing</w:t>
            </w:r>
          </w:p>
        </w:tc>
      </w:tr>
      <w:tr>
        <w:tc>
          <w:tcPr/>
          <w:p>
            <w:pPr>
              <w:pStyle w:val="Compact"/>
              <w:jc w:val="left"/>
            </w:pPr>
            <w:r>
              <w:t xml:space="preserve">4.2</w:t>
            </w:r>
          </w:p>
        </w:tc>
        <w:tc>
          <w:tcPr/>
          <w:p>
            <w:pPr>
              <w:pStyle w:val="Compact"/>
              <w:jc w:val="left"/>
            </w:pPr>
            <w:r>
              <w:rPr>
                <w:b/>
                <w:bCs/>
              </w:rPr>
              <w:t xml:space="preserve">Reconcile the form of address.</w:t>
            </w:r>
            <w:r>
              <w:t xml:space="preserve"> </w:t>
            </w:r>
            <w:r>
              <w:t xml:space="preserve">Confirm whether the beneficiary holds a doctorate; if not, use</w:t>
            </w:r>
            <w:r>
              <w:t xml:space="preserve"> </w:t>
            </w:r>
            <w:r>
              <w:t xml:space="preserve">“</w:t>
            </w:r>
            <w:r>
              <w:t xml:space="preserve">Ms. Ananya Mehrotra</w:t>
            </w:r>
            <w:r>
              <w:t xml:space="preserve">”</w:t>
            </w:r>
            <w:r>
              <w:t xml:space="preserve"> </w:t>
            </w:r>
            <w:r>
              <w:t xml:space="preserve">(or her name without an unsupported honorific) consistently across all filings.</w:t>
            </w:r>
          </w:p>
        </w:tc>
        <w:tc>
          <w:tcPr/>
          <w:p>
            <w:pPr>
              <w:pStyle w:val="Compact"/>
              <w:jc w:val="left"/>
            </w:pPr>
            <w:r>
              <w:t xml:space="preserve">HR / Beneficiary</w:t>
            </w:r>
          </w:p>
        </w:tc>
        <w:tc>
          <w:tcPr/>
          <w:p>
            <w:pPr>
              <w:pStyle w:val="Compact"/>
              <w:jc w:val="left"/>
            </w:pPr>
            <w:r>
              <w:t xml:space="preserve">Before any filing</w:t>
            </w:r>
          </w:p>
        </w:tc>
      </w:tr>
      <w:tr>
        <w:tc>
          <w:tcPr/>
          <w:p>
            <w:pPr>
              <w:pStyle w:val="Compact"/>
              <w:jc w:val="left"/>
            </w:pPr>
            <w:r>
              <w:t xml:space="preserve">4.3</w:t>
            </w:r>
          </w:p>
        </w:tc>
        <w:tc>
          <w:tcPr/>
          <w:p>
            <w:pPr>
              <w:pStyle w:val="Compact"/>
              <w:jc w:val="left"/>
            </w:pPr>
            <w:r>
              <w:rPr>
                <w:b/>
                <w:bCs/>
              </w:rPr>
              <w:t xml:space="preserve">Reconcile the phone number</w:t>
            </w:r>
            <w:r>
              <w:t xml:space="preserve"> </w:t>
            </w:r>
            <w:r>
              <w:t xml:space="preserve">(555-0174 vs. 555-0184) and use the precise experience duration (~6 years, 9 months as of filing) in I-140 filings and experience letters.</w:t>
            </w:r>
          </w:p>
        </w:tc>
        <w:tc>
          <w:tcPr/>
          <w:p>
            <w:pPr>
              <w:pStyle w:val="Compact"/>
              <w:jc w:val="left"/>
            </w:pPr>
            <w:r>
              <w:t xml:space="preserve">HR / Counsel</w:t>
            </w:r>
          </w:p>
        </w:tc>
        <w:tc>
          <w:tcPr/>
          <w:p>
            <w:pPr>
              <w:pStyle w:val="Compact"/>
              <w:jc w:val="left"/>
            </w:pPr>
            <w:r>
              <w:t xml:space="preserve">Before any filing</w:t>
            </w:r>
          </w:p>
        </w:tc>
      </w:tr>
    </w:tbl>
    <w:p>
      <w:r>
        <w:pict>
          <v:rect style="width:0;height:1.5pt" o:hralign="center" o:hrstd="t" o:hr="t"/>
        </w:pict>
      </w:r>
    </w:p>
    <w:bookmarkEnd w:id="33"/>
    <w:bookmarkEnd w:id="34"/>
    <w:bookmarkStart w:id="35" w:name="vii.-risk-assessment-and-posture"/>
    <w:p>
      <w:pPr>
        <w:pStyle w:val="Heading2"/>
      </w:pPr>
      <w:r>
        <w:t xml:space="preserve">VII. Risk Assessment and Posture</w:t>
      </w:r>
    </w:p>
    <w:p>
      <w:pPr>
        <w:pStyle w:val="Compact"/>
        <w:numPr>
          <w:ilvl w:val="0"/>
          <w:numId w:val="1014"/>
        </w:numPr>
      </w:pPr>
      <w:r>
        <w:rPr>
          <w:b/>
          <w:bCs/>
        </w:rPr>
        <w:t xml:space="preserve">PERM certification is final; the audit window has likely closed.</w:t>
      </w:r>
      <w:r>
        <w:t xml:space="preserve"> </w:t>
      </w:r>
      <w:r>
        <w:t xml:space="preserve">Audits are ordinarily triggered near filing, and the application was certified on May 22, 2025 without (apparently) an audit. The principal exposure is therefore</w:t>
      </w:r>
      <w:r>
        <w:t xml:space="preserve"> </w:t>
      </w:r>
      <w:r>
        <w:rPr>
          <w:b/>
          <w:bCs/>
        </w:rPr>
        <w:t xml:space="preserve">forward-looking</w:t>
      </w:r>
      <w:r>
        <w:t xml:space="preserve">, at the I-140 stage, where USCIS independently determines whether the beneficiary was qualified for the position</w:t>
      </w:r>
      <w:r>
        <w:t xml:space="preserve"> </w:t>
      </w:r>
      <w:r>
        <w:rPr>
          <w:b/>
          <w:bCs/>
        </w:rPr>
        <w:t xml:space="preserve">as of the priority date (March 15, 2025)</w:t>
      </w:r>
      <w:r>
        <w:t xml:space="preserve">.</w:t>
      </w:r>
    </w:p>
    <w:p>
      <w:pPr>
        <w:pStyle w:val="Compact"/>
        <w:numPr>
          <w:ilvl w:val="0"/>
          <w:numId w:val="1014"/>
        </w:numPr>
      </w:pPr>
      <w:r>
        <w:rPr>
          <w:b/>
          <w:bCs/>
        </w:rPr>
        <w:t xml:space="preserve">The AWS certification gap is the dominant risk.</w:t>
      </w:r>
      <w:r>
        <w:t xml:space="preserve"> </w:t>
      </w:r>
      <w:r>
        <w:t xml:space="preserve">It is a stated minimum requirement the beneficiary did not meet as of the priority date, and the employer attested that she did (K.3). The priority-date rule means a certification obtained</w:t>
      </w:r>
      <w:r>
        <w:t xml:space="preserve"> </w:t>
      </w:r>
      <w:r>
        <w:rPr>
          <w:i/>
          <w:iCs/>
        </w:rPr>
        <w:t xml:space="preserve">after</w:t>
      </w:r>
      <w:r>
        <w:t xml:space="preserve"> </w:t>
      </w:r>
      <w:r>
        <w:t xml:space="preserve">March 15, 2025 may not fully cure the deficiency for I-140 purposes, which is why Priority 1.2 (legal analysis of framing — e.g., hire-on requirement vs. pre-filing minimum) is essential and should drive the I-140 strategy.</w:t>
      </w:r>
    </w:p>
    <w:p>
      <w:pPr>
        <w:pStyle w:val="Compact"/>
        <w:numPr>
          <w:ilvl w:val="0"/>
          <w:numId w:val="1014"/>
        </w:numPr>
      </w:pPr>
      <w:r>
        <w:rPr>
          <w:b/>
          <w:bCs/>
        </w:rPr>
        <w:t xml:space="preserve">The R and supervision gaps are curable.</w:t>
      </w:r>
      <w:r>
        <w:t xml:space="preserve"> </w:t>
      </w:r>
      <w:r>
        <w:t xml:space="preserve">Both are primarily documentation-strength issues that supplemental letters should resolve, though each carries a secondary tailoring/business-necessity consideration that counsel should evaluate.</w:t>
      </w:r>
    </w:p>
    <w:p>
      <w:pPr>
        <w:pStyle w:val="Compact"/>
        <w:numPr>
          <w:ilvl w:val="0"/>
          <w:numId w:val="1014"/>
        </w:numPr>
      </w:pPr>
      <w:r>
        <w:rPr>
          <w:b/>
          <w:bCs/>
        </w:rPr>
        <w:t xml:space="preserve">The missing RA letter is low-stakes</w:t>
      </w:r>
      <w:r>
        <w:t xml:space="preserve"> </w:t>
      </w:r>
      <w:r>
        <w:t xml:space="preserve">because that experience is not relied upon for the five-year post-master’s minimum, but it should be closed for a complete file.</w:t>
      </w:r>
    </w:p>
    <w:p>
      <w:pPr>
        <w:pStyle w:val="Compact"/>
        <w:numPr>
          <w:ilvl w:val="0"/>
          <w:numId w:val="1014"/>
        </w:numPr>
      </w:pPr>
      <w:r>
        <w:rPr>
          <w:b/>
          <w:bCs/>
        </w:rPr>
        <w:t xml:space="preserve">Minor discrepancies (FEIN, title, phone, duration)</w:t>
      </w:r>
      <w:r>
        <w:t xml:space="preserve"> </w:t>
      </w:r>
      <w:r>
        <w:t xml:space="preserve">are housekeeping; left uncorrected they do not sink a petition, but a clean, internally consistent package materially reduces RFE risk.</w:t>
      </w:r>
    </w:p>
    <w:p>
      <w:pPr>
        <w:pStyle w:val="Compact"/>
        <w:numPr>
          <w:ilvl w:val="0"/>
          <w:numId w:val="1014"/>
        </w:numPr>
      </w:pPr>
      <w:r>
        <w:rPr>
          <w:b/>
          <w:bCs/>
        </w:rPr>
        <w:t xml:space="preserve">Timing.</w:t>
      </w:r>
      <w:r>
        <w:t xml:space="preserve"> </w:t>
      </w:r>
      <w:r>
        <w:t xml:space="preserve">The I-140 must be filed within 180 days of certification (on or about November 18, 2025), providing adequate time to remediate. Separately, the H-1B (Form I-129) track you described targets filing by July 15, 2025, ahead of the September 15, 2025 STEM-OPT expiration. Note that the H-1B turns on the specialty-occupation / beneficiary-qualification standard (which the M.S. in Computer Science satisfies); the PERM-specific special-skills gaps (AWS certification, R proficiency, supervisory headcount) are primarily I-140 concerns and are not, as such, H-1B requirements — though a clean credential package benefits both filings. We will address the cap-gap / status-continuation question you raised under separate cover.</w:t>
      </w:r>
    </w:p>
    <w:p>
      <w:r>
        <w:pict>
          <v:rect style="width:0;height:1.5pt" o:hralign="center" o:hrstd="t" o:hr="t"/>
        </w:pict>
      </w:r>
    </w:p>
    <w:bookmarkEnd w:id="35"/>
    <w:bookmarkStart w:id="36" w:name="viii.-recommended-next-steps"/>
    <w:p>
      <w:pPr>
        <w:pStyle w:val="Heading2"/>
      </w:pPr>
      <w:r>
        <w:t xml:space="preserve">VIII. Recommended Next Steps</w:t>
      </w:r>
    </w:p>
    <w:p>
      <w:pPr>
        <w:pStyle w:val="Compact"/>
        <w:numPr>
          <w:ilvl w:val="0"/>
          <w:numId w:val="1015"/>
        </w:numPr>
      </w:pPr>
      <w:r>
        <w:rPr>
          <w:b/>
          <w:bCs/>
        </w:rPr>
        <w:t xml:space="preserve">Schedule a call</w:t>
      </w:r>
      <w:r>
        <w:t xml:space="preserve"> </w:t>
      </w:r>
      <w:r>
        <w:t xml:space="preserve">this week with Melanie and Rajiv to review these findings and confirm the path forward on the AWS certification.</w:t>
      </w:r>
    </w:p>
    <w:p>
      <w:pPr>
        <w:pStyle w:val="Compact"/>
        <w:numPr>
          <w:ilvl w:val="0"/>
          <w:numId w:val="1015"/>
        </w:numPr>
      </w:pPr>
      <w:r>
        <w:rPr>
          <w:b/>
          <w:bCs/>
        </w:rPr>
        <w:t xml:space="preserve">Beneficiary to begin AWS Certified Machine Learning – Specialty exam preparation immediately</w:t>
      </w:r>
      <w:r>
        <w:t xml:space="preserve"> </w:t>
      </w:r>
      <w:r>
        <w:t xml:space="preserve">and schedule the exam; renew the AWS Cloud Practitioner in the interim.</w:t>
      </w:r>
    </w:p>
    <w:p>
      <w:pPr>
        <w:pStyle w:val="Compact"/>
        <w:numPr>
          <w:ilvl w:val="0"/>
          <w:numId w:val="1015"/>
        </w:numPr>
      </w:pPr>
      <w:r>
        <w:rPr>
          <w:b/>
          <w:bCs/>
        </w:rPr>
        <w:t xml:space="preserve">Counsel to issue</w:t>
      </w:r>
      <w:r>
        <w:t xml:space="preserve"> </w:t>
      </w:r>
      <w:r>
        <w:t xml:space="preserve">the supplemental-letter requests to Dr. Okonkwo (R proficiency + supervisory scope) and to initiate the NC State RA-letter outreach via the backup channels.</w:t>
      </w:r>
    </w:p>
    <w:p>
      <w:pPr>
        <w:pStyle w:val="Compact"/>
        <w:numPr>
          <w:ilvl w:val="0"/>
          <w:numId w:val="1015"/>
        </w:numPr>
      </w:pPr>
      <w:r>
        <w:rPr>
          <w:b/>
          <w:bCs/>
        </w:rPr>
        <w:t xml:space="preserve">Counsel to prepare</w:t>
      </w:r>
      <w:r>
        <w:t xml:space="preserve"> </w:t>
      </w:r>
      <w:r>
        <w:t xml:space="preserve">the priority-date /</w:t>
      </w:r>
      <w:r>
        <w:t xml:space="preserve"> </w:t>
      </w:r>
      <w:r>
        <w:t xml:space="preserve">“</w:t>
      </w:r>
      <w:r>
        <w:t xml:space="preserve">or equivalent</w:t>
      </w:r>
      <w:r>
        <w:t xml:space="preserve">”</w:t>
      </w:r>
      <w:r>
        <w:t xml:space="preserve"> </w:t>
      </w:r>
      <w:r>
        <w:t xml:space="preserve">/ business-necessity legal analysis (Priority 1.2) and the attestation-accuracy strategy (Priority 1.4).</w:t>
      </w:r>
    </w:p>
    <w:p>
      <w:pPr>
        <w:pStyle w:val="Compact"/>
        <w:numPr>
          <w:ilvl w:val="0"/>
          <w:numId w:val="1015"/>
        </w:numPr>
      </w:pPr>
      <w:r>
        <w:rPr>
          <w:b/>
          <w:bCs/>
        </w:rPr>
        <w:t xml:space="preserve">HR to reconcile</w:t>
      </w:r>
      <w:r>
        <w:t xml:space="preserve"> </w:t>
      </w:r>
      <w:r>
        <w:t xml:space="preserve">the FEIN, form of address, and phone number with Cornerpoint Payroll Services and the beneficiary.</w:t>
      </w:r>
    </w:p>
    <w:p>
      <w:pPr>
        <w:pStyle w:val="Compact"/>
        <w:numPr>
          <w:ilvl w:val="0"/>
          <w:numId w:val="1015"/>
        </w:numPr>
      </w:pPr>
      <w:r>
        <w:rPr>
          <w:b/>
          <w:bCs/>
        </w:rPr>
        <w:t xml:space="preserve">Target I-140 filing</w:t>
      </w:r>
      <w:r>
        <w:t xml:space="preserve"> </w:t>
      </w:r>
      <w:r>
        <w:t xml:space="preserve">after the Priority 1–3 items are remediated and within the 180-day window;</w:t>
      </w:r>
      <w:r>
        <w:t xml:space="preserve"> </w:t>
      </w:r>
      <w:r>
        <w:rPr>
          <w:b/>
          <w:bCs/>
        </w:rPr>
        <w:t xml:space="preserve">target H-1B I-129 filing by July 15, 2025</w:t>
      </w:r>
      <w:r>
        <w:t xml:space="preserve"> </w:t>
      </w:r>
      <w:r>
        <w:t xml:space="preserve">as discussed, with the cap-gap analysis provided separately.</w:t>
      </w:r>
    </w:p>
    <w:p>
      <w:pPr>
        <w:pStyle w:val="FirstParagraph"/>
      </w:pPr>
      <w:r>
        <w:t xml:space="preserve">We are happy to discuss any of the above at your convenience. Please treat this memorandum as privileged and confidential.</w:t>
      </w:r>
    </w:p>
    <w:p>
      <w:r>
        <w:pict>
          <v:rect style="width:0;height:1.5pt" o:hralign="center" o:hrstd="t" o:hr="t"/>
        </w:pict>
      </w:r>
    </w:p>
    <w:p>
      <w:pPr>
        <w:pStyle w:val="FirstParagraph"/>
      </w:pPr>
      <w:r>
        <w:rPr>
          <w:i/>
          <w:iCs/>
        </w:rPr>
        <w:t xml:space="preserve">Whitmore &amp; Callahan LLP · 1750 K Street NW, Suite 800, Washington, DC 20006 · (202) 555-0392</w:t>
      </w:r>
    </w:p>
    <w:p>
      <w:r>
        <w:pict>
          <v:rect style="width:0;height:1.5pt" o:hralign="center" o:hrstd="t" o:hr="t"/>
        </w:pict>
      </w:r>
    </w:p>
    <w:bookmarkEnd w:id="36"/>
    <w:bookmarkStart w:id="37" w:name="X1a4ae6162e5a4376e1a5592a2023a40f14d0c07"/>
    <w:p>
      <w:pPr>
        <w:pStyle w:val="Heading2"/>
      </w:pPr>
      <w:r>
        <w:t xml:space="preserve">Appendix A — Requirements-vs.-Credentials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 (ETA 9089)</w:t>
            </w:r>
          </w:p>
        </w:tc>
        <w:tc>
          <w:tcPr/>
          <w:p>
            <w:pPr>
              <w:pStyle w:val="Compact"/>
              <w:jc w:val="left"/>
            </w:pPr>
            <w:r>
              <w:t xml:space="preserve">Supporting Evidence</w:t>
            </w:r>
          </w:p>
        </w:tc>
        <w:tc>
          <w:tcPr/>
          <w:p>
            <w:pPr>
              <w:pStyle w:val="Compact"/>
              <w:jc w:val="left"/>
            </w:pPr>
            <w:r>
              <w:t xml:space="preserve">Status</w:t>
            </w:r>
          </w:p>
        </w:tc>
      </w:tr>
      <w:tr>
        <w:tc>
          <w:tcPr/>
          <w:p>
            <w:pPr>
              <w:pStyle w:val="Compact"/>
              <w:jc w:val="left"/>
            </w:pPr>
            <w:r>
              <w:t xml:space="preserve">Master’s in CS/ML/closely related field (J.B.1)</w:t>
            </w:r>
          </w:p>
        </w:tc>
        <w:tc>
          <w:tcPr/>
          <w:p>
            <w:pPr>
              <w:pStyle w:val="Compact"/>
              <w:jc w:val="left"/>
            </w:pPr>
            <w:r>
              <w:t xml:space="preserve">M.S. Computer Science, NC State, May 12, 2018; GPA 3.74; transcript</w:t>
            </w:r>
          </w:p>
        </w:tc>
        <w:tc>
          <w:tcPr/>
          <w:p>
            <w:pPr>
              <w:pStyle w:val="Compact"/>
              <w:jc w:val="left"/>
            </w:pPr>
            <w:r>
              <w:rPr>
                <w:b/>
                <w:bCs/>
              </w:rPr>
              <w:t xml:space="preserve">Met</w:t>
            </w:r>
          </w:p>
        </w:tc>
      </w:tr>
      <w:tr>
        <w:tc>
          <w:tcPr/>
          <w:p>
            <w:pPr>
              <w:pStyle w:val="Compact"/>
              <w:jc w:val="left"/>
            </w:pPr>
            <w:r>
              <w:t xml:space="preserve">5 yrs progressive post-master’s ML experience (J.B.3)</w:t>
            </w:r>
          </w:p>
        </w:tc>
        <w:tc>
          <w:tcPr/>
          <w:p>
            <w:pPr>
              <w:pStyle w:val="Compact"/>
              <w:jc w:val="left"/>
            </w:pPr>
            <w:r>
              <w:t xml:space="preserve">DataBridge, June 4, 2018 – present (~6 yrs 9 mo as of filing); DS I → DS II progression</w:t>
            </w:r>
          </w:p>
        </w:tc>
        <w:tc>
          <w:tcPr/>
          <w:p>
            <w:pPr>
              <w:pStyle w:val="Compact"/>
              <w:jc w:val="left"/>
            </w:pPr>
            <w:r>
              <w:rPr>
                <w:b/>
                <w:bCs/>
              </w:rPr>
              <w:t xml:space="preserve">Met</w:t>
            </w:r>
          </w:p>
        </w:tc>
      </w:tr>
      <w:tr>
        <w:tc>
          <w:tcPr/>
          <w:p>
            <w:pPr>
              <w:pStyle w:val="Compact"/>
              <w:jc w:val="left"/>
            </w:pPr>
            <w:r>
              <w:t xml:space="preserve">(a) DL models in TensorFlow or PyTorch</w:t>
            </w:r>
          </w:p>
        </w:tc>
        <w:tc>
          <w:tcPr/>
          <w:p>
            <w:pPr>
              <w:pStyle w:val="Compact"/>
              <w:jc w:val="left"/>
            </w:pPr>
            <w:r>
              <w:t xml:space="preserve">DataBridge DS II (TensorFlow &amp; PyTorch); NC State RA (PyTorch); résumé</w:t>
            </w:r>
          </w:p>
        </w:tc>
        <w:tc>
          <w:tcPr/>
          <w:p>
            <w:pPr>
              <w:pStyle w:val="Compact"/>
              <w:jc w:val="left"/>
            </w:pPr>
            <w:r>
              <w:rPr>
                <w:b/>
                <w:bCs/>
              </w:rPr>
              <w:t xml:space="preserve">Met</w:t>
            </w:r>
          </w:p>
        </w:tc>
      </w:tr>
      <w:tr>
        <w:tc>
          <w:tcPr/>
          <w:p>
            <w:pPr>
              <w:pStyle w:val="Compact"/>
              <w:jc w:val="left"/>
            </w:pPr>
            <w:r>
              <w:t xml:space="preserve">(b) Distributed computing incl. Apache Spark</w:t>
            </w:r>
          </w:p>
        </w:tc>
        <w:tc>
          <w:tcPr/>
          <w:p>
            <w:pPr>
              <w:pStyle w:val="Compact"/>
              <w:jc w:val="left"/>
            </w:pPr>
            <w:r>
              <w:t xml:space="preserve">DataBridge DS II (Apache Spark MLlib); résumé</w:t>
            </w:r>
          </w:p>
        </w:tc>
        <w:tc>
          <w:tcPr/>
          <w:p>
            <w:pPr>
              <w:pStyle w:val="Compact"/>
              <w:jc w:val="left"/>
            </w:pPr>
            <w:r>
              <w:rPr>
                <w:b/>
                <w:bCs/>
              </w:rPr>
              <w:t xml:space="preserve">Met</w:t>
            </w:r>
          </w:p>
        </w:tc>
      </w:tr>
      <w:tr>
        <w:tc>
          <w:tcPr/>
          <w:p>
            <w:pPr>
              <w:pStyle w:val="Compact"/>
              <w:jc w:val="left"/>
            </w:pPr>
            <w:r>
              <w:t xml:space="preserve">(c) NLP pipeline development</w:t>
            </w:r>
          </w:p>
        </w:tc>
        <w:tc>
          <w:tcPr/>
          <w:p>
            <w:pPr>
              <w:pStyle w:val="Compact"/>
              <w:jc w:val="left"/>
            </w:pPr>
            <w:r>
              <w:t xml:space="preserve">DataBridge DS II (NER, sentiment analysis); NC State RA; 2 publications</w:t>
            </w:r>
          </w:p>
        </w:tc>
        <w:tc>
          <w:tcPr/>
          <w:p>
            <w:pPr>
              <w:pStyle w:val="Compact"/>
              <w:jc w:val="left"/>
            </w:pPr>
            <w:r>
              <w:rPr>
                <w:b/>
                <w:bCs/>
              </w:rPr>
              <w:t xml:space="preserve">Met</w:t>
            </w:r>
          </w:p>
        </w:tc>
      </w:tr>
      <w:tr>
        <w:tc>
          <w:tcPr/>
          <w:p>
            <w:pPr>
              <w:pStyle w:val="Compact"/>
              <w:jc w:val="left"/>
            </w:pPr>
            <w:r>
              <w:t xml:space="preserve">(d) Cloud ML deployment on AWS SageMaker or Vertex AI</w:t>
            </w:r>
          </w:p>
        </w:tc>
        <w:tc>
          <w:tcPr/>
          <w:p>
            <w:pPr>
              <w:pStyle w:val="Compact"/>
              <w:jc w:val="left"/>
            </w:pPr>
            <w:r>
              <w:t xml:space="preserve">DataBridge DS II (AWS SageMaker); DS I (AWS EC2); résumé</w:t>
            </w:r>
          </w:p>
        </w:tc>
        <w:tc>
          <w:tcPr/>
          <w:p>
            <w:pPr>
              <w:pStyle w:val="Compact"/>
              <w:jc w:val="left"/>
            </w:pPr>
            <w:r>
              <w:rPr>
                <w:b/>
                <w:bCs/>
              </w:rPr>
              <w:t xml:space="preserve">Met</w:t>
            </w:r>
            <w:r>
              <w:t xml:space="preserve"> </w:t>
            </w:r>
            <w:r>
              <w:t xml:space="preserve">(SageMaker)</w:t>
            </w:r>
          </w:p>
        </w:tc>
      </w:tr>
      <w:tr>
        <w:tc>
          <w:tcPr/>
          <w:p>
            <w:pPr>
              <w:pStyle w:val="Compact"/>
              <w:jc w:val="left"/>
            </w:pPr>
            <w:r>
              <w:t xml:space="preserve">(e) Proficiency in Python</w:t>
            </w:r>
          </w:p>
        </w:tc>
        <w:tc>
          <w:tcPr/>
          <w:p>
            <w:pPr>
              <w:pStyle w:val="Compact"/>
              <w:jc w:val="left"/>
            </w:pPr>
            <w:r>
              <w:t xml:space="preserve">Primary language across all experience entries</w:t>
            </w:r>
          </w:p>
        </w:tc>
        <w:tc>
          <w:tcPr/>
          <w:p>
            <w:pPr>
              <w:pStyle w:val="Compact"/>
              <w:jc w:val="left"/>
            </w:pPr>
            <w:r>
              <w:rPr>
                <w:b/>
                <w:bCs/>
              </w:rPr>
              <w:t xml:space="preserve">Met</w:t>
            </w:r>
          </w:p>
        </w:tc>
      </w:tr>
      <w:tr>
        <w:tc>
          <w:tcPr/>
          <w:p>
            <w:pPr>
              <w:pStyle w:val="Compact"/>
              <w:jc w:val="left"/>
            </w:pPr>
            <w:r>
              <w:t xml:space="preserve">(e) Proficiency in R</w:t>
            </w:r>
          </w:p>
        </w:tc>
        <w:tc>
          <w:tcPr/>
          <w:p>
            <w:pPr>
              <w:pStyle w:val="Compact"/>
              <w:jc w:val="left"/>
            </w:pPr>
            <w:r>
              <w:t xml:space="preserve">“</w:t>
            </w:r>
            <w:r>
              <w:t xml:space="preserve">Some use of R</w:t>
            </w:r>
            <w:r>
              <w:t xml:space="preserve">”</w:t>
            </w:r>
            <w:r>
              <w:t xml:space="preserve"> </w:t>
            </w:r>
            <w:r>
              <w:t xml:space="preserve">(DataBridge letter);</w:t>
            </w:r>
            <w:r>
              <w:t xml:space="preserve"> </w:t>
            </w:r>
            <w:r>
              <w:t xml:space="preserve">“</w:t>
            </w:r>
            <w:r>
              <w:t xml:space="preserve">intermediate</w:t>
            </w:r>
            <w:r>
              <w:t xml:space="preserve">”</w:t>
            </w:r>
            <w:r>
              <w:t xml:space="preserve"> </w:t>
            </w:r>
            <w:r>
              <w:t xml:space="preserve">(résumé); ST 558 Statistical Computing with R, A- (transcript)</w:t>
            </w:r>
          </w:p>
        </w:tc>
        <w:tc>
          <w:tcPr/>
          <w:p>
            <w:pPr>
              <w:pStyle w:val="Compact"/>
              <w:jc w:val="left"/>
            </w:pPr>
            <w:r>
              <w:rPr>
                <w:b/>
                <w:bCs/>
              </w:rPr>
              <w:t xml:space="preserve">Gap — understated</w:t>
            </w:r>
          </w:p>
        </w:tc>
      </w:tr>
      <w:tr>
        <w:tc>
          <w:tcPr/>
          <w:p>
            <w:pPr>
              <w:pStyle w:val="Compact"/>
              <w:jc w:val="left"/>
            </w:pPr>
            <w:r>
              <w:t xml:space="preserve">AWS Certified ML – Specialty or equivalent</w:t>
            </w:r>
          </w:p>
        </w:tc>
        <w:tc>
          <w:tcPr/>
          <w:p>
            <w:pPr>
              <w:pStyle w:val="Compact"/>
              <w:jc w:val="left"/>
            </w:pPr>
            <w:r>
              <w:t xml:space="preserve">AWS Cloud Practitioner (foundational,</w:t>
            </w:r>
            <w:r>
              <w:t xml:space="preserve"> </w:t>
            </w:r>
            <w:r>
              <w:rPr>
                <w:b/>
                <w:bCs/>
              </w:rPr>
              <w:t xml:space="preserve">expired</w:t>
            </w:r>
            <w:r>
              <w:t xml:space="preserve">); TensorFlow Developer (Google, non-AWS); beneficiary confirms she does</w:t>
            </w:r>
            <w:r>
              <w:t xml:space="preserve"> </w:t>
            </w:r>
            <w:r>
              <w:rPr>
                <w:b/>
                <w:bCs/>
              </w:rPr>
              <w:t xml:space="preserve">not</w:t>
            </w:r>
            <w:r>
              <w:t xml:space="preserve"> </w:t>
            </w:r>
            <w:r>
              <w:t xml:space="preserve">hold the AWS specialty</w:t>
            </w:r>
          </w:p>
        </w:tc>
        <w:tc>
          <w:tcPr/>
          <w:p>
            <w:pPr>
              <w:pStyle w:val="Compact"/>
              <w:jc w:val="left"/>
            </w:pPr>
            <w:r>
              <w:rPr>
                <w:b/>
                <w:bCs/>
              </w:rPr>
              <w:t xml:space="preserve">Critical gap — not met</w:t>
            </w:r>
          </w:p>
        </w:tc>
      </w:tr>
      <w:tr>
        <w:tc>
          <w:tcPr/>
          <w:p>
            <w:pPr>
              <w:pStyle w:val="Compact"/>
              <w:jc w:val="left"/>
            </w:pPr>
            <w:r>
              <w:t xml:space="preserve">Supervise team of 3–5 ML engineers</w:t>
            </w:r>
          </w:p>
        </w:tc>
        <w:tc>
          <w:tcPr/>
          <w:p>
            <w:pPr>
              <w:pStyle w:val="Compact"/>
              <w:jc w:val="left"/>
            </w:pPr>
            <w:r>
              <w:t xml:space="preserve">Led team of</w:t>
            </w:r>
            <w:r>
              <w:t xml:space="preserve"> </w:t>
            </w:r>
            <w:r>
              <w:rPr>
                <w:b/>
                <w:bCs/>
              </w:rPr>
              <w:t xml:space="preserve">2</w:t>
            </w:r>
            <w:r>
              <w:t xml:space="preserve"> </w:t>
            </w:r>
            <w:r>
              <w:t xml:space="preserve">junior data scientists (DataBridge)</w:t>
            </w:r>
          </w:p>
        </w:tc>
        <w:tc>
          <w:tcPr/>
          <w:p>
            <w:pPr>
              <w:pStyle w:val="Compact"/>
              <w:jc w:val="left"/>
            </w:pPr>
            <w:r>
              <w:rPr>
                <w:b/>
                <w:bCs/>
              </w:rPr>
              <w:t xml:space="preserve">Partial mismatch</w:t>
            </w:r>
          </w:p>
        </w:tc>
      </w:tr>
      <w:tr>
        <w:tc>
          <w:tcPr/>
          <w:p>
            <w:pPr>
              <w:pStyle w:val="Compact"/>
              <w:jc w:val="left"/>
            </w:pPr>
            <w:r>
              <w:t xml:space="preserve">Up to 10% domestic travel</w:t>
            </w:r>
          </w:p>
        </w:tc>
        <w:tc>
          <w:tcPr/>
          <w:p>
            <w:pPr>
              <w:pStyle w:val="Compact"/>
              <w:jc w:val="left"/>
            </w:pPr>
            <w:r>
              <w:t xml:space="preserve">Job condition; not a credential</w:t>
            </w:r>
          </w:p>
        </w:tc>
        <w:tc>
          <w:tcPr/>
          <w:p>
            <w:pPr>
              <w:pStyle w:val="Compact"/>
              <w:jc w:val="left"/>
            </w:pPr>
            <w:r>
              <w:t xml:space="preserve">N/A (no gap)</w:t>
            </w:r>
          </w:p>
        </w:tc>
      </w:tr>
      <w:tr>
        <w:tc>
          <w:tcPr/>
          <w:p>
            <w:pPr>
              <w:pStyle w:val="Compact"/>
              <w:jc w:val="left"/>
            </w:pPr>
            <w:r>
              <w:t xml:space="preserve">Experience Entry 2 (NC State RA) documentation</w:t>
            </w:r>
          </w:p>
        </w:tc>
        <w:tc>
          <w:tcPr/>
          <w:p>
            <w:pPr>
              <w:pStyle w:val="Compact"/>
              <w:jc w:val="left"/>
            </w:pPr>
            <w:r>
              <w:t xml:space="preserve">Transcript confirms appointment;</w:t>
            </w:r>
            <w:r>
              <w:t xml:space="preserve"> </w:t>
            </w:r>
            <w:r>
              <w:rPr>
                <w:b/>
                <w:bCs/>
              </w:rPr>
              <w:t xml:space="preserve">no verification letter</w:t>
            </w:r>
            <w:r>
              <w:t xml:space="preserve">; 2 publications corroborate duties</w:t>
            </w:r>
          </w:p>
        </w:tc>
        <w:tc>
          <w:tcPr/>
          <w:p>
            <w:pPr>
              <w:pStyle w:val="Compact"/>
              <w:jc w:val="left"/>
            </w:pPr>
            <w:r>
              <w:rPr>
                <w:b/>
                <w:bCs/>
              </w:rPr>
              <w:t xml:space="preserve">Documentation gap</w:t>
            </w:r>
          </w:p>
        </w:tc>
      </w:tr>
      <w:tr>
        <w:tc>
          <w:tcPr/>
          <w:p>
            <w:pPr>
              <w:pStyle w:val="Compact"/>
              <w:jc w:val="left"/>
            </w:pPr>
            <w:r>
              <w:t xml:space="preserve">No qualifying experience with petitioning employer (K.5)</w:t>
            </w:r>
          </w:p>
        </w:tc>
        <w:tc>
          <w:tcPr/>
          <w:p>
            <w:pPr>
              <w:pStyle w:val="Compact"/>
              <w:jc w:val="left"/>
            </w:pPr>
            <w:r>
              <w:t xml:space="preserve">Beneficiary never employed by Prismex</w:t>
            </w:r>
          </w:p>
        </w:tc>
        <w:tc>
          <w:tcPr/>
          <w:p>
            <w:pPr>
              <w:pStyle w:val="Compact"/>
              <w:jc w:val="left"/>
            </w:pPr>
            <w:r>
              <w:rPr>
                <w:b/>
                <w:bCs/>
              </w:rPr>
              <w:t xml:space="preserve">Met</w:t>
            </w:r>
          </w:p>
        </w:tc>
      </w:tr>
      <w:tr>
        <w:tc>
          <w:tcPr/>
          <w:p>
            <w:pPr>
              <w:pStyle w:val="Compact"/>
              <w:jc w:val="left"/>
            </w:pPr>
            <w:r>
              <w:t xml:space="preserve">Offered wage ≥ prevailing wage</w:t>
            </w:r>
          </w:p>
        </w:tc>
        <w:tc>
          <w:tcPr/>
          <w:p>
            <w:pPr>
              <w:pStyle w:val="Compact"/>
              <w:jc w:val="left"/>
            </w:pPr>
            <w:r>
              <w:t xml:space="preserve">$142,000 ≥ $131,747 (PWD, SOC 15-2051, Level III)</w:t>
            </w:r>
          </w:p>
        </w:tc>
        <w:tc>
          <w:tcPr/>
          <w:p>
            <w:pPr>
              <w:pStyle w:val="Compact"/>
              <w:jc w:val="left"/>
            </w:pPr>
            <w:r>
              <w:rPr>
                <w:b/>
                <w:bCs/>
              </w:rPr>
              <w:t xml:space="preserve">Met</w:t>
            </w:r>
          </w:p>
        </w:tc>
      </w:tr>
      <w:tr>
        <w:tc>
          <w:tcPr/>
          <w:p>
            <w:pPr>
              <w:pStyle w:val="Compact"/>
              <w:jc w:val="left"/>
            </w:pPr>
            <w:r>
              <w:t xml:space="preserve">PWD validity / SOC alignment</w:t>
            </w:r>
          </w:p>
        </w:tc>
        <w:tc>
          <w:tcPr/>
          <w:p>
            <w:pPr>
              <w:pStyle w:val="Compact"/>
              <w:jc w:val="left"/>
            </w:pPr>
            <w:r>
              <w:t xml:space="preserve">PWD valid Nov. 8, 2024 – Nov. 7, 2025; SOC 15-2051 consistent</w:t>
            </w:r>
          </w:p>
        </w:tc>
        <w:tc>
          <w:tcPr/>
          <w:p>
            <w:pPr>
              <w:pStyle w:val="Compact"/>
              <w:jc w:val="left"/>
            </w:pPr>
            <w:r>
              <w:rPr>
                <w:b/>
                <w:bCs/>
              </w:rPr>
              <w:t xml:space="preserve">Met</w:t>
            </w:r>
          </w:p>
        </w:tc>
      </w:tr>
    </w:tbl>
    <w:bookmarkEnd w:id="37"/>
    <w:bookmarkStart w:id="38" w:name="X09b86604dc5f15035582d5f417a7517311bfd0b"/>
    <w:p>
      <w:pPr>
        <w:pStyle w:val="Heading2"/>
      </w:pPr>
      <w:r>
        <w:t xml:space="preserve">Appendix B — Document Inventory and Cross-Reference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Key Cross-Reference Issue</w:t>
            </w:r>
          </w:p>
        </w:tc>
      </w:tr>
      <w:tr>
        <w:tc>
          <w:tcPr/>
          <w:p>
            <w:pPr>
              <w:pStyle w:val="Compact"/>
              <w:jc w:val="left"/>
            </w:pPr>
            <w:r>
              <w:t xml:space="preserve">ETA 9089 (certified)</w:t>
            </w:r>
          </w:p>
        </w:tc>
        <w:tc>
          <w:tcPr/>
          <w:p>
            <w:pPr>
              <w:pStyle w:val="Compact"/>
              <w:jc w:val="left"/>
            </w:pPr>
            <w:r>
              <w:t xml:space="preserve">Filed Mar. 15, 2025; certified May 22, 2025</w:t>
            </w:r>
          </w:p>
        </w:tc>
        <w:tc>
          <w:tcPr/>
          <w:p>
            <w:pPr>
              <w:pStyle w:val="Compact"/>
              <w:jc w:val="left"/>
            </w:pPr>
            <w:r>
              <w:t xml:space="preserve">FEIN 84-3291756; K.3 attestation re AWS cert</w:t>
            </w:r>
          </w:p>
        </w:tc>
      </w:tr>
      <w:tr>
        <w:tc>
          <w:tcPr/>
          <w:p>
            <w:pPr>
              <w:pStyle w:val="Compact"/>
              <w:jc w:val="left"/>
            </w:pPr>
            <w:r>
              <w:t xml:space="preserve">PWD P-200-24187-329156</w:t>
            </w:r>
          </w:p>
        </w:tc>
        <w:tc>
          <w:tcPr/>
          <w:p>
            <w:pPr>
              <w:pStyle w:val="Compact"/>
              <w:jc w:val="left"/>
            </w:pPr>
            <w:r>
              <w:t xml:space="preserve">Nov. 8, 2024</w:t>
            </w:r>
          </w:p>
        </w:tc>
        <w:tc>
          <w:tcPr/>
          <w:p>
            <w:pPr>
              <w:pStyle w:val="Compact"/>
              <w:jc w:val="left"/>
            </w:pPr>
            <w:r>
              <w:t xml:space="preserve">FEIN 84-3291047 (differs from ETA 9089)</w:t>
            </w:r>
          </w:p>
        </w:tc>
      </w:tr>
      <w:tr>
        <w:tc>
          <w:tcPr/>
          <w:p>
            <w:pPr>
              <w:pStyle w:val="Compact"/>
              <w:jc w:val="left"/>
            </w:pPr>
            <w:r>
              <w:t xml:space="preserve">DataBridge experience letter</w:t>
            </w:r>
          </w:p>
        </w:tc>
        <w:tc>
          <w:tcPr/>
          <w:p>
            <w:pPr>
              <w:pStyle w:val="Compact"/>
              <w:jc w:val="left"/>
            </w:pPr>
            <w:r>
              <w:t xml:space="preserve">Apr. 10, 2025</w:t>
            </w:r>
          </w:p>
        </w:tc>
        <w:tc>
          <w:tcPr/>
          <w:p>
            <w:pPr>
              <w:pStyle w:val="Compact"/>
              <w:jc w:val="left"/>
            </w:pPr>
            <w:r>
              <w:t xml:space="preserve">“</w:t>
            </w:r>
            <w:r>
              <w:t xml:space="preserve">Some use of R</w:t>
            </w:r>
            <w:r>
              <w:t xml:space="preserve">”</w:t>
            </w:r>
            <w:r>
              <w:t xml:space="preserve">; team of 2</w:t>
            </w:r>
          </w:p>
        </w:tc>
      </w:tr>
      <w:tr>
        <w:tc>
          <w:tcPr/>
          <w:p>
            <w:pPr>
              <w:pStyle w:val="Compact"/>
              <w:jc w:val="left"/>
            </w:pPr>
            <w:r>
              <w:t xml:space="preserve">Evalpoint experience letter</w:t>
            </w:r>
          </w:p>
        </w:tc>
        <w:tc>
          <w:tcPr/>
          <w:p>
            <w:pPr>
              <w:pStyle w:val="Compact"/>
              <w:jc w:val="left"/>
            </w:pPr>
            <w:r>
              <w:t xml:space="preserve">Mar. 28, 2025</w:t>
            </w:r>
          </w:p>
        </w:tc>
        <w:tc>
          <w:tcPr/>
          <w:p>
            <w:pPr>
              <w:pStyle w:val="Compact"/>
              <w:jc w:val="left"/>
            </w:pPr>
            <w:r>
              <w:t xml:space="preserve">Addresses beneficiary as</w:t>
            </w:r>
            <w:r>
              <w:t xml:space="preserve"> </w:t>
            </w:r>
            <w:r>
              <w:t xml:space="preserve">“</w:t>
            </w:r>
            <w:r>
              <w:t xml:space="preserve">Ms.</w:t>
            </w:r>
            <w:r>
              <w:t xml:space="preserve">”</w:t>
            </w:r>
            <w:r>
              <w:t xml:space="preserve"> </w:t>
            </w:r>
            <w:r>
              <w:t xml:space="preserve">(vs. </w:t>
            </w:r>
            <w:r>
              <w:t xml:space="preserve">“</w:t>
            </w:r>
            <w:r>
              <w:t xml:space="preserve">Dr.</w:t>
            </w:r>
            <w:r>
              <w:t xml:space="preserve">”</w:t>
            </w:r>
            <w:r>
              <w:t xml:space="preserve"> </w:t>
            </w:r>
            <w:r>
              <w:t xml:space="preserve">elsewhere)</w:t>
            </w:r>
          </w:p>
        </w:tc>
      </w:tr>
      <w:tr>
        <w:tc>
          <w:tcPr/>
          <w:p>
            <w:pPr>
              <w:pStyle w:val="Compact"/>
              <w:jc w:val="left"/>
            </w:pPr>
            <w:r>
              <w:t xml:space="preserve">NC State transcript</w:t>
            </w:r>
          </w:p>
        </w:tc>
        <w:tc>
          <w:tcPr/>
          <w:p>
            <w:pPr>
              <w:pStyle w:val="Compact"/>
              <w:jc w:val="left"/>
            </w:pPr>
            <w:r>
              <w:t xml:space="preserve">Issued May 20, 2025</w:t>
            </w:r>
          </w:p>
        </w:tc>
        <w:tc>
          <w:tcPr/>
          <w:p>
            <w:pPr>
              <w:pStyle w:val="Compact"/>
              <w:jc w:val="left"/>
            </w:pPr>
            <w:r>
              <w:t xml:space="preserve">Documents RA appointment; no duties described</w:t>
            </w:r>
          </w:p>
        </w:tc>
      </w:tr>
      <w:tr>
        <w:tc>
          <w:tcPr/>
          <w:p>
            <w:pPr>
              <w:pStyle w:val="Compact"/>
              <w:jc w:val="left"/>
            </w:pPr>
            <w:r>
              <w:t xml:space="preserve">IAE credential evaluation</w:t>
            </w:r>
          </w:p>
        </w:tc>
        <w:tc>
          <w:tcPr/>
          <w:p>
            <w:pPr>
              <w:pStyle w:val="Compact"/>
              <w:jc w:val="left"/>
            </w:pPr>
            <w:r>
              <w:t xml:space="preserve">Feb. 15, 2025</w:t>
            </w:r>
          </w:p>
        </w:tc>
        <w:tc>
          <w:tcPr/>
          <w:p>
            <w:pPr>
              <w:pStyle w:val="Compact"/>
              <w:jc w:val="left"/>
            </w:pPr>
            <w:r>
              <w:t xml:space="preserve">B.Tech only; supplementary to M.S.</w:t>
            </w:r>
          </w:p>
        </w:tc>
      </w:tr>
      <w:tr>
        <w:tc>
          <w:tcPr/>
          <w:p>
            <w:pPr>
              <w:pStyle w:val="Compact"/>
              <w:jc w:val="left"/>
            </w:pPr>
            <w:r>
              <w:t xml:space="preserve">Certifications compilation</w:t>
            </w:r>
          </w:p>
        </w:tc>
        <w:tc>
          <w:tcPr/>
          <w:p>
            <w:pPr>
              <w:pStyle w:val="Compact"/>
              <w:jc w:val="left"/>
            </w:pPr>
            <w:r>
              <w:t xml:space="preserve">June 2025</w:t>
            </w:r>
          </w:p>
        </w:tc>
        <w:tc>
          <w:tcPr/>
          <w:p>
            <w:pPr>
              <w:pStyle w:val="Compact"/>
              <w:jc w:val="left"/>
            </w:pPr>
            <w:r>
              <w:t xml:space="preserve">Confirms no AWS ML – Specialty held</w:t>
            </w:r>
          </w:p>
        </w:tc>
      </w:tr>
      <w:tr>
        <w:tc>
          <w:tcPr/>
          <w:p>
            <w:pPr>
              <w:pStyle w:val="Compact"/>
              <w:jc w:val="left"/>
            </w:pPr>
            <w:r>
              <w:t xml:space="preserve">Résumé</w:t>
            </w:r>
          </w:p>
        </w:tc>
        <w:tc>
          <w:tcPr/>
          <w:p>
            <w:pPr>
              <w:pStyle w:val="Compact"/>
              <w:jc w:val="left"/>
            </w:pPr>
            <w:r>
              <w:t xml:space="preserve">—</w:t>
            </w:r>
          </w:p>
        </w:tc>
        <w:tc>
          <w:tcPr/>
          <w:p>
            <w:pPr>
              <w:pStyle w:val="Compact"/>
              <w:jc w:val="left"/>
            </w:pPr>
            <w:r>
              <w:t xml:space="preserve">R rated</w:t>
            </w:r>
            <w:r>
              <w:t xml:space="preserve"> </w:t>
            </w:r>
            <w:r>
              <w:t xml:space="preserve">“</w:t>
            </w:r>
            <w:r>
              <w:t xml:space="preserve">intermediate</w:t>
            </w:r>
            <w:r>
              <w:t xml:space="preserve">”</w:t>
            </w:r>
            <w:r>
              <w:t xml:space="preserve">; AWS CCP expired</w:t>
            </w:r>
          </w:p>
        </w:tc>
      </w:tr>
      <w:tr>
        <w:tc>
          <w:tcPr/>
          <w:p>
            <w:pPr>
              <w:pStyle w:val="Compact"/>
              <w:jc w:val="left"/>
            </w:pPr>
            <w:r>
              <w:t xml:space="preserve">HR-to-counsel email</w:t>
            </w:r>
          </w:p>
        </w:tc>
        <w:tc>
          <w:tcPr/>
          <w:p>
            <w:pPr>
              <w:pStyle w:val="Compact"/>
              <w:jc w:val="left"/>
            </w:pPr>
            <w:r>
              <w:t xml:space="preserve">June 4, 2025</w:t>
            </w:r>
          </w:p>
        </w:tc>
        <w:tc>
          <w:tcPr/>
          <w:p>
            <w:pPr>
              <w:pStyle w:val="Compact"/>
              <w:jc w:val="left"/>
            </w:pPr>
            <w:r>
              <w:t xml:space="preserve">Flags missing RA letter; STEM OPT exp. Sept. 15, 2025</w:t>
            </w:r>
          </w:p>
        </w:tc>
      </w:tr>
    </w:tbl>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2026-06-29T00:29:04Z</dcterms:created>
  <dcterms:modified xsi:type="dcterms:W3CDTF">2026-06-29T00:29:04Z</dcterms:modified>
</cp:coreProperties>
</file>

<file path=docProps/custom.xml><?xml version="1.0" encoding="utf-8"?>
<Properties xmlns="http://schemas.openxmlformats.org/officeDocument/2006/custom-properties" xmlns:vt="http://schemas.openxmlformats.org/officeDocument/2006/docPropsVTypes"/>
</file>