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9092779eae0ca57705dede95c2ab5939f8b8355"/>
    <w:p>
      <w:pPr>
        <w:pStyle w:val="Heading1"/>
      </w:pPr>
      <w:r>
        <w:t xml:space="preserve">PRIVILEGED &amp; CONFIDENTIAL — ATTORNEY WORK PRODUCT</w:t>
      </w:r>
    </w:p>
    <w:bookmarkStart w:id="20" w:name="issue-identification-memorandum"/>
    <w:p>
      <w:pPr>
        <w:pStyle w:val="Heading2"/>
      </w:pPr>
      <w:r>
        <w:t xml:space="preserve">ISSUE-IDENTIFICATION MEMORANDUM</w:t>
      </w:r>
    </w:p>
    <w:p>
      <w:pPr>
        <w:pStyle w:val="FirstParagraph"/>
      </w:pPr>
      <w:r>
        <w:rPr>
          <w:b/>
          <w:bCs/>
        </w:rPr>
        <w:t xml:space="preserve">TO:</w:t>
      </w:r>
      <w:r>
        <w:t xml:space="preserve"> </w:t>
      </w:r>
      <w:r>
        <w:t xml:space="preserve">File / Supervising Attorney, Holloway Sterne LLP</w:t>
      </w:r>
      <w:r>
        <w:t xml:space="preserve"> </w:t>
      </w:r>
      <w:r>
        <w:rPr>
          <w:b/>
          <w:bCs/>
        </w:rPr>
        <w:t xml:space="preserve">FROM:</w:t>
      </w:r>
      <w:r>
        <w:t xml:space="preserve"> </w:t>
      </w:r>
      <w:r>
        <w:t xml:space="preserve">Immigration Case Review</w:t>
      </w:r>
      <w:r>
        <w:t xml:space="preserve"> </w:t>
      </w:r>
      <w:r>
        <w:rPr>
          <w:b/>
          <w:bCs/>
        </w:rPr>
        <w:t xml:space="preserve">DATE:</w:t>
      </w:r>
      <w:r>
        <w:t xml:space="preserve"> </w:t>
      </w:r>
      <w:r>
        <w:t xml:space="preserve">April 2025</w:t>
      </w:r>
      <w:r>
        <w:t xml:space="preserve"> </w:t>
      </w:r>
      <w:r>
        <w:rPr>
          <w:b/>
          <w:bCs/>
        </w:rPr>
        <w:t xml:space="preserve">RE:</w:t>
      </w:r>
      <w:r>
        <w:t xml:space="preserve"> </w:t>
      </w:r>
      <w:r>
        <w:t xml:space="preserve">H-1B Petition on Behalf of Rajesh Venkataraman — Petitioner: Brightfield Analytics Inc. — Position: Senior Machine Learning Engineer (SOC 15-2051)</w:t>
      </w:r>
      <w:r>
        <w:t xml:space="preserve"> </w:t>
      </w:r>
      <w:r>
        <w:rPr>
          <w:b/>
          <w:bCs/>
        </w:rPr>
        <w:t xml:space="preserve">PURPOSE:</w:t>
      </w:r>
      <w:r>
        <w:t xml:space="preserve"> </w:t>
      </w:r>
      <w:r>
        <w:t xml:space="preserve">Pre-filing cross-reference review of the assembled petition package and identification of issues for correction, supplementation, or risk assessment.</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reports the results of a cross-reference review of the H-1B petition package assembled for the above-captioned matter. Every document in the package was read in full and cross-checked against the others for internal consistency, regulatory compliance, and evidentiary sufficiency. The review identifies issues by category and severity, cites the specific documents and figures implicated, and recommends remediation. Issues are rated</w:t>
      </w:r>
      <w:r>
        <w:t xml:space="preserve"> </w:t>
      </w:r>
      <w:r>
        <w:rPr>
          <w:b/>
          <w:bCs/>
        </w:rPr>
        <w:t xml:space="preserve">Critical</w:t>
      </w:r>
      <w:r>
        <w:t xml:space="preserve">,</w:t>
      </w:r>
      <w:r>
        <w:t xml:space="preserve"> </w:t>
      </w:r>
      <w:r>
        <w:rPr>
          <w:b/>
          <w:bCs/>
        </w:rPr>
        <w:t xml:space="preserve">Moderate</w:t>
      </w:r>
      <w:r>
        <w:t xml:space="preserve">, or</w:t>
      </w:r>
      <w:r>
        <w:t xml:space="preserve"> </w:t>
      </w:r>
      <w:r>
        <w:rPr>
          <w:b/>
          <w:bCs/>
        </w:rPr>
        <w:t xml:space="preserve">Housekeeping</w:t>
      </w:r>
      <w:r>
        <w:t xml:space="preserve"> </w:t>
      </w:r>
      <w:r>
        <w:t xml:space="preserve">based on their likelihood of generating a Request for Evidence (RFE), a Notice of Intent to Deny (NOID), a denial, or a post-filing compliance finding.</w:t>
      </w:r>
    </w:p>
    <w:p>
      <w:pPr>
        <w:pStyle w:val="BodyText"/>
      </w:pPr>
      <w:r>
        <w:t xml:space="preserve">This memorandum is prepared in anticipation of filing and is intended to support counsel’s judgment; it is not a determination of approvability.</w:t>
      </w:r>
    </w:p>
    <w:p>
      <w:r>
        <w:pict>
          <v:rect style="width:0;height:1.5pt" o:hralign="center" o:hrstd="t" o:hr="t"/>
        </w:pict>
      </w:r>
    </w:p>
    <w:bookmarkEnd w:id="21"/>
    <w:bookmarkStart w:id="22"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766"/>
        <w:gridCol w:w="2554"/>
        <w:gridCol w:w="4598"/>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Reference</w:t>
            </w:r>
          </w:p>
        </w:tc>
      </w:tr>
      <w:tr>
        <w:tc>
          <w:tcPr/>
          <w:p>
            <w:pPr>
              <w:pStyle w:val="Compact"/>
              <w:jc w:val="left"/>
            </w:pPr>
            <w:r>
              <w:t xml:space="preserve">1</w:t>
            </w:r>
          </w:p>
        </w:tc>
        <w:tc>
          <w:tcPr/>
          <w:p>
            <w:pPr>
              <w:pStyle w:val="Compact"/>
              <w:jc w:val="left"/>
            </w:pPr>
            <w:r>
              <w:t xml:space="preserve">Employer Support Letter (Brightfield Analytics Inc.)</w:t>
            </w:r>
          </w:p>
        </w:tc>
        <w:tc>
          <w:tcPr/>
          <w:p>
            <w:pPr>
              <w:pStyle w:val="Compact"/>
              <w:jc w:val="left"/>
            </w:pPr>
            <w:r>
              <w:t xml:space="preserve">April 7, 2025</w:t>
            </w:r>
          </w:p>
        </w:tc>
      </w:tr>
      <w:tr>
        <w:tc>
          <w:tcPr/>
          <w:p>
            <w:pPr>
              <w:pStyle w:val="Compact"/>
              <w:jc w:val="left"/>
            </w:pPr>
            <w:r>
              <w:t xml:space="preserve">2</w:t>
            </w:r>
          </w:p>
        </w:tc>
        <w:tc>
          <w:tcPr/>
          <w:p>
            <w:pPr>
              <w:pStyle w:val="Compact"/>
              <w:jc w:val="left"/>
            </w:pPr>
            <w:r>
              <w:t xml:space="preserve">Certified Labor Condition Application (ETA 9035/9035E)</w:t>
            </w:r>
          </w:p>
        </w:tc>
        <w:tc>
          <w:tcPr/>
          <w:p>
            <w:pPr>
              <w:pStyle w:val="Compact"/>
              <w:jc w:val="left"/>
            </w:pPr>
            <w:r>
              <w:t xml:space="preserve">Case No. I-200-25031-543219; certified March 10, 2025</w:t>
            </w:r>
          </w:p>
        </w:tc>
      </w:tr>
      <w:tr>
        <w:tc>
          <w:tcPr/>
          <w:p>
            <w:pPr>
              <w:pStyle w:val="Compact"/>
              <w:jc w:val="left"/>
            </w:pPr>
            <w:r>
              <w:t xml:space="preserve">3</w:t>
            </w:r>
          </w:p>
        </w:tc>
        <w:tc>
          <w:tcPr/>
          <w:p>
            <w:pPr>
              <w:pStyle w:val="Compact"/>
              <w:jc w:val="left"/>
            </w:pPr>
            <w:r>
              <w:t xml:space="preserve">Prevailing Wage Determination (NPWC)</w:t>
            </w:r>
          </w:p>
        </w:tc>
        <w:tc>
          <w:tcPr/>
          <w:p>
            <w:pPr>
              <w:pStyle w:val="Compact"/>
              <w:jc w:val="left"/>
            </w:pPr>
            <w:r>
              <w:t xml:space="preserve">PWD No. P-300-25012-183456; January 15, 2025</w:t>
            </w:r>
          </w:p>
        </w:tc>
      </w:tr>
      <w:tr>
        <w:tc>
          <w:tcPr/>
          <w:p>
            <w:pPr>
              <w:pStyle w:val="Compact"/>
              <w:jc w:val="left"/>
            </w:pPr>
            <w:r>
              <w:t xml:space="preserve">4</w:t>
            </w:r>
          </w:p>
        </w:tc>
        <w:tc>
          <w:tcPr/>
          <w:p>
            <w:pPr>
              <w:pStyle w:val="Compact"/>
              <w:jc w:val="left"/>
            </w:pPr>
            <w:r>
              <w:t xml:space="preserve">LCA Posting Notice</w:t>
            </w:r>
          </w:p>
        </w:tc>
        <w:tc>
          <w:tcPr/>
          <w:p>
            <w:pPr>
              <w:pStyle w:val="Compact"/>
              <w:jc w:val="left"/>
            </w:pPr>
            <w:r>
              <w:t xml:space="preserve">Posted March 10–19, 2025</w:t>
            </w:r>
          </w:p>
        </w:tc>
      </w:tr>
      <w:tr>
        <w:tc>
          <w:tcPr/>
          <w:p>
            <w:pPr>
              <w:pStyle w:val="Compact"/>
              <w:jc w:val="left"/>
            </w:pPr>
            <w:r>
              <w:t xml:space="preserve">5</w:t>
            </w:r>
          </w:p>
        </w:tc>
        <w:tc>
          <w:tcPr/>
          <w:p>
            <w:pPr>
              <w:pStyle w:val="Compact"/>
              <w:jc w:val="left"/>
            </w:pPr>
            <w:r>
              <w:t xml:space="preserve">Foreign Credential Evaluation (Westbridge Credential Services)</w:t>
            </w:r>
          </w:p>
        </w:tc>
        <w:tc>
          <w:tcPr/>
          <w:p>
            <w:pPr>
              <w:pStyle w:val="Compact"/>
              <w:jc w:val="left"/>
            </w:pPr>
            <w:r>
              <w:t xml:space="preserve">Report No. WCS-2025-03187; February 18, 2025</w:t>
            </w:r>
          </w:p>
        </w:tc>
      </w:tr>
      <w:tr>
        <w:tc>
          <w:tcPr/>
          <w:p>
            <w:pPr>
              <w:pStyle w:val="Compact"/>
              <w:jc w:val="left"/>
            </w:pPr>
            <w:r>
              <w:t xml:space="preserve">6</w:t>
            </w:r>
          </w:p>
        </w:tc>
        <w:tc>
          <w:tcPr/>
          <w:p>
            <w:pPr>
              <w:pStyle w:val="Compact"/>
              <w:jc w:val="left"/>
            </w:pPr>
            <w:r>
              <w:t xml:space="preserve">JNTU Hyderabad Official Transcripts</w:t>
            </w:r>
          </w:p>
        </w:tc>
        <w:tc>
          <w:tcPr/>
          <w:p>
            <w:pPr>
              <w:pStyle w:val="Compact"/>
              <w:jc w:val="left"/>
            </w:pPr>
            <w:r>
              <w:t xml:space="preserve">Ref. JNTUH/ECE/2014/08347; issued June 12, 2014</w:t>
            </w:r>
          </w:p>
        </w:tc>
      </w:tr>
      <w:tr>
        <w:tc>
          <w:tcPr/>
          <w:p>
            <w:pPr>
              <w:pStyle w:val="Compact"/>
              <w:jc w:val="left"/>
            </w:pPr>
            <w:r>
              <w:t xml:space="preserve">7</w:t>
            </w:r>
          </w:p>
        </w:tc>
        <w:tc>
          <w:tcPr/>
          <w:p>
            <w:pPr>
              <w:pStyle w:val="Compact"/>
              <w:jc w:val="left"/>
            </w:pPr>
            <w:r>
              <w:t xml:space="preserve">Beneficiary Résumé</w:t>
            </w:r>
          </w:p>
        </w:tc>
        <w:tc>
          <w:tcPr/>
          <w:p>
            <w:pPr>
              <w:pStyle w:val="Compact"/>
              <w:jc w:val="left"/>
            </w:pPr>
            <w:r>
              <w:t xml:space="preserve">undated</w:t>
            </w:r>
          </w:p>
        </w:tc>
      </w:tr>
      <w:tr>
        <w:tc>
          <w:tcPr/>
          <w:p>
            <w:pPr>
              <w:pStyle w:val="Compact"/>
              <w:jc w:val="left"/>
            </w:pPr>
            <w:r>
              <w:t xml:space="preserve">8</w:t>
            </w:r>
          </w:p>
        </w:tc>
        <w:tc>
          <w:tcPr/>
          <w:p>
            <w:pPr>
              <w:pStyle w:val="Compact"/>
              <w:jc w:val="left"/>
            </w:pPr>
            <w:r>
              <w:t xml:space="preserve">Kiran Software Solutions Experience Letter</w:t>
            </w:r>
          </w:p>
        </w:tc>
        <w:tc>
          <w:tcPr/>
          <w:p>
            <w:pPr>
              <w:pStyle w:val="Compact"/>
              <w:jc w:val="left"/>
            </w:pPr>
            <w:r>
              <w:t xml:space="preserve">February 18, 2025</w:t>
            </w:r>
          </w:p>
        </w:tc>
      </w:tr>
      <w:tr>
        <w:tc>
          <w:tcPr/>
          <w:p>
            <w:pPr>
              <w:pStyle w:val="Compact"/>
              <w:jc w:val="left"/>
            </w:pPr>
            <w:r>
              <w:t xml:space="preserve">9</w:t>
            </w:r>
          </w:p>
        </w:tc>
        <w:tc>
          <w:tcPr/>
          <w:p>
            <w:pPr>
              <w:pStyle w:val="Compact"/>
              <w:jc w:val="left"/>
            </w:pPr>
            <w:r>
              <w:t xml:space="preserve">NovaStar Data Systems Experience Letter</w:t>
            </w:r>
          </w:p>
        </w:tc>
        <w:tc>
          <w:tcPr/>
          <w:p>
            <w:pPr>
              <w:pStyle w:val="Compact"/>
              <w:jc w:val="left"/>
            </w:pPr>
            <w:r>
              <w:t xml:space="preserve">March 5, 2025</w:t>
            </w:r>
          </w:p>
        </w:tc>
      </w:tr>
      <w:tr>
        <w:tc>
          <w:tcPr/>
          <w:p>
            <w:pPr>
              <w:pStyle w:val="Compact"/>
              <w:jc w:val="left"/>
            </w:pPr>
            <w:r>
              <w:t xml:space="preserve">10</w:t>
            </w:r>
          </w:p>
        </w:tc>
        <w:tc>
          <w:tcPr/>
          <w:p>
            <w:pPr>
              <w:pStyle w:val="Compact"/>
              <w:jc w:val="left"/>
            </w:pPr>
            <w:r>
              <w:t xml:space="preserve">Organizational Chart (Data Science &amp; ML Group)</w:t>
            </w:r>
          </w:p>
        </w:tc>
        <w:tc>
          <w:tcPr/>
          <w:p>
            <w:pPr>
              <w:pStyle w:val="Compact"/>
              <w:jc w:val="left"/>
            </w:pPr>
            <w:r>
              <w:t xml:space="preserve">March 2025</w:t>
            </w:r>
          </w:p>
        </w:tc>
      </w:tr>
    </w:tbl>
    <w:p>
      <w:r>
        <w:pict>
          <v:rect style="width:0;height:1.5pt" o:hralign="center" o:hrstd="t" o:hr="t"/>
        </w:pict>
      </w:r>
    </w:p>
    <w:bookmarkEnd w:id="22"/>
    <w:bookmarkStart w:id="23" w:name="iii.-executive-summary-of-issues"/>
    <w:p>
      <w:pPr>
        <w:pStyle w:val="Heading2"/>
      </w:pPr>
      <w:r>
        <w:t xml:space="preserve">III. Executive Summary of Issues</w:t>
      </w:r>
    </w:p>
    <w:tbl>
      <w:tblPr>
        <w:tblStyle w:val="Table"/>
        <w:tblW w:type="pct" w:w="5000"/>
        <w:jc w:val="left"/>
        <w:tblLayout w:type="fixed"/>
        <w:tblLook w:firstRow="1" w:lastRow="0" w:firstColumn="0" w:lastColumn="0" w:noHBand="0" w:noVBand="0" w:val="0020"/>
      </w:tblPr>
      <w:tblGrid>
        <w:gridCol w:w="792"/>
        <w:gridCol w:w="1848"/>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Field-of-study mismatch: beneficiary’s ECE degree vs. CS/ML/AI requirement; credential evaluation does not support the specialty and disclaims field-of-study opinions</w:t>
            </w:r>
          </w:p>
        </w:tc>
        <w:tc>
          <w:tcPr/>
          <w:p>
            <w:pPr>
              <w:pStyle w:val="Compact"/>
              <w:jc w:val="left"/>
            </w:pPr>
            <w:r>
              <w:t xml:space="preserve">Qualification / Specialty Occupation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F-1 OPT status asserted but no U.S. degree documented; beneficiary’s U.S. work-authorization history since 2017 undocumented</w:t>
            </w:r>
          </w:p>
        </w:tc>
        <w:tc>
          <w:tcPr/>
          <w:p>
            <w:pPr>
              <w:pStyle w:val="Compact"/>
              <w:jc w:val="left"/>
            </w:pPr>
            <w:r>
              <w:t xml:space="preserve">Status / Maintenance</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Prevailing wage classified at Level 2, but position duties (senior, supervisory, independent judgment) indicate Level 3 or 4; offered wage ($128,000) is below Level 3 ($137,946)</w:t>
            </w:r>
          </w:p>
        </w:tc>
        <w:tc>
          <w:tcPr/>
          <w:p>
            <w:pPr>
              <w:pStyle w:val="Compact"/>
              <w:jc w:val="left"/>
            </w:pPr>
            <w:r>
              <w:t xml:space="preserve">Wage / Compliance</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Résumé overstates employment end dates vs. experience letters (Kiran and NovaStar); unexplained gap Dec 2016–Apr 2017</w:t>
            </w:r>
          </w:p>
        </w:tc>
        <w:tc>
          <w:tcPr/>
          <w:p>
            <w:pPr>
              <w:pStyle w:val="Compact"/>
              <w:jc w:val="left"/>
            </w:pPr>
            <w:r>
              <w:t xml:space="preserve">Experience / Credibility</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No experience documentation for the 3-year independent consulting period (Aug 2020–Aug 2023)</w:t>
            </w:r>
          </w:p>
        </w:tc>
        <w:tc>
          <w:tcPr/>
          <w:p>
            <w:pPr>
              <w:pStyle w:val="Compact"/>
              <w:jc w:val="left"/>
            </w:pPr>
            <w:r>
              <w:t xml:space="preserve">Experience / Evidence</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LCA posting period (Mar 10–19, 2025) = 8 business days; 20 CFR 655.734 requires 10 consecutive business days</w:t>
            </w:r>
          </w:p>
        </w:tc>
        <w:tc>
          <w:tcPr/>
          <w:p>
            <w:pPr>
              <w:pStyle w:val="Compact"/>
              <w:jc w:val="left"/>
            </w:pPr>
            <w:r>
              <w:t xml:space="preserve">LCA Posting</w:t>
            </w:r>
          </w:p>
        </w:tc>
        <w:tc>
          <w:tcPr/>
          <w:p>
            <w:pPr>
              <w:pStyle w:val="Compact"/>
              <w:jc w:val="left"/>
            </w:pPr>
            <w:r>
              <w:rPr>
                <w:b/>
                <w:bCs/>
              </w:rPr>
              <w:t xml:space="preserve">Moderate</w:t>
            </w:r>
          </w:p>
        </w:tc>
      </w:tr>
      <w:tr>
        <w:tc>
          <w:tcPr/>
          <w:p>
            <w:pPr>
              <w:pStyle w:val="Compact"/>
              <w:jc w:val="left"/>
            </w:pPr>
            <w:r>
              <w:t xml:space="preserve">7</w:t>
            </w:r>
          </w:p>
        </w:tc>
        <w:tc>
          <w:tcPr/>
          <w:p>
            <w:pPr>
              <w:pStyle w:val="Compact"/>
              <w:jc w:val="left"/>
            </w:pPr>
            <w:r>
              <w:t xml:space="preserve">Supervisory scope inconsistency: employer letter says</w:t>
            </w:r>
            <w:r>
              <w:t xml:space="preserve"> </w:t>
            </w:r>
            <w:r>
              <w:t xml:space="preserve">“</w:t>
            </w:r>
            <w:r>
              <w:t xml:space="preserve">team of 3 junior data scientists</w:t>
            </w:r>
            <w:r>
              <w:t xml:space="preserve">”</w:t>
            </w:r>
            <w:r>
              <w:t xml:space="preserve">; org chart shows 2 direct reports</w:t>
            </w:r>
          </w:p>
        </w:tc>
        <w:tc>
          <w:tcPr/>
          <w:p>
            <w:pPr>
              <w:pStyle w:val="Compact"/>
              <w:jc w:val="left"/>
            </w:pPr>
            <w:r>
              <w:t xml:space="preserve">Consistency / Wage Level</w:t>
            </w:r>
          </w:p>
        </w:tc>
        <w:tc>
          <w:tcPr/>
          <w:p>
            <w:pPr>
              <w:pStyle w:val="Compact"/>
              <w:jc w:val="left"/>
            </w:pPr>
            <w:r>
              <w:rPr>
                <w:b/>
                <w:bCs/>
              </w:rPr>
              <w:t xml:space="preserve">Moderate</w:t>
            </w:r>
          </w:p>
        </w:tc>
      </w:tr>
      <w:tr>
        <w:tc>
          <w:tcPr/>
          <w:p>
            <w:pPr>
              <w:pStyle w:val="Compact"/>
              <w:jc w:val="left"/>
            </w:pPr>
            <w:r>
              <w:t xml:space="preserve">8</w:t>
            </w:r>
          </w:p>
        </w:tc>
        <w:tc>
          <w:tcPr/>
          <w:p>
            <w:pPr>
              <w:pStyle w:val="Compact"/>
              <w:jc w:val="left"/>
            </w:pPr>
            <w:r>
              <w:t xml:space="preserve">Posting notice lists employer telephone as (512) 555-0174 — the beneficiary’s personal cell; employer phone differs across four documents</w:t>
            </w:r>
          </w:p>
        </w:tc>
        <w:tc>
          <w:tcPr/>
          <w:p>
            <w:pPr>
              <w:pStyle w:val="Compact"/>
              <w:jc w:val="left"/>
            </w:pPr>
            <w:r>
              <w:t xml:space="preserve">Consistency / Clerical</w:t>
            </w:r>
          </w:p>
        </w:tc>
        <w:tc>
          <w:tcPr/>
          <w:p>
            <w:pPr>
              <w:pStyle w:val="Compact"/>
              <w:jc w:val="left"/>
            </w:pPr>
            <w:r>
              <w:rPr>
                <w:b/>
                <w:bCs/>
              </w:rPr>
              <w:t xml:space="preserve">Moderate</w:t>
            </w:r>
          </w:p>
        </w:tc>
      </w:tr>
      <w:tr>
        <w:tc>
          <w:tcPr/>
          <w:p>
            <w:pPr>
              <w:pStyle w:val="Compact"/>
              <w:jc w:val="left"/>
            </w:pPr>
            <w:r>
              <w:t xml:space="preserve">9</w:t>
            </w:r>
          </w:p>
        </w:tc>
        <w:tc>
          <w:tcPr/>
          <w:p>
            <w:pPr>
              <w:pStyle w:val="Compact"/>
              <w:jc w:val="left"/>
            </w:pPr>
            <w:r>
              <w:t xml:space="preserve">Credential evaluator’s Ph.D. is in Education from</w:t>
            </w:r>
            <w:r>
              <w:t xml:space="preserve"> </w:t>
            </w:r>
            <w:r>
              <w:t xml:space="preserve">“</w:t>
            </w:r>
            <w:r>
              <w:t xml:space="preserve">Halford University</w:t>
            </w:r>
            <w:r>
              <w:t xml:space="preserve">”</w:t>
            </w:r>
            <w:r>
              <w:t xml:space="preserve"> </w:t>
            </w:r>
            <w:r>
              <w:t xml:space="preserve">(non-recognized institution); evaluator opines outside technical field</w:t>
            </w:r>
          </w:p>
        </w:tc>
        <w:tc>
          <w:tcPr/>
          <w:p>
            <w:pPr>
              <w:pStyle w:val="Compact"/>
              <w:jc w:val="left"/>
            </w:pPr>
            <w:r>
              <w:t xml:space="preserve">Evidence / Credibility</w:t>
            </w:r>
          </w:p>
        </w:tc>
        <w:tc>
          <w:tcPr/>
          <w:p>
            <w:pPr>
              <w:pStyle w:val="Compact"/>
              <w:jc w:val="left"/>
            </w:pPr>
            <w:r>
              <w:rPr>
                <w:b/>
                <w:bCs/>
              </w:rPr>
              <w:t xml:space="preserve">Moderate</w:t>
            </w:r>
          </w:p>
        </w:tc>
      </w:tr>
      <w:tr>
        <w:tc>
          <w:tcPr/>
          <w:p>
            <w:pPr>
              <w:pStyle w:val="Compact"/>
              <w:jc w:val="left"/>
            </w:pPr>
            <w:r>
              <w:t xml:space="preserve">10</w:t>
            </w:r>
          </w:p>
        </w:tc>
        <w:tc>
          <w:tcPr/>
          <w:p>
            <w:pPr>
              <w:pStyle w:val="Compact"/>
              <w:jc w:val="left"/>
            </w:pPr>
            <w:r>
              <w:t xml:space="preserve">Specialty-occupation evidence limited to employer assertion; no O*NET/peer-job-posting corroboration</w:t>
            </w:r>
          </w:p>
        </w:tc>
        <w:tc>
          <w:tcPr/>
          <w:p>
            <w:pPr>
              <w:pStyle w:val="Compact"/>
              <w:jc w:val="left"/>
            </w:pPr>
            <w:r>
              <w:t xml:space="preserve">Specialty Occupation</w:t>
            </w:r>
          </w:p>
        </w:tc>
        <w:tc>
          <w:tcPr/>
          <w:p>
            <w:pPr>
              <w:pStyle w:val="Compact"/>
              <w:jc w:val="left"/>
            </w:pPr>
            <w:r>
              <w:rPr>
                <w:b/>
                <w:bCs/>
              </w:rPr>
              <w:t xml:space="preserve">Moderate</w:t>
            </w:r>
          </w:p>
        </w:tc>
      </w:tr>
      <w:tr>
        <w:tc>
          <w:tcPr/>
          <w:p>
            <w:pPr>
              <w:pStyle w:val="Compact"/>
              <w:jc w:val="left"/>
            </w:pPr>
            <w:r>
              <w:t xml:space="preserve">11</w:t>
            </w:r>
          </w:p>
        </w:tc>
        <w:tc>
          <w:tcPr/>
          <w:p>
            <w:pPr>
              <w:pStyle w:val="Compact"/>
              <w:jc w:val="left"/>
            </w:pPr>
            <w:r>
              <w:t xml:space="preserve">Ability-to-pay asserted but no financial documentation included</w:t>
            </w:r>
          </w:p>
        </w:tc>
        <w:tc>
          <w:tcPr/>
          <w:p>
            <w:pPr>
              <w:pStyle w:val="Compact"/>
              <w:jc w:val="left"/>
            </w:pPr>
            <w:r>
              <w:t xml:space="preserve">Employer Eligibility</w:t>
            </w:r>
          </w:p>
        </w:tc>
        <w:tc>
          <w:tcPr/>
          <w:p>
            <w:pPr>
              <w:pStyle w:val="Compact"/>
              <w:jc w:val="left"/>
            </w:pPr>
            <w:r>
              <w:rPr>
                <w:b/>
                <w:bCs/>
              </w:rPr>
              <w:t xml:space="preserve">Moderate</w:t>
            </w:r>
          </w:p>
        </w:tc>
      </w:tr>
      <w:tr>
        <w:tc>
          <w:tcPr/>
          <w:p>
            <w:pPr>
              <w:pStyle w:val="Compact"/>
              <w:jc w:val="left"/>
            </w:pPr>
            <w:r>
              <w:t xml:space="preserve">12</w:t>
            </w:r>
          </w:p>
        </w:tc>
        <w:tc>
          <w:tcPr/>
          <w:p>
            <w:pPr>
              <w:pStyle w:val="Compact"/>
              <w:jc w:val="left"/>
            </w:pPr>
            <w:r>
              <w:t xml:space="preserve">Reporting structure: employer letter states permanent CTO reporting; org chart shows it is interim (VP of Data Science is TBH)</w:t>
            </w:r>
          </w:p>
        </w:tc>
        <w:tc>
          <w:tcPr/>
          <w:p>
            <w:pPr>
              <w:pStyle w:val="Compact"/>
              <w:jc w:val="left"/>
            </w:pPr>
            <w:r>
              <w:t xml:space="preserve">Consistency</w:t>
            </w:r>
          </w:p>
        </w:tc>
        <w:tc>
          <w:tcPr/>
          <w:p>
            <w:pPr>
              <w:pStyle w:val="Compact"/>
              <w:jc w:val="left"/>
            </w:pPr>
            <w:r>
              <w:rPr>
                <w:b/>
                <w:bCs/>
              </w:rPr>
              <w:t xml:space="preserve">Moderate</w:t>
            </w:r>
          </w:p>
        </w:tc>
      </w:tr>
      <w:tr>
        <w:tc>
          <w:tcPr/>
          <w:p>
            <w:pPr>
              <w:pStyle w:val="Compact"/>
              <w:jc w:val="left"/>
            </w:pPr>
            <w:r>
              <w:t xml:space="preserve">13</w:t>
            </w:r>
          </w:p>
        </w:tc>
        <w:tc>
          <w:tcPr/>
          <w:p>
            <w:pPr>
              <w:pStyle w:val="Compact"/>
              <w:jc w:val="left"/>
            </w:pPr>
            <w:r>
              <w:t xml:space="preserve">Job title</w:t>
            </w:r>
            <w:r>
              <w:t xml:space="preserve"> </w:t>
            </w:r>
            <w:r>
              <w:t xml:space="preserve">“</w:t>
            </w:r>
            <w:r>
              <w:t xml:space="preserve">Engineer</w:t>
            </w:r>
            <w:r>
              <w:t xml:space="preserve">”</w:t>
            </w:r>
            <w:r>
              <w:t xml:space="preserve"> </w:t>
            </w:r>
            <w:r>
              <w:t xml:space="preserve">mapped to SOC</w:t>
            </w:r>
            <w:r>
              <w:t xml:space="preserve"> </w:t>
            </w:r>
            <w:r>
              <w:t xml:space="preserve">“</w:t>
            </w:r>
            <w:r>
              <w:t xml:space="preserve">Data Scientists</w:t>
            </w:r>
            <w:r>
              <w:t xml:space="preserve">”</w:t>
            </w:r>
          </w:p>
        </w:tc>
        <w:tc>
          <w:tcPr/>
          <w:p>
            <w:pPr>
              <w:pStyle w:val="Compact"/>
              <w:jc w:val="left"/>
            </w:pPr>
            <w:r>
              <w:t xml:space="preserve">Consistency</w:t>
            </w:r>
          </w:p>
        </w:tc>
        <w:tc>
          <w:tcPr/>
          <w:p>
            <w:pPr>
              <w:pStyle w:val="Compact"/>
              <w:jc w:val="left"/>
            </w:pPr>
            <w:r>
              <w:t xml:space="preserve">Housekeeping</w:t>
            </w:r>
          </w:p>
        </w:tc>
      </w:tr>
      <w:tr>
        <w:tc>
          <w:tcPr/>
          <w:p>
            <w:pPr>
              <w:pStyle w:val="Compact"/>
              <w:jc w:val="left"/>
            </w:pPr>
            <w:r>
              <w:t xml:space="preserve">14</w:t>
            </w:r>
          </w:p>
        </w:tc>
        <w:tc>
          <w:tcPr/>
          <w:p>
            <w:pPr>
              <w:pStyle w:val="Compact"/>
              <w:jc w:val="left"/>
            </w:pPr>
            <w:r>
              <w:t xml:space="preserve">Current Brightfield title (</w:t>
            </w:r>
            <w:r>
              <w:t xml:space="preserve">“</w:t>
            </w:r>
            <w:r>
              <w:t xml:space="preserve">Data Scientist</w:t>
            </w:r>
            <w:r>
              <w:t xml:space="preserve">”</w:t>
            </w:r>
            <w:r>
              <w:t xml:space="preserve">) vs. petitioned</w:t>
            </w:r>
            <w:r>
              <w:t xml:space="preserve"> </w:t>
            </w:r>
            <w:r>
              <w:t xml:space="preserve">“</w:t>
            </w:r>
            <w:r>
              <w:t xml:space="preserve">Senior ML Engineer</w:t>
            </w:r>
            <w:r>
              <w:t xml:space="preserve">”</w:t>
            </w:r>
            <w:r>
              <w:t xml:space="preserve"> </w:t>
            </w:r>
            <w:r>
              <w:t xml:space="preserve">not reconciled</w:t>
            </w:r>
          </w:p>
        </w:tc>
        <w:tc>
          <w:tcPr/>
          <w:p>
            <w:pPr>
              <w:pStyle w:val="Compact"/>
              <w:jc w:val="left"/>
            </w:pPr>
            <w:r>
              <w:t xml:space="preserve">Consistency</w:t>
            </w:r>
          </w:p>
        </w:tc>
        <w:tc>
          <w:tcPr/>
          <w:p>
            <w:pPr>
              <w:pStyle w:val="Compact"/>
              <w:jc w:val="left"/>
            </w:pPr>
            <w:r>
              <w:t xml:space="preserve">Housekeeping</w:t>
            </w:r>
          </w:p>
        </w:tc>
      </w:tr>
      <w:tr>
        <w:tc>
          <w:tcPr/>
          <w:p>
            <w:pPr>
              <w:pStyle w:val="Compact"/>
              <w:jc w:val="left"/>
            </w:pPr>
            <w:r>
              <w:t xml:space="preserve">15</w:t>
            </w:r>
          </w:p>
        </w:tc>
        <w:tc>
          <w:tcPr/>
          <w:p>
            <w:pPr>
              <w:pStyle w:val="Compact"/>
              <w:jc w:val="left"/>
            </w:pPr>
            <w:r>
              <w:t xml:space="preserve">Degree certificate referenced by evaluator but not included in package</w:t>
            </w:r>
          </w:p>
        </w:tc>
        <w:tc>
          <w:tcPr/>
          <w:p>
            <w:pPr>
              <w:pStyle w:val="Compact"/>
              <w:jc w:val="left"/>
            </w:pPr>
            <w:r>
              <w:t xml:space="preserve">Missing Document</w:t>
            </w:r>
          </w:p>
        </w:tc>
        <w:tc>
          <w:tcPr/>
          <w:p>
            <w:pPr>
              <w:pStyle w:val="Compact"/>
              <w:jc w:val="left"/>
            </w:pPr>
            <w:r>
              <w:t xml:space="preserve">Housekeeping</w:t>
            </w:r>
          </w:p>
        </w:tc>
      </w:tr>
      <w:tr>
        <w:tc>
          <w:tcPr/>
          <w:p>
            <w:pPr>
              <w:pStyle w:val="Compact"/>
              <w:jc w:val="left"/>
            </w:pPr>
            <w:r>
              <w:t xml:space="preserve">16</w:t>
            </w:r>
          </w:p>
        </w:tc>
        <w:tc>
          <w:tcPr/>
          <w:p>
            <w:pPr>
              <w:pStyle w:val="Compact"/>
              <w:jc w:val="left"/>
            </w:pPr>
            <w:r>
              <w:t xml:space="preserve">No beneficiary identity/status documents (passport, I-94, I-20, EAD) included</w:t>
            </w:r>
          </w:p>
        </w:tc>
        <w:tc>
          <w:tcPr/>
          <w:p>
            <w:pPr>
              <w:pStyle w:val="Compact"/>
              <w:jc w:val="left"/>
            </w:pPr>
            <w:r>
              <w:t xml:space="preserve">Missing Document</w:t>
            </w:r>
          </w:p>
        </w:tc>
        <w:tc>
          <w:tcPr/>
          <w:p>
            <w:pPr>
              <w:pStyle w:val="Compact"/>
              <w:jc w:val="left"/>
            </w:pPr>
            <w:r>
              <w:t xml:space="preserve">Housekeeping</w:t>
            </w:r>
          </w:p>
        </w:tc>
      </w:tr>
      <w:tr>
        <w:tc>
          <w:tcPr/>
          <w:p>
            <w:pPr>
              <w:pStyle w:val="Compact"/>
              <w:jc w:val="left"/>
            </w:pPr>
            <w:r>
              <w:t xml:space="preserve">17</w:t>
            </w:r>
          </w:p>
        </w:tc>
        <w:tc>
          <w:tcPr/>
          <w:p>
            <w:pPr>
              <w:pStyle w:val="Compact"/>
              <w:jc w:val="left"/>
            </w:pPr>
            <w:r>
              <w:t xml:space="preserve">Multiple key documents bear unexecuted/placeholder signature lines</w:t>
            </w:r>
          </w:p>
        </w:tc>
        <w:tc>
          <w:tcPr/>
          <w:p>
            <w:pPr>
              <w:pStyle w:val="Compact"/>
              <w:jc w:val="left"/>
            </w:pPr>
            <w:r>
              <w:t xml:space="preserve">Execution</w:t>
            </w:r>
          </w:p>
        </w:tc>
        <w:tc>
          <w:tcPr/>
          <w:p>
            <w:pPr>
              <w:pStyle w:val="Compact"/>
              <w:jc w:val="left"/>
            </w:pPr>
            <w:r>
              <w:t xml:space="preserve">Housekeeping</w:t>
            </w:r>
          </w:p>
        </w:tc>
      </w:tr>
      <w:tr>
        <w:tc>
          <w:tcPr/>
          <w:p>
            <w:pPr>
              <w:pStyle w:val="Compact"/>
              <w:jc w:val="left"/>
            </w:pPr>
            <w:r>
              <w:t xml:space="preserve">18</w:t>
            </w:r>
          </w:p>
        </w:tc>
        <w:tc>
          <w:tcPr/>
          <w:p>
            <w:pPr>
              <w:pStyle w:val="Compact"/>
              <w:jc w:val="left"/>
            </w:pPr>
            <w:r>
              <w:t xml:space="preserve">Posting notice states</w:t>
            </w:r>
            <w:r>
              <w:t xml:space="preserve"> </w:t>
            </w:r>
            <w:r>
              <w:t xml:space="preserve">“</w:t>
            </w:r>
            <w:r>
              <w:t xml:space="preserve">two conspicuous locations</w:t>
            </w:r>
            <w:r>
              <w:t xml:space="preserve">”</w:t>
            </w:r>
            <w:r>
              <w:t xml:space="preserve">; LCA documents only one</w:t>
            </w:r>
          </w:p>
        </w:tc>
        <w:tc>
          <w:tcPr/>
          <w:p>
            <w:pPr>
              <w:pStyle w:val="Compact"/>
              <w:jc w:val="left"/>
            </w:pPr>
            <w:r>
              <w:t xml:space="preserve">LCA Posting</w:t>
            </w:r>
          </w:p>
        </w:tc>
        <w:tc>
          <w:tcPr/>
          <w:p>
            <w:pPr>
              <w:pStyle w:val="Compact"/>
              <w:jc w:val="left"/>
            </w:pPr>
            <w:r>
              <w:t xml:space="preserve">Housekeeping</w:t>
            </w:r>
          </w:p>
        </w:tc>
      </w:tr>
      <w:tr>
        <w:tc>
          <w:tcPr/>
          <w:p>
            <w:pPr>
              <w:pStyle w:val="Compact"/>
              <w:jc w:val="left"/>
            </w:pPr>
            <w:r>
              <w:t xml:space="preserve">19</w:t>
            </w:r>
          </w:p>
        </w:tc>
        <w:tc>
          <w:tcPr/>
          <w:p>
            <w:pPr>
              <w:pStyle w:val="Compact"/>
              <w:jc w:val="left"/>
            </w:pPr>
            <w:r>
              <w:t xml:space="preserve">“</w:t>
            </w:r>
            <w:r>
              <w:t xml:space="preserve">8+ years progressive ML experience</w:t>
            </w:r>
            <w:r>
              <w:t xml:space="preserve">”</w:t>
            </w:r>
            <w:r>
              <w:t xml:space="preserve"> </w:t>
            </w:r>
            <w:r>
              <w:t xml:space="preserve">overcounts the non-ML Kiran software-development period</w:t>
            </w:r>
          </w:p>
        </w:tc>
        <w:tc>
          <w:tcPr/>
          <w:p>
            <w:pPr>
              <w:pStyle w:val="Compact"/>
              <w:jc w:val="left"/>
            </w:pPr>
            <w:r>
              <w:t xml:space="preserve">Experience</w:t>
            </w:r>
          </w:p>
        </w:tc>
        <w:tc>
          <w:tcPr/>
          <w:p>
            <w:pPr>
              <w:pStyle w:val="Compact"/>
              <w:jc w:val="left"/>
            </w:pPr>
            <w:r>
              <w:t xml:space="preserve">Housekeeping</w:t>
            </w:r>
          </w:p>
        </w:tc>
      </w:tr>
    </w:tbl>
    <w:p>
      <w:r>
        <w:pict>
          <v:rect style="width:0;height:1.5pt" o:hralign="center" o:hrstd="t" o:hr="t"/>
        </w:pict>
      </w:r>
    </w:p>
    <w:bookmarkEnd w:id="23"/>
    <w:bookmarkStart w:id="32" w:name="iv.-detailed-issue-analysis"/>
    <w:p>
      <w:pPr>
        <w:pStyle w:val="Heading2"/>
      </w:pPr>
      <w:r>
        <w:t xml:space="preserve">IV. Detailed Issue Analysis</w:t>
      </w:r>
    </w:p>
    <w:bookmarkStart w:id="24" w:name="X47239732fe01d1b16aebf637963eb6d84da29ed"/>
    <w:p>
      <w:pPr>
        <w:pStyle w:val="Heading3"/>
      </w:pPr>
      <w:r>
        <w:t xml:space="preserve">A. Specialty Occupation and Beneficiary Qualifications</w:t>
      </w:r>
    </w:p>
    <w:p>
      <w:pPr>
        <w:pStyle w:val="FirstParagraph"/>
      </w:pPr>
      <w:r>
        <w:rPr>
          <w:b/>
          <w:bCs/>
        </w:rPr>
        <w:t xml:space="preserve">Issue 1 (Critical) — Field-of-study mismatch and inadequate credential evaluation.</w:t>
      </w:r>
    </w:p>
    <w:p>
      <w:pPr>
        <w:pStyle w:val="BodyText"/>
      </w:pPr>
      <w:r>
        <w:t xml:space="preserve">The proffered position requires, per the Employer Support Letter (Section 3),</w:t>
      </w:r>
      <w:r>
        <w:t xml:space="preserve"> </w:t>
      </w:r>
      <w:r>
        <w:t xml:space="preserve">“</w:t>
      </w:r>
      <w:r>
        <w:t xml:space="preserve">a Bachelor’s degree or higher in Computer Science, Machine Learning, Artificial Intelligence, or a closely related field.</w:t>
      </w:r>
      <w:r>
        <w:t xml:space="preserve">”</w:t>
      </w:r>
      <w:r>
        <w:t xml:space="preserve"> </w:t>
      </w:r>
      <w:r>
        <w:t xml:space="preserve">The beneficiary’s single documented degree is a Bachelor of Technology in</w:t>
      </w:r>
      <w:r>
        <w:t xml:space="preserve"> </w:t>
      </w:r>
      <w:r>
        <w:rPr>
          <w:b/>
          <w:bCs/>
        </w:rPr>
        <w:t xml:space="preserve">Electronics and Communication Engineering (ECE)</w:t>
      </w:r>
      <w:r>
        <w:t xml:space="preserve"> </w:t>
      </w:r>
      <w:r>
        <w:t xml:space="preserve">from JNTU Hyderabad (August 2010–May 2014). The cross-referenced documents reveal the following problems:</w:t>
      </w:r>
    </w:p>
    <w:p>
      <w:pPr>
        <w:pStyle w:val="Compact"/>
        <w:numPr>
          <w:ilvl w:val="0"/>
          <w:numId w:val="1001"/>
        </w:numPr>
      </w:pPr>
      <w:r>
        <w:rPr>
          <w:b/>
          <w:bCs/>
        </w:rPr>
        <w:t xml:space="preserve">The credential evaluation does not bridge the gap.</w:t>
      </w:r>
      <w:r>
        <w:t xml:space="preserve"> </w:t>
      </w:r>
      <w:r>
        <w:t xml:space="preserve">Westbridge Credential Services Report No. WCS-2025-03187 equates the B.Tech to</w:t>
      </w:r>
      <w:r>
        <w:t xml:space="preserve"> </w:t>
      </w:r>
      <w:r>
        <w:t xml:space="preserve">“</w:t>
      </w:r>
      <w:r>
        <w:t xml:space="preserve">a four-year Bachelor of Science (B.S.) in</w:t>
      </w:r>
      <w:r>
        <w:t xml:space="preserve"> </w:t>
      </w:r>
      <w:r>
        <w:rPr>
          <w:b/>
          <w:bCs/>
        </w:rPr>
        <w:t xml:space="preserve">Electronics and Communication Engineering</w:t>
      </w:r>
      <w:r>
        <w:t xml:space="preserve">”</w:t>
      </w:r>
      <w:r>
        <w:t xml:space="preserve"> </w:t>
      </w:r>
      <w:r>
        <w:t xml:space="preserve">— i.e., it confirms an ECE equivalency, not a CS/ML/AI equivalency. The evaluation therefore does not establish that the beneficiary’s degree is in the specialty or a closely related field.</w:t>
      </w:r>
    </w:p>
    <w:p>
      <w:pPr>
        <w:pStyle w:val="Compact"/>
        <w:numPr>
          <w:ilvl w:val="0"/>
          <w:numId w:val="1001"/>
        </w:numPr>
      </w:pPr>
      <w:r>
        <w:rPr>
          <w:b/>
          <w:bCs/>
        </w:rPr>
        <w:t xml:space="preserve">The evaluation expressly disclaims the necessary opinion.</w:t>
      </w:r>
      <w:r>
        <w:t xml:space="preserve"> </w:t>
      </w:r>
      <w:r>
        <w:t xml:space="preserve">Section 7 (Limitations) states:</w:t>
      </w:r>
      <w:r>
        <w:t xml:space="preserve"> </w:t>
      </w:r>
      <w:r>
        <w:t xml:space="preserve">“</w:t>
      </w:r>
      <w:r>
        <w:t xml:space="preserve">This evaluation does not opine on whether the applicant’s field of study satisfies the requirements of any particular position or petition.</w:t>
      </w:r>
      <w:r>
        <w:t xml:space="preserve">”</w:t>
      </w:r>
      <w:r>
        <w:t xml:space="preserve"> </w:t>
      </w:r>
      <w:r>
        <w:t xml:space="preserve">This is precisely the opinion the petition needs.</w:t>
      </w:r>
    </w:p>
    <w:p>
      <w:pPr>
        <w:pStyle w:val="Compact"/>
        <w:numPr>
          <w:ilvl w:val="0"/>
          <w:numId w:val="1001"/>
        </w:numPr>
      </w:pPr>
      <w:r>
        <w:rPr>
          <w:b/>
          <w:bCs/>
        </w:rPr>
        <w:t xml:space="preserve">The evaluation undercuts the</w:t>
      </w:r>
      <w:r>
        <w:rPr>
          <w:b/>
          <w:bCs/>
        </w:rPr>
        <w:t xml:space="preserve"> </w:t>
      </w:r>
      <w:r>
        <w:rPr>
          <w:b/>
          <w:bCs/>
        </w:rPr>
        <w:t xml:space="preserve">“</w:t>
      </w:r>
      <w:r>
        <w:rPr>
          <w:b/>
          <w:bCs/>
        </w:rPr>
        <w:t xml:space="preserve">closely related</w:t>
      </w:r>
      <w:r>
        <w:rPr>
          <w:b/>
          <w:bCs/>
        </w:rPr>
        <w:t xml:space="preserve">”</w:t>
      </w:r>
      <w:r>
        <w:rPr>
          <w:b/>
          <w:bCs/>
        </w:rPr>
        <w:t xml:space="preserve"> </w:t>
      </w:r>
      <w:r>
        <w:rPr>
          <w:b/>
          <w:bCs/>
        </w:rPr>
        <w:t xml:space="preserve">argument.</w:t>
      </w:r>
      <w:r>
        <w:t xml:space="preserve"> </w:t>
      </w:r>
      <w:r>
        <w:t xml:space="preserve">Section 4 quantifies computer-related coursework at</w:t>
      </w:r>
      <w:r>
        <w:t xml:space="preserve"> </w:t>
      </w:r>
      <w:r>
        <w:t xml:space="preserve">“</w:t>
      </w:r>
      <w:r>
        <w:t xml:space="preserve">approximately 12 credit hours out of the total approximately 160 credit hours … approximately 7.5% of the overall curriculum.</w:t>
      </w:r>
      <w:r>
        <w:t xml:space="preserve">”</w:t>
      </w:r>
      <w:r>
        <w:t xml:space="preserve"> </w:t>
      </w:r>
      <w:r>
        <w:t xml:space="preserve">The transcripts corroborate this: the only clearly CS/ML-relevant courses are CS101 (C Programming), CS201 (Advanced C), CS401 (Data Structures), and EC704 (Introduction to Artificial Intelligence, an elective). The balance of the curriculum is core ECE (signals, communications, VLSI, electromagnetics, antennas, microwave, radar, etc.).</w:t>
      </w:r>
    </w:p>
    <w:p>
      <w:pPr>
        <w:pStyle w:val="Compact"/>
        <w:numPr>
          <w:ilvl w:val="0"/>
          <w:numId w:val="1001"/>
        </w:numPr>
      </w:pPr>
      <w:r>
        <w:rPr>
          <w:b/>
          <w:bCs/>
        </w:rPr>
        <w:t xml:space="preserve">The</w:t>
      </w:r>
      <w:r>
        <w:rPr>
          <w:b/>
          <w:bCs/>
        </w:rPr>
        <w:t xml:space="preserve"> </w:t>
      </w:r>
      <w:r>
        <w:rPr>
          <w:b/>
          <w:bCs/>
        </w:rPr>
        <w:t xml:space="preserve">“</w:t>
      </w:r>
      <w:r>
        <w:rPr>
          <w:b/>
          <w:bCs/>
        </w:rPr>
        <w:t xml:space="preserve">alternative qualification</w:t>
      </w:r>
      <w:r>
        <w:rPr>
          <w:b/>
          <w:bCs/>
        </w:rPr>
        <w:t xml:space="preserve">”</w:t>
      </w:r>
      <w:r>
        <w:rPr>
          <w:b/>
          <w:bCs/>
        </w:rPr>
        <w:t xml:space="preserve"> </w:t>
      </w:r>
      <w:r>
        <w:rPr>
          <w:b/>
          <w:bCs/>
        </w:rPr>
        <w:t xml:space="preserve">is not a recognized USCIS standard.</w:t>
      </w:r>
      <w:r>
        <w:t xml:space="preserve"> </w:t>
      </w:r>
      <w:r>
        <w:t xml:space="preserve">The Employer Support Letter states that</w:t>
      </w:r>
      <w:r>
        <w:t xml:space="preserve"> </w:t>
      </w:r>
      <w:r>
        <w:t xml:space="preserve">“</w:t>
      </w:r>
      <w:r>
        <w:t xml:space="preserve">a Bachelor’s degree in any engineering discipline combined with 5 years of progressive experience in machine learning may be accepted as an equivalent qualification.</w:t>
      </w:r>
      <w:r>
        <w:t xml:space="preserve">”</w:t>
      </w:r>
      <w:r>
        <w:t xml:space="preserve"> </w:t>
      </w:r>
      <w:r>
        <w:t xml:space="preserve">USCIS does not recognize</w:t>
      </w:r>
      <w:r>
        <w:t xml:space="preserve"> </w:t>
      </w:r>
      <w:r>
        <w:t xml:space="preserve">“</w:t>
      </w:r>
      <w:r>
        <w:t xml:space="preserve">any engineering degree + 5 years</w:t>
      </w:r>
      <w:r>
        <w:t xml:space="preserve">”</w:t>
      </w:r>
      <w:r>
        <w:t xml:space="preserve"> </w:t>
      </w:r>
      <w:r>
        <w:t xml:space="preserve">as a per se equivalency. Where a beneficiary holds a full four-year degree, the question is field relevance, not degree shortfall; the 3-for-1 experience rule (8 CFR 214.2(h)(4)(iii)(C)) is inapplicable because there is no credit-hour shortfall to cure. The petitioner must instead demonstrate that ECE is</w:t>
      </w:r>
      <w:r>
        <w:t xml:space="preserve"> </w:t>
      </w:r>
      <w:r>
        <w:t xml:space="preserve">“</w:t>
      </w:r>
      <w:r>
        <w:t xml:space="preserve">closely related</w:t>
      </w:r>
      <w:r>
        <w:t xml:space="preserve">”</w:t>
      </w:r>
      <w:r>
        <w:t xml:space="preserve"> </w:t>
      </w:r>
      <w:r>
        <w:t xml:space="preserve">to the CS/ML/AI specialty, or that the combination of the ECE degree and specialized experience equates to a degree in the specialty.</w:t>
      </w:r>
    </w:p>
    <w:p>
      <w:pPr>
        <w:pStyle w:val="Compact"/>
        <w:numPr>
          <w:ilvl w:val="0"/>
          <w:numId w:val="1001"/>
        </w:numPr>
      </w:pPr>
      <w:r>
        <w:rPr>
          <w:b/>
          <w:bCs/>
        </w:rPr>
        <w:t xml:space="preserve">Internal tension weakens the specialty-occupation showing.</w:t>
      </w:r>
      <w:r>
        <w:t xml:space="preserve"> </w:t>
      </w:r>
      <w:r>
        <w:t xml:space="preserve">Asserting that the job requires a CS/ML/AI degree while simultaneously arguing that an ECE degree qualifies creates the classic USCIS dilemma: either the CS/ML/AI degree is not truly the minimum requirement (weakening the specialty-occupation prong), or the beneficiary does not meet it (weakening the qualification prong).</w:t>
      </w:r>
    </w:p>
    <w:p>
      <w:pPr>
        <w:pStyle w:val="FirstParagraph"/>
      </w:pPr>
      <w:r>
        <w:rPr>
          <w:b/>
          <w:bCs/>
        </w:rPr>
        <w:t xml:space="preserve">Risk:</w:t>
      </w:r>
      <w:r>
        <w:t xml:space="preserve"> </w:t>
      </w:r>
      <w:r>
        <w:t xml:space="preserve">High likelihood of an RFE on both the specialty-occupation and beneficiary-qualification prongs, and elevated denial risk if not supplemented.</w:t>
      </w:r>
    </w:p>
    <w:p>
      <w:pPr>
        <w:pStyle w:val="BodyText"/>
      </w:pPr>
      <w:r>
        <w:rPr>
          <w:b/>
          <w:bCs/>
        </w:rPr>
        <w:t xml:space="preserve">Recommendation:</w:t>
      </w:r>
      <w:r>
        <w:t xml:space="preserve"> </w:t>
      </w:r>
      <w:r>
        <w:t xml:space="preserve">Obtain a</w:t>
      </w:r>
      <w:r>
        <w:t xml:space="preserve"> </w:t>
      </w:r>
      <w:r>
        <w:rPr>
          <w:b/>
          <w:bCs/>
        </w:rPr>
        <w:t xml:space="preserve">supplemental expert credential evaluation</w:t>
      </w:r>
      <w:r>
        <w:t xml:space="preserve"> </w:t>
      </w:r>
      <w:r>
        <w:t xml:space="preserve">that (a) opines specifically that the ECE coursework (probability/stochastic processes, signals and systems, DSP, linear-algebra-intensive content, computer architecture, the AI elective) combined with the beneficiary’s progressive ML experience is equivalent to a U.S. bachelor’s in a CS/ML-related field for this specialty, and (b) is authored by an evaluator with relevant technical credentials. Reconcile the</w:t>
      </w:r>
      <w:r>
        <w:t xml:space="preserve"> </w:t>
      </w:r>
      <w:r>
        <w:t xml:space="preserve">“</w:t>
      </w:r>
      <w:r>
        <w:t xml:space="preserve">alternative qualification</w:t>
      </w:r>
      <w:r>
        <w:t xml:space="preserve">”</w:t>
      </w:r>
      <w:r>
        <w:t xml:space="preserve"> </w:t>
      </w:r>
      <w:r>
        <w:t xml:space="preserve">language with a defensible standard. (See also Issue 2 — if an undocumented U.S. degree exists, it may resolve this issue.)</w:t>
      </w:r>
    </w:p>
    <w:p>
      <w:r>
        <w:pict>
          <v:rect style="width:0;height:1.5pt" o:hralign="center" o:hrstd="t" o:hr="t"/>
        </w:pict>
      </w:r>
    </w:p>
    <w:p>
      <w:pPr>
        <w:pStyle w:val="FirstParagraph"/>
      </w:pPr>
      <w:r>
        <w:rPr>
          <w:b/>
          <w:bCs/>
        </w:rPr>
        <w:t xml:space="preserve">Issue 10 (Moderate) — Insufficient specialty-occupation evidence.</w:t>
      </w:r>
    </w:p>
    <w:p>
      <w:pPr>
        <w:pStyle w:val="BodyText"/>
      </w:pPr>
      <w:r>
        <w:t xml:space="preserve">The Employer Support Letter (Section 3,</w:t>
      </w:r>
      <w:r>
        <w:t xml:space="preserve"> </w:t>
      </w:r>
      <w:r>
        <w:t xml:space="preserve">“</w:t>
      </w:r>
      <w:r>
        <w:t xml:space="preserve">Industry Standard</w:t>
      </w:r>
      <w:r>
        <w:t xml:space="preserve">”</w:t>
      </w:r>
      <w:r>
        <w:t xml:space="preserve">) asserts that peer companies</w:t>
      </w:r>
      <w:r>
        <w:t xml:space="preserve"> </w:t>
      </w:r>
      <w:r>
        <w:t xml:space="preserve">“</w:t>
      </w:r>
      <w:r>
        <w:t xml:space="preserve">uniformly require equivalent educational backgrounds,</w:t>
      </w:r>
      <w:r>
        <w:t xml:space="preserve">”</w:t>
      </w:r>
      <w:r>
        <w:t xml:space="preserve"> </w:t>
      </w:r>
      <w:r>
        <w:t xml:space="preserve">but provides no corroborating evidence. USCIS routinely issues RFEs on the specialty-occupation prong for analytics/consulting roles, particularly where the petitioner relies on conclusory assertions.</w:t>
      </w:r>
    </w:p>
    <w:p>
      <w:pPr>
        <w:pStyle w:val="BodyText"/>
      </w:pPr>
      <w:r>
        <w:rPr>
          <w:b/>
          <w:bCs/>
        </w:rPr>
        <w:t xml:space="preserve">Recommendation:</w:t>
      </w:r>
      <w:r>
        <w:t xml:space="preserve"> </w:t>
      </w:r>
      <w:r>
        <w:t xml:space="preserve">Supplement with O</w:t>
      </w:r>
      <w:r>
        <w:rPr>
          <w:i/>
          <w:iCs/>
        </w:rPr>
        <w:t xml:space="preserve">NET task/SVP data for SOC 15-2051, the DOL’s JobZone and Specific Vocational Preparation (SVP) indicators, and 3–5 sample comparable job postings from peer employers requiring a bachelor’s degree in the specialty. A position description keyed to O</w:t>
      </w:r>
      <w:r>
        <w:t xml:space="preserve">NET tasks strengthens the showing.</w:t>
      </w:r>
    </w:p>
    <w:p>
      <w:r>
        <w:pict>
          <v:rect style="width:0;height:1.5pt" o:hralign="center" o:hrstd="t" o:hr="t"/>
        </w:pict>
      </w:r>
    </w:p>
    <w:p>
      <w:pPr>
        <w:pStyle w:val="FirstParagraph"/>
      </w:pPr>
      <w:r>
        <w:rPr>
          <w:b/>
          <w:bCs/>
        </w:rPr>
        <w:t xml:space="preserve">Issue 13 (Housekeeping) — Job title vs. SOC label.</w:t>
      </w:r>
    </w:p>
    <w:p>
      <w:pPr>
        <w:pStyle w:val="BodyText"/>
      </w:pPr>
      <w:r>
        <w:t xml:space="preserve">The position is titled</w:t>
      </w:r>
      <w:r>
        <w:t xml:space="preserve"> </w:t>
      </w:r>
      <w:r>
        <w:t xml:space="preserve">“</w:t>
      </w:r>
      <w:r>
        <w:t xml:space="preserve">Senior Machine Learning</w:t>
      </w:r>
      <w:r>
        <w:t xml:space="preserve"> </w:t>
      </w:r>
      <w:r>
        <w:rPr>
          <w:b/>
          <w:bCs/>
        </w:rPr>
        <w:t xml:space="preserve">Engineer</w:t>
      </w:r>
      <w:r>
        <w:t xml:space="preserve">”</w:t>
      </w:r>
      <w:r>
        <w:t xml:space="preserve"> </w:t>
      </w:r>
      <w:r>
        <w:t xml:space="preserve">but is mapped to SOC 15-2051</w:t>
      </w:r>
      <w:r>
        <w:t xml:space="preserve"> </w:t>
      </w:r>
      <w:r>
        <w:t xml:space="preserve">“</w:t>
      </w:r>
      <w:r>
        <w:rPr>
          <w:b/>
          <w:bCs/>
        </w:rPr>
        <w:t xml:space="preserve">Data Scientists</w:t>
      </w:r>
      <w:r>
        <w:t xml:space="preserve">.</w:t>
      </w:r>
      <w:r>
        <w:t xml:space="preserve">”</w:t>
      </w:r>
      <w:r>
        <w:t xml:space="preserve"> </w:t>
      </w:r>
      <w:r>
        <w:t xml:space="preserve">The described duties are consistent with the Data Scientists SOC, so this is not fatal, but the</w:t>
      </w:r>
      <w:r>
        <w:t xml:space="preserve"> </w:t>
      </w:r>
      <w:r>
        <w:t xml:space="preserve">“</w:t>
      </w:r>
      <w:r>
        <w:t xml:space="preserve">Engineer</w:t>
      </w:r>
      <w:r>
        <w:t xml:space="preserve">”</w:t>
      </w:r>
      <w:r>
        <w:t xml:space="preserve"> </w:t>
      </w:r>
      <w:r>
        <w:t xml:space="preserve">title paired with a</w:t>
      </w:r>
      <w:r>
        <w:t xml:space="preserve"> </w:t>
      </w:r>
      <w:r>
        <w:t xml:space="preserve">“</w:t>
      </w:r>
      <w:r>
        <w:t xml:space="preserve">Data Scientists</w:t>
      </w:r>
      <w:r>
        <w:t xml:space="preserve">”</w:t>
      </w:r>
      <w:r>
        <w:t xml:space="preserve"> </w:t>
      </w:r>
      <w:r>
        <w:t xml:space="preserve">SOC can draw adjudicator attention. Consider either aligning the title (e.g.,</w:t>
      </w:r>
      <w:r>
        <w:t xml:space="preserve"> </w:t>
      </w:r>
      <w:r>
        <w:t xml:space="preserve">“</w:t>
      </w:r>
      <w:r>
        <w:t xml:space="preserve">Senior Data Scientist</w:t>
      </w:r>
      <w:r>
        <w:t xml:space="preserve">”</w:t>
      </w:r>
      <w:r>
        <w:t xml:space="preserve">) or adding a sentence explaining the SOC selection.</w:t>
      </w:r>
    </w:p>
    <w:p>
      <w:r>
        <w:pict>
          <v:rect style="width:0;height:1.5pt" o:hralign="center" o:hrstd="t" o:hr="t"/>
        </w:pict>
      </w:r>
    </w:p>
    <w:bookmarkEnd w:id="24"/>
    <w:bookmarkStart w:id="25" w:name="X975779b27d8bfe103f44a7015222daf882ba138"/>
    <w:p>
      <w:pPr>
        <w:pStyle w:val="Heading3"/>
      </w:pPr>
      <w:r>
        <w:t xml:space="preserve">B. Prevailing Wage and Wage-Level Classification</w:t>
      </w:r>
    </w:p>
    <w:p>
      <w:pPr>
        <w:pStyle w:val="FirstParagraph"/>
      </w:pPr>
      <w:r>
        <w:rPr>
          <w:b/>
          <w:bCs/>
        </w:rPr>
        <w:t xml:space="preserve">Issue 3 (Critical) — Wage level appears understated (Level 2 vs. Level 3/4).</w:t>
      </w:r>
    </w:p>
    <w:p>
      <w:pPr>
        <w:pStyle w:val="BodyText"/>
      </w:pPr>
      <w:r>
        <w:t xml:space="preserve">The PWD (P-300-25012-183456) and the certified LCA both classify the position at</w:t>
      </w:r>
      <w:r>
        <w:t xml:space="preserve"> </w:t>
      </w:r>
      <w:r>
        <w:rPr>
          <w:b/>
          <w:bCs/>
        </w:rPr>
        <w:t xml:space="preserve">Wage Level 2</w:t>
      </w:r>
      <w:r>
        <w:t xml:space="preserve"> </w:t>
      </w:r>
      <w:r>
        <w:t xml:space="preserve">($113,734). The offered wage is $128,000, which exceeds Level 2 but is</w:t>
      </w:r>
      <w:r>
        <w:t xml:space="preserve"> </w:t>
      </w:r>
      <w:r>
        <w:rPr>
          <w:b/>
          <w:bCs/>
        </w:rPr>
        <w:t xml:space="preserve">below Level 3 ($137,946)</w:t>
      </w:r>
      <w:r>
        <w:t xml:space="preserve">. Cross-referencing the position description against the DOL wage-level definitions printed in the PWD itself reveals a likely misclassification: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DOL Level (per PWD)</w:t>
            </w:r>
          </w:p>
        </w:tc>
        <w:tc>
          <w:tcPr/>
          <w:p>
            <w:pPr>
              <w:pStyle w:val="Compact"/>
              <w:jc w:val="left"/>
            </w:pPr>
            <w:r>
              <w:t xml:space="preserve">DOL Definition</w:t>
            </w:r>
          </w:p>
        </w:tc>
        <w:tc>
          <w:tcPr/>
          <w:p>
            <w:pPr>
              <w:pStyle w:val="Compact"/>
              <w:jc w:val="left"/>
            </w:pPr>
            <w:r>
              <w:t xml:space="preserve">Position facts (per Employer Letter)</w:t>
            </w:r>
          </w:p>
        </w:tc>
      </w:tr>
      <w:tr>
        <w:tc>
          <w:tcPr/>
          <w:p>
            <w:pPr>
              <w:pStyle w:val="Compact"/>
              <w:jc w:val="left"/>
            </w:pPr>
            <w:r>
              <w:t xml:space="preserve">Level 2 — $113,734</w:t>
            </w:r>
          </w:p>
        </w:tc>
        <w:tc>
          <w:tcPr/>
          <w:p>
            <w:pPr>
              <w:pStyle w:val="Compact"/>
              <w:jc w:val="left"/>
            </w:pPr>
            <w:r>
              <w:t xml:space="preserve">“</w:t>
            </w:r>
            <w:r>
              <w:t xml:space="preserve">good understanding … perform moderately complex tasks requiring</w:t>
            </w:r>
            <w:r>
              <w:t xml:space="preserve"> </w:t>
            </w:r>
            <w:r>
              <w:rPr>
                <w:b/>
                <w:bCs/>
              </w:rPr>
              <w:t xml:space="preserve">limited judgment</w:t>
            </w:r>
            <w:r>
              <w:t xml:space="preserve">”</w:t>
            </w:r>
          </w:p>
        </w:tc>
        <w:tc>
          <w:tcPr/>
          <w:p>
            <w:pPr>
              <w:pStyle w:val="Compact"/>
              <w:jc w:val="left"/>
            </w:pPr>
            <w:r>
              <w:t xml:space="preserve">—</w:t>
            </w:r>
          </w:p>
        </w:tc>
      </w:tr>
      <w:tr>
        <w:tc>
          <w:tcPr/>
          <w:p>
            <w:pPr>
              <w:pStyle w:val="Compact"/>
              <w:jc w:val="left"/>
            </w:pPr>
            <w:r>
              <w:t xml:space="preserve">Level 3 — $137,946</w:t>
            </w:r>
          </w:p>
        </w:tc>
        <w:tc>
          <w:tcPr/>
          <w:p>
            <w:pPr>
              <w:pStyle w:val="Compact"/>
              <w:jc w:val="left"/>
            </w:pPr>
            <w:r>
              <w:t xml:space="preserve">“</w:t>
            </w:r>
            <w:r>
              <w:t xml:space="preserve">sound understanding … may exercise</w:t>
            </w:r>
            <w:r>
              <w:t xml:space="preserve"> </w:t>
            </w:r>
            <w:r>
              <w:rPr>
                <w:b/>
                <w:bCs/>
              </w:rPr>
              <w:t xml:space="preserve">independent judgment</w:t>
            </w:r>
            <w:r>
              <w:t xml:space="preserve">, and may have</w:t>
            </w:r>
            <w:r>
              <w:t xml:space="preserve"> </w:t>
            </w:r>
            <w:r>
              <w:rPr>
                <w:b/>
                <w:bCs/>
              </w:rPr>
              <w:t xml:space="preserve">supervisory responsibilities</w:t>
            </w:r>
            <w:r>
              <w:t xml:space="preserve">”</w:t>
            </w:r>
          </w:p>
        </w:tc>
        <w:tc>
          <w:tcPr/>
          <w:p>
            <w:pPr>
              <w:pStyle w:val="Compact"/>
              <w:jc w:val="left"/>
            </w:pPr>
            <w:r>
              <w:t xml:space="preserve">“</w:t>
            </w:r>
            <w:r>
              <w:t xml:space="preserve">exercises</w:t>
            </w:r>
            <w:r>
              <w:t xml:space="preserve"> </w:t>
            </w:r>
            <w:r>
              <w:rPr>
                <w:b/>
                <w:bCs/>
              </w:rPr>
              <w:t xml:space="preserve">independent judgment</w:t>
            </w:r>
            <w:r>
              <w:t xml:space="preserve"> </w:t>
            </w:r>
            <w:r>
              <w:t xml:space="preserve">in the design and implementation of machine learning solutions</w:t>
            </w:r>
            <w:r>
              <w:t xml:space="preserve">”</w:t>
            </w:r>
            <w:r>
              <w:t xml:space="preserve">;</w:t>
            </w:r>
            <w:r>
              <w:t xml:space="preserve"> </w:t>
            </w:r>
            <w:r>
              <w:t xml:space="preserve">“</w:t>
            </w:r>
            <w:r>
              <w:t xml:space="preserve">Leading and mentoring a team of … junior data scientists</w:t>
            </w:r>
            <w:r>
              <w:t xml:space="preserve">”</w:t>
            </w:r>
          </w:p>
        </w:tc>
      </w:tr>
      <w:tr>
        <w:tc>
          <w:tcPr/>
          <w:p>
            <w:pPr>
              <w:pStyle w:val="Compact"/>
              <w:jc w:val="left"/>
            </w:pPr>
            <w:r>
              <w:t xml:space="preserve">Level 4 — $162,157</w:t>
            </w:r>
          </w:p>
        </w:tc>
        <w:tc>
          <w:tcPr/>
          <w:p>
            <w:pPr>
              <w:pStyle w:val="Compact"/>
              <w:jc w:val="left"/>
            </w:pPr>
            <w:r>
              <w:t xml:space="preserve">“</w:t>
            </w:r>
            <w:r>
              <w:t xml:space="preserve">advanced skills …</w:t>
            </w:r>
            <w:r>
              <w:t xml:space="preserve"> </w:t>
            </w:r>
            <w:r>
              <w:rPr>
                <w:b/>
                <w:bCs/>
              </w:rPr>
              <w:t xml:space="preserve">broad latitude</w:t>
            </w:r>
            <w:r>
              <w:t xml:space="preserve"> </w:t>
            </w:r>
            <w:r>
              <w:t xml:space="preserve">in determining objectives, and</w:t>
            </w:r>
            <w:r>
              <w:t xml:space="preserve"> </w:t>
            </w:r>
            <w:r>
              <w:rPr>
                <w:b/>
                <w:bCs/>
              </w:rPr>
              <w:t xml:space="preserve">supervise and train</w:t>
            </w:r>
            <w:r>
              <w:t xml:space="preserve"> </w:t>
            </w:r>
            <w:r>
              <w:t xml:space="preserve">other workers</w:t>
            </w:r>
            <w:r>
              <w:t xml:space="preserve">”</w:t>
            </w:r>
          </w:p>
        </w:tc>
        <w:tc>
          <w:tcPr/>
          <w:p>
            <w:pPr>
              <w:pStyle w:val="Compact"/>
              <w:jc w:val="left"/>
            </w:pPr>
            <w:r>
              <w:t xml:space="preserve">“</w:t>
            </w:r>
            <w:r>
              <w:t xml:space="preserve">Senior</w:t>
            </w:r>
            <w:r>
              <w:t xml:space="preserve">”</w:t>
            </w:r>
            <w:r>
              <w:t xml:space="preserve"> </w:t>
            </w:r>
            <w:r>
              <w:t xml:space="preserve">title; leads/mentors junior team; reports to CTO; 3+ years required</w:t>
            </w:r>
          </w:p>
        </w:tc>
      </w:tr>
    </w:tbl>
    <w:p>
      <w:pPr>
        <w:pStyle w:val="BodyText"/>
      </w:pPr>
      <w:r>
        <w:t xml:space="preserve">The Employer Support Letter expressly states the role</w:t>
      </w:r>
      <w:r>
        <w:t xml:space="preserve"> </w:t>
      </w:r>
      <w:r>
        <w:t xml:space="preserve">“</w:t>
      </w:r>
      <w:r>
        <w:t xml:space="preserve">exercises independent judgment</w:t>
      </w:r>
      <w:r>
        <w:t xml:space="preserve">”</w:t>
      </w:r>
      <w:r>
        <w:t xml:space="preserve"> </w:t>
      </w:r>
      <w:r>
        <w:t xml:space="preserve">and involves leading/mentoring junior data scientists — language that maps directly onto the</w:t>
      </w:r>
      <w:r>
        <w:t xml:space="preserve"> </w:t>
      </w:r>
      <w:r>
        <w:rPr>
          <w:b/>
          <w:bCs/>
        </w:rPr>
        <w:t xml:space="preserve">Level 3</w:t>
      </w:r>
      <w:r>
        <w:t xml:space="preserve"> </w:t>
      </w:r>
      <w:r>
        <w:t xml:space="preserve">definition, and arguably Level 4 (</w:t>
      </w:r>
      <w:r>
        <w:t xml:space="preserve">“</w:t>
      </w:r>
      <w:r>
        <w:t xml:space="preserve">supervise and train</w:t>
      </w:r>
      <w:r>
        <w:t xml:space="preserve">”</w:t>
      </w:r>
      <w:r>
        <w:t xml:space="preserve">). The</w:t>
      </w:r>
      <w:r>
        <w:t xml:space="preserve"> </w:t>
      </w:r>
      <w:r>
        <w:t xml:space="preserve">“</w:t>
      </w:r>
      <w:r>
        <w:t xml:space="preserve">Senior</w:t>
      </w:r>
      <w:r>
        <w:t xml:space="preserve">”</w:t>
      </w:r>
      <w:r>
        <w:t xml:space="preserve"> </w:t>
      </w:r>
      <w:r>
        <w:t xml:space="preserve">designation, the 3-year minimum experience requirement, and the supervisory duties are all inconsistent with Level 2 (</w:t>
      </w:r>
      <w:r>
        <w:t xml:space="preserve">“</w:t>
      </w:r>
      <w:r>
        <w:t xml:space="preserve">moderately complex tasks requiring limited judgment</w:t>
      </w:r>
      <w:r>
        <w:t xml:space="preserve">”</w:t>
      </w:r>
      <w:r>
        <w:t xml:space="preserve">). Notably, the PWD’s own abbreviated duties summary includes</w:t>
      </w:r>
      <w:r>
        <w:t xml:space="preserve"> </w:t>
      </w:r>
      <w:r>
        <w:t xml:space="preserve">“</w:t>
      </w:r>
      <w:r>
        <w:t xml:space="preserve">lead a team of data scientists,</w:t>
      </w:r>
      <w:r>
        <w:t xml:space="preserve">”</w:t>
      </w:r>
      <w:r>
        <w:t xml:space="preserve"> </w:t>
      </w:r>
      <w:r>
        <w:t xml:space="preserve">which itself signals supervisory responsibility inconsistent with Level 2.</w:t>
      </w:r>
    </w:p>
    <w:p>
      <w:pPr>
        <w:pStyle w:val="BodyText"/>
      </w:pPr>
      <w:r>
        <w:rPr>
          <w:b/>
          <w:bCs/>
        </w:rPr>
        <w:t xml:space="preserve">Risk:</w:t>
      </w:r>
      <w:r>
        <w:t xml:space="preserve"> </w:t>
      </w:r>
      <w:r>
        <w:t xml:space="preserve">If the correct level is Level 3, the offered wage ($128,000) is</w:t>
      </w:r>
      <w:r>
        <w:t xml:space="preserve"> </w:t>
      </w:r>
      <w:r>
        <w:rPr>
          <w:b/>
          <w:bCs/>
        </w:rPr>
        <w:t xml:space="preserve">below</w:t>
      </w:r>
      <w:r>
        <w:t xml:space="preserve"> </w:t>
      </w:r>
      <w:r>
        <w:t xml:space="preserve">the prevailing wage ($137,946), constituting a wage violation and a petition defect. Even if DOL certified at Level 2, USCIS and DOL’s Wage and Hour Division may revisit the classification; the internal inconsistency between the duties and the level is a credibility and compliance risk.</w:t>
      </w:r>
    </w:p>
    <w:p>
      <w:pPr>
        <w:pStyle w:val="BodyText"/>
      </w:pPr>
      <w:r>
        <w:rPr>
          <w:b/>
          <w:bCs/>
        </w:rPr>
        <w:t xml:space="preserve">Recommendation:</w:t>
      </w:r>
      <w:r>
        <w:t xml:space="preserve"> </w:t>
      </w:r>
      <w:r>
        <w:t xml:space="preserve">Re-evaluate the wage level against the full duties. If the position is genuinely supervisory/senior with independent judgment, either (a) request a new PWD at the appropriate level and re-file the LCA, increasing the offered wage to meet Level 3 ($137,946) or Level 4 ($162,157); or (b) revise the position description to genuinely reflect Level 2 duties (remove</w:t>
      </w:r>
      <w:r>
        <w:t xml:space="preserve"> </w:t>
      </w:r>
      <w:r>
        <w:t xml:space="preserve">“</w:t>
      </w:r>
      <w:r>
        <w:t xml:space="preserve">senior,</w:t>
      </w:r>
      <w:r>
        <w:t xml:space="preserve">”</w:t>
      </w:r>
      <w:r>
        <w:t xml:space="preserve"> </w:t>
      </w:r>
      <w:r>
        <w:t xml:space="preserve">supervisory, and independent-judgment language) — though this conflicts with the</w:t>
      </w:r>
      <w:r>
        <w:t xml:space="preserve"> </w:t>
      </w:r>
      <w:r>
        <w:t xml:space="preserve">“</w:t>
      </w:r>
      <w:r>
        <w:t xml:space="preserve">Senior</w:t>
      </w:r>
      <w:r>
        <w:t xml:space="preserve">”</w:t>
      </w:r>
      <w:r>
        <w:t xml:space="preserve"> </w:t>
      </w:r>
      <w:r>
        <w:t xml:space="preserve">title and the org chart. The current package is internally inconsistent on this point and should not be filed as-is.</w:t>
      </w:r>
    </w:p>
    <w:p>
      <w:r>
        <w:pict>
          <v:rect style="width:0;height:1.5pt" o:hralign="center" o:hrstd="t" o:hr="t"/>
        </w:pict>
      </w:r>
    </w:p>
    <w:bookmarkEnd w:id="25"/>
    <w:bookmarkStart w:id="26" w:name="X66f0f64d24c4052c50e46bae14738c4f219bb77"/>
    <w:p>
      <w:pPr>
        <w:pStyle w:val="Heading3"/>
      </w:pPr>
      <w:r>
        <w:t xml:space="preserve">C. Experience Documentation and Date Discrepancies</w:t>
      </w:r>
    </w:p>
    <w:p>
      <w:pPr>
        <w:pStyle w:val="FirstParagraph"/>
      </w:pPr>
      <w:r>
        <w:rPr>
          <w:b/>
          <w:bCs/>
        </w:rPr>
        <w:t xml:space="preserve">Issue 4 (Critical) — Résumé overstates employment end dates; unexplained gap.</w:t>
      </w:r>
    </w:p>
    <w:p>
      <w:pPr>
        <w:pStyle w:val="BodyText"/>
      </w:pPr>
      <w:r>
        <w:t xml:space="preserve">Cross-referencing the beneficiary’s résumé against the two experience letters and the Employer Support Letter reveals material date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Employer</w:t>
            </w:r>
          </w:p>
        </w:tc>
        <w:tc>
          <w:tcPr/>
          <w:p>
            <w:pPr>
              <w:pStyle w:val="Compact"/>
              <w:jc w:val="left"/>
            </w:pPr>
            <w:r>
              <w:t xml:space="preserve">Résumé dates</w:t>
            </w:r>
          </w:p>
        </w:tc>
        <w:tc>
          <w:tcPr/>
          <w:p>
            <w:pPr>
              <w:pStyle w:val="Compact"/>
              <w:jc w:val="left"/>
            </w:pPr>
            <w:r>
              <w:t xml:space="preserve">Experience letter / Employer letter dates</w:t>
            </w:r>
          </w:p>
        </w:tc>
        <w:tc>
          <w:tcPr/>
          <w:p>
            <w:pPr>
              <w:pStyle w:val="Compact"/>
              <w:jc w:val="left"/>
            </w:pPr>
            <w:r>
              <w:t xml:space="preserve">Discrepancy</w:t>
            </w:r>
          </w:p>
        </w:tc>
      </w:tr>
      <w:tr>
        <w:tc>
          <w:tcPr/>
          <w:p>
            <w:pPr>
              <w:pStyle w:val="Compact"/>
              <w:jc w:val="left"/>
            </w:pPr>
            <w:r>
              <w:t xml:space="preserve">Kiran Software Solutions (Junior Software Developer)</w:t>
            </w:r>
          </w:p>
        </w:tc>
        <w:tc>
          <w:tcPr/>
          <w:p>
            <w:pPr>
              <w:pStyle w:val="Compact"/>
              <w:jc w:val="left"/>
            </w:pPr>
            <w:r>
              <w:t xml:space="preserve">June 2014 –</w:t>
            </w:r>
            <w:r>
              <w:t xml:space="preserve"> </w:t>
            </w:r>
            <w:r>
              <w:rPr>
                <w:b/>
                <w:bCs/>
              </w:rPr>
              <w:t xml:space="preserve">March 2017</w:t>
            </w:r>
          </w:p>
        </w:tc>
        <w:tc>
          <w:tcPr/>
          <w:p>
            <w:pPr>
              <w:pStyle w:val="Compact"/>
              <w:jc w:val="left"/>
            </w:pPr>
            <w:r>
              <w:t xml:space="preserve">June 16, 2014 –</w:t>
            </w:r>
            <w:r>
              <w:t xml:space="preserve"> </w:t>
            </w:r>
            <w:r>
              <w:rPr>
                <w:b/>
                <w:bCs/>
              </w:rPr>
              <w:t xml:space="preserve">December 9, 2016</w:t>
            </w:r>
            <w:r>
              <w:t xml:space="preserve"> </w:t>
            </w:r>
            <w:r>
              <w:t xml:space="preserve">(Kiran letter; Employer Letter)</w:t>
            </w:r>
          </w:p>
        </w:tc>
        <w:tc>
          <w:tcPr/>
          <w:p>
            <w:pPr>
              <w:pStyle w:val="Compact"/>
              <w:jc w:val="left"/>
            </w:pPr>
            <w:r>
              <w:t xml:space="preserve">Résumé overstates end by ~3 months</w:t>
            </w:r>
          </w:p>
        </w:tc>
      </w:tr>
      <w:tr>
        <w:tc>
          <w:tcPr/>
          <w:p>
            <w:pPr>
              <w:pStyle w:val="Compact"/>
              <w:jc w:val="left"/>
            </w:pPr>
            <w:r>
              <w:t xml:space="preserve">NovaStar Data Systems (Machine Learning Analyst)</w:t>
            </w:r>
          </w:p>
        </w:tc>
        <w:tc>
          <w:tcPr/>
          <w:p>
            <w:pPr>
              <w:pStyle w:val="Compact"/>
              <w:jc w:val="left"/>
            </w:pPr>
            <w:r>
              <w:t xml:space="preserve">April 2017 –</w:t>
            </w:r>
            <w:r>
              <w:t xml:space="preserve"> </w:t>
            </w:r>
            <w:r>
              <w:rPr>
                <w:b/>
                <w:bCs/>
              </w:rPr>
              <w:t xml:space="preserve">August 2020</w:t>
            </w:r>
          </w:p>
        </w:tc>
        <w:tc>
          <w:tcPr/>
          <w:p>
            <w:pPr>
              <w:pStyle w:val="Compact"/>
              <w:jc w:val="left"/>
            </w:pPr>
            <w:r>
              <w:t xml:space="preserve">April 2017 –</w:t>
            </w:r>
            <w:r>
              <w:t xml:space="preserve"> </w:t>
            </w:r>
            <w:r>
              <w:rPr>
                <w:b/>
                <w:bCs/>
              </w:rPr>
              <w:t xml:space="preserve">July 2020</w:t>
            </w:r>
            <w:r>
              <w:t xml:space="preserve"> </w:t>
            </w:r>
            <w:r>
              <w:t xml:space="preserve">(NovaStar letter; Employer Letter)</w:t>
            </w:r>
          </w:p>
        </w:tc>
        <w:tc>
          <w:tcPr/>
          <w:p>
            <w:pPr>
              <w:pStyle w:val="Compact"/>
              <w:jc w:val="left"/>
            </w:pPr>
            <w:r>
              <w:t xml:space="preserve">Résumé overstates end by ~1 month</w:t>
            </w:r>
          </w:p>
        </w:tc>
      </w:tr>
    </w:tbl>
    <w:p>
      <w:pPr>
        <w:pStyle w:val="BodyText"/>
      </w:pPr>
      <w:r>
        <w:t xml:space="preserve">The résumé lengthens both tenures. Using the verified (letter) dates, there is an</w:t>
      </w:r>
      <w:r>
        <w:t xml:space="preserve"> </w:t>
      </w:r>
      <w:r>
        <w:rPr>
          <w:b/>
          <w:bCs/>
        </w:rPr>
        <w:t xml:space="preserve">unexplained gap of approximately four months between Kiran (ended December 9, 2016) and NovaStar (began April 2017)</w:t>
      </w:r>
      <w:r>
        <w:t xml:space="preserve">. The résumé’s March 2017 end date for Kiran appears to paper over this gap.</w:t>
      </w:r>
    </w:p>
    <w:p>
      <w:pPr>
        <w:pStyle w:val="BodyText"/>
      </w:pPr>
      <w:r>
        <w:rPr>
          <w:b/>
          <w:bCs/>
        </w:rPr>
        <w:t xml:space="preserve">Risk:</w:t>
      </w:r>
      <w:r>
        <w:t xml:space="preserve"> </w:t>
      </w:r>
      <w:r>
        <w:t xml:space="preserve">Date inconsistencies between the résumé and contemporaneous experience letters are a classic RFE trigger and can undermine the beneficiary’s overall credibility. The unexplained gap may draw questions about status/location during that period.</w:t>
      </w:r>
    </w:p>
    <w:p>
      <w:pPr>
        <w:pStyle w:val="BodyText"/>
      </w:pPr>
      <w:r>
        <w:rPr>
          <w:b/>
          <w:bCs/>
        </w:rPr>
        <w:t xml:space="preserve">Recommendation:</w:t>
      </w:r>
      <w:r>
        <w:t xml:space="preserve"> </w:t>
      </w:r>
      <w:r>
        <w:t xml:space="preserve">Correct the résumé to match the verified letter dates. Account for the December 2016–April 2017 period (e.g., return to India, job search, etc.) and document status during that interval if relevant. Ensure all date references across the package are reconciled to the experience letters.</w:t>
      </w:r>
    </w:p>
    <w:p>
      <w:r>
        <w:pict>
          <v:rect style="width:0;height:1.5pt" o:hralign="center" o:hrstd="t" o:hr="t"/>
        </w:pict>
      </w:r>
    </w:p>
    <w:p>
      <w:pPr>
        <w:pStyle w:val="FirstParagraph"/>
      </w:pPr>
      <w:r>
        <w:rPr>
          <w:b/>
          <w:bCs/>
        </w:rPr>
        <w:t xml:space="preserve">Issue 5 (Critical) — No documentation for the independent consulting period (August 2020–August 2023).</w:t>
      </w:r>
    </w:p>
    <w:p>
      <w:pPr>
        <w:pStyle w:val="BodyText"/>
      </w:pPr>
      <w:r>
        <w:t xml:space="preserve">The Employer Support Letter and résumé both rely on a three-year period as an</w:t>
      </w:r>
      <w:r>
        <w:t xml:space="preserve"> </w:t>
      </w:r>
      <w:r>
        <w:t xml:space="preserve">“</w:t>
      </w:r>
      <w:r>
        <w:t xml:space="preserve">Independent Machine Learning Consultant</w:t>
      </w:r>
      <w:r>
        <w:t xml:space="preserve">”</w:t>
      </w:r>
      <w:r>
        <w:t xml:space="preserve"> </w:t>
      </w:r>
      <w:r>
        <w:t xml:space="preserve">(August 2020–August 2023), describing NLP pipelines, transformer fine-tuning, fraud-detection models, and LLM workflows.</w:t>
      </w:r>
      <w:r>
        <w:t xml:space="preserve"> </w:t>
      </w:r>
      <w:r>
        <w:rPr>
          <w:b/>
          <w:bCs/>
        </w:rPr>
        <w:t xml:space="preserve">No supporting documentation for this period is included</w:t>
      </w:r>
      <w:r>
        <w:t xml:space="preserve"> </w:t>
      </w:r>
      <w:r>
        <w:t xml:space="preserve">— there is no experience letter, no client letters, no 1099s or business tax records, no business registration, and no project descriptions. This is the single largest block of</w:t>
      </w:r>
      <w:r>
        <w:t xml:space="preserve"> </w:t>
      </w:r>
      <w:r>
        <w:t xml:space="preserve">“</w:t>
      </w:r>
      <w:r>
        <w:t xml:space="preserve">progressive ML experience</w:t>
      </w:r>
      <w:r>
        <w:t xml:space="preserve">”</w:t>
      </w:r>
      <w:r>
        <w:t xml:space="preserve"> </w:t>
      </w:r>
      <w:r>
        <w:t xml:space="preserve">cited and is entirely uncorroborated.</w:t>
      </w:r>
    </w:p>
    <w:p>
      <w:pPr>
        <w:pStyle w:val="BodyText"/>
      </w:pPr>
      <w:r>
        <w:rPr>
          <w:b/>
          <w:bCs/>
        </w:rPr>
        <w:t xml:space="preserve">Risk:</w:t>
      </w:r>
      <w:r>
        <w:t xml:space="preserve"> </w:t>
      </w:r>
      <w:r>
        <w:t xml:space="preserve">Self-employment is inherently difficult to document and is scrutinized. An uncorroborated three-year period that the petition relies upon for both the experience requirement and the</w:t>
      </w:r>
      <w:r>
        <w:t xml:space="preserve"> </w:t>
      </w:r>
      <w:r>
        <w:t xml:space="preserve">“</w:t>
      </w:r>
      <w:r>
        <w:t xml:space="preserve">progressive experience</w:t>
      </w:r>
      <w:r>
        <w:t xml:space="preserve">”</w:t>
      </w:r>
      <w:r>
        <w:t xml:space="preserve"> </w:t>
      </w:r>
      <w:r>
        <w:t xml:space="preserve">narrative is a significant evidentiary gap and a likely RFE target.</w:t>
      </w:r>
    </w:p>
    <w:p>
      <w:pPr>
        <w:pStyle w:val="BodyText"/>
      </w:pPr>
      <w:r>
        <w:rPr>
          <w:b/>
          <w:bCs/>
        </w:rPr>
        <w:t xml:space="preserve">Recommendation:</w:t>
      </w:r>
      <w:r>
        <w:t xml:space="preserve"> </w:t>
      </w:r>
      <w:r>
        <w:t xml:space="preserve">Obtain client letters (on client letterhead, signed by a supervisor/engagement lead) for each material engagement, describing duties, dates, and the beneficiary’s role; provide 1099s or Schedule C/business tax returns; and provide any business registration. If the period cannot be adequately documented, re-evaluate whether the remaining verifiable experience (NovaStar + Brightfield) satisfies the 3-year minimum and the</w:t>
      </w:r>
      <w:r>
        <w:t xml:space="preserve"> </w:t>
      </w:r>
      <w:r>
        <w:t xml:space="preserve">“</w:t>
      </w:r>
      <w:r>
        <w:t xml:space="preserve">progressive</w:t>
      </w:r>
      <w:r>
        <w:t xml:space="preserve">”</w:t>
      </w:r>
      <w:r>
        <w:t xml:space="preserve"> </w:t>
      </w:r>
      <w:r>
        <w:t xml:space="preserve">characterization.</w:t>
      </w:r>
    </w:p>
    <w:p>
      <w:r>
        <w:pict>
          <v:rect style="width:0;height:1.5pt" o:hralign="center" o:hrstd="t" o:hr="t"/>
        </w:pict>
      </w:r>
    </w:p>
    <w:p>
      <w:pPr>
        <w:pStyle w:val="FirstParagraph"/>
      </w:pPr>
      <w:r>
        <w:rPr>
          <w:b/>
          <w:bCs/>
        </w:rPr>
        <w:t xml:space="preserve">Issue 19 (Housekeeping) —</w:t>
      </w:r>
      <w:r>
        <w:rPr>
          <w:b/>
          <w:bCs/>
        </w:rPr>
        <w:t xml:space="preserve"> </w:t>
      </w:r>
      <w:r>
        <w:rPr>
          <w:b/>
          <w:bCs/>
        </w:rPr>
        <w:t xml:space="preserve">“</w:t>
      </w:r>
      <w:r>
        <w:rPr>
          <w:b/>
          <w:bCs/>
        </w:rPr>
        <w:t xml:space="preserve">8+ years progressive ML experience</w:t>
      </w:r>
      <w:r>
        <w:rPr>
          <w:b/>
          <w:bCs/>
        </w:rPr>
        <w:t xml:space="preserve">”</w:t>
      </w:r>
      <w:r>
        <w:rPr>
          <w:b/>
          <w:bCs/>
        </w:rPr>
        <w:t xml:space="preserve"> </w:t>
      </w:r>
      <w:r>
        <w:rPr>
          <w:b/>
          <w:bCs/>
        </w:rPr>
        <w:t xml:space="preserve">overcounts non-ML period.</w:t>
      </w:r>
    </w:p>
    <w:p>
      <w:pPr>
        <w:pStyle w:val="BodyText"/>
      </w:pPr>
      <w:r>
        <w:t xml:space="preserve">The Employer Support Letter states the beneficiary has</w:t>
      </w:r>
      <w:r>
        <w:t xml:space="preserve"> </w:t>
      </w:r>
      <w:r>
        <w:t xml:space="preserve">“</w:t>
      </w:r>
      <w:r>
        <w:t xml:space="preserve">over 8 years of progressive experience in software development and machine learning engineering.</w:t>
      </w:r>
      <w:r>
        <w:t xml:space="preserve">”</w:t>
      </w:r>
      <w:r>
        <w:t xml:space="preserve"> </w:t>
      </w:r>
      <w:r>
        <w:t xml:space="preserve">The Kiran period (June 2014–December 2016, ~2.5 years) was general</w:t>
      </w:r>
      <w:r>
        <w:t xml:space="preserve"> </w:t>
      </w:r>
      <w:r>
        <w:rPr>
          <w:b/>
          <w:bCs/>
        </w:rPr>
        <w:t xml:space="preserve">software development</w:t>
      </w:r>
      <w:r>
        <w:t xml:space="preserve"> </w:t>
      </w:r>
      <w:r>
        <w:t xml:space="preserve">(Java/Python applications, database management, basic reporting) per both the résumé and the Kiran experience letter — not machine learning. ML-specific experience is therefore approximately NovaStar (~3.3 yrs) + consulting (~3 yrs, undocumented) + Brightfield (~1.5 yrs) ≈ 7.8 years, and the</w:t>
      </w:r>
      <w:r>
        <w:t xml:space="preserve"> </w:t>
      </w:r>
      <w:r>
        <w:t xml:space="preserve">“</w:t>
      </w:r>
      <w:r>
        <w:t xml:space="preserve">progressive</w:t>
      </w:r>
      <w:r>
        <w:t xml:space="preserve">”</w:t>
      </w:r>
      <w:r>
        <w:t xml:space="preserve"> </w:t>
      </w:r>
      <w:r>
        <w:t xml:space="preserve">trajectory is interrupted by the software-development start and the undocumented consulting period.</w:t>
      </w:r>
    </w:p>
    <w:p>
      <w:pPr>
        <w:pStyle w:val="BodyText"/>
      </w:pPr>
      <w:r>
        <w:rPr>
          <w:b/>
          <w:bCs/>
        </w:rPr>
        <w:t xml:space="preserve">Recommendation:</w:t>
      </w:r>
      <w:r>
        <w:t xml:space="preserve"> </w:t>
      </w:r>
      <w:r>
        <w:t xml:space="preserve">Refine the characterization to distinguish software-development experience from ML experience, and avoid overstating the ML-specific duration.</w:t>
      </w:r>
    </w:p>
    <w:p>
      <w:r>
        <w:pict>
          <v:rect style="width:0;height:1.5pt" o:hralign="center" o:hrstd="t" o:hr="t"/>
        </w:pict>
      </w:r>
    </w:p>
    <w:bookmarkEnd w:id="26"/>
    <w:bookmarkStart w:id="27" w:name="d.-lca-posting-and-notice-compliance"/>
    <w:p>
      <w:pPr>
        <w:pStyle w:val="Heading3"/>
      </w:pPr>
      <w:r>
        <w:t xml:space="preserve">D. LCA Posting and Notice Compliance</w:t>
      </w:r>
    </w:p>
    <w:p>
      <w:pPr>
        <w:pStyle w:val="FirstParagraph"/>
      </w:pPr>
      <w:r>
        <w:rPr>
          <w:b/>
          <w:bCs/>
        </w:rPr>
        <w:t xml:space="preserve">Issue 6 (Moderate) — Posting period is short of the 10-business-day requirement.</w:t>
      </w:r>
    </w:p>
    <w:p>
      <w:pPr>
        <w:pStyle w:val="BodyText"/>
      </w:pPr>
      <w:r>
        <w:t xml:space="preserve">Both the certified LCA (Section J) and the LCA Posting Notice state the notice was posted</w:t>
      </w:r>
      <w:r>
        <w:t xml:space="preserve"> </w:t>
      </w:r>
      <w:r>
        <w:rPr>
          <w:b/>
          <w:bCs/>
        </w:rPr>
        <w:t xml:space="preserve">March 10, 2025 through March 19, 2025</w:t>
      </w:r>
      <w:r>
        <w:t xml:space="preserve">. Counting business days (Monday–Friday) over that span:</w:t>
      </w:r>
    </w:p>
    <w:p>
      <w:pPr>
        <w:pStyle w:val="Compact"/>
        <w:numPr>
          <w:ilvl w:val="0"/>
          <w:numId w:val="1002"/>
        </w:numPr>
      </w:pPr>
      <w:r>
        <w:t xml:space="preserve">Week 1: Mon Mar 10, Tue Mar 11, Wed Mar 12, Thu Mar 13, Fri Mar 14 (5)</w:t>
      </w:r>
    </w:p>
    <w:p>
      <w:pPr>
        <w:pStyle w:val="Compact"/>
        <w:numPr>
          <w:ilvl w:val="0"/>
          <w:numId w:val="1002"/>
        </w:numPr>
      </w:pPr>
      <w:r>
        <w:t xml:space="preserve">Weekend: Mar 15–16</w:t>
      </w:r>
    </w:p>
    <w:p>
      <w:pPr>
        <w:pStyle w:val="Compact"/>
        <w:numPr>
          <w:ilvl w:val="0"/>
          <w:numId w:val="1002"/>
        </w:numPr>
      </w:pPr>
      <w:r>
        <w:t xml:space="preserve">Week 2: Mon Mar 17, Tue Mar 18, Wed Mar 19 (3)</w:t>
      </w:r>
    </w:p>
    <w:p>
      <w:pPr>
        <w:pStyle w:val="FirstParagraph"/>
      </w:pPr>
      <w:r>
        <w:rPr>
          <w:b/>
          <w:bCs/>
        </w:rPr>
        <w:t xml:space="preserve">Total = 8 business days.</w:t>
      </w:r>
      <w:r>
        <w:t xml:space="preserve"> </w:t>
      </w:r>
      <w:r>
        <w:t xml:space="preserve">20 CFR 655.734(a)(1) requires that the notice be posted</w:t>
      </w:r>
      <w:r>
        <w:t xml:space="preserve"> </w:t>
      </w:r>
      <w:r>
        <w:t xml:space="preserve">“</w:t>
      </w:r>
      <w:r>
        <w:t xml:space="preserve">for a total of 10 consecutive business days</w:t>
      </w:r>
      <w:r>
        <w:t xml:space="preserve">”</w:t>
      </w:r>
      <w:r>
        <w:t xml:space="preserve"> </w:t>
      </w:r>
      <w:r>
        <w:t xml:space="preserve">in two conspicuous locations. The documented posting is short by two business days.</w:t>
      </w:r>
    </w:p>
    <w:p>
      <w:pPr>
        <w:pStyle w:val="BodyText"/>
      </w:pPr>
      <w:r>
        <w:rPr>
          <w:b/>
          <w:bCs/>
        </w:rPr>
        <w:t xml:space="preserve">Risk:</w:t>
      </w:r>
      <w:r>
        <w:t xml:space="preserve"> </w:t>
      </w:r>
      <w:r>
        <w:t xml:space="preserve">A deficient posting can invalidate the LCA notice attestation and expose the employer to DOL Wage and Hour enforcement; it is also a consistency defect USCIS may note.</w:t>
      </w:r>
    </w:p>
    <w:p>
      <w:pPr>
        <w:pStyle w:val="BodyText"/>
      </w:pPr>
      <w:r>
        <w:rPr>
          <w:b/>
          <w:bCs/>
        </w:rPr>
        <w:t xml:space="preserve">Recommendation:</w:t>
      </w:r>
      <w:r>
        <w:t xml:space="preserve"> </w:t>
      </w:r>
      <w:r>
        <w:t xml:space="preserve">Re-post for a full 10 consecutive business days before filing, retain evidence (photos/dated logs) of posting at two locations, and update the LCA notice attation dates accordingly. If the LCA must be re-filed to reflect corrected posting, coordinate with the PWD validity window (open through January 14, 2026).</w:t>
      </w:r>
    </w:p>
    <w:p>
      <w:r>
        <w:pict>
          <v:rect style="width:0;height:1.5pt" o:hralign="center" o:hrstd="t" o:hr="t"/>
        </w:pict>
      </w:r>
    </w:p>
    <w:p>
      <w:pPr>
        <w:pStyle w:val="FirstParagraph"/>
      </w:pPr>
      <w:r>
        <w:rPr>
          <w:b/>
          <w:bCs/>
        </w:rPr>
        <w:t xml:space="preserve">Issue 18 (Housekeeping) — Posting-location documentation incomplete.</w:t>
      </w:r>
    </w:p>
    <w:p>
      <w:pPr>
        <w:pStyle w:val="BodyText"/>
      </w:pPr>
      <w:r>
        <w:t xml:space="preserve">The LCA Posting Notice states the notice is</w:t>
      </w:r>
      <w:r>
        <w:t xml:space="preserve"> </w:t>
      </w:r>
      <w:r>
        <w:t xml:space="preserve">“</w:t>
      </w:r>
      <w:r>
        <w:t xml:space="preserve">posted in two conspicuous locations,</w:t>
      </w:r>
      <w:r>
        <w:t xml:space="preserve">”</w:t>
      </w:r>
      <w:r>
        <w:t xml:space="preserve"> </w:t>
      </w:r>
      <w:r>
        <w:t xml:space="preserve">but the certified LCA (Section J.3) documents only one location (</w:t>
      </w:r>
      <w:r>
        <w:t xml:space="preserve">“</w:t>
      </w:r>
      <w:r>
        <w:t xml:space="preserve">Employee common area / break room, first floor</w:t>
      </w:r>
      <w:r>
        <w:t xml:space="preserve">”</w:t>
      </w:r>
      <w:r>
        <w:t xml:space="preserve">). The regulation requires two conspicuous locations (or electronic notice where there is no physical worksite).</w:t>
      </w:r>
    </w:p>
    <w:p>
      <w:pPr>
        <w:pStyle w:val="BodyText"/>
      </w:pPr>
      <w:r>
        <w:rPr>
          <w:b/>
          <w:bCs/>
        </w:rPr>
        <w:t xml:space="preserve">Recommendation:</w:t>
      </w:r>
      <w:r>
        <w:t xml:space="preserve"> </w:t>
      </w:r>
      <w:r>
        <w:t xml:space="preserve">Document both physical posting locations and retain evidence of each.</w:t>
      </w:r>
    </w:p>
    <w:p>
      <w:r>
        <w:pict>
          <v:rect style="width:0;height:1.5pt" o:hralign="center" o:hrstd="t" o:hr="t"/>
        </w:pict>
      </w:r>
    </w:p>
    <w:bookmarkEnd w:id="27"/>
    <w:bookmarkStart w:id="28" w:name="X48557bb40482d11b3ccb445676b5857791146e8"/>
    <w:p>
      <w:pPr>
        <w:pStyle w:val="Heading3"/>
      </w:pPr>
      <w:r>
        <w:t xml:space="preserve">E. Document Consistency and Clerical Errors</w:t>
      </w:r>
    </w:p>
    <w:p>
      <w:pPr>
        <w:pStyle w:val="FirstParagraph"/>
      </w:pPr>
      <w:r>
        <w:rPr>
          <w:b/>
          <w:bCs/>
        </w:rPr>
        <w:t xml:space="preserve">Issue 8 (Moderate) — Posting-notice employer telephone is the beneficiary’s cell; employer phone inconsistent across documents.</w:t>
      </w:r>
    </w:p>
    <w:p>
      <w:pPr>
        <w:pStyle w:val="BodyText"/>
      </w:pPr>
      <w:r>
        <w:t xml:space="preserve">The LCA Posting Notice lists the employer contact telephone as</w:t>
      </w:r>
      <w:r>
        <w:t xml:space="preserve"> </w:t>
      </w:r>
      <w:r>
        <w:rPr>
          <w:b/>
          <w:bCs/>
        </w:rPr>
        <w:t xml:space="preserve">(512) 555-0174</w:t>
      </w:r>
      <w:r>
        <w:t xml:space="preserve">. That number is the</w:t>
      </w:r>
      <w:r>
        <w:t xml:space="preserve"> </w:t>
      </w:r>
      <w:r>
        <w:rPr>
          <w:b/>
          <w:bCs/>
        </w:rPr>
        <w:t xml:space="preserve">beneficiary’s personal cell phone</w:t>
      </w:r>
      <w:r>
        <w:t xml:space="preserve"> </w:t>
      </w:r>
      <w:r>
        <w:t xml:space="preserve">as listed on the beneficiary’s résumé — not the employer’s. Separately, the employer’s telephone number differs across four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Brightfield telephone</w:t>
            </w:r>
          </w:p>
        </w:tc>
      </w:tr>
      <w:tr>
        <w:tc>
          <w:tcPr/>
          <w:p>
            <w:pPr>
              <w:pStyle w:val="Compact"/>
              <w:jc w:val="left"/>
            </w:pPr>
            <w:r>
              <w:t xml:space="preserve">Employer Support Letter (letterhead &amp; contact)</w:t>
            </w:r>
          </w:p>
        </w:tc>
        <w:tc>
          <w:tcPr/>
          <w:p>
            <w:pPr>
              <w:pStyle w:val="Compact"/>
              <w:jc w:val="left"/>
            </w:pPr>
            <w:r>
              <w:t xml:space="preserve">(512) 555-0194</w:t>
            </w:r>
          </w:p>
        </w:tc>
      </w:tr>
      <w:tr>
        <w:tc>
          <w:tcPr/>
          <w:p>
            <w:pPr>
              <w:pStyle w:val="Compact"/>
              <w:jc w:val="left"/>
            </w:pPr>
            <w:r>
              <w:t xml:space="preserve">Certified LCA (C.4 / D.4)</w:t>
            </w:r>
          </w:p>
        </w:tc>
        <w:tc>
          <w:tcPr/>
          <w:p>
            <w:pPr>
              <w:pStyle w:val="Compact"/>
              <w:jc w:val="left"/>
            </w:pPr>
            <w:r>
              <w:t xml:space="preserve">(512) 555-0142</w:t>
            </w:r>
          </w:p>
        </w:tc>
      </w:tr>
      <w:tr>
        <w:tc>
          <w:tcPr/>
          <w:p>
            <w:pPr>
              <w:pStyle w:val="Compact"/>
              <w:jc w:val="left"/>
            </w:pPr>
            <w:r>
              <w:t xml:space="preserve">PWD (employer/POC)</w:t>
            </w:r>
          </w:p>
        </w:tc>
        <w:tc>
          <w:tcPr/>
          <w:p>
            <w:pPr>
              <w:pStyle w:val="Compact"/>
              <w:jc w:val="left"/>
            </w:pPr>
            <w:r>
              <w:t xml:space="preserve">(512) 555-0187</w:t>
            </w:r>
          </w:p>
        </w:tc>
      </w:tr>
      <w:tr>
        <w:tc>
          <w:tcPr/>
          <w:p>
            <w:pPr>
              <w:pStyle w:val="Compact"/>
              <w:jc w:val="left"/>
            </w:pPr>
            <w:r>
              <w:t xml:space="preserve">LCA Posting Notice (employer contact)</w:t>
            </w:r>
          </w:p>
        </w:tc>
        <w:tc>
          <w:tcPr/>
          <w:p>
            <w:pPr>
              <w:pStyle w:val="Compact"/>
              <w:jc w:val="left"/>
            </w:pPr>
            <w:r>
              <w:t xml:space="preserve">(512) 555-0174 (= beneficiary cell)</w:t>
            </w:r>
          </w:p>
        </w:tc>
      </w:tr>
    </w:tbl>
    <w:p>
      <w:pPr>
        <w:pStyle w:val="BodyText"/>
      </w:pPr>
      <w:r>
        <w:rPr>
          <w:b/>
          <w:bCs/>
        </w:rPr>
        <w:t xml:space="preserve">Risk:</w:t>
      </w:r>
      <w:r>
        <w:t xml:space="preserve"> </w:t>
      </w:r>
      <w:r>
        <w:t xml:space="preserve">Listing the beneficiary’s personal number as the employer contact on a public-facing LCA notice is a clerical error that can raise authenticity concerns and misdirect inquiries. The four divergent employer numbers across the package are an internal-consistency defect.</w:t>
      </w:r>
    </w:p>
    <w:p>
      <w:pPr>
        <w:pStyle w:val="BodyText"/>
      </w:pPr>
      <w:r>
        <w:rPr>
          <w:b/>
          <w:bCs/>
        </w:rPr>
        <w:t xml:space="preserve">Recommendation:</w:t>
      </w:r>
      <w:r>
        <w:t xml:space="preserve"> </w:t>
      </w:r>
      <w:r>
        <w:t xml:space="preserve">Correct the posting-notice telephone to the employer’s actual number and reconcile the employer telephone across the Employer Support Letter, LCA, PWD, and posting notice to a single, consistent number.</w:t>
      </w:r>
    </w:p>
    <w:p>
      <w:r>
        <w:pict>
          <v:rect style="width:0;height:1.5pt" o:hralign="center" o:hrstd="t" o:hr="t"/>
        </w:pict>
      </w:r>
    </w:p>
    <w:p>
      <w:pPr>
        <w:pStyle w:val="FirstParagraph"/>
      </w:pPr>
      <w:r>
        <w:rPr>
          <w:b/>
          <w:bCs/>
        </w:rPr>
        <w:t xml:space="preserve">Issue 7 (Moderate) — Supervisory scope: 3 vs. 2 direct reports.</w:t>
      </w:r>
    </w:p>
    <w:p>
      <w:pPr>
        <w:pStyle w:val="BodyText"/>
      </w:pPr>
      <w:r>
        <w:t xml:space="preserve">The Employer Support Letter (Section 2, Duty 4) states the role involves</w:t>
      </w:r>
      <w:r>
        <w:t xml:space="preserve"> </w:t>
      </w:r>
      <w:r>
        <w:t xml:space="preserve">“</w:t>
      </w:r>
      <w:r>
        <w:t xml:space="preserve">Leading and mentoring a team of</w:t>
      </w:r>
      <w:r>
        <w:t xml:space="preserve"> </w:t>
      </w:r>
      <w:r>
        <w:rPr>
          <w:b/>
          <w:bCs/>
        </w:rPr>
        <w:t xml:space="preserve">3</w:t>
      </w:r>
      <w:r>
        <w:t xml:space="preserve"> </w:t>
      </w:r>
      <w:r>
        <w:t xml:space="preserve">junior data scientists</w:t>
      </w:r>
      <w:r>
        <w:t xml:space="preserve">”</w:t>
      </w:r>
      <w:r>
        <w:t xml:space="preserve"> </w:t>
      </w:r>
      <w:r>
        <w:t xml:space="preserve">(15% of time). The Organizational Chart shows only</w:t>
      </w:r>
      <w:r>
        <w:t xml:space="preserve"> </w:t>
      </w:r>
      <w:r>
        <w:rPr>
          <w:b/>
          <w:bCs/>
        </w:rPr>
        <w:t xml:space="preserve">2</w:t>
      </w:r>
      <w:r>
        <w:t xml:space="preserve"> </w:t>
      </w:r>
      <w:r>
        <w:t xml:space="preserve">Data Scientist direct reports at Level 4 reporting to the Senior Machine Learning Engineer. This inconsistency affects (a) the accuracy of the duties description, (b) the supervisory characterization that drives the wage-level analysis (Issue 3), and (c) the specialty-occupation showing.</w:t>
      </w:r>
    </w:p>
    <w:p>
      <w:pPr>
        <w:pStyle w:val="BodyText"/>
      </w:pPr>
      <w:r>
        <w:rPr>
          <w:b/>
          <w:bCs/>
        </w:rPr>
        <w:t xml:space="preserve">Recommendation:</w:t>
      </w:r>
      <w:r>
        <w:t xml:space="preserve"> </w:t>
      </w:r>
      <w:r>
        <w:t xml:space="preserve">Reconcile the number of direct reports. If the team is two, correct Duty 4; if three, update the org chart. Ensure the supervisory description is accurate and consistent with the wage level claimed.</w:t>
      </w:r>
    </w:p>
    <w:p>
      <w:r>
        <w:pict>
          <v:rect style="width:0;height:1.5pt" o:hralign="center" o:hrstd="t" o:hr="t"/>
        </w:pict>
      </w:r>
    </w:p>
    <w:p>
      <w:pPr>
        <w:pStyle w:val="FirstParagraph"/>
      </w:pPr>
      <w:r>
        <w:rPr>
          <w:b/>
          <w:bCs/>
        </w:rPr>
        <w:t xml:space="preserve">Issue 12 (Moderate) — Reporting structure described as permanent but is interim.</w:t>
      </w:r>
    </w:p>
    <w:p>
      <w:pPr>
        <w:pStyle w:val="BodyText"/>
      </w:pPr>
      <w:r>
        <w:t xml:space="preserve">The Employer Support Letter (Section 2) states the Senior Machine Learning Engineer</w:t>
      </w:r>
      <w:r>
        <w:t xml:space="preserve"> </w:t>
      </w:r>
      <w:r>
        <w:t xml:space="preserve">“</w:t>
      </w:r>
      <w:r>
        <w:t xml:space="preserve">reports directly to the Chief Technology Officer (CTO)</w:t>
      </w:r>
      <w:r>
        <w:t xml:space="preserve">”</w:t>
      </w:r>
      <w:r>
        <w:t xml:space="preserve"> </w:t>
      </w:r>
      <w:r>
        <w:t xml:space="preserve">as a settled arrangement. The Organizational Chart reveals this is</w:t>
      </w:r>
      <w:r>
        <w:t xml:space="preserve"> </w:t>
      </w:r>
      <w:r>
        <w:rPr>
          <w:b/>
          <w:bCs/>
        </w:rPr>
        <w:t xml:space="preserve">interim</w:t>
      </w:r>
      <w:r>
        <w:t xml:space="preserve">: the Vice President of Data Science position is</w:t>
      </w:r>
      <w:r>
        <w:t xml:space="preserve"> </w:t>
      </w:r>
      <w:r>
        <w:t xml:space="preserve">“</w:t>
      </w:r>
      <w:r>
        <w:t xml:space="preserve">TBH (To Be Hired),</w:t>
      </w:r>
      <w:r>
        <w:t xml:space="preserve">”</w:t>
      </w:r>
      <w:r>
        <w:t xml:space="preserve"> </w:t>
      </w:r>
      <w:r>
        <w:t xml:space="preserve">and the Senior ML Engineer reports to the CTO only</w:t>
      </w:r>
      <w:r>
        <w:t xml:space="preserve"> </w:t>
      </w:r>
      <w:r>
        <w:t xml:space="preserve">“</w:t>
      </w:r>
      <w:r>
        <w:t xml:space="preserve">pending the hire of the Vice President of Data Science.</w:t>
      </w:r>
      <w:r>
        <w:t xml:space="preserve">”</w:t>
      </w:r>
      <w:r>
        <w:t xml:space="preserve"> </w:t>
      </w:r>
      <w:r>
        <w:t xml:space="preserve">Once the VP is hired, the reporting line changes.</w:t>
      </w:r>
    </w:p>
    <w:p>
      <w:pPr>
        <w:pStyle w:val="BodyText"/>
      </w:pPr>
      <w:r>
        <w:rPr>
          <w:b/>
          <w:bCs/>
        </w:rPr>
        <w:t xml:space="preserve">Recommendation:</w:t>
      </w:r>
      <w:r>
        <w:t xml:space="preserve"> </w:t>
      </w:r>
      <w:r>
        <w:t xml:space="preserve">Clarify the reporting structure in the Employer Support Letter (note the interim CTO reporting and the planned VP level), or remove the forward-looking VP layer from the org chart if it will not be filled imminently. Inconsistency between the letter and the org chart on a basic organizational fact is avoidable.</w:t>
      </w:r>
    </w:p>
    <w:p>
      <w:r>
        <w:pict>
          <v:rect style="width:0;height:1.5pt" o:hralign="center" o:hrstd="t" o:hr="t"/>
        </w:pict>
      </w:r>
    </w:p>
    <w:p>
      <w:pPr>
        <w:pStyle w:val="FirstParagraph"/>
      </w:pPr>
      <w:r>
        <w:rPr>
          <w:b/>
          <w:bCs/>
        </w:rPr>
        <w:t xml:space="preserve">Issue 14 (Housekeeping) — Current title vs. petitioned title not reconciled.</w:t>
      </w:r>
    </w:p>
    <w:p>
      <w:pPr>
        <w:pStyle w:val="BodyText"/>
      </w:pPr>
      <w:r>
        <w:t xml:space="preserve">The résumé lists the beneficiary’s current Brightfield title as</w:t>
      </w:r>
      <w:r>
        <w:t xml:space="preserve"> </w:t>
      </w:r>
      <w:r>
        <w:rPr>
          <w:b/>
          <w:bCs/>
        </w:rPr>
        <w:t xml:space="preserve">“</w:t>
      </w:r>
      <w:r>
        <w:rPr>
          <w:b/>
          <w:bCs/>
        </w:rPr>
        <w:t xml:space="preserve">Data Scientist</w:t>
      </w:r>
      <w:r>
        <w:rPr>
          <w:b/>
          <w:bCs/>
        </w:rPr>
        <w:t xml:space="preserve">”</w:t>
      </w:r>
      <w:r>
        <w:t xml:space="preserve"> </w:t>
      </w:r>
      <w:r>
        <w:t xml:space="preserve">(September 2023–present). The petitioned position is</w:t>
      </w:r>
      <w:r>
        <w:t xml:space="preserve"> </w:t>
      </w:r>
      <w:r>
        <w:rPr>
          <w:b/>
          <w:bCs/>
        </w:rPr>
        <w:t xml:space="preserve">“</w:t>
      </w:r>
      <w:r>
        <w:rPr>
          <w:b/>
          <w:bCs/>
        </w:rPr>
        <w:t xml:space="preserve">Senior Machine Learning Engineer.</w:t>
      </w:r>
      <w:r>
        <w:rPr>
          <w:b/>
          <w:bCs/>
        </w:rPr>
        <w:t xml:space="preserve">”</w:t>
      </w:r>
      <w:r>
        <w:t xml:space="preserve"> </w:t>
      </w:r>
      <w:r>
        <w:t xml:space="preserve">The Employer Support Letter describes the current role only generically (</w:t>
      </w:r>
      <w:r>
        <w:t xml:space="preserve">“</w:t>
      </w:r>
      <w:r>
        <w:t xml:space="preserve">contributing to the company’s machine learning and data science initiatives</w:t>
      </w:r>
      <w:r>
        <w:t xml:space="preserve">”</w:t>
      </w:r>
      <w:r>
        <w:t xml:space="preserve">). The package does not explicitly state whether the petition is for a new position, a promotion, or a reclassification, nor how the current Data Scientist duties relate to the proposed Senior ML Engineer duties.</w:t>
      </w:r>
    </w:p>
    <w:p>
      <w:pPr>
        <w:pStyle w:val="BodyText"/>
      </w:pPr>
      <w:r>
        <w:rPr>
          <w:b/>
          <w:bCs/>
        </w:rPr>
        <w:t xml:space="preserve">Recommendation:</w:t>
      </w:r>
      <w:r>
        <w:t xml:space="preserve"> </w:t>
      </w:r>
      <w:r>
        <w:t xml:space="preserve">Add a clear statement of the relationship between the beneficiary’s current role and the petitioned position, and confirm the petitioned position is distinct and bona fide.</w:t>
      </w:r>
    </w:p>
    <w:p>
      <w:r>
        <w:pict>
          <v:rect style="width:0;height:1.5pt" o:hralign="center" o:hrstd="t" o:hr="t"/>
        </w:pict>
      </w:r>
    </w:p>
    <w:bookmarkEnd w:id="28"/>
    <w:bookmarkStart w:id="29" w:name="f.-credential-evaluation-credibility"/>
    <w:p>
      <w:pPr>
        <w:pStyle w:val="Heading3"/>
      </w:pPr>
      <w:r>
        <w:t xml:space="preserve">F. Credential Evaluation Credibility</w:t>
      </w:r>
    </w:p>
    <w:p>
      <w:pPr>
        <w:pStyle w:val="FirstParagraph"/>
      </w:pPr>
      <w:r>
        <w:rPr>
          <w:b/>
          <w:bCs/>
        </w:rPr>
        <w:t xml:space="preserve">Issue 9 (Moderate) — Evaluator’s qualifications.</w:t>
      </w:r>
    </w:p>
    <w:p>
      <w:pPr>
        <w:pStyle w:val="BodyText"/>
      </w:pPr>
      <w:r>
        <w:t xml:space="preserve">The credential evaluation is signed by</w:t>
      </w:r>
      <w:r>
        <w:t xml:space="preserve"> </w:t>
      </w:r>
      <w:r>
        <w:t xml:space="preserve">“</w:t>
      </w:r>
      <w:r>
        <w:t xml:space="preserve">Dr. Linda Farnsworth, Ph.D., Senior Credential Analyst,</w:t>
      </w:r>
      <w:r>
        <w:t xml:space="preserve">”</w:t>
      </w:r>
      <w:r>
        <w:t xml:space="preserve"> </w:t>
      </w:r>
      <w:r>
        <w:t xml:space="preserve">whose Ph.D. is listed as</w:t>
      </w:r>
      <w:r>
        <w:t xml:space="preserve"> </w:t>
      </w:r>
      <w:r>
        <w:t xml:space="preserve">“</w:t>
      </w:r>
      <w:r>
        <w:t xml:space="preserve">Ph.D., Education —</w:t>
      </w:r>
      <w:r>
        <w:t xml:space="preserve"> </w:t>
      </w:r>
      <w:r>
        <w:rPr>
          <w:b/>
          <w:bCs/>
        </w:rPr>
        <w:t xml:space="preserve">Halford University</w:t>
      </w:r>
      <w:r>
        <w:t xml:space="preserve">.</w:t>
      </w:r>
      <w:r>
        <w:t xml:space="preserve">”</w:t>
      </w:r>
      <w:r>
        <w:t xml:space="preserve"> </w:t>
      </w:r>
      <w:r>
        <w:t xml:space="preserve">Two concerns arise on cross-reference:</w:t>
      </w:r>
    </w:p>
    <w:p>
      <w:pPr>
        <w:pStyle w:val="Compact"/>
        <w:numPr>
          <w:ilvl w:val="0"/>
          <w:numId w:val="1003"/>
        </w:numPr>
      </w:pPr>
      <w:r>
        <w:rPr>
          <w:b/>
          <w:bCs/>
        </w:rPr>
        <w:t xml:space="preserve">“</w:t>
      </w:r>
      <w:r>
        <w:rPr>
          <w:b/>
          <w:bCs/>
        </w:rPr>
        <w:t xml:space="preserve">Halford University</w:t>
      </w:r>
      <w:r>
        <w:rPr>
          <w:b/>
          <w:bCs/>
        </w:rPr>
        <w:t xml:space="preserve">”</w:t>
      </w:r>
      <w:r>
        <w:rPr>
          <w:b/>
          <w:bCs/>
        </w:rPr>
        <w:t xml:space="preserve"> </w:t>
      </w:r>
      <w:r>
        <w:rPr>
          <w:b/>
          <w:bCs/>
        </w:rPr>
        <w:t xml:space="preserve">is not a recognized, regionally accredited U.S. institution.</w:t>
      </w:r>
      <w:r>
        <w:t xml:space="preserve"> </w:t>
      </w:r>
      <w:r>
        <w:t xml:space="preserve">If it is unaccredited or a non-traditional institution, the evaluator’s own credential may be challenged, undermining the weight of the evaluation.</w:t>
      </w:r>
    </w:p>
    <w:p>
      <w:pPr>
        <w:pStyle w:val="Compact"/>
        <w:numPr>
          <w:ilvl w:val="0"/>
          <w:numId w:val="1003"/>
        </w:numPr>
      </w:pPr>
      <w:r>
        <w:rPr>
          <w:b/>
          <w:bCs/>
        </w:rPr>
        <w:t xml:space="preserve">The evaluator’s doctorate is in Education, not a technical field</w:t>
      </w:r>
      <w:r>
        <w:t xml:space="preserve">, yet the evaluation opines on the equivalency of an engineering degree and (implicitly) its relevance to a machine-learning specialty.</w:t>
      </w:r>
    </w:p>
    <w:p>
      <w:pPr>
        <w:pStyle w:val="FirstParagraph"/>
      </w:pPr>
      <w:r>
        <w:t xml:space="preserve">Westbridge is represented as a NACES member, which lends some institutional weight, but USCIS evaluates the individual evaluator’s qualifications, particularly where the opinion is central to the qualification prong.</w:t>
      </w:r>
    </w:p>
    <w:p>
      <w:pPr>
        <w:pStyle w:val="BodyText"/>
      </w:pPr>
      <w:r>
        <w:rPr>
          <w:b/>
          <w:bCs/>
        </w:rPr>
        <w:t xml:space="preserve">Recommendation:</w:t>
      </w:r>
      <w:r>
        <w:t xml:space="preserve"> </w:t>
      </w:r>
      <w:r>
        <w:t xml:space="preserve">Verify Halford University’s accreditation status. Consider obtaining the supplemental evaluation recommended under Issue 1 from an evaluator who holds credentials in a relevant technical discipline (computer science, engineering, or data science) and who is willing to opine on field-of-study relevance.</w:t>
      </w:r>
    </w:p>
    <w:p>
      <w:r>
        <w:pict>
          <v:rect style="width:0;height:1.5pt" o:hralign="center" o:hrstd="t" o:hr="t"/>
        </w:pict>
      </w:r>
    </w:p>
    <w:bookmarkEnd w:id="29"/>
    <w:bookmarkStart w:id="30" w:name="g.-missing-or-incomplete-documentation"/>
    <w:p>
      <w:pPr>
        <w:pStyle w:val="Heading3"/>
      </w:pPr>
      <w:r>
        <w:t xml:space="preserve">G. Missing or Incomplete Documentation</w:t>
      </w:r>
    </w:p>
    <w:p>
      <w:pPr>
        <w:pStyle w:val="FirstParagraph"/>
      </w:pPr>
      <w:r>
        <w:rPr>
          <w:b/>
          <w:bCs/>
        </w:rPr>
        <w:t xml:space="preserve">Issue 11 (Moderate) — Ability-to-pay evidence absent.</w:t>
      </w:r>
    </w:p>
    <w:p>
      <w:pPr>
        <w:pStyle w:val="BodyText"/>
      </w:pPr>
      <w:r>
        <w:t xml:space="preserve">The Employer Support Letter asserts Brightfield</w:t>
      </w:r>
      <w:r>
        <w:t xml:space="preserve"> </w:t>
      </w:r>
      <w:r>
        <w:t xml:space="preserve">“</w:t>
      </w:r>
      <w:r>
        <w:t xml:space="preserve">has the financial ability to pay the proffered annual wage of $128,000</w:t>
      </w:r>
      <w:r>
        <w:t xml:space="preserve">”</w:t>
      </w:r>
      <w:r>
        <w:t xml:space="preserve"> </w:t>
      </w:r>
      <w:r>
        <w:t xml:space="preserve">and cites $41.2 million FY2023 revenue and 187 employees. No supporting financial documentation is included (federal tax returns, financial statements, or payroll records). For an employer of this size, USCIS commonly requests ability-to-pay evidence; relying on a self-serving assertion without corroboration invites an RFE. The cited revenue figure is also from FY2023, which is stale relative to an April 2025 filing and an October 1, 2025 start.</w:t>
      </w:r>
    </w:p>
    <w:p>
      <w:pPr>
        <w:pStyle w:val="BodyText"/>
      </w:pPr>
      <w:r>
        <w:rPr>
          <w:b/>
          <w:bCs/>
        </w:rPr>
        <w:t xml:space="preserve">Recommendation:</w:t>
      </w:r>
      <w:r>
        <w:t xml:space="preserve"> </w:t>
      </w:r>
      <w:r>
        <w:t xml:space="preserve">Include the employer’s most recent federal tax return (and financial statements if net income is insufficient), and evidence of current payroll/wage payment capacity. Update to FY2024 figures where available.</w:t>
      </w:r>
    </w:p>
    <w:p>
      <w:r>
        <w:pict>
          <v:rect style="width:0;height:1.5pt" o:hralign="center" o:hrstd="t" o:hr="t"/>
        </w:pict>
      </w:r>
    </w:p>
    <w:p>
      <w:pPr>
        <w:pStyle w:val="FirstParagraph"/>
      </w:pPr>
      <w:r>
        <w:rPr>
          <w:b/>
          <w:bCs/>
        </w:rPr>
        <w:t xml:space="preserve">Issue 15 (Housekeeping) — Degree certificate not included.</w:t>
      </w:r>
    </w:p>
    <w:p>
      <w:pPr>
        <w:pStyle w:val="BodyText"/>
      </w:pPr>
      <w:r>
        <w:t xml:space="preserve">The credential evaluation (Section 2) states it reviewed the</w:t>
      </w:r>
      <w:r>
        <w:t xml:space="preserve"> </w:t>
      </w:r>
      <w:r>
        <w:t xml:space="preserve">“</w:t>
      </w:r>
      <w:r>
        <w:t xml:space="preserve">Original B.Tech degree certificate (Diploma) issued by JNTU Hyderabad, dated May 2014.</w:t>
      </w:r>
      <w:r>
        <w:t xml:space="preserve">”</w:t>
      </w:r>
      <w:r>
        <w:t xml:space="preserve"> </w:t>
      </w:r>
      <w:r>
        <w:t xml:space="preserve">The degree certificate itself is not in the package — only the transcripts and the evaluation. USCIS expects the actual degree certificate (with translation if applicable).</w:t>
      </w:r>
    </w:p>
    <w:p>
      <w:pPr>
        <w:pStyle w:val="BodyText"/>
      </w:pPr>
      <w:r>
        <w:rPr>
          <w:b/>
          <w:bCs/>
        </w:rPr>
        <w:t xml:space="preserve">Recommendation:</w:t>
      </w:r>
      <w:r>
        <w:t xml:space="preserve"> </w:t>
      </w:r>
      <w:r>
        <w:t xml:space="preserve">Include a copy of the B.Tech degree certificate (and a certified English translation if the original is not in English).</w:t>
      </w:r>
    </w:p>
    <w:p>
      <w:r>
        <w:pict>
          <v:rect style="width:0;height:1.5pt" o:hralign="center" o:hrstd="t" o:hr="t"/>
        </w:pict>
      </w:r>
    </w:p>
    <w:p>
      <w:pPr>
        <w:pStyle w:val="FirstParagraph"/>
      </w:pPr>
      <w:r>
        <w:rPr>
          <w:b/>
          <w:bCs/>
        </w:rPr>
        <w:t xml:space="preserve">Issue 16 (Housekeeping) — Beneficiary identity and status documents not included.</w:t>
      </w:r>
    </w:p>
    <w:p>
      <w:pPr>
        <w:pStyle w:val="BodyText"/>
      </w:pPr>
      <w:r>
        <w:t xml:space="preserve">The package contains no beneficiary identity or immigration-status documents (passport copy, I-94, visa, Form I-20, EAD). These are essential to the change-of-status request and to confirming maintenance of status. (See Issue 2 for the substantive concern.)</w:t>
      </w:r>
    </w:p>
    <w:p>
      <w:pPr>
        <w:pStyle w:val="BodyText"/>
      </w:pPr>
      <w:r>
        <w:rPr>
          <w:b/>
          <w:bCs/>
        </w:rPr>
        <w:t xml:space="preserve">Recommendation:</w:t>
      </w:r>
      <w:r>
        <w:t xml:space="preserve"> </w:t>
      </w:r>
      <w:r>
        <w:t xml:space="preserve">Include passport biographic page, most recent visa, I-94, all Form I-20s, and current EAD. Confirm cap-gap coverage if OPT expires before October 1, 2025.</w:t>
      </w:r>
    </w:p>
    <w:p>
      <w:r>
        <w:pict>
          <v:rect style="width:0;height:1.5pt" o:hralign="center" o:hrstd="t" o:hr="t"/>
        </w:pict>
      </w:r>
    </w:p>
    <w:p>
      <w:pPr>
        <w:pStyle w:val="FirstParagraph"/>
      </w:pPr>
      <w:r>
        <w:rPr>
          <w:b/>
          <w:bCs/>
        </w:rPr>
        <w:t xml:space="preserve">Issue 17 (Housekeeping) — Unexecuted signatures.</w:t>
      </w:r>
    </w:p>
    <w:p>
      <w:pPr>
        <w:pStyle w:val="BodyText"/>
      </w:pPr>
      <w:r>
        <w:t xml:space="preserve">Several key documents bear blank or placeholder signature lines: the LCA employer certification (Section L.2), the Employer Support Letter, the credential evaluation, the PWD certifying officer block, and the JNTU transcripts. The Kiran letter is the only experience letter with an apparent signature (</w:t>
      </w:r>
      <w:r>
        <w:t xml:space="preserve">“</w:t>
      </w:r>
      <w:r>
        <w:t xml:space="preserve">/s/ Suresh Raghavan</w:t>
      </w:r>
      <w:r>
        <w:t xml:space="preserve">”</w:t>
      </w:r>
      <w:r>
        <w:t xml:space="preserve">). The NovaStar letter signature line is blank.</w:t>
      </w:r>
    </w:p>
    <w:p>
      <w:pPr>
        <w:pStyle w:val="BodyText"/>
      </w:pPr>
      <w:r>
        <w:rPr>
          <w:b/>
          <w:bCs/>
        </w:rPr>
        <w:t xml:space="preserve">Recommendation:</w:t>
      </w:r>
      <w:r>
        <w:t xml:space="preserve"> </w:t>
      </w:r>
      <w:r>
        <w:t xml:space="preserve">Ensure every document requiring a signature is properly executed and dated before filing; retain original signed copies in the file.</w:t>
      </w:r>
    </w:p>
    <w:p>
      <w:r>
        <w:pict>
          <v:rect style="width:0;height:1.5pt" o:hralign="center" o:hrstd="t" o:hr="t"/>
        </w:pict>
      </w:r>
    </w:p>
    <w:bookmarkEnd w:id="30"/>
    <w:bookmarkStart w:id="31" w:name="Xbb90805f149f305285f593654902bb6219d0a5b"/>
    <w:p>
      <w:pPr>
        <w:pStyle w:val="Heading3"/>
      </w:pPr>
      <w:r>
        <w:t xml:space="preserve">H. Beneficiary Status and Maintenance of Status</w:t>
      </w:r>
    </w:p>
    <w:p>
      <w:pPr>
        <w:pStyle w:val="FirstParagraph"/>
      </w:pPr>
      <w:r>
        <w:rPr>
          <w:b/>
          <w:bCs/>
        </w:rPr>
        <w:t xml:space="preserve">Issue 2 (Critical) — F-1 OPT asserted without a documented U.S. degree; U.S. work history undocumented.</w:t>
      </w:r>
    </w:p>
    <w:p>
      <w:pPr>
        <w:pStyle w:val="BodyText"/>
      </w:pPr>
      <w:r>
        <w:t xml:space="preserve">The Employer Support Letter (Section 4) states the beneficiary</w:t>
      </w:r>
      <w:r>
        <w:t xml:space="preserve"> </w:t>
      </w:r>
      <w:r>
        <w:t xml:space="preserve">“</w:t>
      </w:r>
      <w:r>
        <w:t xml:space="preserve">is currently maintaining valid F-1 Optional Practical Training (OPT) status and will transition to H-1B nonimmigrant status effective October 1, 2025.</w:t>
      </w:r>
      <w:r>
        <w:t xml:space="preserve">”</w:t>
      </w:r>
      <w:r>
        <w:t xml:space="preserve"> </w:t>
      </w:r>
      <w:r>
        <w:t xml:space="preserve">F-1 OPT eligibility, however, requires completion of a</w:t>
      </w:r>
      <w:r>
        <w:t xml:space="preserve"> </w:t>
      </w:r>
      <w:r>
        <w:rPr>
          <w:b/>
          <w:bCs/>
        </w:rPr>
        <w:t xml:space="preserve">U.S. degree program</w:t>
      </w:r>
      <w:r>
        <w:t xml:space="preserve">. The only education documented anywhere in the package is the foreign B.Tech from JNTU Hyderabad (2010–2014). No U.S. degree appears in the résumé, the credential evaluation, or the transcripts.</w:t>
      </w:r>
    </w:p>
    <w:p>
      <w:pPr>
        <w:pStyle w:val="BodyText"/>
      </w:pPr>
      <w:r>
        <w:t xml:space="preserve">This creates two possibilities, both problematic:</w:t>
      </w:r>
    </w:p>
    <w:p>
      <w:pPr>
        <w:pStyle w:val="Compact"/>
        <w:numPr>
          <w:ilvl w:val="0"/>
          <w:numId w:val="1004"/>
        </w:numPr>
      </w:pPr>
      <w:r>
        <w:rPr>
          <w:b/>
          <w:bCs/>
        </w:rPr>
        <w:t xml:space="preserve">A U.S. degree exists but is omitted.</w:t>
      </w:r>
      <w:r>
        <w:t xml:space="preserve"> </w:t>
      </w:r>
      <w:r>
        <w:t xml:space="preserve">If the beneficiary holds an unlisted U.S. degree (e.g., a U.S. master’s in CS/ML), its omission is a major oversight — and, critically, a U.S. CS/ML degree would likely</w:t>
      </w:r>
      <w:r>
        <w:t xml:space="preserve"> </w:t>
      </w:r>
      <w:r>
        <w:rPr>
          <w:b/>
          <w:bCs/>
        </w:rPr>
        <w:t xml:space="preserve">resolve the field-of-study problem in Issue 1</w:t>
      </w:r>
      <w:r>
        <w:t xml:space="preserve"> </w:t>
      </w:r>
      <w:r>
        <w:t xml:space="preserve">and support STEM OPT. The package should be supplemented immediately.</w:t>
      </w:r>
    </w:p>
    <w:p>
      <w:pPr>
        <w:pStyle w:val="Compact"/>
        <w:numPr>
          <w:ilvl w:val="0"/>
          <w:numId w:val="1004"/>
        </w:numPr>
      </w:pPr>
      <w:r>
        <w:rPr>
          <w:b/>
          <w:bCs/>
        </w:rPr>
        <w:t xml:space="preserve">No U.S. degree exists.</w:t>
      </w:r>
      <w:r>
        <w:t xml:space="preserve"> </w:t>
      </w:r>
      <w:r>
        <w:t xml:space="preserve">Then the F-1 OPT assertion is inaccurate, and the basis for the beneficiary’s current U.S. work authorization (at Brightfield since September 5, 2023, and previously at NovaStar in Dallas since April 2017) is unexplained. The beneficiary’s entire U.S. employment history from 2017 forward lacks any immigration-status documentation in this package.</w:t>
      </w:r>
    </w:p>
    <w:p>
      <w:pPr>
        <w:pStyle w:val="FirstParagraph"/>
      </w:pPr>
      <w:r>
        <w:t xml:space="preserve">Either way, the package is internally inconsistent: it asserts F-1 OPT status while documenting only a foreign degree that cannot, by itself, support F-1 OPT.</w:t>
      </w:r>
    </w:p>
    <w:p>
      <w:pPr>
        <w:pStyle w:val="BodyText"/>
      </w:pPr>
      <w:r>
        <w:rPr>
          <w:b/>
          <w:bCs/>
        </w:rPr>
        <w:t xml:space="preserve">Risk:</w:t>
      </w:r>
      <w:r>
        <w:t xml:space="preserve"> </w:t>
      </w:r>
      <w:r>
        <w:t xml:space="preserve">A change-of-status request requires evidence of maintaining lawful status; an unsupported or inaccurate status assertion can result in denial of the change of status (requiring consular processing) or an RFE/NOID. The undocumented U.S. work-authorization history since 2017 is a significant gap.</w:t>
      </w:r>
    </w:p>
    <w:p>
      <w:pPr>
        <w:pStyle w:val="BodyText"/>
      </w:pPr>
      <w:r>
        <w:rPr>
          <w:b/>
          <w:bCs/>
        </w:rPr>
        <w:t xml:space="preserve">Recommendation:</w:t>
      </w:r>
      <w:r>
        <w:t xml:space="preserve"> </w:t>
      </w:r>
      <w:r>
        <w:t xml:space="preserve">Determine and document the beneficiary’s actual current status and full U.S. immigration history. If a U.S. degree exists, include it (with transcripts and the corresponding I-20/EAD), which may also cure Issue 1. If the beneficiary is not on F-1 OPT, correct the Employer Support Letter and pursue the appropriate change-of-status or consular-processing path. Include all status-maintenance evidence (I-20s, EADs, I-94s, pay stubs) covering the period of stay.</w:t>
      </w:r>
    </w:p>
    <w:p>
      <w:r>
        <w:pict>
          <v:rect style="width:0;height:1.5pt" o:hralign="center" o:hrstd="t" o:hr="t"/>
        </w:pict>
      </w:r>
    </w:p>
    <w:bookmarkEnd w:id="31"/>
    <w:bookmarkEnd w:id="32"/>
    <w:bookmarkStart w:id="33" w:name="v.-recommended-remediation-prioritized"/>
    <w:p>
      <w:pPr>
        <w:pStyle w:val="Heading2"/>
      </w:pPr>
      <w:r>
        <w:t xml:space="preserve">V. Recommended Remediation (Prioritized)</w:t>
      </w:r>
    </w:p>
    <w:p>
      <w:pPr>
        <w:pStyle w:val="FirstParagraph"/>
      </w:pPr>
      <w:r>
        <w:rPr>
          <w:b/>
          <w:bCs/>
        </w:rPr>
        <w:t xml:space="preserve">Before filing — must resolve:</w:t>
      </w:r>
    </w:p>
    <w:p>
      <w:pPr>
        <w:pStyle w:val="Compact"/>
        <w:numPr>
          <w:ilvl w:val="0"/>
          <w:numId w:val="1005"/>
        </w:numPr>
      </w:pPr>
      <w:r>
        <w:rPr>
          <w:b/>
          <w:bCs/>
        </w:rPr>
        <w:t xml:space="preserve">Wage level (Issue 3).</w:t>
      </w:r>
      <w:r>
        <w:t xml:space="preserve"> </w:t>
      </w:r>
      <w:r>
        <w:t xml:space="preserve">Reconcile the position’s supervisory/senior/independent-judgment duties with the wage level. If Level 3/4 is appropriate, obtain a new PWD, re-file the LCA, and raise the offered wage to at least the correct prevailing wage. Do not file with an offered wage below the level the duties support.</w:t>
      </w:r>
    </w:p>
    <w:p>
      <w:pPr>
        <w:pStyle w:val="Compact"/>
        <w:numPr>
          <w:ilvl w:val="0"/>
          <w:numId w:val="1005"/>
        </w:numPr>
      </w:pPr>
      <w:r>
        <w:rPr>
          <w:b/>
          <w:bCs/>
        </w:rPr>
        <w:t xml:space="preserve">Field of study (Issue 1).</w:t>
      </w:r>
      <w:r>
        <w:t xml:space="preserve"> </w:t>
      </w:r>
      <w:r>
        <w:t xml:space="preserve">Obtain a supplemental expert evaluation opining on the relevance of the ECE degree (plus experience) to the CS/ML/AI specialty, authored by a technically credentialed evaluator; reconcile the</w:t>
      </w:r>
      <w:r>
        <w:t xml:space="preserve"> </w:t>
      </w:r>
      <w:r>
        <w:t xml:space="preserve">“</w:t>
      </w:r>
      <w:r>
        <w:t xml:space="preserve">alternative qualification</w:t>
      </w:r>
      <w:r>
        <w:t xml:space="preserve">”</w:t>
      </w:r>
      <w:r>
        <w:t xml:space="preserve"> </w:t>
      </w:r>
      <w:r>
        <w:t xml:space="preserve">language.</w:t>
      </w:r>
    </w:p>
    <w:p>
      <w:pPr>
        <w:pStyle w:val="Compact"/>
        <w:numPr>
          <w:ilvl w:val="0"/>
          <w:numId w:val="1005"/>
        </w:numPr>
      </w:pPr>
      <w:r>
        <w:rPr>
          <w:b/>
          <w:bCs/>
        </w:rPr>
        <w:t xml:space="preserve">Status (Issue 2).</w:t>
      </w:r>
      <w:r>
        <w:t xml:space="preserve"> </w:t>
      </w:r>
      <w:r>
        <w:t xml:space="preserve">Document the beneficiary’s actual current status and U.S. immigration history; correct the F-1 OPT assertion if inaccurate; include any U.S. degree (which may also resolve Issue 1).</w:t>
      </w:r>
    </w:p>
    <w:p>
      <w:pPr>
        <w:pStyle w:val="Compact"/>
        <w:numPr>
          <w:ilvl w:val="0"/>
          <w:numId w:val="1005"/>
        </w:numPr>
      </w:pPr>
      <w:r>
        <w:rPr>
          <w:b/>
          <w:bCs/>
        </w:rPr>
        <w:t xml:space="preserve">Experience dates (Issue 4).</w:t>
      </w:r>
      <w:r>
        <w:t xml:space="preserve"> </w:t>
      </w:r>
      <w:r>
        <w:t xml:space="preserve">Correct the résumé to match the experience letters; account for the December 2016–April 2017 gap.</w:t>
      </w:r>
    </w:p>
    <w:p>
      <w:pPr>
        <w:pStyle w:val="Compact"/>
        <w:numPr>
          <w:ilvl w:val="0"/>
          <w:numId w:val="1005"/>
        </w:numPr>
      </w:pPr>
      <w:r>
        <w:rPr>
          <w:b/>
          <w:bCs/>
        </w:rPr>
        <w:t xml:space="preserve">Consulting-period evidence (Issue 5).</w:t>
      </w:r>
      <w:r>
        <w:t xml:space="preserve"> </w:t>
      </w:r>
      <w:r>
        <w:t xml:space="preserve">Obtain client letters and 1099/tax documentation for August 2020–August 2023, or re-evaluate reliance on that period.</w:t>
      </w:r>
    </w:p>
    <w:p>
      <w:pPr>
        <w:pStyle w:val="Compact"/>
        <w:numPr>
          <w:ilvl w:val="0"/>
          <w:numId w:val="1005"/>
        </w:numPr>
      </w:pPr>
      <w:r>
        <w:rPr>
          <w:b/>
          <w:bCs/>
        </w:rPr>
        <w:t xml:space="preserve">LCA posting (Issue 6).</w:t>
      </w:r>
      <w:r>
        <w:t xml:space="preserve"> </w:t>
      </w:r>
      <w:r>
        <w:t xml:space="preserve">Re-post for 10 consecutive business days at two locations; update attestation dates; re-file LCA if necessary.</w:t>
      </w:r>
    </w:p>
    <w:p>
      <w:pPr>
        <w:pStyle w:val="FirstParagraph"/>
      </w:pPr>
      <w:r>
        <w:rPr>
          <w:b/>
          <w:bCs/>
        </w:rPr>
        <w:t xml:space="preserve">Before filing — should resolve:</w:t>
      </w:r>
    </w:p>
    <w:p>
      <w:pPr>
        <w:pStyle w:val="Compact"/>
        <w:numPr>
          <w:ilvl w:val="0"/>
          <w:numId w:val="1006"/>
        </w:numPr>
      </w:pPr>
      <w:r>
        <w:t xml:space="preserve">Reconcile supervisory headcount (Issue 7), reporting structure (Issue 12), and current-vs-petitioned title (Issue 14).</w:t>
      </w:r>
    </w:p>
    <w:p>
      <w:pPr>
        <w:pStyle w:val="Compact"/>
        <w:numPr>
          <w:ilvl w:val="0"/>
          <w:numId w:val="1006"/>
        </w:numPr>
      </w:pPr>
      <w:r>
        <w:t xml:space="preserve">Correct the posting-notice telephone and reconcile the employer telephone across all documents (Issue 8).</w:t>
      </w:r>
    </w:p>
    <w:p>
      <w:pPr>
        <w:pStyle w:val="Compact"/>
        <w:numPr>
          <w:ilvl w:val="0"/>
          <w:numId w:val="1006"/>
        </w:numPr>
      </w:pPr>
      <w:r>
        <w:t xml:space="preserve">Supplement specialty-occupation evidence with O*NET/SVP and peer job postings (Issue 10).</w:t>
      </w:r>
    </w:p>
    <w:p>
      <w:pPr>
        <w:pStyle w:val="Compact"/>
        <w:numPr>
          <w:ilvl w:val="0"/>
          <w:numId w:val="1006"/>
        </w:numPr>
      </w:pPr>
      <w:r>
        <w:t xml:space="preserve">Include ability-to-pay financial documentation (Issue 11).</w:t>
      </w:r>
    </w:p>
    <w:p>
      <w:pPr>
        <w:pStyle w:val="Compact"/>
        <w:numPr>
          <w:ilvl w:val="0"/>
          <w:numId w:val="1006"/>
        </w:numPr>
      </w:pPr>
      <w:r>
        <w:t xml:space="preserve">Verify the evaluator’s credentials; consider a technically credentialed supplemental evaluator (Issue 9).</w:t>
      </w:r>
    </w:p>
    <w:p>
      <w:pPr>
        <w:pStyle w:val="FirstParagraph"/>
      </w:pPr>
      <w:r>
        <w:rPr>
          <w:b/>
          <w:bCs/>
        </w:rPr>
        <w:t xml:space="preserve">Before filing — housekeeping:</w:t>
      </w:r>
    </w:p>
    <w:p>
      <w:pPr>
        <w:pStyle w:val="Compact"/>
        <w:numPr>
          <w:ilvl w:val="0"/>
          <w:numId w:val="1007"/>
        </w:numPr>
      </w:pPr>
      <w:r>
        <w:t xml:space="preserve">Include the degree certificate and certified translation (Issue 15).</w:t>
      </w:r>
    </w:p>
    <w:p>
      <w:pPr>
        <w:pStyle w:val="Compact"/>
        <w:numPr>
          <w:ilvl w:val="0"/>
          <w:numId w:val="1007"/>
        </w:numPr>
      </w:pPr>
      <w:r>
        <w:t xml:space="preserve">Include beneficiary identity/status documents (Issue 16).</w:t>
      </w:r>
    </w:p>
    <w:p>
      <w:pPr>
        <w:pStyle w:val="Compact"/>
        <w:numPr>
          <w:ilvl w:val="0"/>
          <w:numId w:val="1007"/>
        </w:numPr>
      </w:pPr>
      <w:r>
        <w:t xml:space="preserve">Execute all signatures (Issue 17).</w:t>
      </w:r>
    </w:p>
    <w:p>
      <w:pPr>
        <w:pStyle w:val="Compact"/>
        <w:numPr>
          <w:ilvl w:val="0"/>
          <w:numId w:val="1007"/>
        </w:numPr>
      </w:pPr>
      <w:r>
        <w:t xml:space="preserve">Document both posting locations (Issue 18).</w:t>
      </w:r>
    </w:p>
    <w:p>
      <w:pPr>
        <w:pStyle w:val="Compact"/>
        <w:numPr>
          <w:ilvl w:val="0"/>
          <w:numId w:val="1007"/>
        </w:numPr>
      </w:pPr>
      <w:r>
        <w:t xml:space="preserve">Refine the</w:t>
      </w:r>
      <w:r>
        <w:t xml:space="preserve"> </w:t>
      </w:r>
      <w:r>
        <w:t xml:space="preserve">“</w:t>
      </w:r>
      <w:r>
        <w:t xml:space="preserve">8 years progressive ML experience</w:t>
      </w:r>
      <w:r>
        <w:t xml:space="preserve">”</w:t>
      </w:r>
      <w:r>
        <w:t xml:space="preserve"> </w:t>
      </w:r>
      <w:r>
        <w:t xml:space="preserve">characterization (Issue 19) and reconcile the job-title/SOC label (Issue 13).</w:t>
      </w:r>
    </w:p>
    <w:p>
      <w:r>
        <w:pict>
          <v:rect style="width:0;height:1.5pt" o:hralign="center" o:hrstd="t" o:hr="t"/>
        </w:pict>
      </w:r>
    </w:p>
    <w:bookmarkEnd w:id="33"/>
    <w:bookmarkStart w:id="34" w:name="vi.-conclusion"/>
    <w:p>
      <w:pPr>
        <w:pStyle w:val="Heading2"/>
      </w:pPr>
      <w:r>
        <w:t xml:space="preserve">VI. Conclusion</w:t>
      </w:r>
    </w:p>
    <w:p>
      <w:pPr>
        <w:pStyle w:val="FirstParagraph"/>
      </w:pPr>
      <w:r>
        <w:t xml:space="preserve">The package presents a coherent, well-organized H-1B filing on its face, and the core elements (certified LCA, PWD, employer letter, credential evaluation, transcripts, and two experience letters) are present and largely internally consistent on identity, employer, wage, and position. However, the cross-reference review identifies</w:t>
      </w:r>
      <w:r>
        <w:t xml:space="preserve"> </w:t>
      </w:r>
      <w:r>
        <w:rPr>
          <w:b/>
          <w:bCs/>
        </w:rPr>
        <w:t xml:space="preserve">five Critical issues</w:t>
      </w:r>
      <w:r>
        <w:t xml:space="preserve"> </w:t>
      </w:r>
      <w:r>
        <w:t xml:space="preserve">that, if not addressed, create substantial RFE, denial, and compliance exposure: (1) the field-of-study mismatch and inadequate credential evaluation; (2) the unsupported F-1 OPT / undocumented U.S. status history; (3) a likely understated wage level with an offered wage below the level the duties support; (4) résumé date overstatements and an unexplained employment gap; and (5) the undocumented three-year consulting period. Several additional Moderate and Housekeeping items should be corrected to present a consistent and fully documented petition. Counsel should resolve the Critical items and address the Moderate items before filing.</w:t>
      </w:r>
    </w:p>
    <w:p>
      <w:r>
        <w:pict>
          <v:rect style="width:0;height:1.5pt" o:hralign="center" o:hrstd="t" o:hr="t"/>
        </w:pict>
      </w:r>
    </w:p>
    <w:p>
      <w:pPr>
        <w:pStyle w:val="FirstParagraph"/>
      </w:pPr>
      <w:r>
        <w:rPr>
          <w:i/>
          <w:iCs/>
        </w:rPr>
        <w:t xml:space="preserve">Prepared on the basis of the ten documents listed in Section II. This memorandum is privileged attorney work product prepared in anticipation of filing and is intended for the internal use of counsel and the petitioner.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2026-06-28T09:54:07Z</dcterms:created>
  <dcterms:modified xsi:type="dcterms:W3CDTF">2026-06-28T09:54:07Z</dcterms:modified>
</cp:coreProperties>
</file>

<file path=docProps/custom.xml><?xml version="1.0" encoding="utf-8"?>
<Properties xmlns="http://schemas.openxmlformats.org/officeDocument/2006/custom-properties" xmlns:vt="http://schemas.openxmlformats.org/officeDocument/2006/docPropsVTypes"/>
</file>