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Immigration File — H-1B Petition of Brightfield Analytics Inc. on Behalf of Rajesh Venkataraman</w:t>
      </w:r>
    </w:p>
    <w:p>
      <w:pPr>
        <w:pStyle w:val="BodyText"/>
      </w:pPr>
      <w:r>
        <w:rPr>
          <w:b/>
          <w:bCs/>
        </w:rPr>
        <w:t xml:space="preserve">FROM:</w:t>
      </w:r>
      <w:r>
        <w:t xml:space="preserve"> </w:t>
      </w:r>
      <w:r>
        <w:t xml:space="preserve">Petition Review / Quality Control</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Issue Identification and Cross-Reference Review — H-1B Specialty Occupation Petition Package (Position: Senior Machine Learning Engineer; SOC 15-2051)</w:t>
      </w:r>
    </w:p>
    <w:p>
      <w:pPr>
        <w:pStyle w:val="BodyText"/>
      </w:pPr>
      <w:r>
        <w:rPr>
          <w:b/>
          <w:bCs/>
        </w:rPr>
        <w:t xml:space="preserve">PRIVILEGED &amp; CONFIDENTIAL — ATTORNEY WORK PRODUCT / PREPARED IN ANTICIPATION OF FILING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reports the results of a cross-reference review of the ten-document H-1B petition package assembled for the above-captioned matter. Each document was read in full and checked against every other document for internal consistency, regulatory compliance, and evidentiary sufficiency.</w:t>
      </w:r>
    </w:p>
    <w:p>
      <w:pPr>
        <w:pStyle w:val="BodyText"/>
      </w:pPr>
      <w:r>
        <w:t xml:space="preserve">The package is, on its face, a well-organized cap-subject H-1B submission: the certified Labor Condition Application (LCA), prevailing wage determination (PWD), employer support letter, credential evaluation, academic transcripts, two experience letters, posting notice, and organizational chart are all present and largely consistent on the core terms (petitioner identity, position title, SOC code, wage, worksite, and employment period). The offered wage ($128,000) facially exceeds the certified prevailing wage ($113,734, Level 2), and the beneficiary’s experience facially exceeds the stated three-year minimum.</w:t>
      </w:r>
    </w:p>
    <w:p>
      <w:pPr>
        <w:pStyle w:val="BodyText"/>
      </w:pPr>
      <w:r>
        <w:t xml:space="preserve">The review nonetheless identifies a number of issues that should be resolved</w:t>
      </w:r>
      <w:r>
        <w:t xml:space="preserve"> </w:t>
      </w:r>
      <w:r>
        <w:rPr>
          <w:b/>
          <w:bCs/>
        </w:rPr>
        <w:t xml:space="preserve">before</w:t>
      </w:r>
      <w:r>
        <w:t xml:space="preserve"> </w:t>
      </w:r>
      <w:r>
        <w:t xml:space="preserve">the Form I-129 is filed. The most serious are summarized here and developed in Part IV:</w:t>
      </w:r>
    </w:p>
    <w:p>
      <w:pPr>
        <w:numPr>
          <w:ilvl w:val="0"/>
          <w:numId w:val="1001"/>
        </w:numPr>
      </w:pPr>
      <w:r>
        <w:rPr>
          <w:b/>
          <w:bCs/>
        </w:rPr>
        <w:t xml:space="preserve">The wage level appears understated.</w:t>
      </w:r>
      <w:r>
        <w:t xml:space="preserve"> </w:t>
      </w:r>
      <w:r>
        <w:t xml:space="preserve">The position carries supervisory duties (leading/mentoring junior data scientists), requires independent judgment, is denominated</w:t>
      </w:r>
      <w:r>
        <w:t xml:space="preserve"> </w:t>
      </w:r>
      <w:r>
        <w:t xml:space="preserve">“</w:t>
      </w:r>
      <w:r>
        <w:t xml:space="preserve">Senior,</w:t>
      </w:r>
      <w:r>
        <w:t xml:space="preserve">”</w:t>
      </w:r>
      <w:r>
        <w:t xml:space="preserve"> </w:t>
      </w:r>
      <w:r>
        <w:t xml:space="preserve">and requires three or more years of experience. Under the Department of Labor’s own wage-level definitions, those features map to</w:t>
      </w:r>
      <w:r>
        <w:t xml:space="preserve"> </w:t>
      </w:r>
      <w:r>
        <w:rPr>
          <w:b/>
          <w:bCs/>
        </w:rPr>
        <w:t xml:space="preserve">Wage Level 3</w:t>
      </w:r>
      <w:r>
        <w:t xml:space="preserve"> </w:t>
      </w:r>
      <w:r>
        <w:t xml:space="preserve">(and arguably Level 4), not Level 2. At Level 3 the prevailing wage is</w:t>
      </w:r>
      <w:r>
        <w:t xml:space="preserve"> </w:t>
      </w:r>
      <w:r>
        <w:rPr>
          <w:b/>
          <w:bCs/>
        </w:rPr>
        <w:t xml:space="preserve">$137,946</w:t>
      </w:r>
      <w:r>
        <w:t xml:space="preserve">, which would place the offered wage of $128,000</w:t>
      </w:r>
      <w:r>
        <w:t xml:space="preserve"> </w:t>
      </w:r>
      <w:r>
        <w:rPr>
          <w:i/>
          <w:iCs/>
        </w:rPr>
        <w:t xml:space="preserve">below</w:t>
      </w:r>
      <w:r>
        <w:t xml:space="preserve"> </w:t>
      </w:r>
      <w:r>
        <w:t xml:space="preserve">the required prevailing wage — a material LCA compliance defect.</w:t>
      </w:r>
    </w:p>
    <w:p>
      <w:pPr>
        <w:numPr>
          <w:ilvl w:val="0"/>
          <w:numId w:val="1001"/>
        </w:numPr>
      </w:pPr>
      <w:r>
        <w:rPr>
          <w:b/>
          <w:bCs/>
        </w:rPr>
        <w:t xml:space="preserve">The beneficiary’s nonimmigrant status is undocumented and internally inconsistent.</w:t>
      </w:r>
      <w:r>
        <w:t xml:space="preserve"> </w:t>
      </w:r>
      <w:r>
        <w:t xml:space="preserve">The support letter states the beneficiary is</w:t>
      </w:r>
      <w:r>
        <w:t xml:space="preserve"> </w:t>
      </w:r>
      <w:r>
        <w:t xml:space="preserve">“</w:t>
      </w:r>
      <w:r>
        <w:t xml:space="preserve">currently maintaining valid F-1 Optional Practical Training (OPT) status,</w:t>
      </w:r>
      <w:r>
        <w:t xml:space="preserve">”</w:t>
      </w:r>
      <w:r>
        <w:t xml:space="preserve"> </w:t>
      </w:r>
      <w:r>
        <w:t xml:space="preserve">yet the only education documented anywhere in the package is a</w:t>
      </w:r>
      <w:r>
        <w:t xml:space="preserve"> </w:t>
      </w:r>
      <w:r>
        <w:rPr>
          <w:i/>
          <w:iCs/>
        </w:rPr>
        <w:t xml:space="preserve">foreign</w:t>
      </w:r>
      <w:r>
        <w:t xml:space="preserve"> </w:t>
      </w:r>
      <w:r>
        <w:t xml:space="preserve">bachelor’s degree (JNTU, India). F-1 OPT is authorized only on the basis of a degree from a U.S. SEVP-certified school. Either a U.S. degree is missing from the package (which would also bear on cap eligibility and on the qualifications analysis), or the F-1 OPT representation is inaccurate. No I-20, EAD, I-94, or other status evidence is included.</w:t>
      </w:r>
    </w:p>
    <w:p>
      <w:pPr>
        <w:numPr>
          <w:ilvl w:val="0"/>
          <w:numId w:val="1001"/>
        </w:numPr>
      </w:pPr>
      <w:r>
        <w:rPr>
          <w:b/>
          <w:bCs/>
        </w:rPr>
        <w:t xml:space="preserve">The</w:t>
      </w:r>
      <w:r>
        <w:rPr>
          <w:b/>
          <w:bCs/>
        </w:rPr>
        <w:t xml:space="preserve"> </w:t>
      </w:r>
      <w:r>
        <w:rPr>
          <w:b/>
          <w:bCs/>
        </w:rPr>
        <w:t xml:space="preserve">“</w:t>
      </w:r>
      <w:r>
        <w:rPr>
          <w:b/>
          <w:bCs/>
        </w:rPr>
        <w:t xml:space="preserve">closely related field</w:t>
      </w:r>
      <w:r>
        <w:rPr>
          <w:b/>
          <w:bCs/>
        </w:rPr>
        <w:t xml:space="preserve">”</w:t>
      </w:r>
      <w:r>
        <w:rPr>
          <w:b/>
          <w:bCs/>
        </w:rPr>
        <w:t xml:space="preserve"> </w:t>
      </w:r>
      <w:r>
        <w:rPr>
          <w:b/>
          <w:bCs/>
        </w:rPr>
        <w:t xml:space="preserve">question is unresolved and the credential evaluation does not support it.</w:t>
      </w:r>
      <w:r>
        <w:t xml:space="preserve"> </w:t>
      </w:r>
      <w:r>
        <w:t xml:space="preserve">The position requires a degree in Computer Science, Machine Learning, Artificial Intelligence, or a</w:t>
      </w:r>
      <w:r>
        <w:t xml:space="preserve"> </w:t>
      </w:r>
      <w:r>
        <w:t xml:space="preserve">“</w:t>
      </w:r>
      <w:r>
        <w:t xml:space="preserve">closely related field.</w:t>
      </w:r>
      <w:r>
        <w:t xml:space="preserve">”</w:t>
      </w:r>
      <w:r>
        <w:t xml:space="preserve"> </w:t>
      </w:r>
      <w:r>
        <w:t xml:space="preserve">The beneficiary’s degree is in Electronics and Communication Engineering (ECE). The credential evaluation equates the degree to a U.S. B.S. in</w:t>
      </w:r>
      <w:r>
        <w:t xml:space="preserve"> </w:t>
      </w:r>
      <w:r>
        <w:rPr>
          <w:i/>
          <w:iCs/>
        </w:rPr>
        <w:t xml:space="preserve">ECE</w:t>
      </w:r>
      <w:r>
        <w:t xml:space="preserve"> </w:t>
      </w:r>
      <w:r>
        <w:t xml:space="preserve">(not CS/ML/AI), characterizes computer-related coursework as only ~7.5% of the curriculum, and expressly disclaims opining on whether the field of study satisfies any particular position. The support letter’s contrary characterization is addressed below.</w:t>
      </w:r>
    </w:p>
    <w:p>
      <w:pPr>
        <w:numPr>
          <w:ilvl w:val="0"/>
          <w:numId w:val="1001"/>
        </w:numPr>
      </w:pPr>
      <w:r>
        <w:rPr>
          <w:b/>
          <w:bCs/>
        </w:rPr>
        <w:t xml:space="preserve">Employment dates on the resume conflict with the experience letters and create an unexplained gap.</w:t>
      </w:r>
      <w:r>
        <w:t xml:space="preserve"> </w:t>
      </w:r>
      <w:r>
        <w:t xml:space="preserve">The resume overstates the Kiran tenure by ~3 months (ending</w:t>
      </w:r>
      <w:r>
        <w:t xml:space="preserve"> </w:t>
      </w:r>
      <w:r>
        <w:t xml:space="preserve">“</w:t>
      </w:r>
      <w:r>
        <w:t xml:space="preserve">March 2017</w:t>
      </w:r>
      <w:r>
        <w:t xml:space="preserve">”</w:t>
      </w:r>
      <w:r>
        <w:t xml:space="preserve"> </w:t>
      </w:r>
      <w:r>
        <w:t xml:space="preserve">vs. the experience letter’s December 9, 2016) and the NovaStar tenure by ~1 month (ending</w:t>
      </w:r>
      <w:r>
        <w:t xml:space="preserve"> </w:t>
      </w:r>
      <w:r>
        <w:t xml:space="preserve">“</w:t>
      </w:r>
      <w:r>
        <w:t xml:space="preserve">August 2020</w:t>
      </w:r>
      <w:r>
        <w:t xml:space="preserve">”</w:t>
      </w:r>
      <w:r>
        <w:t xml:space="preserve"> </w:t>
      </w:r>
      <w:r>
        <w:t xml:space="preserve">vs. July 2020). The corrected dates expose an unexplained ~3.5-month gap (mid-December 2016 to April 2017) that the resume appears to paper over.</w:t>
      </w:r>
    </w:p>
    <w:p>
      <w:pPr>
        <w:numPr>
          <w:ilvl w:val="0"/>
          <w:numId w:val="1001"/>
        </w:numPr>
      </w:pPr>
      <w:r>
        <w:rPr>
          <w:b/>
          <w:bCs/>
        </w:rPr>
        <w:t xml:space="preserve">The most relevant experience is uncorroborated.</w:t>
      </w:r>
      <w:r>
        <w:t xml:space="preserve"> </w:t>
      </w:r>
      <w:r>
        <w:t xml:space="preserve">The three-year independent-consultant period (August 2020–August 2023) — during which the beneficiary claims the specific frameworks the position requires (TensorFlow, PyTorch, AWS SageMaker, NLP/LLM fine-tuning) — is supported by no experience or client letter. The documented NovaStar letter does not mention those frameworks.</w:t>
      </w:r>
    </w:p>
    <w:p>
      <w:pPr>
        <w:pStyle w:val="FirstParagraph"/>
      </w:pPr>
      <w:r>
        <w:t xml:space="preserve">Additional significant and technical issues are catalogued in Part IV. Part V sets out recommended corrective actions.</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660"/>
        <w:gridCol w:w="2200"/>
        <w:gridCol w:w="1320"/>
        <w:gridCol w:w="37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Identifiers</w:t>
            </w:r>
          </w:p>
        </w:tc>
      </w:tr>
      <w:tr>
        <w:tc>
          <w:tcPr/>
          <w:p>
            <w:pPr>
              <w:pStyle w:val="Compact"/>
              <w:jc w:val="left"/>
            </w:pPr>
            <w:r>
              <w:t xml:space="preserve">1</w:t>
            </w:r>
          </w:p>
        </w:tc>
        <w:tc>
          <w:tcPr/>
          <w:p>
            <w:pPr>
              <w:pStyle w:val="Compact"/>
              <w:jc w:val="left"/>
            </w:pPr>
            <w:r>
              <w:t xml:space="preserve">Employer Support Letter (Brightfield Analytics Inc.)</w:t>
            </w:r>
          </w:p>
        </w:tc>
        <w:tc>
          <w:tcPr/>
          <w:p>
            <w:pPr>
              <w:pStyle w:val="Compact"/>
              <w:jc w:val="left"/>
            </w:pPr>
            <w:r>
              <w:t xml:space="preserve">April 7, 2025</w:t>
            </w:r>
          </w:p>
        </w:tc>
        <w:tc>
          <w:tcPr/>
          <w:p>
            <w:pPr>
              <w:pStyle w:val="Compact"/>
              <w:jc w:val="left"/>
            </w:pPr>
            <w:r>
              <w:t xml:space="preserve">Position: Senior Machine Learning Engineer; LCA I-200-25031-543219</w:t>
            </w:r>
          </w:p>
        </w:tc>
      </w:tr>
      <w:tr>
        <w:tc>
          <w:tcPr/>
          <w:p>
            <w:pPr>
              <w:pStyle w:val="Compact"/>
              <w:jc w:val="left"/>
            </w:pPr>
            <w:r>
              <w:t xml:space="preserve">2</w:t>
            </w:r>
          </w:p>
        </w:tc>
        <w:tc>
          <w:tcPr/>
          <w:p>
            <w:pPr>
              <w:pStyle w:val="Compact"/>
              <w:jc w:val="left"/>
            </w:pPr>
            <w:r>
              <w:t xml:space="preserve">Certified Labor Condition Application (ETA 9035/9035E)</w:t>
            </w:r>
          </w:p>
        </w:tc>
        <w:tc>
          <w:tcPr/>
          <w:p>
            <w:pPr>
              <w:pStyle w:val="Compact"/>
              <w:jc w:val="left"/>
            </w:pPr>
            <w:r>
              <w:t xml:space="preserve">Certified March 10, 2025</w:t>
            </w:r>
          </w:p>
        </w:tc>
        <w:tc>
          <w:tcPr/>
          <w:p>
            <w:pPr>
              <w:pStyle w:val="Compact"/>
              <w:jc w:val="left"/>
            </w:pPr>
            <w:r>
              <w:t xml:space="preserve">Case No. I-200-25031-543219; valid 10/1/2025–9/30/2028</w:t>
            </w:r>
          </w:p>
        </w:tc>
      </w:tr>
      <w:tr>
        <w:tc>
          <w:tcPr/>
          <w:p>
            <w:pPr>
              <w:pStyle w:val="Compact"/>
              <w:jc w:val="left"/>
            </w:pPr>
            <w:r>
              <w:t xml:space="preserve">3</w:t>
            </w:r>
          </w:p>
        </w:tc>
        <w:tc>
          <w:tcPr/>
          <w:p>
            <w:pPr>
              <w:pStyle w:val="Compact"/>
              <w:jc w:val="left"/>
            </w:pPr>
            <w:r>
              <w:t xml:space="preserve">Prevailing Wage Determination (NPWC)</w:t>
            </w:r>
          </w:p>
        </w:tc>
        <w:tc>
          <w:tcPr/>
          <w:p>
            <w:pPr>
              <w:pStyle w:val="Compact"/>
              <w:jc w:val="left"/>
            </w:pPr>
            <w:r>
              <w:t xml:space="preserve">January 15, 2025</w:t>
            </w:r>
          </w:p>
        </w:tc>
        <w:tc>
          <w:tcPr/>
          <w:p>
            <w:pPr>
              <w:pStyle w:val="Compact"/>
              <w:jc w:val="left"/>
            </w:pPr>
            <w:r>
              <w:t xml:space="preserve">PWD No. P-300-25012-183456; valid 1/15/2025–1/14/2026</w:t>
            </w:r>
          </w:p>
        </w:tc>
      </w:tr>
      <w:tr>
        <w:tc>
          <w:tcPr/>
          <w:p>
            <w:pPr>
              <w:pStyle w:val="Compact"/>
              <w:jc w:val="left"/>
            </w:pPr>
            <w:r>
              <w:t xml:space="preserve">4</w:t>
            </w:r>
          </w:p>
        </w:tc>
        <w:tc>
          <w:tcPr/>
          <w:p>
            <w:pPr>
              <w:pStyle w:val="Compact"/>
              <w:jc w:val="left"/>
            </w:pPr>
            <w:r>
              <w:t xml:space="preserve">LCA Posting Notice (Brightfield Analytics)</w:t>
            </w:r>
          </w:p>
        </w:tc>
        <w:tc>
          <w:tcPr/>
          <w:p>
            <w:pPr>
              <w:pStyle w:val="Compact"/>
              <w:jc w:val="left"/>
            </w:pPr>
            <w:r>
              <w:t xml:space="preserve">Posted 3/10–3/19/2025</w:t>
            </w:r>
          </w:p>
        </w:tc>
        <w:tc>
          <w:tcPr/>
          <w:p>
            <w:pPr>
              <w:pStyle w:val="Compact"/>
              <w:jc w:val="left"/>
            </w:pPr>
            <w:r>
              <w:t xml:space="preserve">Per 20 CFR § 655.734</w:t>
            </w:r>
          </w:p>
        </w:tc>
      </w:tr>
      <w:tr>
        <w:tc>
          <w:tcPr/>
          <w:p>
            <w:pPr>
              <w:pStyle w:val="Compact"/>
              <w:jc w:val="left"/>
            </w:pPr>
            <w:r>
              <w:t xml:space="preserve">5</w:t>
            </w:r>
          </w:p>
        </w:tc>
        <w:tc>
          <w:tcPr/>
          <w:p>
            <w:pPr>
              <w:pStyle w:val="Compact"/>
              <w:jc w:val="left"/>
            </w:pPr>
            <w:r>
              <w:t xml:space="preserve">Foreign Credential Evaluation (Westbridge Credential Services)</w:t>
            </w:r>
          </w:p>
        </w:tc>
        <w:tc>
          <w:tcPr/>
          <w:p>
            <w:pPr>
              <w:pStyle w:val="Compact"/>
              <w:jc w:val="left"/>
            </w:pPr>
            <w:r>
              <w:t xml:space="preserve">February 18, 2025</w:t>
            </w:r>
          </w:p>
        </w:tc>
        <w:tc>
          <w:tcPr/>
          <w:p>
            <w:pPr>
              <w:pStyle w:val="Compact"/>
              <w:jc w:val="left"/>
            </w:pPr>
            <w:r>
              <w:t xml:space="preserve">Report No. WCS-2025-03187</w:t>
            </w:r>
          </w:p>
        </w:tc>
      </w:tr>
      <w:tr>
        <w:tc>
          <w:tcPr/>
          <w:p>
            <w:pPr>
              <w:pStyle w:val="Compact"/>
              <w:jc w:val="left"/>
            </w:pPr>
            <w:r>
              <w:t xml:space="preserve">6</w:t>
            </w:r>
          </w:p>
        </w:tc>
        <w:tc>
          <w:tcPr/>
          <w:p>
            <w:pPr>
              <w:pStyle w:val="Compact"/>
              <w:jc w:val="left"/>
            </w:pPr>
            <w:r>
              <w:t xml:space="preserve">JNTU Official Transcript</w:t>
            </w:r>
          </w:p>
        </w:tc>
        <w:tc>
          <w:tcPr/>
          <w:p>
            <w:pPr>
              <w:pStyle w:val="Compact"/>
              <w:jc w:val="left"/>
            </w:pPr>
            <w:r>
              <w:t xml:space="preserve">Issued June 12, 2014</w:t>
            </w:r>
          </w:p>
        </w:tc>
        <w:tc>
          <w:tcPr/>
          <w:p>
            <w:pPr>
              <w:pStyle w:val="Compact"/>
              <w:jc w:val="left"/>
            </w:pPr>
            <w:r>
              <w:t xml:space="preserve">Ref. JNTUH/ECE/2014/08347; CGPA 8.52/10</w:t>
            </w:r>
          </w:p>
        </w:tc>
      </w:tr>
      <w:tr>
        <w:tc>
          <w:tcPr/>
          <w:p>
            <w:pPr>
              <w:pStyle w:val="Compact"/>
              <w:jc w:val="left"/>
            </w:pPr>
            <w:r>
              <w:t xml:space="preserve">7</w:t>
            </w:r>
          </w:p>
        </w:tc>
        <w:tc>
          <w:tcPr/>
          <w:p>
            <w:pPr>
              <w:pStyle w:val="Compact"/>
              <w:jc w:val="left"/>
            </w:pPr>
            <w:r>
              <w:t xml:space="preserve">Beneficiary Resume (Rajesh Venkataraman)</w:t>
            </w:r>
          </w:p>
        </w:tc>
        <w:tc>
          <w:tcPr/>
          <w:p>
            <w:pPr>
              <w:pStyle w:val="Compact"/>
              <w:jc w:val="left"/>
            </w:pPr>
            <w:r>
              <w:t xml:space="preserve">Undated</w:t>
            </w:r>
          </w:p>
        </w:tc>
        <w:tc>
          <w:tcPr/>
          <w:p>
            <w:pPr>
              <w:pStyle w:val="Compact"/>
              <w:jc w:val="left"/>
            </w:pPr>
            <w:r>
              <w:t xml:space="preserve">7+ years experience claimed</w:t>
            </w:r>
          </w:p>
        </w:tc>
      </w:tr>
      <w:tr>
        <w:tc>
          <w:tcPr/>
          <w:p>
            <w:pPr>
              <w:pStyle w:val="Compact"/>
              <w:jc w:val="left"/>
            </w:pPr>
            <w:r>
              <w:t xml:space="preserve">8</w:t>
            </w:r>
          </w:p>
        </w:tc>
        <w:tc>
          <w:tcPr/>
          <w:p>
            <w:pPr>
              <w:pStyle w:val="Compact"/>
              <w:jc w:val="left"/>
            </w:pPr>
            <w:r>
              <w:t xml:space="preserve">Kiran Software Solutions — Experience Letter</w:t>
            </w:r>
          </w:p>
        </w:tc>
        <w:tc>
          <w:tcPr/>
          <w:p>
            <w:pPr>
              <w:pStyle w:val="Compact"/>
              <w:jc w:val="left"/>
            </w:pPr>
            <w:r>
              <w:t xml:space="preserve">February 18, 2025</w:t>
            </w:r>
          </w:p>
        </w:tc>
        <w:tc>
          <w:tcPr/>
          <w:p>
            <w:pPr>
              <w:pStyle w:val="Compact"/>
              <w:jc w:val="left"/>
            </w:pPr>
            <w:r>
              <w:t xml:space="preserve">Employment 6/16/2014–12/9/2016</w:t>
            </w:r>
          </w:p>
        </w:tc>
      </w:tr>
      <w:tr>
        <w:tc>
          <w:tcPr/>
          <w:p>
            <w:pPr>
              <w:pStyle w:val="Compact"/>
              <w:jc w:val="left"/>
            </w:pPr>
            <w:r>
              <w:t xml:space="preserve">9</w:t>
            </w:r>
          </w:p>
        </w:tc>
        <w:tc>
          <w:tcPr/>
          <w:p>
            <w:pPr>
              <w:pStyle w:val="Compact"/>
              <w:jc w:val="left"/>
            </w:pPr>
            <w:r>
              <w:t xml:space="preserve">NovaStar Data Systems — Experience Letter</w:t>
            </w:r>
          </w:p>
        </w:tc>
        <w:tc>
          <w:tcPr/>
          <w:p>
            <w:pPr>
              <w:pStyle w:val="Compact"/>
              <w:jc w:val="left"/>
            </w:pPr>
            <w:r>
              <w:t xml:space="preserve">March 5, 2025</w:t>
            </w:r>
          </w:p>
        </w:tc>
        <w:tc>
          <w:tcPr/>
          <w:p>
            <w:pPr>
              <w:pStyle w:val="Compact"/>
              <w:jc w:val="left"/>
            </w:pPr>
            <w:r>
              <w:t xml:space="preserve">Employment 4/2017–7/2020</w:t>
            </w:r>
          </w:p>
        </w:tc>
      </w:tr>
      <w:tr>
        <w:tc>
          <w:tcPr/>
          <w:p>
            <w:pPr>
              <w:pStyle w:val="Compact"/>
              <w:jc w:val="left"/>
            </w:pPr>
            <w:r>
              <w:t xml:space="preserve">10</w:t>
            </w:r>
          </w:p>
        </w:tc>
        <w:tc>
          <w:tcPr/>
          <w:p>
            <w:pPr>
              <w:pStyle w:val="Compact"/>
              <w:jc w:val="left"/>
            </w:pPr>
            <w:r>
              <w:t xml:space="preserve">Organizational Chart (Data Science &amp; ML Group)</w:t>
            </w:r>
          </w:p>
        </w:tc>
        <w:tc>
          <w:tcPr/>
          <w:p>
            <w:pPr>
              <w:pStyle w:val="Compact"/>
              <w:jc w:val="left"/>
            </w:pPr>
            <w:r>
              <w:t xml:space="preserve">March 2025</w:t>
            </w:r>
          </w:p>
        </w:tc>
        <w:tc>
          <w:tcPr/>
          <w:p>
            <w:pPr>
              <w:pStyle w:val="Compact"/>
              <w:jc w:val="left"/>
            </w:pPr>
            <w:r>
              <w:t xml:space="preserve">2 direct reports to petitioned role</w:t>
            </w:r>
          </w:p>
        </w:tc>
      </w:tr>
    </w:tbl>
    <w:p>
      <w:pPr>
        <w:pStyle w:val="BodyText"/>
      </w:pPr>
      <w:r>
        <w:rPr>
          <w:b/>
          <w:bCs/>
        </w:rPr>
        <w:t xml:space="preserve">Not present in the package:</w:t>
      </w:r>
      <w:r>
        <w:t xml:space="preserve"> </w:t>
      </w:r>
      <w:r>
        <w:t xml:space="preserve">Form I-129; evidence of current lawful status (Form I-94, I-20, OPT EAD); cap registration/selection notice; fee payment evidence; any U.S. academic degree or transcript; actual-wage memorandum / Public Access File contents; financial statements.</w:t>
      </w:r>
    </w:p>
    <w:p>
      <w:r>
        <w:pict>
          <v:rect style="width:0;height:1.5pt" o:hralign="center" o:hrstd="t" o:hr="t"/>
        </w:pict>
      </w:r>
    </w:p>
    <w:bookmarkEnd w:id="21"/>
    <w:bookmarkStart w:id="22" w:name="X782bebf38abccb261ba544a1d3ab10b45f9428b"/>
    <w:p>
      <w:pPr>
        <w:pStyle w:val="Heading2"/>
      </w:pPr>
      <w:r>
        <w:t xml:space="preserve">III. Cross-Reference Consistency Check (Items That Reconcile)</w:t>
      </w:r>
    </w:p>
    <w:p>
      <w:pPr>
        <w:pStyle w:val="FirstParagraph"/>
      </w:pPr>
      <w:r>
        <w:t xml:space="preserve">The following core data points are consistent across all documents in which they appear, and require no correction:</w:t>
      </w:r>
    </w:p>
    <w:p>
      <w:pPr>
        <w:pStyle w:val="Compact"/>
        <w:numPr>
          <w:ilvl w:val="0"/>
          <w:numId w:val="1002"/>
        </w:numPr>
      </w:pPr>
      <w:r>
        <w:rPr>
          <w:b/>
          <w:bCs/>
        </w:rPr>
        <w:t xml:space="preserve">Petitioner identity and address:</w:t>
      </w:r>
      <w:r>
        <w:t xml:space="preserve"> </w:t>
      </w:r>
      <w:r>
        <w:t xml:space="preserve">Brightfield Analytics Inc., 4200 Congress Avenue, Suite 1100, Austin, TX 78701 (LCA §C; support letter; PWD §2; posting notice; org chart).</w:t>
      </w:r>
    </w:p>
    <w:p>
      <w:pPr>
        <w:pStyle w:val="Compact"/>
        <w:numPr>
          <w:ilvl w:val="0"/>
          <w:numId w:val="1002"/>
        </w:numPr>
      </w:pPr>
      <w:r>
        <w:rPr>
          <w:b/>
          <w:bCs/>
        </w:rPr>
        <w:t xml:space="preserve">FEIN:</w:t>
      </w:r>
      <w:r>
        <w:t xml:space="preserve"> </w:t>
      </w:r>
      <w:r>
        <w:t xml:space="preserve">84-3291756 (LCA §C.5; PWD §2).</w:t>
      </w:r>
    </w:p>
    <w:p>
      <w:pPr>
        <w:pStyle w:val="Compact"/>
        <w:numPr>
          <w:ilvl w:val="0"/>
          <w:numId w:val="1002"/>
        </w:numPr>
      </w:pPr>
      <w:r>
        <w:rPr>
          <w:b/>
          <w:bCs/>
        </w:rPr>
        <w:t xml:space="preserve">NAICS:</w:t>
      </w:r>
      <w:r>
        <w:t xml:space="preserve"> </w:t>
      </w:r>
      <w:r>
        <w:t xml:space="preserve">541511 (LCA §C.6; support letter §1; PWD §2).</w:t>
      </w:r>
    </w:p>
    <w:p>
      <w:pPr>
        <w:pStyle w:val="Compact"/>
        <w:numPr>
          <w:ilvl w:val="0"/>
          <w:numId w:val="1002"/>
        </w:numPr>
      </w:pPr>
      <w:r>
        <w:rPr>
          <w:b/>
          <w:bCs/>
        </w:rPr>
        <w:t xml:space="preserve">Position title:</w:t>
      </w:r>
      <w:r>
        <w:t xml:space="preserve"> </w:t>
      </w:r>
      <w:r>
        <w:t xml:space="preserve">Senior Machine Learning Engineer (all documents).</w:t>
      </w:r>
    </w:p>
    <w:p>
      <w:pPr>
        <w:pStyle w:val="Compact"/>
        <w:numPr>
          <w:ilvl w:val="0"/>
          <w:numId w:val="1002"/>
        </w:numPr>
      </w:pPr>
      <w:r>
        <w:rPr>
          <w:b/>
          <w:bCs/>
        </w:rPr>
        <w:t xml:space="preserve">SOC code/title:</w:t>
      </w:r>
      <w:r>
        <w:t xml:space="preserve"> </w:t>
      </w:r>
      <w:r>
        <w:t xml:space="preserve">15-2051 / Data Scientists (LCA §G; support letter §2; PWD §3; posting notice).</w:t>
      </w:r>
    </w:p>
    <w:p>
      <w:pPr>
        <w:pStyle w:val="Compact"/>
        <w:numPr>
          <w:ilvl w:val="0"/>
          <w:numId w:val="1002"/>
        </w:numPr>
      </w:pPr>
      <w:r>
        <w:rPr>
          <w:b/>
          <w:bCs/>
        </w:rPr>
        <w:t xml:space="preserve">Offered wage:</w:t>
      </w:r>
      <w:r>
        <w:t xml:space="preserve"> </w:t>
      </w:r>
      <w:r>
        <w:t xml:space="preserve">$128,000/year, full-time (LCA §F.1; support letter §2, §5; posting notice).</w:t>
      </w:r>
    </w:p>
    <w:p>
      <w:pPr>
        <w:pStyle w:val="Compact"/>
        <w:numPr>
          <w:ilvl w:val="0"/>
          <w:numId w:val="1002"/>
        </w:numPr>
      </w:pPr>
      <w:r>
        <w:rPr>
          <w:b/>
          <w:bCs/>
        </w:rPr>
        <w:t xml:space="preserve">Certified prevailing wage:</w:t>
      </w:r>
      <w:r>
        <w:t xml:space="preserve"> </w:t>
      </w:r>
      <w:r>
        <w:t xml:space="preserve">$113,734/year, Level 2 (LCA §F.2–F.4; PWD §4; posting notice; support letter §5).</w:t>
      </w:r>
    </w:p>
    <w:p>
      <w:pPr>
        <w:pStyle w:val="Compact"/>
        <w:numPr>
          <w:ilvl w:val="0"/>
          <w:numId w:val="1002"/>
        </w:numPr>
      </w:pPr>
      <w:r>
        <w:rPr>
          <w:b/>
          <w:bCs/>
        </w:rPr>
        <w:t xml:space="preserve">PWD case number:</w:t>
      </w:r>
      <w:r>
        <w:t xml:space="preserve"> </w:t>
      </w:r>
      <w:r>
        <w:t xml:space="preserve">P-300-25012-183456 (LCA §F.5, §I.1; PWD §1).</w:t>
      </w:r>
    </w:p>
    <w:p>
      <w:pPr>
        <w:pStyle w:val="Compact"/>
        <w:numPr>
          <w:ilvl w:val="0"/>
          <w:numId w:val="1002"/>
        </w:numPr>
      </w:pPr>
      <w:r>
        <w:rPr>
          <w:b/>
          <w:bCs/>
        </w:rPr>
        <w:t xml:space="preserve">LCA case number:</w:t>
      </w:r>
      <w:r>
        <w:t xml:space="preserve"> </w:t>
      </w:r>
      <w:r>
        <w:t xml:space="preserve">I-200-25031-543219 (LCA; support letter §2; posting notice).</w:t>
      </w:r>
    </w:p>
    <w:p>
      <w:pPr>
        <w:pStyle w:val="Compact"/>
        <w:numPr>
          <w:ilvl w:val="0"/>
          <w:numId w:val="1002"/>
        </w:numPr>
      </w:pPr>
      <w:r>
        <w:rPr>
          <w:b/>
          <w:bCs/>
        </w:rPr>
        <w:t xml:space="preserve">Employment period:</w:t>
      </w:r>
      <w:r>
        <w:t xml:space="preserve"> </w:t>
      </w:r>
      <w:r>
        <w:t xml:space="preserve">October 1, 2025 – September 30, 2028 (LCA validity; support letter §2; posting notice).</w:t>
      </w:r>
    </w:p>
    <w:p>
      <w:pPr>
        <w:pStyle w:val="Compact"/>
        <w:numPr>
          <w:ilvl w:val="0"/>
          <w:numId w:val="1002"/>
        </w:numPr>
      </w:pPr>
      <w:r>
        <w:rPr>
          <w:b/>
          <w:bCs/>
        </w:rPr>
        <w:t xml:space="preserve">Worksite:</w:t>
      </w:r>
      <w:r>
        <w:t xml:space="preserve"> </w:t>
      </w:r>
      <w:r>
        <w:t xml:space="preserve">4200 Congress Avenue, Suite 1100, Austin, TX 78701, Travis County, TX (LCA §H; support letter; PWD; posting notice; org chart).</w:t>
      </w:r>
    </w:p>
    <w:p>
      <w:pPr>
        <w:pStyle w:val="Compact"/>
        <w:numPr>
          <w:ilvl w:val="0"/>
          <w:numId w:val="1002"/>
        </w:numPr>
      </w:pPr>
      <w:r>
        <w:rPr>
          <w:b/>
          <w:bCs/>
        </w:rPr>
        <w:t xml:space="preserve">Beneficiary identity/DOB:</w:t>
      </w:r>
      <w:r>
        <w:t xml:space="preserve"> </w:t>
      </w:r>
      <w:r>
        <w:t xml:space="preserve">Rajesh Venkataraman, DOB March 14, 1992, citizen of India (credential evaluation §1; support letter; transcript).</w:t>
      </w:r>
    </w:p>
    <w:p>
      <w:pPr>
        <w:pStyle w:val="Compact"/>
        <w:numPr>
          <w:ilvl w:val="0"/>
          <w:numId w:val="1002"/>
        </w:numPr>
      </w:pPr>
      <w:r>
        <w:rPr>
          <w:b/>
          <w:bCs/>
        </w:rPr>
        <w:t xml:space="preserve">Foreign degree:</w:t>
      </w:r>
      <w:r>
        <w:t xml:space="preserve"> </w:t>
      </w:r>
      <w:r>
        <w:t xml:space="preserve">B.Tech, Electronics and Communication Engineering, JNTU Hyderabad, August 2010–May 2014 (resume; credential evaluation; transcript; support letter §4).</w:t>
      </w:r>
    </w:p>
    <w:p>
      <w:pPr>
        <w:pStyle w:val="Compact"/>
        <w:numPr>
          <w:ilvl w:val="0"/>
          <w:numId w:val="1002"/>
        </w:numPr>
      </w:pPr>
      <w:r>
        <w:rPr>
          <w:b/>
          <w:bCs/>
        </w:rPr>
        <w:t xml:space="preserve">Employer size/revenue:</w:t>
      </w:r>
      <w:r>
        <w:t xml:space="preserve"> </w:t>
      </w:r>
      <w:r>
        <w:t xml:space="preserve">187 employees; $41.2M revenue; founded 2017 (LCA §C.7–C.9; support letter §1; org chart).</w:t>
      </w:r>
    </w:p>
    <w:p>
      <w:pPr>
        <w:pStyle w:val="Compact"/>
        <w:numPr>
          <w:ilvl w:val="0"/>
          <w:numId w:val="1002"/>
        </w:numPr>
      </w:pPr>
      <w:r>
        <w:rPr>
          <w:b/>
          <w:bCs/>
        </w:rPr>
        <w:t xml:space="preserve">Attorney of record:</w:t>
      </w:r>
      <w:r>
        <w:t xml:space="preserve"> </w:t>
      </w:r>
      <w:r>
        <w:t xml:space="preserve">Daniel Okafor, Holloway Sterne LLP, 700 Lavaca Street, Suite 2400, Austin, TX 78701 (LCA §E; PWD §2; support letter §6; credential evaluation header).</w:t>
      </w:r>
    </w:p>
    <w:p>
      <w:pPr>
        <w:pStyle w:val="Compact"/>
        <w:numPr>
          <w:ilvl w:val="0"/>
          <w:numId w:val="1002"/>
        </w:numPr>
      </w:pPr>
      <w:r>
        <w:rPr>
          <w:b/>
          <w:bCs/>
        </w:rPr>
        <w:t xml:space="preserve">Duty-time percentages in the support letter sum to 100%</w:t>
      </w:r>
      <w:r>
        <w:t xml:space="preserve"> </w:t>
      </w:r>
      <w:r>
        <w:t xml:space="preserve">(15+20+20+15+15+10+5).</w:t>
      </w:r>
    </w:p>
    <w:p>
      <w:r>
        <w:pict>
          <v:rect style="width:0;height:1.5pt" o:hralign="center" o:hrstd="t" o:hr="t"/>
        </w:pict>
      </w:r>
    </w:p>
    <w:bookmarkEnd w:id="22"/>
    <w:bookmarkStart w:id="44" w:name="iv.-issues-identified"/>
    <w:p>
      <w:pPr>
        <w:pStyle w:val="Heading2"/>
      </w:pPr>
      <w:r>
        <w:t xml:space="preserve">IV. Issues Identified</w:t>
      </w:r>
    </w:p>
    <w:p>
      <w:pPr>
        <w:pStyle w:val="FirstParagraph"/>
      </w:pPr>
      <w:r>
        <w:t xml:space="preserve">Issues are grouped by priority. Each entry states the issue, the cross-reference support, and the significance.</w:t>
      </w:r>
    </w:p>
    <w:bookmarkStart w:id="28" w:name="a.-critical-issues"/>
    <w:p>
      <w:pPr>
        <w:pStyle w:val="Heading3"/>
      </w:pPr>
      <w:r>
        <w:t xml:space="preserve">A. Critical Issues</w:t>
      </w:r>
    </w:p>
    <w:bookmarkStart w:id="23" w:name="X5b181a66492c6f7413466a355f1f690f532853e"/>
    <w:p>
      <w:pPr>
        <w:pStyle w:val="Heading4"/>
      </w:pPr>
      <w:r>
        <w:t xml:space="preserve">A-1. Wage level appears understated (Level 2 vs. Level 3/4) — potential prevailing-wage shortfall.</w:t>
      </w:r>
    </w:p>
    <w:p>
      <w:pPr>
        <w:pStyle w:val="FirstParagraph"/>
      </w:pPr>
      <w:r>
        <w:rPr>
          <w:b/>
          <w:bCs/>
        </w:rPr>
        <w:t xml:space="preserve">The issue.</w:t>
      </w:r>
      <w:r>
        <w:t xml:space="preserve"> </w:t>
      </w:r>
      <w:r>
        <w:t xml:space="preserve">The LCA and PWD classify the position at</w:t>
      </w:r>
      <w:r>
        <w:t xml:space="preserve"> </w:t>
      </w:r>
      <w:r>
        <w:rPr>
          <w:b/>
          <w:bCs/>
        </w:rPr>
        <w:t xml:space="preserve">Wage Level 2</w:t>
      </w:r>
      <w:r>
        <w:t xml:space="preserve"> </w:t>
      </w:r>
      <w:r>
        <w:t xml:space="preserve">($113,734). The position’s own requirements and duties, however, correspond to</w:t>
      </w:r>
      <w:r>
        <w:t xml:space="preserve"> </w:t>
      </w:r>
      <w:r>
        <w:rPr>
          <w:b/>
          <w:bCs/>
        </w:rPr>
        <w:t xml:space="preserve">Level 3</w:t>
      </w:r>
      <w:r>
        <w:t xml:space="preserve"> </w:t>
      </w:r>
      <w:r>
        <w:t xml:space="preserve">and arguably</w:t>
      </w:r>
      <w:r>
        <w:t xml:space="preserve"> </w:t>
      </w:r>
      <w:r>
        <w:rPr>
          <w:b/>
          <w:bCs/>
        </w:rPr>
        <w:t xml:space="preserve">Level 4</w:t>
      </w:r>
      <w:r>
        <w:t xml:space="preserve"> </w:t>
      </w:r>
      <w:r>
        <w:t xml:space="preserve">under the DOL’s wage-level criteria.</w:t>
      </w:r>
    </w:p>
    <w:p>
      <w:pPr>
        <w:pStyle w:val="BodyText"/>
      </w:pPr>
      <w:r>
        <w:rPr>
          <w:b/>
          <w:bCs/>
        </w:rPr>
        <w:t xml:space="preserve">Cross-reference support.</w:t>
      </w:r>
      <w:r>
        <w:t xml:space="preserve"> </w:t>
      </w:r>
      <w:r>
        <w:t xml:space="preserve">The PWD itself sets out the controlling definitions (PWD §4):</w:t>
      </w:r>
    </w:p>
    <w:p>
      <w:pPr>
        <w:pStyle w:val="Compact"/>
        <w:numPr>
          <w:ilvl w:val="0"/>
          <w:numId w:val="1003"/>
        </w:numPr>
      </w:pPr>
      <w:r>
        <w:rPr>
          <w:i/>
          <w:iCs/>
        </w:rPr>
        <w:t xml:space="preserve">Level 2 (Qualified):</w:t>
      </w:r>
      <w:r>
        <w:t xml:space="preserve"> </w:t>
      </w:r>
      <w:r>
        <w:t xml:space="preserve">“</w:t>
      </w:r>
      <w:r>
        <w:t xml:space="preserve">good understanding … moderately complex tasks requiring</w:t>
      </w:r>
      <w:r>
        <w:t xml:space="preserve"> </w:t>
      </w:r>
      <w:r>
        <w:rPr>
          <w:b/>
          <w:bCs/>
        </w:rPr>
        <w:t xml:space="preserve">limited judgment</w:t>
      </w:r>
      <w:r>
        <w:t xml:space="preserve">.</w:t>
      </w:r>
      <w:r>
        <w:t xml:space="preserve">”</w:t>
      </w:r>
    </w:p>
    <w:p>
      <w:pPr>
        <w:pStyle w:val="Compact"/>
        <w:numPr>
          <w:ilvl w:val="0"/>
          <w:numId w:val="1003"/>
        </w:numPr>
      </w:pPr>
      <w:r>
        <w:rPr>
          <w:i/>
          <w:iCs/>
        </w:rPr>
        <w:t xml:space="preserve">Level 3 (Experienced):</w:t>
      </w:r>
      <w:r>
        <w:t xml:space="preserve"> </w:t>
      </w:r>
      <w:r>
        <w:t xml:space="preserve">“</w:t>
      </w:r>
      <w:r>
        <w:t xml:space="preserve">sound understanding … may exercise</w:t>
      </w:r>
      <w:r>
        <w:t xml:space="preserve"> </w:t>
      </w:r>
      <w:r>
        <w:rPr>
          <w:b/>
          <w:bCs/>
        </w:rPr>
        <w:t xml:space="preserve">independent judgment</w:t>
      </w:r>
      <w:r>
        <w:t xml:space="preserve">, and may have</w:t>
      </w:r>
      <w:r>
        <w:t xml:space="preserve"> </w:t>
      </w:r>
      <w:r>
        <w:rPr>
          <w:b/>
          <w:bCs/>
        </w:rPr>
        <w:t xml:space="preserve">supervisory responsibilities</w:t>
      </w:r>
      <w:r>
        <w:t xml:space="preserve">.</w:t>
      </w:r>
      <w:r>
        <w:t xml:space="preserve">”</w:t>
      </w:r>
    </w:p>
    <w:p>
      <w:pPr>
        <w:pStyle w:val="Compact"/>
        <w:numPr>
          <w:ilvl w:val="0"/>
          <w:numId w:val="1003"/>
        </w:numPr>
      </w:pPr>
      <w:r>
        <w:rPr>
          <w:i/>
          <w:iCs/>
        </w:rPr>
        <w:t xml:space="preserve">Level 4 (Fully Competent):</w:t>
      </w:r>
      <w:r>
        <w:t xml:space="preserve"> </w:t>
      </w:r>
      <w:r>
        <w:t xml:space="preserve">“</w:t>
      </w:r>
      <w:r>
        <w:t xml:space="preserve">advanced skills … exercise broad latitude …</w:t>
      </w:r>
      <w:r>
        <w:t xml:space="preserve"> </w:t>
      </w:r>
      <w:r>
        <w:rPr>
          <w:b/>
          <w:bCs/>
        </w:rPr>
        <w:t xml:space="preserve">supervise and train</w:t>
      </w:r>
      <w:r>
        <w:t xml:space="preserve"> </w:t>
      </w:r>
      <w:r>
        <w:t xml:space="preserve">other workers.</w:t>
      </w:r>
      <w:r>
        <w:t xml:space="preserve">”</w:t>
      </w:r>
    </w:p>
    <w:p>
      <w:pPr>
        <w:pStyle w:val="FirstParagraph"/>
      </w:pPr>
      <w:r>
        <w:t xml:space="preserve">The position exhibits the Level 3/4 markers on the face of the package:</w:t>
      </w:r>
    </w:p>
    <w:p>
      <w:pPr>
        <w:pStyle w:val="Compact"/>
        <w:numPr>
          <w:ilvl w:val="0"/>
          <w:numId w:val="1004"/>
        </w:numPr>
      </w:pPr>
      <w:r>
        <w:rPr>
          <w:b/>
          <w:bCs/>
        </w:rPr>
        <w:t xml:space="preserve">Supervisory duties.</w:t>
      </w:r>
      <w:r>
        <w:t xml:space="preserve"> </w:t>
      </w:r>
      <w:r>
        <w:t xml:space="preserve">Support letter duty 4:</w:t>
      </w:r>
      <w:r>
        <w:t xml:space="preserve"> </w:t>
      </w:r>
      <w:r>
        <w:t xml:space="preserve">“</w:t>
      </w:r>
      <w:r>
        <w:t xml:space="preserve">Leading and mentoring a team of 3 junior data scientists … code review, and best practices</w:t>
      </w:r>
      <w:r>
        <w:t xml:space="preserve">”</w:t>
      </w:r>
      <w:r>
        <w:t xml:space="preserve"> </w:t>
      </w:r>
      <w:r>
        <w:t xml:space="preserve">(15% of time). Org chart: the petitioned role has</w:t>
      </w:r>
      <w:r>
        <w:t xml:space="preserve"> </w:t>
      </w:r>
      <w:r>
        <w:rPr>
          <w:b/>
          <w:bCs/>
        </w:rPr>
        <w:t xml:space="preserve">2 direct reports</w:t>
      </w:r>
      <w:r>
        <w:t xml:space="preserve"> </w:t>
      </w:r>
      <w:r>
        <w:t xml:space="preserve">(Data Scientists).</w:t>
      </w:r>
      <w:r>
        <w:t xml:space="preserve"> </w:t>
      </w:r>
      <w:r>
        <w:t xml:space="preserve">“</w:t>
      </w:r>
      <w:r>
        <w:t xml:space="preserve">Mentoring,</w:t>
      </w:r>
      <w:r>
        <w:t xml:space="preserve">”</w:t>
      </w:r>
      <w:r>
        <w:t xml:space="preserve"> </w:t>
      </w:r>
      <w:r>
        <w:t xml:space="preserve">“</w:t>
      </w:r>
      <w:r>
        <w:t xml:space="preserve">code review,</w:t>
      </w:r>
      <w:r>
        <w:t xml:space="preserve">”</w:t>
      </w:r>
      <w:r>
        <w:t xml:space="preserve"> </w:t>
      </w:r>
      <w:r>
        <w:t xml:space="preserve">and direct reports are supervisory/training functions — the hallmark of Level 3, and</w:t>
      </w:r>
      <w:r>
        <w:t xml:space="preserve"> </w:t>
      </w:r>
      <w:r>
        <w:t xml:space="preserve">“</w:t>
      </w:r>
      <w:r>
        <w:t xml:space="preserve">supervise and train</w:t>
      </w:r>
      <w:r>
        <w:t xml:space="preserve">”</w:t>
      </w:r>
      <w:r>
        <w:t xml:space="preserve"> </w:t>
      </w:r>
      <w:r>
        <w:t xml:space="preserve">is the hallmark of Level 4.</w:t>
      </w:r>
    </w:p>
    <w:p>
      <w:pPr>
        <w:pStyle w:val="Compact"/>
        <w:numPr>
          <w:ilvl w:val="0"/>
          <w:numId w:val="1004"/>
        </w:numPr>
      </w:pPr>
      <w:r>
        <w:rPr>
          <w:b/>
          <w:bCs/>
        </w:rPr>
        <w:t xml:space="preserve">Independent judgment.</w:t>
      </w:r>
      <w:r>
        <w:t xml:space="preserve"> </w:t>
      </w:r>
      <w:r>
        <w:t xml:space="preserve">Support letter §2: the role</w:t>
      </w:r>
      <w:r>
        <w:t xml:space="preserve"> </w:t>
      </w:r>
      <w:r>
        <w:t xml:space="preserve">“</w:t>
      </w:r>
      <w:r>
        <w:t xml:space="preserve">exercises independent judgment in the design and implementation of machine learning solutions.</w:t>
      </w:r>
      <w:r>
        <w:t xml:space="preserve">”</w:t>
      </w:r>
      <w:r>
        <w:t xml:space="preserve"> </w:t>
      </w:r>
      <w:r>
        <w:t xml:space="preserve">That is the Level 3 trigger.</w:t>
      </w:r>
    </w:p>
    <w:p>
      <w:pPr>
        <w:pStyle w:val="Compact"/>
        <w:numPr>
          <w:ilvl w:val="0"/>
          <w:numId w:val="1004"/>
        </w:numPr>
      </w:pPr>
      <w:r>
        <w:rPr>
          <w:b/>
          <w:bCs/>
        </w:rPr>
        <w:t xml:space="preserve">“</w:t>
      </w:r>
      <w:r>
        <w:rPr>
          <w:b/>
          <w:bCs/>
        </w:rPr>
        <w:t xml:space="preserve">Senior</w:t>
      </w:r>
      <w:r>
        <w:rPr>
          <w:b/>
          <w:bCs/>
        </w:rPr>
        <w:t xml:space="preserve">”</w:t>
      </w:r>
      <w:r>
        <w:rPr>
          <w:b/>
          <w:bCs/>
        </w:rPr>
        <w:t xml:space="preserve"> </w:t>
      </w:r>
      <w:r>
        <w:rPr>
          <w:b/>
          <w:bCs/>
        </w:rPr>
        <w:t xml:space="preserve">title and 3+ years required experience.</w:t>
      </w:r>
      <w:r>
        <w:t xml:space="preserve"> </w:t>
      </w:r>
      <w:r>
        <w:t xml:space="preserve">Support letter §3; PWD §3 (</w:t>
      </w:r>
      <w:r>
        <w:t xml:space="preserve">“</w:t>
      </w:r>
      <w:r>
        <w:t xml:space="preserve">Minimum Experience Required: 36 months</w:t>
      </w:r>
      <w:r>
        <w:t xml:space="preserve">”</w:t>
      </w:r>
      <w:r>
        <w:t xml:space="preserve">). A senior role requiring three or more years is inconsistent with Level 2’s</w:t>
      </w:r>
      <w:r>
        <w:t xml:space="preserve"> </w:t>
      </w:r>
      <w:r>
        <w:t xml:space="preserve">“</w:t>
      </w:r>
      <w:r>
        <w:t xml:space="preserve">limited judgment</w:t>
      </w:r>
      <w:r>
        <w:t xml:space="preserve">”</w:t>
      </w:r>
      <w:r>
        <w:t xml:space="preserve"> </w:t>
      </w:r>
      <w:r>
        <w:t xml:space="preserve">entry-to-qualified posture.</w:t>
      </w:r>
    </w:p>
    <w:p>
      <w:pPr>
        <w:pStyle w:val="Compact"/>
        <w:numPr>
          <w:ilvl w:val="0"/>
          <w:numId w:val="1004"/>
        </w:numPr>
      </w:pPr>
      <w:r>
        <w:rPr>
          <w:b/>
          <w:bCs/>
        </w:rPr>
        <w:t xml:space="preserve">Beneficiary’s own experience (8+ years).</w:t>
      </w:r>
      <w:r>
        <w:t xml:space="preserve"> </w:t>
      </w:r>
      <w:r>
        <w:t xml:space="preserve">While wage level is driven by the</w:t>
      </w:r>
      <w:r>
        <w:t xml:space="preserve"> </w:t>
      </w:r>
      <w:r>
        <w:rPr>
          <w:i/>
          <w:iCs/>
        </w:rPr>
        <w:t xml:space="preserve">position</w:t>
      </w:r>
      <w:r>
        <w:t xml:space="preserve">, not the beneficiary, the seniority of the role is corroborated by the experience requirement.</w:t>
      </w:r>
    </w:p>
    <w:p>
      <w:pPr>
        <w:pStyle w:val="FirstParagraph"/>
      </w:pPr>
      <w:r>
        <w:rPr>
          <w:b/>
          <w:bCs/>
        </w:rPr>
        <w:t xml:space="preserve">Significance.</w:t>
      </w:r>
      <w:r>
        <w:t xml:space="preserve"> </w:t>
      </w:r>
      <w:r>
        <w:t xml:space="preserve">If the correct level is</w:t>
      </w:r>
      <w:r>
        <w:t xml:space="preserve"> </w:t>
      </w:r>
      <w:r>
        <w:rPr>
          <w:b/>
          <w:bCs/>
        </w:rPr>
        <w:t xml:space="preserve">Level 3</w:t>
      </w:r>
      <w:r>
        <w:t xml:space="preserve">, the prevailing wage is</w:t>
      </w:r>
      <w:r>
        <w:t xml:space="preserve"> </w:t>
      </w:r>
      <w:r>
        <w:rPr>
          <w:b/>
          <w:bCs/>
        </w:rPr>
        <w:t xml:space="preserve">$137,946</w:t>
      </w:r>
      <w:r>
        <w:t xml:space="preserve">, and the offered wage of</w:t>
      </w:r>
      <w:r>
        <w:t xml:space="preserve"> </w:t>
      </w:r>
      <w:r>
        <w:rPr>
          <w:b/>
          <w:bCs/>
        </w:rPr>
        <w:t xml:space="preserve">$128,000 falls short by ~$9,946</w:t>
      </w:r>
      <w:r>
        <w:t xml:space="preserve">. If Level 4 applies, the shortfall is ~$34,157. An offered wage below the required prevailing wage is a violation of INA § 212(n)(1)(A) and 20 CFR § 655.731, renders the LCA attestation inaccurate, and is a common basis for both petition denial (USCIS) and Wage and Hour Division enforcement (DOL). The fact that DOL</w:t>
      </w:r>
      <w:r>
        <w:t xml:space="preserve"> </w:t>
      </w:r>
      <w:r>
        <w:rPr>
          <w:i/>
          <w:iCs/>
        </w:rPr>
        <w:t xml:space="preserve">certified</w:t>
      </w:r>
      <w:r>
        <w:t xml:space="preserve"> </w:t>
      </w:r>
      <w:r>
        <w:t xml:space="preserve">the LCA at Level 2 does not insulate the employer: LCA certification accepts the employer’s attestation as to wage level; it is not a DOL determination that the level is correct.</w:t>
      </w:r>
      <w:r>
        <w:t xml:space="preserve"> </w:t>
      </w:r>
      <w:r>
        <w:rPr>
          <w:b/>
          <w:bCs/>
        </w:rPr>
        <w:t xml:space="preserve">This should be re-evaluated and, if necessary, a new PWD/LCA at the correct level obtained before filing.</w:t>
      </w:r>
    </w:p>
    <w:bookmarkEnd w:id="23"/>
    <w:bookmarkStart w:id="24" w:name="X7fb12572c760fab9cf7bacd02a9b70fe430e925"/>
    <w:p>
      <w:pPr>
        <w:pStyle w:val="Heading4"/>
      </w:pPr>
      <w:r>
        <w:t xml:space="preserve">A-2. F-1 OPT status is undocumented and inconsistent with the education record.</w:t>
      </w:r>
    </w:p>
    <w:p>
      <w:pPr>
        <w:pStyle w:val="FirstParagraph"/>
      </w:pPr>
      <w:r>
        <w:rPr>
          <w:b/>
          <w:bCs/>
        </w:rPr>
        <w:t xml:space="preserve">The issue.</w:t>
      </w:r>
      <w:r>
        <w:t xml:space="preserve"> </w:t>
      </w:r>
      <w:r>
        <w:t xml:space="preserve">The support letter (§4) states:</w:t>
      </w:r>
      <w:r>
        <w:t xml:space="preserve"> </w:t>
      </w:r>
      <w:r>
        <w:t xml:space="preserve">“</w:t>
      </w:r>
      <w:r>
        <w:t xml:space="preserve">Mr. Venkataraman is currently maintaining valid F-1 Optional Practical Training (OPT) status and will transition to H-1B nonimmigrant status effective October 1, 2025.</w:t>
      </w:r>
      <w:r>
        <w:t xml:space="preserve">”</w:t>
      </w:r>
      <w:r>
        <w:t xml:space="preserve"> </w:t>
      </w:r>
      <w:r>
        <w:t xml:space="preserve">No document in the package supports F-1/OPT status, and the only education documented anywhere is a</w:t>
      </w:r>
      <w:r>
        <w:t xml:space="preserve"> </w:t>
      </w:r>
      <w:r>
        <w:rPr>
          <w:i/>
          <w:iCs/>
        </w:rPr>
        <w:t xml:space="preserve">foreign</w:t>
      </w:r>
      <w:r>
        <w:t xml:space="preserve"> </w:t>
      </w:r>
      <w:r>
        <w:t xml:space="preserve">bachelor’s degree.</w:t>
      </w:r>
    </w:p>
    <w:p>
      <w:pPr>
        <w:pStyle w:val="BodyText"/>
      </w:pPr>
      <w:r>
        <w:rPr>
          <w:b/>
          <w:bCs/>
        </w:rPr>
        <w:t xml:space="preserve">Cross-reference support.</w:t>
      </w:r>
      <w:r>
        <w:t xml:space="preserve"> </w:t>
      </w:r>
      <w:r>
        <w:t xml:space="preserve">F-1 OPT is authorized only on the basis of a degree from a U.S. SEVP-certified school; a foreign degree alone does not support F-1 OPT. The package’s education record consists solely of the JNTU B.Tech (resume</w:t>
      </w:r>
      <w:r>
        <w:t xml:space="preserve"> </w:t>
      </w:r>
      <w:r>
        <w:t xml:space="preserve">“</w:t>
      </w:r>
      <w:r>
        <w:t xml:space="preserve">Education</w:t>
      </w:r>
      <w:r>
        <w:t xml:space="preserve">”</w:t>
      </w:r>
      <w:r>
        <w:t xml:space="preserve">; credential evaluation §1; JNTU transcript). No U.S. degree, I-20, EAD (Form I-766), I-94, or visa is included. The beneficiary’s resume lists no U.S. education.</w:t>
      </w:r>
    </w:p>
    <w:p>
      <w:pPr>
        <w:pStyle w:val="BodyText"/>
      </w:pPr>
      <w:r>
        <w:rPr>
          <w:b/>
          <w:bCs/>
        </w:rPr>
        <w:t xml:space="preserve">Significance — two scenarios, both problematic:</w:t>
      </w:r>
    </w:p>
    <w:p>
      <w:pPr>
        <w:pStyle w:val="Compact"/>
        <w:numPr>
          <w:ilvl w:val="0"/>
          <w:numId w:val="1005"/>
        </w:numPr>
      </w:pPr>
      <w:r>
        <w:rPr>
          <w:i/>
          <w:iCs/>
        </w:rPr>
        <w:t xml:space="preserve">If the beneficiary holds a U.S. degree (e.g., a U.S. master’s) that is simply omitted from the package:</w:t>
      </w:r>
      <w:r>
        <w:t xml:space="preserve"> </w:t>
      </w:r>
      <w:r>
        <w:t xml:space="preserve">that degree is potentially the</w:t>
      </w:r>
      <w:r>
        <w:t xml:space="preserve"> </w:t>
      </w:r>
      <w:r>
        <w:rPr>
          <w:b/>
          <w:bCs/>
        </w:rPr>
        <w:t xml:space="preserve">single most important qualification document</w:t>
      </w:r>
      <w:r>
        <w:t xml:space="preserve"> </w:t>
      </w:r>
      <w:r>
        <w:t xml:space="preserve">in the file. A U.S. master’s in CS/ML/AI would (i) directly satisfy the specialty-occupation degree requirement and resolve the</w:t>
      </w:r>
      <w:r>
        <w:t xml:space="preserve"> </w:t>
      </w:r>
      <w:r>
        <w:t xml:space="preserve">“</w:t>
      </w:r>
      <w:r>
        <w:t xml:space="preserve">closely related field</w:t>
      </w:r>
      <w:r>
        <w:t xml:space="preserve">”</w:t>
      </w:r>
      <w:r>
        <w:t xml:space="preserve"> </w:t>
      </w:r>
      <w:r>
        <w:t xml:space="preserve">problem in A-3; (ii) bear on cap eligibility (the H-1B advanced-degree exemption); and (iii) be the predicate for the F-1/OPT (and any STEM OPT extension) on which the change-of-status request depends. Its absence is a critical documentation gap.</w:t>
      </w:r>
    </w:p>
    <w:p>
      <w:pPr>
        <w:pStyle w:val="Compact"/>
        <w:numPr>
          <w:ilvl w:val="0"/>
          <w:numId w:val="1005"/>
        </w:numPr>
      </w:pPr>
      <w:r>
        <w:rPr>
          <w:i/>
          <w:iCs/>
        </w:rPr>
        <w:t xml:space="preserve">If the beneficiary does not hold a U.S. degree:</w:t>
      </w:r>
      <w:r>
        <w:t xml:space="preserve"> </w:t>
      </w:r>
      <w:r>
        <w:t xml:space="preserve">the F-1 OPT representation is inaccurate, the beneficiary’s current lawful status is unestablished, and a request to change status within the United States cannot be supported. The petition would need to proceed on consular notification, and the status claim should be corrected.</w:t>
      </w:r>
    </w:p>
    <w:p>
      <w:pPr>
        <w:pStyle w:val="FirstParagraph"/>
      </w:pPr>
      <w:r>
        <w:t xml:space="preserve">Either way, the package must be supplemented with current-status evidence (most recent I-20 with travel/OPT endorsements, EAD, I-94, copies of prior visa stamps) and, if applicable, the U.S. degree and transcripts. The</w:t>
      </w:r>
      <w:r>
        <w:t xml:space="preserve"> </w:t>
      </w:r>
      <w:r>
        <w:t xml:space="preserve">“</w:t>
      </w:r>
      <w:r>
        <w:t xml:space="preserve">cap-gap</w:t>
      </w:r>
      <w:r>
        <w:t xml:space="preserve">”</w:t>
      </w:r>
      <w:r>
        <w:t xml:space="preserve"> </w:t>
      </w:r>
      <w:r>
        <w:t xml:space="preserve">implications should also be confirmed if the OPT EAD expires before October 1, 2025.</w:t>
      </w:r>
    </w:p>
    <w:bookmarkEnd w:id="24"/>
    <w:bookmarkStart w:id="25" w:name="X79bf58398a2f3a0c21ad6f98a73682c00594a55"/>
    <w:p>
      <w:pPr>
        <w:pStyle w:val="Heading4"/>
      </w:pPr>
      <w:r>
        <w:t xml:space="preserve">A-3.</w:t>
      </w:r>
      <w:r>
        <w:t xml:space="preserve"> </w:t>
      </w:r>
      <w:r>
        <w:t xml:space="preserve">“</w:t>
      </w:r>
      <w:r>
        <w:t xml:space="preserve">Closely related field</w:t>
      </w:r>
      <w:r>
        <w:t xml:space="preserve">”</w:t>
      </w:r>
      <w:r>
        <w:t xml:space="preserve"> </w:t>
      </w:r>
      <w:r>
        <w:t xml:space="preserve">is unresolved; the credential evaluation does not support it.</w:t>
      </w:r>
    </w:p>
    <w:p>
      <w:pPr>
        <w:pStyle w:val="FirstParagraph"/>
      </w:pPr>
      <w:r>
        <w:rPr>
          <w:b/>
          <w:bCs/>
        </w:rPr>
        <w:t xml:space="preserve">The issue.</w:t>
      </w:r>
      <w:r>
        <w:t xml:space="preserve"> </w:t>
      </w:r>
      <w:r>
        <w:t xml:space="preserve">The position requires a bachelor’s degree in</w:t>
      </w:r>
      <w:r>
        <w:t xml:space="preserve"> </w:t>
      </w:r>
      <w:r>
        <w:t xml:space="preserve">“</w:t>
      </w:r>
      <w:r>
        <w:t xml:space="preserve">Computer Science, Machine Learning, Artificial Intelligence, or a closely related field</w:t>
      </w:r>
      <w:r>
        <w:t xml:space="preserve">”</w:t>
      </w:r>
      <w:r>
        <w:t xml:space="preserve"> </w:t>
      </w:r>
      <w:r>
        <w:t xml:space="preserve">(LCA §G.7; support letter §3). The beneficiary’s degree is in</w:t>
      </w:r>
      <w:r>
        <w:t xml:space="preserve"> </w:t>
      </w:r>
      <w:r>
        <w:rPr>
          <w:b/>
          <w:bCs/>
        </w:rPr>
        <w:t xml:space="preserve">Electronics and Communication Engineering</w:t>
      </w:r>
      <w:r>
        <w:t xml:space="preserve">. The credential evaluation does not bridge that gap and, in key respects, undercuts the argument that the degree is</w:t>
      </w:r>
      <w:r>
        <w:t xml:space="preserve"> </w:t>
      </w:r>
      <w:r>
        <w:t xml:space="preserve">“</w:t>
      </w:r>
      <w:r>
        <w:t xml:space="preserve">closely related.</w:t>
      </w:r>
      <w:r>
        <w:t xml:space="preserve">”</w:t>
      </w:r>
    </w:p>
    <w:p>
      <w:pPr>
        <w:pStyle w:val="BodyText"/>
      </w:pPr>
      <w:r>
        <w:rPr>
          <w:b/>
          <w:bCs/>
        </w:rPr>
        <w:t xml:space="preserve">Cross-reference support.</w:t>
      </w:r>
    </w:p>
    <w:p>
      <w:pPr>
        <w:pStyle w:val="Compact"/>
        <w:numPr>
          <w:ilvl w:val="0"/>
          <w:numId w:val="1006"/>
        </w:numPr>
      </w:pPr>
      <w:r>
        <w:t xml:space="preserve">The credential evaluation (§5) equates the B.Tech to</w:t>
      </w:r>
      <w:r>
        <w:t xml:space="preserve"> </w:t>
      </w:r>
      <w:r>
        <w:t xml:space="preserve">“</w:t>
      </w:r>
      <w:r>
        <w:t xml:space="preserve">a four-year Bachelor of Science (B.S.) in</w:t>
      </w:r>
      <w:r>
        <w:t xml:space="preserve"> </w:t>
      </w:r>
      <w:r>
        <w:rPr>
          <w:b/>
          <w:bCs/>
        </w:rPr>
        <w:t xml:space="preserve">Electronics and Communication Engineering</w:t>
      </w:r>
      <w:r>
        <w:t xml:space="preserve">”</w:t>
      </w:r>
      <w:r>
        <w:t xml:space="preserve"> </w:t>
      </w:r>
      <w:r>
        <w:t xml:space="preserve">— i.e., it establishes U.S. equivalency of the</w:t>
      </w:r>
      <w:r>
        <w:t xml:space="preserve"> </w:t>
      </w:r>
      <w:r>
        <w:rPr>
          <w:i/>
          <w:iCs/>
        </w:rPr>
        <w:t xml:space="preserve">degree level and field as ECE</w:t>
      </w:r>
      <w:r>
        <w:t xml:space="preserve">, not as CS/ML/AI.</w:t>
      </w:r>
    </w:p>
    <w:p>
      <w:pPr>
        <w:pStyle w:val="Compact"/>
        <w:numPr>
          <w:ilvl w:val="0"/>
          <w:numId w:val="1006"/>
        </w:numPr>
      </w:pPr>
      <w:r>
        <w:t xml:space="preserve">The evaluation (§4) quantifies</w:t>
      </w:r>
      <w:r>
        <w:t xml:space="preserve"> </w:t>
      </w:r>
      <w:r>
        <w:t xml:space="preserve">“</w:t>
      </w:r>
      <w:r>
        <w:t xml:space="preserve">Computer-Related Coursework</w:t>
      </w:r>
      <w:r>
        <w:t xml:space="preserve">”</w:t>
      </w:r>
      <w:r>
        <w:t xml:space="preserve"> </w:t>
      </w:r>
      <w:r>
        <w:t xml:space="preserve">at</w:t>
      </w:r>
      <w:r>
        <w:t xml:space="preserve"> </w:t>
      </w:r>
      <w:r>
        <w:rPr>
          <w:b/>
          <w:bCs/>
        </w:rPr>
        <w:t xml:space="preserve">~12 credit hours (~7.5%)</w:t>
      </w:r>
      <w:r>
        <w:t xml:space="preserve"> </w:t>
      </w:r>
      <w:r>
        <w:t xml:space="preserve">of the curriculum (C Programming I &amp; II, Data Structures, Introduction to AI). The remaining ~92.5% is electronics, communications, signal processing, VLSI, antennas, microwave, radar, satellite, optical, and cellular communications.</w:t>
      </w:r>
    </w:p>
    <w:p>
      <w:pPr>
        <w:pStyle w:val="Compact"/>
        <w:numPr>
          <w:ilvl w:val="0"/>
          <w:numId w:val="1006"/>
        </w:numPr>
      </w:pPr>
      <w:r>
        <w:t xml:space="preserve">The evaluation (§7, Limitations) expressly states:</w:t>
      </w:r>
      <w:r>
        <w:t xml:space="preserve"> </w:t>
      </w:r>
      <w:r>
        <w:t xml:space="preserve">“</w:t>
      </w:r>
      <w:r>
        <w:t xml:space="preserve">This evaluation</w:t>
      </w:r>
      <w:r>
        <w:t xml:space="preserve"> </w:t>
      </w:r>
      <w:r>
        <w:rPr>
          <w:b/>
          <w:bCs/>
        </w:rPr>
        <w:t xml:space="preserve">does not opine on whether the applicant’s field of study satisfies the requirements of any particular position or petition.</w:t>
      </w:r>
      <w:r>
        <w:t xml:space="preserve">”</w:t>
      </w:r>
      <w:r>
        <w:t xml:space="preserve"> </w:t>
      </w:r>
      <w:r>
        <w:t xml:space="preserve">The evaluation therefore furnishes no opinion on the</w:t>
      </w:r>
      <w:r>
        <w:t xml:space="preserve"> </w:t>
      </w:r>
      <w:r>
        <w:t xml:space="preserve">“</w:t>
      </w:r>
      <w:r>
        <w:t xml:space="preserve">closely related</w:t>
      </w:r>
      <w:r>
        <w:t xml:space="preserve">”</w:t>
      </w:r>
      <w:r>
        <w:t xml:space="preserve"> </w:t>
      </w:r>
      <w:r>
        <w:t xml:space="preserve">question — the precise question on which the petition turns.</w:t>
      </w:r>
    </w:p>
    <w:p>
      <w:pPr>
        <w:pStyle w:val="Compact"/>
        <w:numPr>
          <w:ilvl w:val="0"/>
          <w:numId w:val="1006"/>
        </w:numPr>
      </w:pPr>
      <w:r>
        <w:t xml:space="preserve">The support letter (§4) nonetheless asserts the curriculum</w:t>
      </w:r>
      <w:r>
        <w:t xml:space="preserve"> </w:t>
      </w:r>
      <w:r>
        <w:t xml:space="preserve">“</w:t>
      </w:r>
      <w:r>
        <w:t xml:space="preserve">included coursework in programming, data structures, and artificial intelligence, providing a strong technical foundation for machine learning engineering.</w:t>
      </w:r>
      <w:r>
        <w:t xml:space="preserve">”</w:t>
      </w:r>
      <w:r>
        <w:t xml:space="preserve"> </w:t>
      </w:r>
      <w:r>
        <w:t xml:space="preserve">By the evaluation’s own figures, that coursework is three courses / ~7.5% of the program — a characterization USCIS may regard as overstated.</w:t>
      </w:r>
    </w:p>
    <w:p>
      <w:pPr>
        <w:pStyle w:val="Compact"/>
        <w:numPr>
          <w:ilvl w:val="0"/>
          <w:numId w:val="1006"/>
        </w:numPr>
      </w:pPr>
      <w:r>
        <w:t xml:space="preserve">The support letter (§4) also describes the evaluation as confirming the degree</w:t>
      </w:r>
      <w:r>
        <w:t xml:space="preserve"> </w:t>
      </w:r>
      <w:r>
        <w:t xml:space="preserve">“</w:t>
      </w:r>
      <w:r>
        <w:t xml:space="preserve">is equivalent to a Bachelor of Science degree from a regionally accredited institution,</w:t>
      </w:r>
      <w:r>
        <w:t xml:space="preserve">”</w:t>
      </w:r>
      <w:r>
        <w:t xml:space="preserve"> </w:t>
      </w:r>
      <w:r>
        <w:t xml:space="preserve">omitting that the equivalency is specifically to an</w:t>
      </w:r>
      <w:r>
        <w:t xml:space="preserve"> </w:t>
      </w:r>
      <w:r>
        <w:rPr>
          <w:b/>
          <w:bCs/>
        </w:rPr>
        <w:t xml:space="preserve">ECE</w:t>
      </w:r>
      <w:r>
        <w:t xml:space="preserve"> </w:t>
      </w:r>
      <w:r>
        <w:t xml:space="preserve">degree. This elision is material because the field — not the mere existence of a four-year degree — is the contested point.</w:t>
      </w:r>
    </w:p>
    <w:p>
      <w:pPr>
        <w:pStyle w:val="FirstParagraph"/>
      </w:pPr>
      <w:r>
        <w:rPr>
          <w:b/>
          <w:bCs/>
        </w:rPr>
        <w:t xml:space="preserve">Significance.</w:t>
      </w:r>
      <w:r>
        <w:t xml:space="preserve"> </w:t>
      </w:r>
      <w:r>
        <w:t xml:space="preserve">USCIS adjudicates</w:t>
      </w:r>
      <w:r>
        <w:t xml:space="preserve"> </w:t>
      </w:r>
      <w:r>
        <w:t xml:space="preserve">“</w:t>
      </w:r>
      <w:r>
        <w:t xml:space="preserve">closely related</w:t>
      </w:r>
      <w:r>
        <w:t xml:space="preserve">”</w:t>
      </w:r>
      <w:r>
        <w:t xml:space="preserve"> </w:t>
      </w:r>
      <w:r>
        <w:t xml:space="preserve">case by case. An ECE degree is</w:t>
      </w:r>
      <w:r>
        <w:t xml:space="preserve"> </w:t>
      </w:r>
      <w:r>
        <w:rPr>
          <w:i/>
          <w:iCs/>
        </w:rPr>
        <w:t xml:space="preserve">sometimes</w:t>
      </w:r>
      <w:r>
        <w:t xml:space="preserve"> </w:t>
      </w:r>
      <w:r>
        <w:t xml:space="preserve">accepted as related to CS for certain roles, but for a position expressly requiring CS/ML/AI, an ECE degree with ~7.5% computer coursework is a genuine vulnerability — particularly where the evaluation declines to opine on field-suitability. The beneficiary’s substantial ML work experience is the strongest counterweight, but that experience has its own evidentiary gaps (see A-5 and B-4).</w:t>
      </w:r>
      <w:r>
        <w:t xml:space="preserve"> </w:t>
      </w:r>
      <w:r>
        <w:rPr>
          <w:b/>
          <w:bCs/>
        </w:rPr>
        <w:t xml:space="preserve">Recommend an expert opinion letter (from a qualified evaluator or a university professor in CS/ML) that expressly addresses whether the ECE coursework — including signal processing, probability/stochastic processes, linear algebra, and the AI elective — constitutes the theoretical foundation for ML engineering, and that opines on</w:t>
      </w:r>
      <w:r>
        <w:rPr>
          <w:b/>
          <w:bCs/>
        </w:rPr>
        <w:t xml:space="preserve"> </w:t>
      </w:r>
      <w:r>
        <w:rPr>
          <w:b/>
          <w:bCs/>
        </w:rPr>
        <w:t xml:space="preserve">“</w:t>
      </w:r>
      <w:r>
        <w:rPr>
          <w:b/>
          <w:bCs/>
        </w:rPr>
        <w:t xml:space="preserve">closely related</w:t>
      </w:r>
      <w:r>
        <w:rPr>
          <w:b/>
          <w:bCs/>
        </w:rPr>
        <w:t xml:space="preserve">”</w:t>
      </w:r>
      <w:r>
        <w:rPr>
          <w:b/>
          <w:bCs/>
        </w:rPr>
        <w:t xml:space="preserve"> </w:t>
      </w:r>
      <w:r>
        <w:rPr>
          <w:b/>
          <w:bCs/>
        </w:rPr>
        <w:t xml:space="preserve">status.</w:t>
      </w:r>
      <w:r>
        <w:t xml:space="preserve"> </w:t>
      </w:r>
      <w:r>
        <w:t xml:space="preserve">(See also B-1 on the</w:t>
      </w:r>
      <w:r>
        <w:t xml:space="preserve"> </w:t>
      </w:r>
      <w:r>
        <w:t xml:space="preserve">“</w:t>
      </w:r>
      <w:r>
        <w:t xml:space="preserve">alternative qualification,</w:t>
      </w:r>
      <w:r>
        <w:t xml:space="preserve">”</w:t>
      </w:r>
      <w:r>
        <w:t xml:space="preserve"> </w:t>
      </w:r>
      <w:r>
        <w:t xml:space="preserve">which interacts with this issue.)</w:t>
      </w:r>
    </w:p>
    <w:bookmarkEnd w:id="25"/>
    <w:bookmarkStart w:id="26" w:name="Xe157fe2c10767dfa67fd086d9003dddd322a242"/>
    <w:p>
      <w:pPr>
        <w:pStyle w:val="Heading4"/>
      </w:pPr>
      <w:r>
        <w:t xml:space="preserve">A-4. Resume employment dates conflict with the experience letters; an unexplained gap results.</w:t>
      </w:r>
    </w:p>
    <w:p>
      <w:pPr>
        <w:pStyle w:val="FirstParagraph"/>
      </w:pPr>
      <w:r>
        <w:rPr>
          <w:b/>
          <w:bCs/>
        </w:rPr>
        <w:t xml:space="preserve">The issue.</w:t>
      </w:r>
      <w:r>
        <w:t xml:space="preserve"> </w:t>
      </w:r>
      <w:r>
        <w:t xml:space="preserve">The resume states employment durations that are longer than, and inconsistent with, the contemporaneous experience letters and the support letter.</w:t>
      </w:r>
    </w:p>
    <w:p>
      <w:pPr>
        <w:pStyle w:val="BodyText"/>
      </w:pPr>
      <w:r>
        <w:rPr>
          <w:b/>
          <w:bCs/>
        </w:rPr>
        <w:t xml:space="preserve">Cross-reference support.</w:t>
      </w:r>
    </w:p>
    <w:tbl>
      <w:tblPr>
        <w:tblStyle w:val="Table"/>
        <w:tblW w:type="pct" w:w="5000"/>
        <w:jc w:val="left"/>
        <w:tblLayout w:type="fixed"/>
        <w:tblLook w:firstRow="1" w:lastRow="0" w:firstColumn="0" w:lastColumn="0" w:noHBand="0" w:noVBand="0" w:val="0020"/>
      </w:tblPr>
      <w:tblGrid>
        <w:gridCol w:w="1365"/>
        <w:gridCol w:w="1092"/>
        <w:gridCol w:w="2594"/>
        <w:gridCol w:w="2867"/>
      </w:tblGrid>
      <w:tr>
        <w:trPr>
          <w:tblHeader w:val="on"/>
        </w:trPr>
        <w:tc>
          <w:tcPr/>
          <w:p>
            <w:pPr>
              <w:pStyle w:val="Compact"/>
              <w:jc w:val="left"/>
            </w:pPr>
            <w:r>
              <w:t xml:space="preserve">Position</w:t>
            </w:r>
          </w:p>
        </w:tc>
        <w:tc>
          <w:tcPr/>
          <w:p>
            <w:pPr>
              <w:pStyle w:val="Compact"/>
              <w:jc w:val="left"/>
            </w:pPr>
            <w:r>
              <w:t xml:space="preserve">Resume</w:t>
            </w:r>
          </w:p>
        </w:tc>
        <w:tc>
          <w:tcPr/>
          <w:p>
            <w:pPr>
              <w:pStyle w:val="Compact"/>
              <w:jc w:val="left"/>
            </w:pPr>
            <w:r>
              <w:t xml:space="preserve">Experience Letter</w:t>
            </w:r>
          </w:p>
        </w:tc>
        <w:tc>
          <w:tcPr/>
          <w:p>
            <w:pPr>
              <w:pStyle w:val="Compact"/>
              <w:jc w:val="left"/>
            </w:pPr>
            <w:r>
              <w:t xml:space="preserve">Support Letter (§4)</w:t>
            </w:r>
          </w:p>
        </w:tc>
      </w:tr>
      <w:tr>
        <w:tc>
          <w:tcPr/>
          <w:p>
            <w:pPr>
              <w:pStyle w:val="Compact"/>
              <w:jc w:val="left"/>
            </w:pPr>
            <w:r>
              <w:t xml:space="preserve">Kiran Software Solutions</w:t>
            </w:r>
          </w:p>
        </w:tc>
        <w:tc>
          <w:tcPr/>
          <w:p>
            <w:pPr>
              <w:pStyle w:val="Compact"/>
              <w:jc w:val="left"/>
            </w:pPr>
            <w:r>
              <w:t xml:space="preserve">June 2014 –</w:t>
            </w:r>
            <w:r>
              <w:t xml:space="preserve"> </w:t>
            </w:r>
            <w:r>
              <w:rPr>
                <w:b/>
                <w:bCs/>
              </w:rPr>
              <w:t xml:space="preserve">March 2017</w:t>
            </w:r>
          </w:p>
        </w:tc>
        <w:tc>
          <w:tcPr/>
          <w:p>
            <w:pPr>
              <w:pStyle w:val="Compact"/>
              <w:jc w:val="left"/>
            </w:pPr>
            <w:r>
              <w:t xml:space="preserve">June 16, 2014 –</w:t>
            </w:r>
            <w:r>
              <w:t xml:space="preserve"> </w:t>
            </w:r>
            <w:r>
              <w:rPr>
                <w:b/>
                <w:bCs/>
              </w:rPr>
              <w:t xml:space="preserve">December 9, 2016</w:t>
            </w:r>
          </w:p>
        </w:tc>
        <w:tc>
          <w:tcPr/>
          <w:p>
            <w:pPr>
              <w:pStyle w:val="Compact"/>
              <w:jc w:val="left"/>
            </w:pPr>
            <w:r>
              <w:t xml:space="preserve">June 2014 –</w:t>
            </w:r>
            <w:r>
              <w:t xml:space="preserve"> </w:t>
            </w:r>
            <w:r>
              <w:rPr>
                <w:b/>
                <w:bCs/>
              </w:rPr>
              <w:t xml:space="preserve">December 2016</w:t>
            </w:r>
          </w:p>
        </w:tc>
      </w:tr>
      <w:tr>
        <w:tc>
          <w:tcPr/>
          <w:p>
            <w:pPr>
              <w:pStyle w:val="Compact"/>
              <w:jc w:val="left"/>
            </w:pPr>
            <w:r>
              <w:t xml:space="preserve">NovaStar Data Systems</w:t>
            </w:r>
          </w:p>
        </w:tc>
        <w:tc>
          <w:tcPr/>
          <w:p>
            <w:pPr>
              <w:pStyle w:val="Compact"/>
              <w:jc w:val="left"/>
            </w:pPr>
            <w:r>
              <w:t xml:space="preserve">April 2017 –</w:t>
            </w:r>
            <w:r>
              <w:t xml:space="preserve"> </w:t>
            </w:r>
            <w:r>
              <w:rPr>
                <w:b/>
                <w:bCs/>
              </w:rPr>
              <w:t xml:space="preserve">August 2020</w:t>
            </w:r>
          </w:p>
        </w:tc>
        <w:tc>
          <w:tcPr/>
          <w:p>
            <w:pPr>
              <w:pStyle w:val="Compact"/>
              <w:jc w:val="left"/>
            </w:pPr>
            <w:r>
              <w:t xml:space="preserve">April 2017 –</w:t>
            </w:r>
            <w:r>
              <w:t xml:space="preserve"> </w:t>
            </w:r>
            <w:r>
              <w:rPr>
                <w:b/>
                <w:bCs/>
              </w:rPr>
              <w:t xml:space="preserve">July 2020</w:t>
            </w:r>
          </w:p>
        </w:tc>
        <w:tc>
          <w:tcPr/>
          <w:p>
            <w:pPr>
              <w:pStyle w:val="Compact"/>
              <w:jc w:val="left"/>
            </w:pPr>
            <w:r>
              <w:t xml:space="preserve">April 2017 –</w:t>
            </w:r>
            <w:r>
              <w:t xml:space="preserve"> </w:t>
            </w:r>
            <w:r>
              <w:rPr>
                <w:b/>
                <w:bCs/>
              </w:rPr>
              <w:t xml:space="preserve">July 2020</w:t>
            </w:r>
          </w:p>
        </w:tc>
      </w:tr>
    </w:tbl>
    <w:p>
      <w:pPr>
        <w:pStyle w:val="Compact"/>
        <w:numPr>
          <w:ilvl w:val="0"/>
          <w:numId w:val="1007"/>
        </w:numPr>
      </w:pPr>
      <w:r>
        <w:t xml:space="preserve">The resume overstates the Kiran tenure by roughly</w:t>
      </w:r>
      <w:r>
        <w:t xml:space="preserve"> </w:t>
      </w:r>
      <w:r>
        <w:rPr>
          <w:b/>
          <w:bCs/>
        </w:rPr>
        <w:t xml:space="preserve">three months</w:t>
      </w:r>
      <w:r>
        <w:t xml:space="preserve"> </w:t>
      </w:r>
      <w:r>
        <w:t xml:space="preserve">and the NovaStar tenure by roughly</w:t>
      </w:r>
      <w:r>
        <w:t xml:space="preserve"> </w:t>
      </w:r>
      <w:r>
        <w:rPr>
          <w:b/>
          <w:bCs/>
        </w:rPr>
        <w:t xml:space="preserve">one month</w:t>
      </w:r>
      <w:r>
        <w:t xml:space="preserve">.</w:t>
      </w:r>
    </w:p>
    <w:p>
      <w:pPr>
        <w:pStyle w:val="Compact"/>
        <w:numPr>
          <w:ilvl w:val="0"/>
          <w:numId w:val="1007"/>
        </w:numPr>
      </w:pPr>
      <w:r>
        <w:t xml:space="preserve">The support letter tracks the</w:t>
      </w:r>
      <w:r>
        <w:t xml:space="preserve"> </w:t>
      </w:r>
      <w:r>
        <w:rPr>
          <w:i/>
          <w:iCs/>
        </w:rPr>
        <w:t xml:space="preserve">experience letters</w:t>
      </w:r>
      <w:r>
        <w:t xml:space="preserve"> </w:t>
      </w:r>
      <w:r>
        <w:t xml:space="preserve">(December 2016; July 2020), not the resume. The package is therefore internally inconsistent on its face.</w:t>
      </w:r>
    </w:p>
    <w:p>
      <w:pPr>
        <w:pStyle w:val="Compact"/>
        <w:numPr>
          <w:ilvl w:val="0"/>
          <w:numId w:val="1007"/>
        </w:numPr>
      </w:pPr>
      <w:r>
        <w:t xml:space="preserve">Using the corrected (letter) dates, an</w:t>
      </w:r>
      <w:r>
        <w:t xml:space="preserve"> </w:t>
      </w:r>
      <w:r>
        <w:rPr>
          <w:b/>
          <w:bCs/>
        </w:rPr>
        <w:t xml:space="preserve">unexplained gap of approximately 3.5 months</w:t>
      </w:r>
      <w:r>
        <w:t xml:space="preserve"> </w:t>
      </w:r>
      <w:r>
        <w:t xml:space="preserve">appears between the end of Kiran employment (December 9, 2016) and the start of NovaStar employment (April 2017). The resume’s</w:t>
      </w:r>
      <w:r>
        <w:t xml:space="preserve"> </w:t>
      </w:r>
      <w:r>
        <w:t xml:space="preserve">“</w:t>
      </w:r>
      <w:r>
        <w:t xml:space="preserve">March 2017</w:t>
      </w:r>
      <w:r>
        <w:t xml:space="preserve">”</w:t>
      </w:r>
      <w:r>
        <w:t xml:space="preserve"> </w:t>
      </w:r>
      <w:r>
        <w:t xml:space="preserve">Kiran end date conveniently closes that gap.</w:t>
      </w:r>
    </w:p>
    <w:p>
      <w:pPr>
        <w:pStyle w:val="FirstParagraph"/>
      </w:pPr>
      <w:r>
        <w:rPr>
          <w:b/>
          <w:bCs/>
        </w:rPr>
        <w:t xml:space="preserve">Significance.</w:t>
      </w:r>
      <w:r>
        <w:t xml:space="preserve"> </w:t>
      </w:r>
      <w:r>
        <w:t xml:space="preserve">USCIS examiners routinely compare the resume to the experience letters. Discrepancies of this kind invite credibility findings and may trigger requests for evidence (RFEs) or, worse, findings of misrepresentation. The gap itself is not necessarily disqualifying, but it must be explained (e.g., return to India, job search, study) rather than concealed by an inflated resume date.</w:t>
      </w:r>
      <w:r>
        <w:t xml:space="preserve"> </w:t>
      </w:r>
      <w:r>
        <w:rPr>
          <w:b/>
          <w:bCs/>
        </w:rPr>
        <w:t xml:space="preserve">The resume should be corrected to match the experience letters, and any gap should be addressed candidly.</w:t>
      </w:r>
    </w:p>
    <w:bookmarkEnd w:id="26"/>
    <w:bookmarkStart w:id="27" w:name="X937024591ef311501d09cefd1cae9d7f0b62214"/>
    <w:p>
      <w:pPr>
        <w:pStyle w:val="Heading4"/>
      </w:pPr>
      <w:r>
        <w:t xml:space="preserve">A-5. The most relevant experience (independent consultant, 2020–2023) is uncorroborated.</w:t>
      </w:r>
    </w:p>
    <w:p>
      <w:pPr>
        <w:pStyle w:val="FirstParagraph"/>
      </w:pPr>
      <w:r>
        <w:rPr>
          <w:b/>
          <w:bCs/>
        </w:rPr>
        <w:t xml:space="preserve">The issue.</w:t>
      </w:r>
      <w:r>
        <w:t xml:space="preserve"> </w:t>
      </w:r>
      <w:r>
        <w:t xml:space="preserve">The three-year independent-consultant period — during which the beneficiary claims the</w:t>
      </w:r>
      <w:r>
        <w:t xml:space="preserve"> </w:t>
      </w:r>
      <w:r>
        <w:rPr>
          <w:i/>
          <w:iCs/>
        </w:rPr>
        <w:t xml:space="preserve">specific</w:t>
      </w:r>
      <w:r>
        <w:t xml:space="preserve"> </w:t>
      </w:r>
      <w:r>
        <w:t xml:space="preserve">frameworks the position requires — is supported by no experience letter, client letter, 1099s, or contract evidence.</w:t>
      </w:r>
    </w:p>
    <w:p>
      <w:pPr>
        <w:pStyle w:val="BodyText"/>
      </w:pPr>
      <w:r>
        <w:rPr>
          <w:b/>
          <w:bCs/>
        </w:rPr>
        <w:t xml:space="preserve">Cross-reference support.</w:t>
      </w:r>
    </w:p>
    <w:p>
      <w:pPr>
        <w:pStyle w:val="Compact"/>
        <w:numPr>
          <w:ilvl w:val="0"/>
          <w:numId w:val="1008"/>
        </w:numPr>
      </w:pPr>
      <w:r>
        <w:t xml:space="preserve">Resume:</w:t>
      </w:r>
      <w:r>
        <w:t xml:space="preserve"> </w:t>
      </w:r>
      <w:r>
        <w:t xml:space="preserve">“</w:t>
      </w:r>
      <w:r>
        <w:t xml:space="preserve">Independent Machine Learning Consultant, August 2020 – August 2023,</w:t>
      </w:r>
      <w:r>
        <w:t xml:space="preserve">”</w:t>
      </w:r>
      <w:r>
        <w:t xml:space="preserve"> </w:t>
      </w:r>
      <w:r>
        <w:t xml:space="preserve">claiming TensorFlow, PyTorch, AWS SageMaker, Hugging Face Transformers, LLM fine-tuning, RAG pipelines, recommendation engines, and fraud-detection models.</w:t>
      </w:r>
    </w:p>
    <w:p>
      <w:pPr>
        <w:pStyle w:val="Compact"/>
        <w:numPr>
          <w:ilvl w:val="0"/>
          <w:numId w:val="1008"/>
        </w:numPr>
      </w:pPr>
      <w:r>
        <w:t xml:space="preserve">Support letter (§4): lists the consultant period with the same claims, but provides no corroborating documentation.</w:t>
      </w:r>
    </w:p>
    <w:p>
      <w:pPr>
        <w:pStyle w:val="Compact"/>
        <w:numPr>
          <w:ilvl w:val="0"/>
          <w:numId w:val="1008"/>
        </w:numPr>
      </w:pPr>
      <w:r>
        <w:t xml:space="preserve">By contrast, the</w:t>
      </w:r>
      <w:r>
        <w:t xml:space="preserve"> </w:t>
      </w:r>
      <w:r>
        <w:rPr>
          <w:b/>
          <w:bCs/>
        </w:rPr>
        <w:t xml:space="preserve">NovaStar</w:t>
      </w:r>
      <w:r>
        <w:t xml:space="preserve"> </w:t>
      </w:r>
      <w:r>
        <w:t xml:space="preserve">experience letter (the only documented ML role) describes Python and scikit-learn, Tableau, A/B testing, and data pipelines — but</w:t>
      </w:r>
      <w:r>
        <w:t xml:space="preserve"> </w:t>
      </w:r>
      <w:r>
        <w:rPr>
          <w:b/>
          <w:bCs/>
        </w:rPr>
        <w:t xml:space="preserve">does not mention TensorFlow, PyTorch, AWS SageMaker, NLP, or LLMs</w:t>
      </w:r>
      <w:r>
        <w:t xml:space="preserve">. The</w:t>
      </w:r>
      <w:r>
        <w:t xml:space="preserve"> </w:t>
      </w:r>
      <w:r>
        <w:rPr>
          <w:b/>
          <w:bCs/>
        </w:rPr>
        <w:t xml:space="preserve">Kiran</w:t>
      </w:r>
      <w:r>
        <w:t xml:space="preserve"> </w:t>
      </w:r>
      <w:r>
        <w:t xml:space="preserve">letter describes Java/Python software development and database work — not ML at all.</w:t>
      </w:r>
    </w:p>
    <w:p>
      <w:pPr>
        <w:pStyle w:val="FirstParagraph"/>
      </w:pPr>
      <w:r>
        <w:rPr>
          <w:b/>
          <w:bCs/>
        </w:rPr>
        <w:t xml:space="preserve">Significance.</w:t>
      </w:r>
      <w:r>
        <w:t xml:space="preserve"> </w:t>
      </w:r>
      <w:r>
        <w:t xml:space="preserve">The position requires</w:t>
      </w:r>
      <w:r>
        <w:t xml:space="preserve"> </w:t>
      </w:r>
      <w:r>
        <w:t xml:space="preserve">“</w:t>
      </w:r>
      <w:r>
        <w:t xml:space="preserve">demonstrated proficiency with Python, TensorFlow, PyTorch, and cloud-based ML deployment platforms such as AWS SageMaker … [and] NLP and large language model fine-tuning</w:t>
      </w:r>
      <w:r>
        <w:t xml:space="preserve">”</w:t>
      </w:r>
      <w:r>
        <w:t xml:space="preserve"> </w:t>
      </w:r>
      <w:r>
        <w:t xml:space="preserve">(support letter §3). The only period in which those specific skills are claimed is the</w:t>
      </w:r>
      <w:r>
        <w:t xml:space="preserve"> </w:t>
      </w:r>
      <w:r>
        <w:rPr>
          <w:i/>
          <w:iCs/>
        </w:rPr>
        <w:t xml:space="preserve">undocumented</w:t>
      </w:r>
      <w:r>
        <w:t xml:space="preserve"> </w:t>
      </w:r>
      <w:r>
        <w:t xml:space="preserve">consultant period. Self-attested, self-employed experience is the weakest form of evidence and is frequently discounted or challenged by USCIS.</w:t>
      </w:r>
      <w:r>
        <w:t xml:space="preserve"> </w:t>
      </w:r>
      <w:r>
        <w:rPr>
          <w:b/>
          <w:bCs/>
        </w:rPr>
        <w:t xml:space="preserve">Obtain client letters, statements of work, 1099/contract evidence, or at minimum a detailed self-attestation corroborated by third-party client contacts, specifically naming the frameworks and cloud platforms used.</w:t>
      </w:r>
      <w:r>
        <w:t xml:space="preserve"> </w:t>
      </w:r>
      <w:r>
        <w:t xml:space="preserve">This is also the experience most likely to be relied upon to bridge the</w:t>
      </w:r>
      <w:r>
        <w:t xml:space="preserve"> </w:t>
      </w:r>
      <w:r>
        <w:t xml:space="preserve">“</w:t>
      </w:r>
      <w:r>
        <w:t xml:space="preserve">closely related field</w:t>
      </w:r>
      <w:r>
        <w:t xml:space="preserve">”</w:t>
      </w:r>
      <w:r>
        <w:t xml:space="preserve"> </w:t>
      </w:r>
      <w:r>
        <w:t xml:space="preserve">gap in A-3, which raises the stakes.</w:t>
      </w:r>
    </w:p>
    <w:p>
      <w:r>
        <w:pict>
          <v:rect style="width:0;height:1.5pt" o:hralign="center" o:hrstd="t" o:hr="t"/>
        </w:pict>
      </w:r>
    </w:p>
    <w:bookmarkEnd w:id="27"/>
    <w:bookmarkEnd w:id="28"/>
    <w:bookmarkStart w:id="35" w:name="b.-significant-issues"/>
    <w:p>
      <w:pPr>
        <w:pStyle w:val="Heading3"/>
      </w:pPr>
      <w:r>
        <w:t xml:space="preserve">B. Significant Issues</w:t>
      </w:r>
    </w:p>
    <w:bookmarkStart w:id="29" w:name="Xd6f4165400027db39ae553fc464680cc6825c40"/>
    <w:p>
      <w:pPr>
        <w:pStyle w:val="Heading4"/>
      </w:pPr>
      <w:r>
        <w:t xml:space="preserve">B-1. The</w:t>
      </w:r>
      <w:r>
        <w:t xml:space="preserve"> </w:t>
      </w:r>
      <w:r>
        <w:t xml:space="preserve">“</w:t>
      </w:r>
      <w:r>
        <w:t xml:space="preserve">alternative qualification</w:t>
      </w:r>
      <w:r>
        <w:t xml:space="preserve">”</w:t>
      </w:r>
      <w:r>
        <w:t xml:space="preserve"> </w:t>
      </w:r>
      <w:r>
        <w:t xml:space="preserve">may undermine the specialty-occupation showing and is inconsistent with the LCA.</w:t>
      </w:r>
    </w:p>
    <w:p>
      <w:pPr>
        <w:pStyle w:val="FirstParagraph"/>
      </w:pPr>
      <w:r>
        <w:rPr>
          <w:b/>
          <w:bCs/>
        </w:rPr>
        <w:t xml:space="preserve">The issue.</w:t>
      </w:r>
      <w:r>
        <w:t xml:space="preserve"> </w:t>
      </w:r>
      <w:r>
        <w:t xml:space="preserve">The support letter (§3) states the employer will accept,</w:t>
      </w:r>
      <w:r>
        <w:t xml:space="preserve"> </w:t>
      </w:r>
      <w:r>
        <w:t xml:space="preserve">“</w:t>
      </w:r>
      <w:r>
        <w:t xml:space="preserve">[a]lternatively, a Bachelor’s degree in</w:t>
      </w:r>
      <w:r>
        <w:t xml:space="preserve"> </w:t>
      </w:r>
      <w:r>
        <w:rPr>
          <w:b/>
          <w:bCs/>
        </w:rPr>
        <w:t xml:space="preserve">any engineering discipline</w:t>
      </w:r>
      <w:r>
        <w:t xml:space="preserve"> </w:t>
      </w:r>
      <w:r>
        <w:t xml:space="preserve">combined with 5 years of progressive experience in machine learning.</w:t>
      </w:r>
      <w:r>
        <w:t xml:space="preserve">”</w:t>
      </w:r>
      <w:r>
        <w:t xml:space="preserve"> </w:t>
      </w:r>
      <w:r>
        <w:t xml:space="preserve">Two problems follow.</w:t>
      </w:r>
    </w:p>
    <w:p>
      <w:pPr>
        <w:pStyle w:val="BodyText"/>
      </w:pPr>
      <w:r>
        <w:rPr>
          <w:b/>
          <w:bCs/>
        </w:rPr>
        <w:t xml:space="preserve">Cross-reference support / analysis.</w:t>
      </w:r>
    </w:p>
    <w:p>
      <w:pPr>
        <w:pStyle w:val="Compact"/>
        <w:numPr>
          <w:ilvl w:val="0"/>
          <w:numId w:val="1009"/>
        </w:numPr>
      </w:pPr>
      <w:r>
        <w:rPr>
          <w:i/>
          <w:iCs/>
        </w:rPr>
        <w:t xml:space="preserve">Specialty occupation.</w:t>
      </w:r>
      <w:r>
        <w:t xml:space="preserve"> </w:t>
      </w:r>
      <w:r>
        <w:t xml:space="preserve">H-1B requires the position to require, as a minimum, a bachelor’s degree in a</w:t>
      </w:r>
      <w:r>
        <w:t xml:space="preserve"> </w:t>
      </w:r>
      <w:r>
        <w:rPr>
          <w:b/>
          <w:bCs/>
        </w:rPr>
        <w:t xml:space="preserve">specific</w:t>
      </w:r>
      <w:r>
        <w:t xml:space="preserve"> </w:t>
      </w:r>
      <w:r>
        <w:t xml:space="preserve">specialty (INA § 214(i)(1); 8 CFR § 214.2(h)(4)(iii)(A)). An employer’s willingness to accept</w:t>
      </w:r>
      <w:r>
        <w:t xml:space="preserve"> </w:t>
      </w:r>
      <w:r>
        <w:t xml:space="preserve">“</w:t>
      </w:r>
      <w:r>
        <w:t xml:space="preserve">any engineering discipline</w:t>
      </w:r>
      <w:r>
        <w:t xml:space="preserve">”</w:t>
      </w:r>
      <w:r>
        <w:t xml:space="preserve"> </w:t>
      </w:r>
      <w:r>
        <w:t xml:space="preserve">(mechanical, civil, chemical, etc.) plus experience is broad, and USCIS has cited such breadth as evidence that the position does not in fact require a particular specialty. The alternative should be narrowed (e.g., to</w:t>
      </w:r>
      <w:r>
        <w:t xml:space="preserve"> </w:t>
      </w:r>
      <w:r>
        <w:t xml:space="preserve">“</w:t>
      </w:r>
      <w:r>
        <w:t xml:space="preserve">Electrical/Electronics Engineering, Computer Engineering, or a closely related technical discipline</w:t>
      </w:r>
      <w:r>
        <w:t xml:space="preserve">”</w:t>
      </w:r>
      <w:r>
        <w:t xml:space="preserve">) or removed in favor of relying on the primary CS/ML/AI requirement plus the expert opinion recommended in A-3.</w:t>
      </w:r>
    </w:p>
    <w:p>
      <w:pPr>
        <w:pStyle w:val="Compact"/>
        <w:numPr>
          <w:ilvl w:val="0"/>
          <w:numId w:val="1009"/>
        </w:numPr>
      </w:pPr>
      <w:r>
        <w:rPr>
          <w:i/>
          <w:iCs/>
        </w:rPr>
        <w:t xml:space="preserve">LCA inconsistency.</w:t>
      </w:r>
      <w:r>
        <w:t xml:space="preserve"> </w:t>
      </w:r>
      <w:r>
        <w:t xml:space="preserve">The LCA (§G.7) states the major field of study as</w:t>
      </w:r>
      <w:r>
        <w:t xml:space="preserve"> </w:t>
      </w:r>
      <w:r>
        <w:t xml:space="preserve">“</w:t>
      </w:r>
      <w:r>
        <w:t xml:space="preserve">Computer Science, Machine Learning, Artificial Intelligence, or closely related field</w:t>
      </w:r>
      <w:r>
        <w:t xml:space="preserve">”</w:t>
      </w:r>
      <w:r>
        <w:t xml:space="preserve"> </w:t>
      </w:r>
      <w:r>
        <w:t xml:space="preserve">and makes no mention of the</w:t>
      </w:r>
      <w:r>
        <w:t xml:space="preserve"> </w:t>
      </w:r>
      <w:r>
        <w:t xml:space="preserve">“</w:t>
      </w:r>
      <w:r>
        <w:t xml:space="preserve">any engineering + 5 years</w:t>
      </w:r>
      <w:r>
        <w:t xml:space="preserve">”</w:t>
      </w:r>
      <w:r>
        <w:t xml:space="preserve"> </w:t>
      </w:r>
      <w:r>
        <w:t xml:space="preserve">alternative. The support letter’s broader alternative is therefore not reflected in — and is in tension with — the certified LCA. The minimum requirements stated to USCIS should match those attested to DOL.</w:t>
      </w:r>
    </w:p>
    <w:bookmarkEnd w:id="29"/>
    <w:bookmarkStart w:id="30" w:name="Xfb08727ebdd39be7023b157b1ab84ec04cc1be9"/>
    <w:p>
      <w:pPr>
        <w:pStyle w:val="Heading4"/>
      </w:pPr>
      <w:r>
        <w:t xml:space="preserve">B-2. Supervisory headcount inconsistency:</w:t>
      </w:r>
      <w:r>
        <w:t xml:space="preserve"> </w:t>
      </w:r>
      <w:r>
        <w:t xml:space="preserve">“</w:t>
      </w:r>
      <w:r>
        <w:t xml:space="preserve">3 junior data scientists</w:t>
      </w:r>
      <w:r>
        <w:t xml:space="preserve">”</w:t>
      </w:r>
      <w:r>
        <w:t xml:space="preserve"> </w:t>
      </w:r>
      <w:r>
        <w:t xml:space="preserve">(support letter) vs. </w:t>
      </w:r>
      <w:r>
        <w:t xml:space="preserve">“</w:t>
      </w:r>
      <w:r>
        <w:t xml:space="preserve">2 direct reports</w:t>
      </w:r>
      <w:r>
        <w:t xml:space="preserve">”</w:t>
      </w:r>
      <w:r>
        <w:t xml:space="preserve"> </w:t>
      </w:r>
      <w:r>
        <w:t xml:space="preserve">(org chart).</w:t>
      </w:r>
    </w:p>
    <w:p>
      <w:pPr>
        <w:pStyle w:val="FirstParagraph"/>
      </w:pPr>
      <w:r>
        <w:rPr>
          <w:b/>
          <w:bCs/>
        </w:rPr>
        <w:t xml:space="preserve">The issue.</w:t>
      </w:r>
      <w:r>
        <w:t xml:space="preserve"> </w:t>
      </w:r>
      <w:r>
        <w:t xml:space="preserve">Support letter duty 4 references</w:t>
      </w:r>
      <w:r>
        <w:t xml:space="preserve"> </w:t>
      </w:r>
      <w:r>
        <w:t xml:space="preserve">“</w:t>
      </w:r>
      <w:r>
        <w:t xml:space="preserve">a team of</w:t>
      </w:r>
      <w:r>
        <w:t xml:space="preserve"> </w:t>
      </w:r>
      <w:r>
        <w:rPr>
          <w:b/>
          <w:bCs/>
        </w:rPr>
        <w:t xml:space="preserve">3</w:t>
      </w:r>
      <w:r>
        <w:t xml:space="preserve"> </w:t>
      </w:r>
      <w:r>
        <w:t xml:space="preserve">junior data scientists,</w:t>
      </w:r>
      <w:r>
        <w:t xml:space="preserve">”</w:t>
      </w:r>
      <w:r>
        <w:t xml:space="preserve"> </w:t>
      </w:r>
      <w:r>
        <w:t xml:space="preserve">while the organizational chart shows only</w:t>
      </w:r>
      <w:r>
        <w:t xml:space="preserve"> </w:t>
      </w:r>
      <w:r>
        <w:rPr>
          <w:b/>
          <w:bCs/>
        </w:rPr>
        <w:t xml:space="preserve">2</w:t>
      </w:r>
      <w:r>
        <w:t xml:space="preserve"> </w:t>
      </w:r>
      <w:r>
        <w:t xml:space="preserve">direct reports (two</w:t>
      </w:r>
      <w:r>
        <w:t xml:space="preserve"> </w:t>
      </w:r>
      <w:r>
        <w:t xml:space="preserve">“</w:t>
      </w:r>
      <w:r>
        <w:t xml:space="preserve">Data Scientist (Filled)</w:t>
      </w:r>
      <w:r>
        <w:t xml:space="preserve">”</w:t>
      </w:r>
      <w:r>
        <w:t xml:space="preserve"> </w:t>
      </w:r>
      <w:r>
        <w:t xml:space="preserve">positions at Level 4).</w:t>
      </w:r>
    </w:p>
    <w:p>
      <w:pPr>
        <w:pStyle w:val="BodyText"/>
      </w:pPr>
      <w:r>
        <w:rPr>
          <w:b/>
          <w:bCs/>
        </w:rPr>
        <w:t xml:space="preserve">Significance.</w:t>
      </w:r>
      <w:r>
        <w:t xml:space="preserve"> </w:t>
      </w:r>
      <w:r>
        <w:t xml:space="preserve">The discrepancy is minor in isolation but bears directly on the supervisory-duty description that drives the wage-level analysis in A-1. It should be reconciled (e.g., clarify whether one of the</w:t>
      </w:r>
      <w:r>
        <w:t xml:space="preserve"> </w:t>
      </w:r>
      <w:r>
        <w:t xml:space="preserve">“</w:t>
      </w:r>
      <w:r>
        <w:t xml:space="preserve">three</w:t>
      </w:r>
      <w:r>
        <w:t xml:space="preserve">”</w:t>
      </w:r>
      <w:r>
        <w:t xml:space="preserve"> </w:t>
      </w:r>
      <w:r>
        <w:t xml:space="preserve">is a matrixed/indirect report, or correct the count in one document). The org chart and support letter must tell the same story about the reporting structure.</w:t>
      </w:r>
    </w:p>
    <w:bookmarkEnd w:id="30"/>
    <w:bookmarkStart w:id="31" w:name="Xcf68186b7ffc139d807f519d3b54a2f60d787b5"/>
    <w:p>
      <w:pPr>
        <w:pStyle w:val="Heading4"/>
      </w:pPr>
      <w:r>
        <w:t xml:space="preserve">B-3. Multiple inconsistent employer telephone numbers; the posting-notice number matches the beneficiary’s personal cell number.</w:t>
      </w:r>
    </w:p>
    <w:p>
      <w:pPr>
        <w:pStyle w:val="FirstParagraph"/>
      </w:pPr>
      <w:r>
        <w:rPr>
          <w:b/>
          <w:bCs/>
        </w:rPr>
        <w:t xml:space="preserve">The issue.</w:t>
      </w:r>
      <w:r>
        <w:t xml:space="preserve"> </w:t>
      </w:r>
      <w:r>
        <w:t xml:space="preserve">Brightfield Analytics’ telephone number is stated differently across the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Telephone</w:t>
            </w:r>
          </w:p>
        </w:tc>
      </w:tr>
      <w:tr>
        <w:tc>
          <w:tcPr/>
          <w:p>
            <w:pPr>
              <w:pStyle w:val="Compact"/>
              <w:jc w:val="left"/>
            </w:pPr>
            <w:r>
              <w:t xml:space="preserve">LCA §C.4 / §D.4 (employer &amp; POC)</w:t>
            </w:r>
          </w:p>
        </w:tc>
        <w:tc>
          <w:tcPr/>
          <w:p>
            <w:pPr>
              <w:pStyle w:val="Compact"/>
              <w:jc w:val="left"/>
            </w:pPr>
            <w:r>
              <w:t xml:space="preserve">(512) 555-</w:t>
            </w:r>
            <w:r>
              <w:rPr>
                <w:b/>
                <w:bCs/>
              </w:rPr>
              <w:t xml:space="preserve">0142</w:t>
            </w:r>
          </w:p>
        </w:tc>
      </w:tr>
      <w:tr>
        <w:tc>
          <w:tcPr/>
          <w:p>
            <w:pPr>
              <w:pStyle w:val="Compact"/>
              <w:jc w:val="left"/>
            </w:pPr>
            <w:r>
              <w:t xml:space="preserve">Support letter (letterhead &amp; contact)</w:t>
            </w:r>
          </w:p>
        </w:tc>
        <w:tc>
          <w:tcPr/>
          <w:p>
            <w:pPr>
              <w:pStyle w:val="Compact"/>
              <w:jc w:val="left"/>
            </w:pPr>
            <w:r>
              <w:t xml:space="preserve">(512) 555-</w:t>
            </w:r>
            <w:r>
              <w:rPr>
                <w:b/>
                <w:bCs/>
              </w:rPr>
              <w:t xml:space="preserve">0194</w:t>
            </w:r>
          </w:p>
        </w:tc>
      </w:tr>
      <w:tr>
        <w:tc>
          <w:tcPr/>
          <w:p>
            <w:pPr>
              <w:pStyle w:val="Compact"/>
              <w:jc w:val="left"/>
            </w:pPr>
            <w:r>
              <w:t xml:space="preserve">PWD §2 (employer phone)</w:t>
            </w:r>
          </w:p>
        </w:tc>
        <w:tc>
          <w:tcPr/>
          <w:p>
            <w:pPr>
              <w:pStyle w:val="Compact"/>
              <w:jc w:val="left"/>
            </w:pPr>
            <w:r>
              <w:t xml:space="preserve">(512) 555-</w:t>
            </w:r>
            <w:r>
              <w:rPr>
                <w:b/>
                <w:bCs/>
              </w:rPr>
              <w:t xml:space="preserve">0187</w:t>
            </w:r>
          </w:p>
        </w:tc>
      </w:tr>
      <w:tr>
        <w:tc>
          <w:tcPr/>
          <w:p>
            <w:pPr>
              <w:pStyle w:val="Compact"/>
              <w:jc w:val="left"/>
            </w:pPr>
            <w:r>
              <w:t xml:space="preserve">LCA Posting Notice (employer contact)</w:t>
            </w:r>
          </w:p>
        </w:tc>
        <w:tc>
          <w:tcPr/>
          <w:p>
            <w:pPr>
              <w:pStyle w:val="Compact"/>
              <w:jc w:val="left"/>
            </w:pPr>
            <w:r>
              <w:t xml:space="preserve">(512) 555-</w:t>
            </w:r>
            <w:r>
              <w:rPr>
                <w:b/>
                <w:bCs/>
              </w:rPr>
              <w:t xml:space="preserve">0174</w:t>
            </w:r>
          </w:p>
        </w:tc>
      </w:tr>
    </w:tbl>
    <w:p>
      <w:pPr>
        <w:pStyle w:val="BodyText"/>
      </w:pPr>
      <w:r>
        <w:rPr>
          <w:b/>
          <w:bCs/>
        </w:rPr>
        <w:t xml:space="preserve">Cross-reference support.</w:t>
      </w:r>
      <w:r>
        <w:t xml:space="preserve"> </w:t>
      </w:r>
      <w:r>
        <w:t xml:space="preserve">The posting-notice number,</w:t>
      </w:r>
      <w:r>
        <w:t xml:space="preserve"> </w:t>
      </w:r>
      <w:r>
        <w:rPr>
          <w:b/>
          <w:bCs/>
        </w:rPr>
        <w:t xml:space="preserve">(512) 555-0174</w:t>
      </w:r>
      <w:r>
        <w:t xml:space="preserve">, is identical to the</w:t>
      </w:r>
      <w:r>
        <w:t xml:space="preserve"> </w:t>
      </w:r>
      <w:r>
        <w:rPr>
          <w:b/>
          <w:bCs/>
        </w:rPr>
        <w:t xml:space="preserve">beneficiary’s personal mobile number</w:t>
      </w:r>
      <w:r>
        <w:t xml:space="preserve"> </w:t>
      </w:r>
      <w:r>
        <w:t xml:space="preserve">on the resume (</w:t>
      </w:r>
      <w:r>
        <w:t xml:space="preserve">“</w:t>
      </w:r>
      <w:r>
        <w:t xml:space="preserve">(512) 555-0174</w:t>
      </w:r>
      <w:r>
        <w:t xml:space="preserve">”</w:t>
      </w:r>
      <w:r>
        <w:t xml:space="preserve">). The posting notice is signed</w:t>
      </w:r>
      <w:r>
        <w:t xml:space="preserve"> </w:t>
      </w:r>
      <w:r>
        <w:t xml:space="preserve">“</w:t>
      </w:r>
      <w:r>
        <w:t xml:space="preserve">Posted by: Patricia Kwon, HR Director,</w:t>
      </w:r>
      <w:r>
        <w:t xml:space="preserve">”</w:t>
      </w:r>
      <w:r>
        <w:t xml:space="preserve"> </w:t>
      </w:r>
      <w:r>
        <w:t xml:space="preserve">yet lists a number for her that differs from her number in the LCA (555-0142).</w:t>
      </w:r>
    </w:p>
    <w:p>
      <w:pPr>
        <w:pStyle w:val="BodyText"/>
      </w:pPr>
      <w:r>
        <w:rPr>
          <w:b/>
          <w:bCs/>
        </w:rPr>
        <w:t xml:space="preserve">Significance.</w:t>
      </w:r>
      <w:r>
        <w:t xml:space="preserve"> </w:t>
      </w:r>
      <w:r>
        <w:t xml:space="preserve">Four different</w:t>
      </w:r>
      <w:r>
        <w:t xml:space="preserve"> </w:t>
      </w:r>
      <w:r>
        <w:t xml:space="preserve">“</w:t>
      </w:r>
      <w:r>
        <w:t xml:space="preserve">main</w:t>
      </w:r>
      <w:r>
        <w:t xml:space="preserve">”</w:t>
      </w:r>
      <w:r>
        <w:t xml:space="preserve"> </w:t>
      </w:r>
      <w:r>
        <w:t xml:space="preserve">numbers for one small employer is a data-integrity concern; the posting notice carrying the</w:t>
      </w:r>
      <w:r>
        <w:t xml:space="preserve"> </w:t>
      </w:r>
      <w:r>
        <w:rPr>
          <w:i/>
          <w:iCs/>
        </w:rPr>
        <w:t xml:space="preserve">beneficiary’s</w:t>
      </w:r>
      <w:r>
        <w:t xml:space="preserve"> </w:t>
      </w:r>
      <w:r>
        <w:t xml:space="preserve">personal number in the employer-contact field is a likely clerical error that undermines the credibility of the posting notice itself (a document USCIS and DOL may examine). The employer contact information should be made uniform across all documents, and the posting notice corrected and (if the posting window has closed) re-posted or otherwise documented.</w:t>
      </w:r>
    </w:p>
    <w:bookmarkEnd w:id="31"/>
    <w:bookmarkStart w:id="32" w:name="Xb8a2d5fce410345a653392149271f84fec525a2"/>
    <w:p>
      <w:pPr>
        <w:pStyle w:val="Heading4"/>
      </w:pPr>
      <w:r>
        <w:t xml:space="preserve">B-4. Documented experience letters do not name the specific required frameworks.</w:t>
      </w:r>
    </w:p>
    <w:p>
      <w:pPr>
        <w:pStyle w:val="FirstParagraph"/>
      </w:pPr>
      <w:r>
        <w:rPr>
          <w:b/>
          <w:bCs/>
        </w:rPr>
        <w:t xml:space="preserve">The issue.</w:t>
      </w:r>
      <w:r>
        <w:t xml:space="preserve"> </w:t>
      </w:r>
      <w:r>
        <w:t xml:space="preserve">The position requires proficiency with TensorFlow, PyTorch, AWS SageMaker, NLP, and LLM fine-tuning. Neither experience letter documents those tools.</w:t>
      </w:r>
    </w:p>
    <w:p>
      <w:pPr>
        <w:pStyle w:val="BodyText"/>
      </w:pPr>
      <w:r>
        <w:rPr>
          <w:b/>
          <w:bCs/>
        </w:rPr>
        <w:t xml:space="preserve">Cross-reference support.</w:t>
      </w:r>
      <w:r>
        <w:t xml:space="preserve"> </w:t>
      </w:r>
      <w:r>
        <w:t xml:space="preserve">The NovaStar letter names Python, scikit-learn, Tableau, SQL, and A/B testing — but not TensorFlow, PyTorch, AWS, NLP, or LLMs. The Kiran letter names Java, Python, SQL, and database work — software development, not ML. The specific required skills appear only in the resume/support letter, principally during the uncorroborated consultant period (A-5).</w:t>
      </w:r>
    </w:p>
    <w:p>
      <w:pPr>
        <w:pStyle w:val="BodyText"/>
      </w:pPr>
      <w:r>
        <w:rPr>
          <w:b/>
          <w:bCs/>
        </w:rPr>
        <w:t xml:space="preserve">Significance.</w:t>
      </w:r>
      <w:r>
        <w:t xml:space="preserve"> </w:t>
      </w:r>
      <w:r>
        <w:t xml:space="preserve">Even setting aside the consultant period, the</w:t>
      </w:r>
      <w:r>
        <w:t xml:space="preserve"> </w:t>
      </w:r>
      <w:r>
        <w:rPr>
          <w:i/>
          <w:iCs/>
        </w:rPr>
        <w:t xml:space="preserve">documented</w:t>
      </w:r>
      <w:r>
        <w:t xml:space="preserve"> </w:t>
      </w:r>
      <w:r>
        <w:t xml:space="preserve">ML experience (NovaStar) does not on its face establish the specific framework proficiency the position requires. Supplemental letters or affidavits should expressly identify the tools/frameworks used in each role (to the extent accurate), and the current Brightfield role should be documented as to the specific stack in use.</w:t>
      </w:r>
    </w:p>
    <w:bookmarkEnd w:id="32"/>
    <w:bookmarkStart w:id="33" w:name="X897e9a97f42aa744a018e7d6a1476e4cc19cc69"/>
    <w:p>
      <w:pPr>
        <w:pStyle w:val="Heading4"/>
      </w:pPr>
      <w:r>
        <w:t xml:space="preserve">B-5. Current role vs. petitioned role is not clearly distinguished.</w:t>
      </w:r>
    </w:p>
    <w:p>
      <w:pPr>
        <w:pStyle w:val="FirstParagraph"/>
      </w:pPr>
      <w:r>
        <w:rPr>
          <w:b/>
          <w:bCs/>
        </w:rPr>
        <w:t xml:space="preserve">The issue.</w:t>
      </w:r>
      <w:r>
        <w:t xml:space="preserve"> </w:t>
      </w:r>
      <w:r>
        <w:t xml:space="preserve">The beneficiary is presently employed at Brightfield as a</w:t>
      </w:r>
      <w:r>
        <w:t xml:space="preserve"> </w:t>
      </w:r>
      <w:r>
        <w:rPr>
          <w:b/>
          <w:bCs/>
        </w:rPr>
        <w:t xml:space="preserve">“</w:t>
      </w:r>
      <w:r>
        <w:rPr>
          <w:b/>
          <w:bCs/>
        </w:rPr>
        <w:t xml:space="preserve">Data Scientist</w:t>
      </w:r>
      <w:r>
        <w:rPr>
          <w:b/>
          <w:bCs/>
        </w:rPr>
        <w:t xml:space="preserve">”</w:t>
      </w:r>
      <w:r>
        <w:t xml:space="preserve"> </w:t>
      </w:r>
      <w:r>
        <w:t xml:space="preserve">(resume; support letter §4,</w:t>
      </w:r>
      <w:r>
        <w:t xml:space="preserve"> </w:t>
      </w:r>
      <w:r>
        <w:t xml:space="preserve">“</w:t>
      </w:r>
      <w:r>
        <w:t xml:space="preserve">September 5, 2023 – present … working within the data science and machine learning team</w:t>
      </w:r>
      <w:r>
        <w:t xml:space="preserve">”</w:t>
      </w:r>
      <w:r>
        <w:t xml:space="preserve">). The petitioned position is</w:t>
      </w:r>
      <w:r>
        <w:t xml:space="preserve"> </w:t>
      </w:r>
      <w:r>
        <w:rPr>
          <w:b/>
          <w:bCs/>
        </w:rPr>
        <w:t xml:space="preserve">“</w:t>
      </w:r>
      <w:r>
        <w:rPr>
          <w:b/>
          <w:bCs/>
        </w:rPr>
        <w:t xml:space="preserve">Senior Machine Learning Engineer</w:t>
      </w:r>
      <w:r>
        <w:rPr>
          <w:b/>
          <w:bCs/>
        </w:rPr>
        <w:t xml:space="preserve">”</w:t>
      </w:r>
      <w:r>
        <w:t xml:space="preserve"> </w:t>
      </w:r>
      <w:r>
        <w:t xml:space="preserve">— a supervisory role that, per the org chart, would</w:t>
      </w:r>
      <w:r>
        <w:t xml:space="preserve"> </w:t>
      </w:r>
      <w:r>
        <w:rPr>
          <w:i/>
          <w:iCs/>
        </w:rPr>
        <w:t xml:space="preserve">supervise</w:t>
      </w:r>
      <w:r>
        <w:t xml:space="preserve"> </w:t>
      </w:r>
      <w:r>
        <w:t xml:space="preserve">Data Scientists.</w:t>
      </w:r>
    </w:p>
    <w:p>
      <w:pPr>
        <w:pStyle w:val="BodyText"/>
      </w:pPr>
      <w:r>
        <w:rPr>
          <w:b/>
          <w:bCs/>
        </w:rPr>
        <w:t xml:space="preserve">Significance.</w:t>
      </w:r>
      <w:r>
        <w:t xml:space="preserve"> </w:t>
      </w:r>
      <w:r>
        <w:t xml:space="preserve">The package does not explain whether the Senior ML Engineer position is (a) a genuinely new and vacant role, (b) a promotion of the beneficiary out of the current Data Scientist seat, or (c) a reclassification of the beneficiary’s existing duties. Nor does it explain how the beneficiary’s current Data Scientist role relates to the two Data Scientists he would supervise (are they different incumbents? is the beneficiary being elevated over current peers?). USCIS may question whether a</w:t>
      </w:r>
      <w:r>
        <w:t xml:space="preserve"> </w:t>
      </w:r>
      <w:r>
        <w:t xml:space="preserve">“</w:t>
      </w:r>
      <w:r>
        <w:t xml:space="preserve">Senior</w:t>
      </w:r>
      <w:r>
        <w:t xml:space="preserve">”</w:t>
      </w:r>
      <w:r>
        <w:t xml:space="preserve"> </w:t>
      </w:r>
      <w:r>
        <w:t xml:space="preserve">supervisory role is bona fide where the beneficiary currently occupies a non-supervisory peer seat.</w:t>
      </w:r>
      <w:r>
        <w:t xml:space="preserve"> </w:t>
      </w:r>
      <w:r>
        <w:rPr>
          <w:b/>
          <w:bCs/>
        </w:rPr>
        <w:t xml:space="preserve">The support letter should add a short paragraph distinguishing the current Data Scientist duties from the petitioned Senior ML Engineer duties and confirming the bona fide, vacant nature of the senior position.</w:t>
      </w:r>
    </w:p>
    <w:bookmarkEnd w:id="33"/>
    <w:bookmarkStart w:id="34" w:name="Xb750e93a950151a1f7c08b2dc330bd72f112659"/>
    <w:p>
      <w:pPr>
        <w:pStyle w:val="Heading4"/>
      </w:pPr>
      <w:r>
        <w:t xml:space="preserve">B-6. Credential evaluator’s doctoral credential warrants verification.</w:t>
      </w:r>
    </w:p>
    <w:p>
      <w:pPr>
        <w:pStyle w:val="FirstParagraph"/>
      </w:pPr>
      <w:r>
        <w:rPr>
          <w:b/>
          <w:bCs/>
        </w:rPr>
        <w:t xml:space="preserve">The issue.</w:t>
      </w:r>
      <w:r>
        <w:t xml:space="preserve"> </w:t>
      </w:r>
      <w:r>
        <w:t xml:space="preserve">The evaluation is signed by</w:t>
      </w:r>
      <w:r>
        <w:t xml:space="preserve"> </w:t>
      </w:r>
      <w:r>
        <w:t xml:space="preserve">“</w:t>
      </w:r>
      <w:r>
        <w:t xml:space="preserve">Dr. Linda Farnsworth, Ph.D.,</w:t>
      </w:r>
      <w:r>
        <w:t xml:space="preserve">”</w:t>
      </w:r>
      <w:r>
        <w:t xml:space="preserve"> </w:t>
      </w:r>
      <w:r>
        <w:t xml:space="preserve">whose credential line reads</w:t>
      </w:r>
      <w:r>
        <w:t xml:space="preserve"> </w:t>
      </w:r>
      <w:r>
        <w:t xml:space="preserve">“</w:t>
      </w:r>
      <w:r>
        <w:t xml:space="preserve">Ph.D., Education —</w:t>
      </w:r>
      <w:r>
        <w:t xml:space="preserve"> </w:t>
      </w:r>
      <w:r>
        <w:rPr>
          <w:b/>
          <w:bCs/>
        </w:rPr>
        <w:t xml:space="preserve">Halford University</w:t>
      </w:r>
      <w:r>
        <w:t xml:space="preserve">.</w:t>
      </w:r>
      <w:r>
        <w:t xml:space="preserve">”</w:t>
      </w:r>
    </w:p>
    <w:p>
      <w:pPr>
        <w:pStyle w:val="BodyText"/>
      </w:pPr>
      <w:r>
        <w:rPr>
          <w:b/>
          <w:bCs/>
        </w:rPr>
        <w:t xml:space="preserve">Significance.</w:t>
      </w:r>
      <w:r>
        <w:t xml:space="preserve"> </w:t>
      </w:r>
      <w:r>
        <w:t xml:space="preserve">“</w:t>
      </w:r>
      <w:r>
        <w:t xml:space="preserve">Halford University</w:t>
      </w:r>
      <w:r>
        <w:t xml:space="preserve">”</w:t>
      </w:r>
      <w:r>
        <w:t xml:space="preserve"> </w:t>
      </w:r>
      <w:r>
        <w:t xml:space="preserve">is not a widely recognized, regionally accredited U.S. institution; the evaluator’s doctoral institution and the accreditation status of that degree should be verified before the evaluation is relied upon. Separately, the evaluator’s expertise is in</w:t>
      </w:r>
      <w:r>
        <w:t xml:space="preserve"> </w:t>
      </w:r>
      <w:r>
        <w:rPr>
          <w:i/>
          <w:iCs/>
        </w:rPr>
        <w:t xml:space="preserve">Education</w:t>
      </w:r>
      <w:r>
        <w:t xml:space="preserve">, not engineering or computer science — relevant (though not disqualifying) to the weight USCIS gives the evaluation, particularly on the field-suitability question the evaluation declines to answer (A-3). The agency’s claimed NACES and AICE memberships should also be confirmed against those organizations’ current member rosters. If any of these cannot be verified, consider obtaining a second evaluation from a different NACES-member agency, ideally one whose analyst holds credentials in a technical field.</w:t>
      </w:r>
    </w:p>
    <w:p>
      <w:r>
        <w:pict>
          <v:rect style="width:0;height:1.5pt" o:hralign="center" o:hrstd="t" o:hr="t"/>
        </w:pict>
      </w:r>
    </w:p>
    <w:bookmarkEnd w:id="34"/>
    <w:bookmarkEnd w:id="35"/>
    <w:bookmarkStart w:id="42" w:name="c.-moderate-technical-issues"/>
    <w:p>
      <w:pPr>
        <w:pStyle w:val="Heading3"/>
      </w:pPr>
      <w:r>
        <w:t xml:space="preserve">C. Moderate / Technical Issues</w:t>
      </w:r>
    </w:p>
    <w:bookmarkStart w:id="36" w:name="X94a2429d344287dafe86aee8f8c72a4ee048a21"/>
    <w:p>
      <w:pPr>
        <w:pStyle w:val="Heading4"/>
      </w:pPr>
      <w:r>
        <w:t xml:space="preserve">C-1. LCA posting period appears to fall short of 10 consecutive business days.</w:t>
      </w:r>
    </w:p>
    <w:p>
      <w:pPr>
        <w:pStyle w:val="FirstParagraph"/>
      </w:pPr>
      <w:r>
        <w:rPr>
          <w:b/>
          <w:bCs/>
        </w:rPr>
        <w:t xml:space="preserve">The issue.</w:t>
      </w:r>
      <w:r>
        <w:t xml:space="preserve"> </w:t>
      </w:r>
      <w:r>
        <w:t xml:space="preserve">The LCA (§J) and posting notice state the notice was posted</w:t>
      </w:r>
      <w:r>
        <w:t xml:space="preserve"> </w:t>
      </w:r>
      <w:r>
        <w:rPr>
          <w:b/>
          <w:bCs/>
        </w:rPr>
        <w:t xml:space="preserve">March 10, 2025 through March 19, 2025</w:t>
      </w:r>
      <w:r>
        <w:t xml:space="preserve">. March 10, 2025 was a Monday and March 19, 2025 was a Wednesday. Excluding the weekend of March 15–16, the posting spanned</w:t>
      </w:r>
      <w:r>
        <w:t xml:space="preserve"> </w:t>
      </w:r>
      <w:r>
        <w:rPr>
          <w:b/>
          <w:bCs/>
        </w:rPr>
        <w:t xml:space="preserve">8 business days</w:t>
      </w:r>
      <w:r>
        <w:t xml:space="preserve"> </w:t>
      </w:r>
      <w:r>
        <w:t xml:space="preserve">(Mar 10, 11, 12, 13, 14, 17, 18, 19).</w:t>
      </w:r>
    </w:p>
    <w:p>
      <w:pPr>
        <w:pStyle w:val="BodyText"/>
      </w:pPr>
      <w:r>
        <w:rPr>
          <w:b/>
          <w:bCs/>
        </w:rPr>
        <w:t xml:space="preserve">Significance.</w:t>
      </w:r>
      <w:r>
        <w:t xml:space="preserve"> </w:t>
      </w:r>
      <w:r>
        <w:t xml:space="preserve">20 CFR § 655.734(a)(1) requires posting</w:t>
      </w:r>
      <w:r>
        <w:t xml:space="preserve"> </w:t>
      </w:r>
      <w:r>
        <w:t xml:space="preserve">“</w:t>
      </w:r>
      <w:r>
        <w:t xml:space="preserve">for at least</w:t>
      </w:r>
      <w:r>
        <w:t xml:space="preserve"> </w:t>
      </w:r>
      <w:r>
        <w:rPr>
          <w:b/>
          <w:bCs/>
        </w:rPr>
        <w:t xml:space="preserve">10 consecutive business days</w:t>
      </w:r>
      <w:r>
        <w:t xml:space="preserve">”</w:t>
      </w:r>
      <w:r>
        <w:t xml:space="preserve"> </w:t>
      </w:r>
      <w:r>
        <w:t xml:space="preserve">in at least two conspicuous locations. Eight business days is short of that requirement. Although DOL certified the LCA (certification accepts the employer’s attestation and does not independently audit the posting), a deficient posting is a Wage and Hour Division compliance exposure and a potential RFE trigger.</w:t>
      </w:r>
      <w:r>
        <w:t xml:space="preserve"> </w:t>
      </w:r>
      <w:r>
        <w:rPr>
          <w:b/>
          <w:bCs/>
        </w:rPr>
        <w:t xml:space="preserve">Confirm the actual posting duration; if it was fewer than 10 business days, document the corrective steps taken (e.g., re-posting for the full period) in the Public Access File.</w:t>
      </w:r>
    </w:p>
    <w:bookmarkEnd w:id="36"/>
    <w:bookmarkStart w:id="37" w:name="X578784cc175aaeca3436723578cab1ec9bd0e28"/>
    <w:p>
      <w:pPr>
        <w:pStyle w:val="Heading4"/>
      </w:pPr>
      <w:r>
        <w:t xml:space="preserve">C-2. Second posting location not documented.</w:t>
      </w:r>
    </w:p>
    <w:p>
      <w:pPr>
        <w:pStyle w:val="FirstParagraph"/>
      </w:pPr>
      <w:r>
        <w:rPr>
          <w:b/>
          <w:bCs/>
        </w:rPr>
        <w:t xml:space="preserve">The issue.</w:t>
      </w:r>
      <w:r>
        <w:t xml:space="preserve"> </w:t>
      </w:r>
      <w:r>
        <w:t xml:space="preserve">The regulation requires posting in</w:t>
      </w:r>
      <w:r>
        <w:t xml:space="preserve"> </w:t>
      </w:r>
      <w:r>
        <w:t xml:space="preserve">“</w:t>
      </w:r>
      <w:r>
        <w:t xml:space="preserve">at least two conspicuous locations.</w:t>
      </w:r>
      <w:r>
        <w:t xml:space="preserve">”</w:t>
      </w:r>
      <w:r>
        <w:t xml:space="preserve"> </w:t>
      </w:r>
      <w:r>
        <w:t xml:space="preserve">The posting notice recites that it</w:t>
      </w:r>
      <w:r>
        <w:t xml:space="preserve"> </w:t>
      </w:r>
      <w:r>
        <w:t xml:space="preserve">“</w:t>
      </w:r>
      <w:r>
        <w:t xml:space="preserve">is being posted in two conspicuous locations,</w:t>
      </w:r>
      <w:r>
        <w:t xml:space="preserve">”</w:t>
      </w:r>
      <w:r>
        <w:t xml:space="preserve"> </w:t>
      </w:r>
      <w:r>
        <w:t xml:space="preserve">but the LCA (§J.3) identifies only</w:t>
      </w:r>
      <w:r>
        <w:t xml:space="preserve"> </w:t>
      </w:r>
      <w:r>
        <w:rPr>
          <w:b/>
          <w:bCs/>
        </w:rPr>
        <w:t xml:space="preserve">one</w:t>
      </w:r>
      <w:r>
        <w:t xml:space="preserve"> </w:t>
      </w:r>
      <w:r>
        <w:t xml:space="preserve">location (</w:t>
      </w:r>
      <w:r>
        <w:t xml:space="preserve">“</w:t>
      </w:r>
      <w:r>
        <w:t xml:space="preserve">Employee common area / break room, first floor</w:t>
      </w:r>
      <w:r>
        <w:t xml:space="preserve">”</w:t>
      </w:r>
      <w:r>
        <w:t xml:space="preserve">).</w:t>
      </w:r>
    </w:p>
    <w:p>
      <w:pPr>
        <w:pStyle w:val="BodyText"/>
      </w:pPr>
      <w:r>
        <w:rPr>
          <w:b/>
          <w:bCs/>
        </w:rPr>
        <w:t xml:space="preserve">Significance.</w:t>
      </w:r>
      <w:r>
        <w:t xml:space="preserve"> </w:t>
      </w:r>
      <w:r>
        <w:t xml:space="preserve">The second conspicuous location is not identified in the record. For PAF completeness, both locations should be documented (with photographs or a posting log if available).</w:t>
      </w:r>
    </w:p>
    <w:bookmarkEnd w:id="37"/>
    <w:bookmarkStart w:id="38" w:name="Xace84b9f5bd65efe00d8b347910d2a9f6a60e8f"/>
    <w:p>
      <w:pPr>
        <w:pStyle w:val="Heading4"/>
      </w:pPr>
      <w:r>
        <w:t xml:space="preserve">C-3. Missing core petition forms and status evidence.</w:t>
      </w:r>
    </w:p>
    <w:p>
      <w:pPr>
        <w:pStyle w:val="FirstParagraph"/>
      </w:pPr>
      <w:r>
        <w:rPr>
          <w:b/>
          <w:bCs/>
        </w:rPr>
        <w:t xml:space="preserve">The issue.</w:t>
      </w:r>
      <w:r>
        <w:t xml:space="preserve"> </w:t>
      </w:r>
      <w:r>
        <w:t xml:space="preserve">The following items, expected in a complete H-1B filing, are not in the package: Form I-129 (with H Classification Supplement and, if applicable, the H-1B Data Collection Supplement); evidence of current lawful status (I-94, most recent I-20 with OPT/STEM-OPT endorsements, EAD); H-1B cap registration selection notice; fee payment evidence; beneficiary passport and prior visa copies.</w:t>
      </w:r>
    </w:p>
    <w:p>
      <w:pPr>
        <w:pStyle w:val="BodyText"/>
      </w:pPr>
      <w:r>
        <w:rPr>
          <w:b/>
          <w:bCs/>
        </w:rPr>
        <w:t xml:space="preserve">Significance.</w:t>
      </w:r>
      <w:r>
        <w:t xml:space="preserve"> </w:t>
      </w:r>
      <w:r>
        <w:t xml:space="preserve">Some of these may be assembled separately at filing, but their absence from the review package should be confirmed so that nothing is overlooked. The status evidence is especially important given A-2.</w:t>
      </w:r>
    </w:p>
    <w:bookmarkEnd w:id="38"/>
    <w:bookmarkStart w:id="39" w:name="X0b5f8a74b7d5920d7e76c854b1e8fd2fbeaafb6"/>
    <w:p>
      <w:pPr>
        <w:pStyle w:val="Heading4"/>
      </w:pPr>
      <w:r>
        <w:t xml:space="preserve">C-4. No actual-wage memorandum / Public Access File contents included.</w:t>
      </w:r>
    </w:p>
    <w:p>
      <w:pPr>
        <w:pStyle w:val="FirstParagraph"/>
      </w:pPr>
      <w:r>
        <w:rPr>
          <w:b/>
          <w:bCs/>
        </w:rPr>
        <w:t xml:space="preserve">The issue.</w:t>
      </w:r>
      <w:r>
        <w:t xml:space="preserve"> </w:t>
      </w:r>
      <w:r>
        <w:t xml:space="preserve">The LCA (§K.1) attests that the offered wage equals or exceeds the</w:t>
      </w:r>
      <w:r>
        <w:t xml:space="preserve"> </w:t>
      </w:r>
      <w:r>
        <w:t xml:space="preserve">“</w:t>
      </w:r>
      <w:r>
        <w:t xml:space="preserve">actual wage level paid to all other individuals with similar experience and qualifications.</w:t>
      </w:r>
      <w:r>
        <w:t xml:space="preserve">”</w:t>
      </w:r>
      <w:r>
        <w:t xml:space="preserve"> </w:t>
      </w:r>
      <w:r>
        <w:t xml:space="preserve">No actual-wage analysis is included.</w:t>
      </w:r>
    </w:p>
    <w:p>
      <w:pPr>
        <w:pStyle w:val="BodyText"/>
      </w:pPr>
      <w:r>
        <w:rPr>
          <w:b/>
          <w:bCs/>
        </w:rPr>
        <w:t xml:space="preserve">Significance.</w:t>
      </w:r>
      <w:r>
        <w:t xml:space="preserve"> </w:t>
      </w:r>
      <w:r>
        <w:t xml:space="preserve">20 CFR § 655.731(a)(1)(iii) and § 655.760 require the employer to maintain an actual-wage memorandum in the Public Access File. If any similarly employed worker (e.g., another senior ML engineer or senior data scientist) is paid above $128,000, the actual wage would exceed the offered wage — a separate violation independent of the prevailing-wage issue in A-1.</w:t>
      </w:r>
      <w:r>
        <w:t xml:space="preserve"> </w:t>
      </w:r>
      <w:r>
        <w:rPr>
          <w:b/>
          <w:bCs/>
        </w:rPr>
        <w:t xml:space="preserve">Prepare and retain the actual-wage memo; confirm no similarly situated employee is paid above $128,000.</w:t>
      </w:r>
    </w:p>
    <w:bookmarkEnd w:id="39"/>
    <w:bookmarkStart w:id="40" w:name="X46276e1961b2caff32a754e36542264160e8973"/>
    <w:p>
      <w:pPr>
        <w:pStyle w:val="Heading4"/>
      </w:pPr>
      <w:r>
        <w:t xml:space="preserve">C-5. SOC-code selection should be confirmed (15-2051 vs. 15-1221).</w:t>
      </w:r>
    </w:p>
    <w:p>
      <w:pPr>
        <w:pStyle w:val="FirstParagraph"/>
      </w:pPr>
      <w:r>
        <w:rPr>
          <w:b/>
          <w:bCs/>
        </w:rPr>
        <w:t xml:space="preserve">The issue.</w:t>
      </w:r>
      <w:r>
        <w:t xml:space="preserve"> </w:t>
      </w:r>
      <w:r>
        <w:t xml:space="preserve">The title</w:t>
      </w:r>
      <w:r>
        <w:t xml:space="preserve"> </w:t>
      </w:r>
      <w:r>
        <w:t xml:space="preserve">“</w:t>
      </w:r>
      <w:r>
        <w:t xml:space="preserve">Machine Learning Engineer</w:t>
      </w:r>
      <w:r>
        <w:t xml:space="preserve">”</w:t>
      </w:r>
      <w:r>
        <w:t xml:space="preserve"> </w:t>
      </w:r>
      <w:r>
        <w:t xml:space="preserve">is, in some O*NET classifications, associated with</w:t>
      </w:r>
      <w:r>
        <w:t xml:space="preserve"> </w:t>
      </w:r>
      <w:r>
        <w:rPr>
          <w:b/>
          <w:bCs/>
        </w:rPr>
        <w:t xml:space="preserve">15-1221</w:t>
      </w:r>
      <w:r>
        <w:t xml:space="preserve"> </w:t>
      </w:r>
      <w:r>
        <w:t xml:space="preserve">(Computer and Information Research Scientists) rather than</w:t>
      </w:r>
      <w:r>
        <w:t xml:space="preserve"> </w:t>
      </w:r>
      <w:r>
        <w:rPr>
          <w:b/>
          <w:bCs/>
        </w:rPr>
        <w:t xml:space="preserve">15-2051</w:t>
      </w:r>
      <w:r>
        <w:t xml:space="preserve"> </w:t>
      </w:r>
      <w:r>
        <w:t xml:space="preserve">(Data Scientists).</w:t>
      </w:r>
    </w:p>
    <w:p>
      <w:pPr>
        <w:pStyle w:val="BodyText"/>
      </w:pPr>
      <w:r>
        <w:rPr>
          <w:b/>
          <w:bCs/>
        </w:rPr>
        <w:t xml:space="preserve">Significance.</w:t>
      </w:r>
      <w:r>
        <w:t xml:space="preserve"> </w:t>
      </w:r>
      <w:r>
        <w:t xml:space="preserve">The data-science flavor of the duties (predictive modeling, NLP, dashboards, A/B testing, data pipelines) makes 15-2051 defensible, and the PWD was issued on that basis. Because the four wage levels differ by SOC code, however, the selection should be deliberately confirmed. If 15-1221 were more appropriate, the prevailing wage and level analysis would change. This is a confirm-and-document item rather than a likely error.</w:t>
      </w:r>
    </w:p>
    <w:bookmarkEnd w:id="40"/>
    <w:bookmarkStart w:id="41" w:name="Xa2e8cbc7d51d4fefc67a221fb304b149f77e6ab"/>
    <w:p>
      <w:pPr>
        <w:pStyle w:val="Heading4"/>
      </w:pPr>
      <w:r>
        <w:t xml:space="preserve">C-6. Possible off-MSA / remote-work exposure not addressed by the LCA.</w:t>
      </w:r>
    </w:p>
    <w:p>
      <w:pPr>
        <w:pStyle w:val="FirstParagraph"/>
      </w:pPr>
      <w:r>
        <w:rPr>
          <w:b/>
          <w:bCs/>
        </w:rPr>
        <w:t xml:space="preserve">The issue.</w:t>
      </w:r>
      <w:r>
        <w:t xml:space="preserve"> </w:t>
      </w:r>
      <w:r>
        <w:t xml:space="preserve">The LCA certifies a single worksite (Austin HQ) and states</w:t>
      </w:r>
      <w:r>
        <w:t xml:space="preserve"> </w:t>
      </w:r>
      <w:r>
        <w:t xml:space="preserve">“</w:t>
      </w:r>
      <w:r>
        <w:t xml:space="preserve">Additional Worksites: None.</w:t>
      </w:r>
      <w:r>
        <w:t xml:space="preserve">”</w:t>
      </w:r>
      <w:r>
        <w:t xml:space="preserve"> </w:t>
      </w:r>
      <w:r>
        <w:t xml:space="preserve">The support letter (§1) and org chart, however, describe a company with a</w:t>
      </w:r>
      <w:r>
        <w:t xml:space="preserve"> </w:t>
      </w:r>
      <w:r>
        <w:rPr>
          <w:b/>
          <w:bCs/>
        </w:rPr>
        <w:t xml:space="preserve">Denver, Colorado satellite office</w:t>
      </w:r>
      <w:r>
        <w:t xml:space="preserve"> </w:t>
      </w:r>
      <w:r>
        <w:t xml:space="preserve">and a</w:t>
      </w:r>
      <w:r>
        <w:t xml:space="preserve"> </w:t>
      </w:r>
      <w:r>
        <w:rPr>
          <w:b/>
          <w:bCs/>
        </w:rPr>
        <w:t xml:space="preserve">distributed remote team</w:t>
      </w:r>
      <w:r>
        <w:t xml:space="preserve">.</w:t>
      </w:r>
    </w:p>
    <w:p>
      <w:pPr>
        <w:pStyle w:val="BodyText"/>
      </w:pPr>
      <w:r>
        <w:rPr>
          <w:b/>
          <w:bCs/>
        </w:rPr>
        <w:t xml:space="preserve">Significance.</w:t>
      </w:r>
      <w:r>
        <w:t xml:space="preserve"> </w:t>
      </w:r>
      <w:r>
        <w:t xml:space="preserve">The beneficiary’s home address (1807 Barton Springs Rd, Austin, TX 78704) is within the Austin-Round Rock-Georgetown MSA, so home-based work within Austin is generally covered by the existing LCA. But if any regular work at the Denver office or any off-MSA remote location is contemplated, the LCA would need to address those worksites (additional LCA worksites, or short-term placement / non-displacement analysis under 20 CFR § 655.735).</w:t>
      </w:r>
      <w:r>
        <w:t xml:space="preserve"> </w:t>
      </w:r>
      <w:r>
        <w:rPr>
          <w:b/>
          <w:bCs/>
        </w:rPr>
        <w:t xml:space="preserve">Confirm in writing that the position is performed exclusively within the Austin MSA, or supplement the LCA accordingly.</w:t>
      </w:r>
    </w:p>
    <w:p>
      <w:r>
        <w:pict>
          <v:rect style="width:0;height:1.5pt" o:hralign="center" o:hrstd="t" o:hr="t"/>
        </w:pict>
      </w:r>
    </w:p>
    <w:bookmarkEnd w:id="41"/>
    <w:bookmarkEnd w:id="42"/>
    <w:bookmarkStart w:id="43" w:name="d.-minor-documentation-items"/>
    <w:p>
      <w:pPr>
        <w:pStyle w:val="Heading3"/>
      </w:pPr>
      <w:r>
        <w:t xml:space="preserve">D. Minor / Documentation Items</w:t>
      </w:r>
    </w:p>
    <w:p>
      <w:pPr>
        <w:pStyle w:val="Compact"/>
        <w:numPr>
          <w:ilvl w:val="0"/>
          <w:numId w:val="1010"/>
        </w:numPr>
      </w:pPr>
      <w:r>
        <w:rPr>
          <w:b/>
          <w:bCs/>
        </w:rPr>
        <w:t xml:space="preserve">D-1. Experience-years inconsistency.</w:t>
      </w:r>
      <w:r>
        <w:t xml:space="preserve"> </w:t>
      </w:r>
      <w:r>
        <w:t xml:space="preserve">The resume’s professional summary claims</w:t>
      </w:r>
      <w:r>
        <w:t xml:space="preserve"> </w:t>
      </w:r>
      <w:r>
        <w:t xml:space="preserve">“</w:t>
      </w:r>
      <w:r>
        <w:t xml:space="preserve">7+ years of experience,</w:t>
      </w:r>
      <w:r>
        <w:t xml:space="preserve">”</w:t>
      </w:r>
      <w:r>
        <w:t xml:space="preserve"> </w:t>
      </w:r>
      <w:r>
        <w:t xml:space="preserve">while the support letter (§4) claims</w:t>
      </w:r>
      <w:r>
        <w:t xml:space="preserve"> </w:t>
      </w:r>
      <w:r>
        <w:t xml:space="preserve">“</w:t>
      </w:r>
      <w:r>
        <w:t xml:space="preserve">over 8 years of progressive experience.</w:t>
      </w:r>
      <w:r>
        <w:t xml:space="preserve">”</w:t>
      </w:r>
      <w:r>
        <w:t xml:space="preserve"> </w:t>
      </w:r>
      <w:r>
        <w:t xml:space="preserve">The figures are not necessarily contradictory (one may count ML-only; the other all software+ML), but the package should use a single, reconciled figure. Using the corrected dates, total employed time from June 2014 to date is roughly 10.3 years (with a ~3.5-month gap); ML-specific time is roughly 7.8 years.</w:t>
      </w:r>
      <w:r>
        <w:t xml:space="preserve"> </w:t>
      </w:r>
      <w:r>
        <w:t xml:space="preserve">“</w:t>
      </w:r>
      <w:r>
        <w:t xml:space="preserve">Over 8 years</w:t>
      </w:r>
      <w:r>
        <w:t xml:space="preserve">”</w:t>
      </w:r>
      <w:r>
        <w:t xml:space="preserve"> </w:t>
      </w:r>
      <w:r>
        <w:t xml:space="preserve">is supportable only if software-development years are included.</w:t>
      </w:r>
    </w:p>
    <w:p>
      <w:pPr>
        <w:pStyle w:val="Compact"/>
        <w:numPr>
          <w:ilvl w:val="0"/>
          <w:numId w:val="1010"/>
        </w:numPr>
      </w:pPr>
      <w:r>
        <w:rPr>
          <w:b/>
          <w:bCs/>
        </w:rPr>
        <w:t xml:space="preserve">D-2. Credential evaluation’s computer-coursework count may understate the computer content.</w:t>
      </w:r>
      <w:r>
        <w:t xml:space="preserve"> </w:t>
      </w:r>
      <w:r>
        <w:t xml:space="preserve">The evaluation counts only ~12 credits (7.5%) as</w:t>
      </w:r>
      <w:r>
        <w:t xml:space="preserve"> </w:t>
      </w:r>
      <w:r>
        <w:t xml:space="preserve">“</w:t>
      </w:r>
      <w:r>
        <w:t xml:space="preserve">computer-related,</w:t>
      </w:r>
      <w:r>
        <w:t xml:space="preserve">”</w:t>
      </w:r>
      <w:r>
        <w:t xml:space="preserve"> </w:t>
      </w:r>
      <w:r>
        <w:t xml:space="preserve">omitting Computer Architecture &amp; Organization (4 cr), Microprocessors &amp; Microcontrollers (4 cr), and Digital Logic Design (4 cr) — all of which appear on the transcript. A broader count (~24 credits / ~15%) is more favorable to the beneficiary, though the degree remains predominantly ECE and the</w:t>
      </w:r>
      <w:r>
        <w:t xml:space="preserve"> </w:t>
      </w:r>
      <w:r>
        <w:t xml:space="preserve">“</w:t>
      </w:r>
      <w:r>
        <w:t xml:space="preserve">closely related</w:t>
      </w:r>
      <w:r>
        <w:t xml:space="preserve">”</w:t>
      </w:r>
      <w:r>
        <w:t xml:space="preserve"> </w:t>
      </w:r>
      <w:r>
        <w:t xml:space="preserve">issue in A-3 persists. The expert opinion recommended in A-3 should address this coursework.</w:t>
      </w:r>
    </w:p>
    <w:p>
      <w:pPr>
        <w:pStyle w:val="Compact"/>
        <w:numPr>
          <w:ilvl w:val="0"/>
          <w:numId w:val="1010"/>
        </w:numPr>
      </w:pPr>
      <w:r>
        <w:rPr>
          <w:b/>
          <w:bCs/>
        </w:rPr>
        <w:t xml:space="preserve">D-3. Transcript credit-hour reconciliation.</w:t>
      </w:r>
      <w:r>
        <w:t xml:space="preserve"> </w:t>
      </w:r>
      <w:r>
        <w:t xml:space="preserve">The transcript reports 184 total credits (including 28 laboratory credits) and ~160 theory credits; the credential evaluation references ~160 credit hours. The figures roughly reconcile; no correction required, but the evaluation’s program-analysis totals (24+80+32+12+12 = 160, plus</w:t>
      </w:r>
      <w:r>
        <w:t xml:space="preserve"> </w:t>
      </w:r>
      <w:r>
        <w:t xml:space="preserve">“</w:t>
      </w:r>
      <w:r>
        <w:t xml:space="preserve">remaining</w:t>
      </w:r>
      <w:r>
        <w:t xml:space="preserve">”</w:t>
      </w:r>
      <w:r>
        <w:t xml:space="preserve"> </w:t>
      </w:r>
      <w:r>
        <w:t xml:space="preserve">project/seminar) should be footnoted to the transcript’s 184-credit total for clarity.</w:t>
      </w:r>
    </w:p>
    <w:p>
      <w:pPr>
        <w:pStyle w:val="Compact"/>
        <w:numPr>
          <w:ilvl w:val="0"/>
          <w:numId w:val="1010"/>
        </w:numPr>
      </w:pPr>
      <w:r>
        <w:rPr>
          <w:b/>
          <w:bCs/>
        </w:rPr>
        <w:t xml:space="preserve">D-4. Certifications listed but not evidenced.</w:t>
      </w:r>
      <w:r>
        <w:t xml:space="preserve"> </w:t>
      </w:r>
      <w:r>
        <w:t xml:space="preserve">The resume lists a Deep Learning Specialization (2019), an MLOps course (2021), and AWS Certified Machine Learning – Specialty (2022). No certificates are included. Copies would modestly reinforce the framework-proficiency showing in B-4.</w:t>
      </w:r>
    </w:p>
    <w:p>
      <w:pPr>
        <w:pStyle w:val="Compact"/>
        <w:numPr>
          <w:ilvl w:val="0"/>
          <w:numId w:val="1010"/>
        </w:numPr>
      </w:pPr>
      <w:r>
        <w:rPr>
          <w:b/>
          <w:bCs/>
        </w:rPr>
        <w:t xml:space="preserve">D-5. No financial statements included for ability-to-pay.</w:t>
      </w:r>
      <w:r>
        <w:t xml:space="preserve"> </w:t>
      </w:r>
      <w:r>
        <w:t xml:space="preserve">The support letter asserts ability to pay the $128,000 wage based on $41.2M revenue and 187 employees — generally sufficient for H-1B purposes. Including recent tax returns or audited financials would further fortify the showing, though the risk here is low given the employer’s size.</w:t>
      </w:r>
    </w:p>
    <w:p>
      <w:pPr>
        <w:pStyle w:val="Compact"/>
        <w:numPr>
          <w:ilvl w:val="0"/>
          <w:numId w:val="1010"/>
        </w:numPr>
      </w:pPr>
      <w:r>
        <w:rPr>
          <w:b/>
          <w:bCs/>
        </w:rPr>
        <w:t xml:space="preserve">D-6. Support letter omits HR Director’s email.</w:t>
      </w:r>
      <w:r>
        <w:t xml:space="preserve"> </w:t>
      </w:r>
      <w:r>
        <w:t xml:space="preserve">The LCA lists pkwon@brightfieldanalytics.com; the support letter provides only a telephone number for Patricia Kwon. Minor; include the email for consistency.</w:t>
      </w:r>
    </w:p>
    <w:p>
      <w:r>
        <w:pict>
          <v:rect style="width:0;height:1.5pt" o:hralign="center" o:hrstd="t" o:hr="t"/>
        </w:pict>
      </w:r>
    </w:p>
    <w:bookmarkEnd w:id="43"/>
    <w:bookmarkEnd w:id="44"/>
    <w:bookmarkStart w:id="45" w:name="v.-recommended-actions-priority-order"/>
    <w:p>
      <w:pPr>
        <w:pStyle w:val="Heading2"/>
      </w:pPr>
      <w:r>
        <w:t xml:space="preserve">V. Recommended Actions (Priority Order)</w:t>
      </w:r>
    </w:p>
    <w:p>
      <w:pPr>
        <w:pStyle w:val="Compact"/>
        <w:numPr>
          <w:ilvl w:val="0"/>
          <w:numId w:val="1011"/>
        </w:numPr>
      </w:pPr>
      <w:r>
        <w:rPr>
          <w:b/>
          <w:bCs/>
        </w:rPr>
        <w:t xml:space="preserve">Re-evaluate the wage level (A-1).</w:t>
      </w:r>
      <w:r>
        <w:t xml:space="preserve"> </w:t>
      </w:r>
      <w:r>
        <w:t xml:space="preserve">Obtain an internal or counsel review of whether Level 3 (or 4) is the correct classification given the supervisory duties, independent judgment,</w:t>
      </w:r>
      <w:r>
        <w:t xml:space="preserve"> </w:t>
      </w:r>
      <w:r>
        <w:t xml:space="preserve">“</w:t>
      </w:r>
      <w:r>
        <w:t xml:space="preserve">Senior</w:t>
      </w:r>
      <w:r>
        <w:t xml:space="preserve">”</w:t>
      </w:r>
      <w:r>
        <w:t xml:space="preserve"> </w:t>
      </w:r>
      <w:r>
        <w:t xml:space="preserve">title, and 3-year experience requirement. If Level 3+ is correct, request a new PWD and file a new LCA at the correct level</w:t>
      </w:r>
      <w:r>
        <w:t xml:space="preserve"> </w:t>
      </w:r>
      <w:r>
        <w:rPr>
          <w:i/>
          <w:iCs/>
        </w:rPr>
        <w:t xml:space="preserve">before</w:t>
      </w:r>
      <w:r>
        <w:t xml:space="preserve"> </w:t>
      </w:r>
      <w:r>
        <w:t xml:space="preserve">the I-129 is filed, and confirm the offered wage meets the higher prevailing wage (raise the offered wage to at least $137,946 if Level 3 applies).</w:t>
      </w:r>
    </w:p>
    <w:p>
      <w:pPr>
        <w:pStyle w:val="Compact"/>
        <w:numPr>
          <w:ilvl w:val="0"/>
          <w:numId w:val="1011"/>
        </w:numPr>
      </w:pPr>
      <w:r>
        <w:rPr>
          <w:b/>
          <w:bCs/>
        </w:rPr>
        <w:t xml:space="preserve">Document the beneficiary’s current status and any U.S. degree (A-2).</w:t>
      </w:r>
      <w:r>
        <w:t xml:space="preserve"> </w:t>
      </w:r>
      <w:r>
        <w:t xml:space="preserve">Obtain the I-20, EAD, I-94, and passport/visa copies. If a U.S. degree exists, add it (with transcripts and a U.S. credential evaluation if needed); confirm cap eligibility (regular vs. advanced-degree exemption) and any cap-gap needs. If no U.S. degree exists, correct the F-1 OPT representation and plan for consular processing.</w:t>
      </w:r>
    </w:p>
    <w:p>
      <w:pPr>
        <w:pStyle w:val="Compact"/>
        <w:numPr>
          <w:ilvl w:val="0"/>
          <w:numId w:val="1011"/>
        </w:numPr>
      </w:pPr>
      <w:r>
        <w:rPr>
          <w:b/>
          <w:bCs/>
        </w:rPr>
        <w:t xml:space="preserve">Obtain an expert opinion on</w:t>
      </w:r>
      <w:r>
        <w:rPr>
          <w:b/>
          <w:bCs/>
        </w:rPr>
        <w:t xml:space="preserve"> </w:t>
      </w:r>
      <w:r>
        <w:rPr>
          <w:b/>
          <w:bCs/>
        </w:rPr>
        <w:t xml:space="preserve">“</w:t>
      </w:r>
      <w:r>
        <w:rPr>
          <w:b/>
          <w:bCs/>
        </w:rPr>
        <w:t xml:space="preserve">closely related field</w:t>
      </w:r>
      <w:r>
        <w:rPr>
          <w:b/>
          <w:bCs/>
        </w:rPr>
        <w:t xml:space="preserve">”</w:t>
      </w:r>
      <w:r>
        <w:rPr>
          <w:b/>
          <w:bCs/>
        </w:rPr>
        <w:t xml:space="preserve"> </w:t>
      </w:r>
      <w:r>
        <w:rPr>
          <w:b/>
          <w:bCs/>
        </w:rPr>
        <w:t xml:space="preserve">(A-3, D-2).</w:t>
      </w:r>
      <w:r>
        <w:t xml:space="preserve"> </w:t>
      </w:r>
      <w:r>
        <w:t xml:space="preserve">Commission a letter from a qualified evaluator or a CS/ML professor that expressly opines that the ECE coursework (including signal processing, probability/stochastic processes, linear algebra, computer architecture, and the AI elective) constitutes the theoretical foundation for ML engineering and that the field is</w:t>
      </w:r>
      <w:r>
        <w:t xml:space="preserve"> </w:t>
      </w:r>
      <w:r>
        <w:t xml:space="preserve">“</w:t>
      </w:r>
      <w:r>
        <w:t xml:space="preserve">closely related</w:t>
      </w:r>
      <w:r>
        <w:t xml:space="preserve">”</w:t>
      </w:r>
      <w:r>
        <w:t xml:space="preserve"> </w:t>
      </w:r>
      <w:r>
        <w:t xml:space="preserve">to CS/ML/AI. Consider a second evaluation from a different NACES agency if the Westbridge evaluator’s credentials cannot be verified (B-6).</w:t>
      </w:r>
    </w:p>
    <w:p>
      <w:pPr>
        <w:pStyle w:val="Compact"/>
        <w:numPr>
          <w:ilvl w:val="0"/>
          <w:numId w:val="1011"/>
        </w:numPr>
      </w:pPr>
      <w:r>
        <w:rPr>
          <w:b/>
          <w:bCs/>
        </w:rPr>
        <w:t xml:space="preserve">Correct the resume and explain the employment gap (A-4).</w:t>
      </w:r>
      <w:r>
        <w:t xml:space="preserve"> </w:t>
      </w:r>
      <w:r>
        <w:t xml:space="preserve">Align the resume’s Kiran and NovaStar end dates with the experience letters; add a brief, candid explanation of the December 2016–April 2017 gap.</w:t>
      </w:r>
    </w:p>
    <w:p>
      <w:pPr>
        <w:pStyle w:val="Compact"/>
        <w:numPr>
          <w:ilvl w:val="0"/>
          <w:numId w:val="1011"/>
        </w:numPr>
      </w:pPr>
      <w:r>
        <w:rPr>
          <w:b/>
          <w:bCs/>
        </w:rPr>
        <w:t xml:space="preserve">Corroborate the consultant period and the specific frameworks (A-5, B-4).</w:t>
      </w:r>
      <w:r>
        <w:t xml:space="preserve"> </w:t>
      </w:r>
      <w:r>
        <w:t xml:space="preserve">Obtain client letters, statements of work, or 1099/contract evidence for 2020–2023, expressly naming TensorFlow, PyTorch, AWS SageMaker, NLP, and LLM work. Obtain a supplemental Brightfield letter detailing the current stack.</w:t>
      </w:r>
    </w:p>
    <w:p>
      <w:pPr>
        <w:pStyle w:val="Compact"/>
        <w:numPr>
          <w:ilvl w:val="0"/>
          <w:numId w:val="1011"/>
        </w:numPr>
      </w:pPr>
      <w:r>
        <w:rPr>
          <w:b/>
          <w:bCs/>
        </w:rPr>
        <w:t xml:space="preserve">Narrow or remove the</w:t>
      </w:r>
      <w:r>
        <w:rPr>
          <w:b/>
          <w:bCs/>
        </w:rPr>
        <w:t xml:space="preserve"> </w:t>
      </w:r>
      <w:r>
        <w:rPr>
          <w:b/>
          <w:bCs/>
        </w:rPr>
        <w:t xml:space="preserve">“</w:t>
      </w:r>
      <w:r>
        <w:rPr>
          <w:b/>
          <w:bCs/>
        </w:rPr>
        <w:t xml:space="preserve">alternative qualification</w:t>
      </w:r>
      <w:r>
        <w:rPr>
          <w:b/>
          <w:bCs/>
        </w:rPr>
        <w:t xml:space="preserve">”</w:t>
      </w:r>
      <w:r>
        <w:rPr>
          <w:b/>
          <w:bCs/>
        </w:rPr>
        <w:t xml:space="preserve"> </w:t>
      </w:r>
      <w:r>
        <w:rPr>
          <w:b/>
          <w:bCs/>
        </w:rPr>
        <w:t xml:space="preserve">and align the LCA (B-1).</w:t>
      </w:r>
      <w:r>
        <w:t xml:space="preserve"> </w:t>
      </w:r>
      <w:r>
        <w:t xml:space="preserve">Either delete the</w:t>
      </w:r>
      <w:r>
        <w:t xml:space="preserve"> </w:t>
      </w:r>
      <w:r>
        <w:t xml:space="preserve">“</w:t>
      </w:r>
      <w:r>
        <w:t xml:space="preserve">any engineering + 5 years</w:t>
      </w:r>
      <w:r>
        <w:t xml:space="preserve">”</w:t>
      </w:r>
      <w:r>
        <w:t xml:space="preserve"> </w:t>
      </w:r>
      <w:r>
        <w:t xml:space="preserve">alternative or narrow it to specific related engineering disciplines, and ensure the minimum-requirement language matches the LCA’s §G.7.</w:t>
      </w:r>
    </w:p>
    <w:p>
      <w:pPr>
        <w:pStyle w:val="Compact"/>
        <w:numPr>
          <w:ilvl w:val="0"/>
          <w:numId w:val="1011"/>
        </w:numPr>
      </w:pPr>
      <w:r>
        <w:rPr>
          <w:b/>
          <w:bCs/>
        </w:rPr>
        <w:t xml:space="preserve">Reconcile the supervisory headcount (B-2)</w:t>
      </w:r>
      <w:r>
        <w:t xml:space="preserve"> </w:t>
      </w:r>
      <w:r>
        <w:t xml:space="preserve">between the support letter (3) and the org chart (2).</w:t>
      </w:r>
    </w:p>
    <w:p>
      <w:pPr>
        <w:pStyle w:val="Compact"/>
        <w:numPr>
          <w:ilvl w:val="0"/>
          <w:numId w:val="1011"/>
        </w:numPr>
      </w:pPr>
      <w:r>
        <w:rPr>
          <w:b/>
          <w:bCs/>
        </w:rPr>
        <w:t xml:space="preserve">Standardize employer contact data and correct the posting notice (B-3).</w:t>
      </w:r>
      <w:r>
        <w:t xml:space="preserve"> </w:t>
      </w:r>
      <w:r>
        <w:t xml:space="preserve">Use one employer telephone number across all documents; remove the beneficiary’s personal number from the posting notice; correct and re-document the posting.</w:t>
      </w:r>
    </w:p>
    <w:p>
      <w:pPr>
        <w:pStyle w:val="Compact"/>
        <w:numPr>
          <w:ilvl w:val="0"/>
          <w:numId w:val="1011"/>
        </w:numPr>
      </w:pPr>
      <w:r>
        <w:rPr>
          <w:b/>
          <w:bCs/>
        </w:rPr>
        <w:t xml:space="preserve">Distinguish the current Data Scientist role from the petitioned Senior role (B-5).</w:t>
      </w:r>
      <w:r>
        <w:t xml:space="preserve"> </w:t>
      </w:r>
      <w:r>
        <w:t xml:space="preserve">Add a paragraph to the support letter confirming the bona fide, vacant nature of the Senior ML Engineer position.</w:t>
      </w:r>
    </w:p>
    <w:p>
      <w:pPr>
        <w:pStyle w:val="Compact"/>
        <w:numPr>
          <w:ilvl w:val="0"/>
          <w:numId w:val="1011"/>
        </w:numPr>
      </w:pPr>
      <w:r>
        <w:rPr>
          <w:b/>
          <w:bCs/>
        </w:rPr>
        <w:t xml:space="preserve">Cure the posting-period and second-location deficiencies (C-1, C-2)</w:t>
      </w:r>
      <w:r>
        <w:t xml:space="preserve"> </w:t>
      </w:r>
      <w:r>
        <w:t xml:space="preserve">and document corrective steps in the Public Access File.</w:t>
      </w:r>
    </w:p>
    <w:p>
      <w:pPr>
        <w:pStyle w:val="Compact"/>
        <w:numPr>
          <w:ilvl w:val="0"/>
          <w:numId w:val="1011"/>
        </w:numPr>
      </w:pPr>
      <w:r>
        <w:rPr>
          <w:b/>
          <w:bCs/>
        </w:rPr>
        <w:t xml:space="preserve">Assemble the missing forms and evidence (C-3):</w:t>
      </w:r>
      <w:r>
        <w:t xml:space="preserve"> </w:t>
      </w:r>
      <w:r>
        <w:t xml:space="preserve">I-129 and supplements, status evidence, cap selection notice, fees, passport/visa.</w:t>
      </w:r>
    </w:p>
    <w:p>
      <w:pPr>
        <w:pStyle w:val="Compact"/>
        <w:numPr>
          <w:ilvl w:val="0"/>
          <w:numId w:val="1011"/>
        </w:numPr>
      </w:pPr>
      <w:r>
        <w:rPr>
          <w:b/>
          <w:bCs/>
        </w:rPr>
        <w:t xml:space="preserve">Prepare the actual-wage memorandum (C-4)</w:t>
      </w:r>
      <w:r>
        <w:t xml:space="preserve"> </w:t>
      </w:r>
      <w:r>
        <w:t xml:space="preserve">and confirm no similarly situated employee is paid above $128,000.</w:t>
      </w:r>
    </w:p>
    <w:p>
      <w:pPr>
        <w:pStyle w:val="Compact"/>
        <w:numPr>
          <w:ilvl w:val="0"/>
          <w:numId w:val="1011"/>
        </w:numPr>
      </w:pPr>
      <w:r>
        <w:rPr>
          <w:b/>
          <w:bCs/>
        </w:rPr>
        <w:t xml:space="preserve">Confirm SOC 15-2051 (C-5)</w:t>
      </w:r>
      <w:r>
        <w:t xml:space="preserve"> </w:t>
      </w:r>
      <w:r>
        <w:t xml:space="preserve">and the single-MSA worksite representation (C-6) in writing.</w:t>
      </w:r>
    </w:p>
    <w:p>
      <w:pPr>
        <w:pStyle w:val="Compact"/>
        <w:numPr>
          <w:ilvl w:val="0"/>
          <w:numId w:val="1011"/>
        </w:numPr>
      </w:pPr>
      <w:r>
        <w:rPr>
          <w:b/>
          <w:bCs/>
        </w:rPr>
        <w:t xml:space="preserve">Address the minor items (D-1 through D-6)</w:t>
      </w:r>
      <w:r>
        <w:t xml:space="preserve"> </w:t>
      </w:r>
      <w:r>
        <w:t xml:space="preserve">as part of final package assembly.</w:t>
      </w:r>
    </w:p>
    <w:p>
      <w:r>
        <w:pict>
          <v:rect style="width:0;height:1.5pt" o:hralign="center" o:hrstd="t" o:hr="t"/>
        </w:pict>
      </w:r>
    </w:p>
    <w:bookmarkEnd w:id="45"/>
    <w:bookmarkStart w:id="46" w:name="vi.-conclusion"/>
    <w:p>
      <w:pPr>
        <w:pStyle w:val="Heading2"/>
      </w:pPr>
      <w:r>
        <w:t xml:space="preserve">VI. Conclusion</w:t>
      </w:r>
    </w:p>
    <w:p>
      <w:pPr>
        <w:pStyle w:val="FirstParagraph"/>
      </w:pPr>
      <w:r>
        <w:t xml:space="preserve">The petition package is substantially complete and internally consistent on its principal terms, and the beneficiary appears, on the documented record, to exceed the position’s stated experience minimum. The package is</w:t>
      </w:r>
      <w:r>
        <w:t xml:space="preserve"> </w:t>
      </w:r>
      <w:r>
        <w:rPr>
          <w:b/>
          <w:bCs/>
        </w:rPr>
        <w:t xml:space="preserve">not</w:t>
      </w:r>
      <w:r>
        <w:t xml:space="preserve">, however, ready to file. Two issues — the likely wage-level understatement (A-1) and the undocumented/inconsistent F-1 OPT status (A-2) — are each capable of supporting denial or post-filing enforcement exposure on their own and should be resolved before submission. The</w:t>
      </w:r>
      <w:r>
        <w:t xml:space="preserve"> </w:t>
      </w:r>
      <w:r>
        <w:t xml:space="preserve">“</w:t>
      </w:r>
      <w:r>
        <w:t xml:space="preserve">closely related field</w:t>
      </w:r>
      <w:r>
        <w:t xml:space="preserve">”</w:t>
      </w:r>
      <w:r>
        <w:t xml:space="preserve"> </w:t>
      </w:r>
      <w:r>
        <w:t xml:space="preserve">question (A-3), the resume/date discrepancies and gap (A-4), and the uncorroborated consultant experience (A-5) are the next tier and collectively define the principal RFE risk profile. The remaining significant, moderate, and minor items should be addressed during final assembly so that the filed record is uniform, complete, and defensible on its face.</w:t>
      </w:r>
    </w:p>
    <w:p>
      <w:pPr>
        <w:pStyle w:val="BodyText"/>
      </w:pPr>
      <w:r>
        <w:rPr>
          <w:i/>
          <w:iCs/>
        </w:rPr>
        <w:t xml:space="preserve">Prepared on the basis of the ten documents listed in Part II. This memorandum identifies issues for counsel’s review and remediation; it does not constitute a final adjudicatory determination of any issue.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2026-06-28T18:00:55Z</dcterms:created>
  <dcterms:modified xsi:type="dcterms:W3CDTF">2026-06-28T18:00:55Z</dcterms:modified>
</cp:coreProperties>
</file>

<file path=docProps/custom.xml><?xml version="1.0" encoding="utf-8"?>
<Properties xmlns="http://schemas.openxmlformats.org/officeDocument/2006/custom-properties" xmlns:vt="http://schemas.openxmlformats.org/officeDocument/2006/docPropsVTypes"/>
</file>