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&amp; CONFIDENTIAL — ATTORNEY WORK PRODUCT / PREPARED IN ANTICIPATION OF FILING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Immigration Case Team / File No. BAI-H1B-2025-RV</w:t>
            </w:r>
          </w:p>
        </w:tc>
      </w:tr>
      <w:tr>
        <w:tc>
          <w:tcPr/>
          <w:p>
            <w:pPr>
              <w:pStyle w:val="Compact"/>
              <w:jc w:val="left"/>
            </w:pPr>
            <w:r>
              <w:rPr>
                <w:b/>
                <w:bCs/>
              </w:rPr>
              <w:t xml:space="preserve">FROM:</w:t>
            </w:r>
          </w:p>
        </w:tc>
        <w:tc>
          <w:tcPr/>
          <w:p>
            <w:pPr>
              <w:pStyle w:val="Compact"/>
              <w:jc w:val="left"/>
            </w:pPr>
            <w:r>
              <w:t xml:space="preserve">Petition Review / Quality Control</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w:t>
            </w:r>
          </w:p>
        </w:tc>
        <w:tc>
          <w:tcPr/>
          <w:p>
            <w:pPr>
              <w:pStyle w:val="Compact"/>
              <w:jc w:val="left"/>
            </w:pPr>
            <w:r>
              <w:t xml:space="preserve">Issue-Identification Memo — H-1B Specialty Occupation Petition on Behalf of Rajesh Venkataraman; Petitioner: Brightfield Analytics Inc.</w:t>
            </w:r>
          </w:p>
        </w:tc>
      </w:tr>
      <w:tr>
        <w:tc>
          <w:tcPr/>
          <w:p>
            <w:pPr>
              <w:pStyle w:val="Compact"/>
              <w:jc w:val="left"/>
            </w:pPr>
            <w:r>
              <w:rPr>
                <w:b/>
                <w:bCs/>
              </w:rPr>
              <w:t xml:space="preserve">CLASSIFICATION SOUGHT:</w:t>
            </w:r>
          </w:p>
        </w:tc>
        <w:tc>
          <w:tcPr/>
          <w:p>
            <w:pPr>
              <w:pStyle w:val="Compact"/>
              <w:jc w:val="left"/>
            </w:pPr>
            <w:r>
              <w:t xml:space="preserve">H-1B (INA § 101(a)(15)(H)(i)(b))</w:t>
            </w:r>
          </w:p>
        </w:tc>
      </w:tr>
      <w:tr>
        <w:tc>
          <w:tcPr/>
          <w:p>
            <w:pPr>
              <w:pStyle w:val="Compact"/>
              <w:jc w:val="left"/>
            </w:pPr>
            <w:r>
              <w:rPr>
                <w:b/>
                <w:bCs/>
              </w:rPr>
              <w:t xml:space="preserve">PROFFERED POSITION:</w:t>
            </w:r>
          </w:p>
        </w:tc>
        <w:tc>
          <w:tcPr/>
          <w:p>
            <w:pPr>
              <w:pStyle w:val="Compact"/>
              <w:jc w:val="left"/>
            </w:pPr>
            <w:r>
              <w:t xml:space="preserve">Senior Machine Learning Engineer (SOC 15-2051, Data Scientists)</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reports the results of a cross-referenced review of the ten-document H-1B petition package assembled on behalf of</w:t>
      </w:r>
      <w:r>
        <w:t xml:space="preserve"> </w:t>
      </w:r>
      <w:r>
        <w:rPr>
          <w:b/>
          <w:bCs/>
        </w:rPr>
        <w:t xml:space="preserve">Rajesh Venkataraman</w:t>
      </w:r>
      <w:r>
        <w:t xml:space="preserve"> </w:t>
      </w:r>
      <w:r>
        <w:t xml:space="preserve">(the</w:t>
      </w:r>
      <w:r>
        <w:t xml:space="preserve"> </w:t>
      </w:r>
      <w:r>
        <w:t xml:space="preserve">“</w:t>
      </w:r>
      <w:r>
        <w:t xml:space="preserve">Beneficiary</w:t>
      </w:r>
      <w:r>
        <w:t xml:space="preserve">”</w:t>
      </w:r>
      <w:r>
        <w:t xml:space="preserve">) by</w:t>
      </w:r>
      <w:r>
        <w:t xml:space="preserve"> </w:t>
      </w:r>
      <w:r>
        <w:rPr>
          <w:b/>
          <w:bCs/>
        </w:rPr>
        <w:t xml:space="preserve">Brightfield Analytics Inc.</w:t>
      </w:r>
      <w:r>
        <w:t xml:space="preserve"> </w:t>
      </w:r>
      <w:r>
        <w:t xml:space="preserve">(the</w:t>
      </w:r>
      <w:r>
        <w:t xml:space="preserve"> </w:t>
      </w:r>
      <w:r>
        <w:t xml:space="preserve">“</w:t>
      </w:r>
      <w:r>
        <w:t xml:space="preserve">Petitioner</w:t>
      </w:r>
      <w:r>
        <w:t xml:space="preserve">”</w:t>
      </w:r>
      <w:r>
        <w:t xml:space="preserve">) for the position of</w:t>
      </w:r>
      <w:r>
        <w:t xml:space="preserve"> </w:t>
      </w:r>
      <w:r>
        <w:rPr>
          <w:b/>
          <w:bCs/>
        </w:rPr>
        <w:t xml:space="preserve">Senior Machine Learning Engineer</w:t>
      </w:r>
      <w:r>
        <w:t xml:space="preserve">. The review cross-checked every beneficiary, employer, position, wage, education, and experience data point across all ten documents for internal consistency, regulatory compliance, and substantive sufficiency.</w:t>
      </w:r>
    </w:p>
    <w:p>
      <w:pPr>
        <w:pStyle w:val="BodyText"/>
      </w:pPr>
      <w:r>
        <w:t xml:space="preserve">The package is internally coherent on most</w:t>
      </w:r>
      <w:r>
        <w:t xml:space="preserve"> </w:t>
      </w:r>
      <w:r>
        <w:t xml:space="preserve">“</w:t>
      </w:r>
      <w:r>
        <w:t xml:space="preserve">headline</w:t>
      </w:r>
      <w:r>
        <w:t xml:space="preserve">”</w:t>
      </w:r>
      <w:r>
        <w:t xml:space="preserve"> </w:t>
      </w:r>
      <w:r>
        <w:t xml:space="preserve">data points (beneficiary identity, employer identity, SOC code, offered wage, LCA case number, and validity periods all reconcile). However, the review identifies</w:t>
      </w:r>
      <w:r>
        <w:t xml:space="preserve"> </w:t>
      </w:r>
      <w:r>
        <w:rPr>
          <w:b/>
          <w:bCs/>
        </w:rPr>
        <w:t xml:space="preserve">twenty-two (22) issues</w:t>
      </w:r>
      <w:r>
        <w:t xml:space="preserve">, several of which are material and, if not cured before filing, create a substantial risk of a Request for Evidence (</w:t>
      </w:r>
      <w:r>
        <w:t xml:space="preserve">“</w:t>
      </w:r>
      <w:r>
        <w:t xml:space="preserve">RFE</w:t>
      </w:r>
      <w:r>
        <w:t xml:space="preserve">”</w:t>
      </w:r>
      <w:r>
        <w:t xml:space="preserve">), a Notice of Intent to Deny (</w:t>
      </w:r>
      <w:r>
        <w:t xml:space="preserve">“</w:t>
      </w:r>
      <w:r>
        <w:t xml:space="preserve">NOID</w:t>
      </w:r>
      <w:r>
        <w:t xml:space="preserve">”</w:t>
      </w:r>
      <w:r>
        <w:t xml:space="preserve">), or denial. The most serious problems concern</w:t>
      </w:r>
      <w:r>
        <w:t xml:space="preserve"> </w:t>
      </w:r>
      <w:r>
        <w:rPr>
          <w:b/>
          <w:bCs/>
        </w:rPr>
        <w:t xml:space="preserve">(a) the Beneficiary’s qualification for the proffered specialty</w:t>
      </w:r>
      <w:r>
        <w:t xml:space="preserve"> </w:t>
      </w:r>
      <w:r>
        <w:t xml:space="preserve">(the Beneficiary’s degree is in Electronics and Communication Engineering, not Computer Science/ML/AI, and the field-of-study</w:t>
      </w:r>
      <w:r>
        <w:t xml:space="preserve"> </w:t>
      </w:r>
      <w:r>
        <w:t xml:space="preserve">“</w:t>
      </w:r>
      <w:r>
        <w:t xml:space="preserve">fit</w:t>
      </w:r>
      <w:r>
        <w:t xml:space="preserve">”</w:t>
      </w:r>
      <w:r>
        <w:t xml:space="preserve"> </w:t>
      </w:r>
      <w:r>
        <w:t xml:space="preserve">is not addressed by the credential evaluation);</w:t>
      </w:r>
      <w:r>
        <w:t xml:space="preserve"> </w:t>
      </w:r>
      <w:r>
        <w:rPr>
          <w:b/>
          <w:bCs/>
        </w:rPr>
        <w:t xml:space="preserve">(b) an undocumented three-year gap in the Beneficiary’s claimed progressive machine-learning experience</w:t>
      </w:r>
      <w:r>
        <w:t xml:space="preserve">; and</w:t>
      </w:r>
      <w:r>
        <w:t xml:space="preserve"> </w:t>
      </w:r>
      <w:r>
        <w:rPr>
          <w:b/>
          <w:bCs/>
        </w:rPr>
        <w:t xml:space="preserve">(c) an unsupported assertion that the Beneficiary is in F-1 OPT status</w:t>
      </w:r>
      <w:r>
        <w:t xml:space="preserve"> </w:t>
      </w:r>
      <w:r>
        <w:t xml:space="preserve">despite the absence of any U.S. degree in the record.</w:t>
      </w:r>
    </w:p>
    <w:p>
      <w:pPr>
        <w:pStyle w:val="BodyText"/>
      </w:pPr>
      <w:r>
        <w:t xml:space="preserve">A severity-ranked summary appears in Section IV.A. Detailed findings, the document cross-reference on which each finding rests, the applicable standard, the risk presented, and a recommended cure appear in Sections IV.B–IV.H. A prioritized action list appears in Section V.</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 / Date</w:t>
            </w:r>
          </w:p>
        </w:tc>
      </w:tr>
      <w:tr>
        <w:tc>
          <w:tcPr/>
          <w:p>
            <w:pPr>
              <w:pStyle w:val="Compact"/>
              <w:jc w:val="left"/>
            </w:pPr>
            <w:r>
              <w:t xml:space="preserve">1</w:t>
            </w:r>
          </w:p>
        </w:tc>
        <w:tc>
          <w:tcPr/>
          <w:p>
            <w:pPr>
              <w:pStyle w:val="Compact"/>
              <w:jc w:val="left"/>
            </w:pPr>
            <w:r>
              <w:t xml:space="preserve">Beneficiary Résumé</w:t>
            </w:r>
          </w:p>
        </w:tc>
        <w:tc>
          <w:tcPr/>
          <w:p>
            <w:pPr>
              <w:pStyle w:val="Compact"/>
              <w:jc w:val="left"/>
            </w:pPr>
            <w:r>
              <w:t xml:space="preserve">Rajesh Venkataraman (undated)</w:t>
            </w:r>
          </w:p>
        </w:tc>
      </w:tr>
      <w:tr>
        <w:tc>
          <w:tcPr/>
          <w:p>
            <w:pPr>
              <w:pStyle w:val="Compact"/>
              <w:jc w:val="left"/>
            </w:pPr>
            <w:r>
              <w:t xml:space="preserve">2</w:t>
            </w:r>
          </w:p>
        </w:tc>
        <w:tc>
          <w:tcPr/>
          <w:p>
            <w:pPr>
              <w:pStyle w:val="Compact"/>
              <w:jc w:val="left"/>
            </w:pPr>
            <w:r>
              <w:t xml:space="preserve">Certified Labor Condition Application (ETA 9035/9035E)</w:t>
            </w:r>
          </w:p>
        </w:tc>
        <w:tc>
          <w:tcPr/>
          <w:p>
            <w:pPr>
              <w:pStyle w:val="Compact"/>
              <w:jc w:val="left"/>
            </w:pPr>
            <w:r>
              <w:t xml:space="preserve">DOL / certified March 10, 2025; Case No. I-200-25031-543219</w:t>
            </w:r>
          </w:p>
        </w:tc>
      </w:tr>
      <w:tr>
        <w:tc>
          <w:tcPr/>
          <w:p>
            <w:pPr>
              <w:pStyle w:val="Compact"/>
              <w:jc w:val="left"/>
            </w:pPr>
            <w:r>
              <w:t xml:space="preserve">3</w:t>
            </w:r>
          </w:p>
        </w:tc>
        <w:tc>
          <w:tcPr/>
          <w:p>
            <w:pPr>
              <w:pStyle w:val="Compact"/>
              <w:jc w:val="left"/>
            </w:pPr>
            <w:r>
              <w:t xml:space="preserve">Foreign Credential Evaluation Report</w:t>
            </w:r>
          </w:p>
        </w:tc>
        <w:tc>
          <w:tcPr/>
          <w:p>
            <w:pPr>
              <w:pStyle w:val="Compact"/>
              <w:jc w:val="left"/>
            </w:pPr>
            <w:r>
              <w:t xml:space="preserve">Westbridge Credential Services, Report No. WCS-2025-03187, dated Feb. 18, 2025</w:t>
            </w:r>
          </w:p>
        </w:tc>
      </w:tr>
      <w:tr>
        <w:tc>
          <w:tcPr/>
          <w:p>
            <w:pPr>
              <w:pStyle w:val="Compact"/>
              <w:jc w:val="left"/>
            </w:pPr>
            <w:r>
              <w:t xml:space="preserve">4</w:t>
            </w:r>
          </w:p>
        </w:tc>
        <w:tc>
          <w:tcPr/>
          <w:p>
            <w:pPr>
              <w:pStyle w:val="Compact"/>
              <w:jc w:val="left"/>
            </w:pPr>
            <w:r>
              <w:t xml:space="preserve">Employer Support Letter</w:t>
            </w:r>
          </w:p>
        </w:tc>
        <w:tc>
          <w:tcPr/>
          <w:p>
            <w:pPr>
              <w:pStyle w:val="Compact"/>
              <w:jc w:val="left"/>
            </w:pPr>
            <w:r>
              <w:t xml:space="preserve">Brightfield Analytics Inc. / Patricia Kwon, HR Director, dated April 7, 2025</w:t>
            </w:r>
          </w:p>
        </w:tc>
      </w:tr>
      <w:tr>
        <w:tc>
          <w:tcPr/>
          <w:p>
            <w:pPr>
              <w:pStyle w:val="Compact"/>
              <w:jc w:val="left"/>
            </w:pPr>
            <w:r>
              <w:t xml:space="preserve">5</w:t>
            </w:r>
          </w:p>
        </w:tc>
        <w:tc>
          <w:tcPr/>
          <w:p>
            <w:pPr>
              <w:pStyle w:val="Compact"/>
              <w:jc w:val="left"/>
            </w:pPr>
            <w:r>
              <w:t xml:space="preserve">JNTU Official Transcript</w:t>
            </w:r>
          </w:p>
        </w:tc>
        <w:tc>
          <w:tcPr/>
          <w:p>
            <w:pPr>
              <w:pStyle w:val="Compact"/>
              <w:jc w:val="left"/>
            </w:pPr>
            <w:r>
              <w:t xml:space="preserve">JNTU Hyderabad, Ref. JNTUH/ECE/2014/08347, issued June 12, 2014</w:t>
            </w:r>
          </w:p>
        </w:tc>
      </w:tr>
      <w:tr>
        <w:tc>
          <w:tcPr/>
          <w:p>
            <w:pPr>
              <w:pStyle w:val="Compact"/>
              <w:jc w:val="left"/>
            </w:pPr>
            <w:r>
              <w:t xml:space="preserve">6</w:t>
            </w:r>
          </w:p>
        </w:tc>
        <w:tc>
          <w:tcPr/>
          <w:p>
            <w:pPr>
              <w:pStyle w:val="Compact"/>
              <w:jc w:val="left"/>
            </w:pPr>
            <w:r>
              <w:t xml:space="preserve">Kiran Software Solutions Experience Letter</w:t>
            </w:r>
          </w:p>
        </w:tc>
        <w:tc>
          <w:tcPr/>
          <w:p>
            <w:pPr>
              <w:pStyle w:val="Compact"/>
              <w:jc w:val="left"/>
            </w:pPr>
            <w:r>
              <w:t xml:space="preserve">Suresh Raghavan, VP Engineering, dated Feb. 18, 2025</w:t>
            </w:r>
          </w:p>
        </w:tc>
      </w:tr>
      <w:tr>
        <w:tc>
          <w:tcPr/>
          <w:p>
            <w:pPr>
              <w:pStyle w:val="Compact"/>
              <w:jc w:val="left"/>
            </w:pPr>
            <w:r>
              <w:t xml:space="preserve">7</w:t>
            </w:r>
          </w:p>
        </w:tc>
        <w:tc>
          <w:tcPr/>
          <w:p>
            <w:pPr>
              <w:pStyle w:val="Compact"/>
              <w:jc w:val="left"/>
            </w:pPr>
            <w:r>
              <w:t xml:space="preserve">LCA Posting Notice</w:t>
            </w:r>
          </w:p>
        </w:tc>
        <w:tc>
          <w:tcPr/>
          <w:p>
            <w:pPr>
              <w:pStyle w:val="Compact"/>
              <w:jc w:val="left"/>
            </w:pPr>
            <w:r>
              <w:t xml:space="preserve">Brightfield Analytics Inc., posted Mar. 10–19, 2025</w:t>
            </w:r>
          </w:p>
        </w:tc>
      </w:tr>
      <w:tr>
        <w:tc>
          <w:tcPr/>
          <w:p>
            <w:pPr>
              <w:pStyle w:val="Compact"/>
              <w:jc w:val="left"/>
            </w:pPr>
            <w:r>
              <w:t xml:space="preserve">8</w:t>
            </w:r>
          </w:p>
        </w:tc>
        <w:tc>
          <w:tcPr/>
          <w:p>
            <w:pPr>
              <w:pStyle w:val="Compact"/>
              <w:jc w:val="left"/>
            </w:pPr>
            <w:r>
              <w:t xml:space="preserve">NovaStar Data Systems Experience Letter</w:t>
            </w:r>
          </w:p>
        </w:tc>
        <w:tc>
          <w:tcPr/>
          <w:p>
            <w:pPr>
              <w:pStyle w:val="Compact"/>
              <w:jc w:val="left"/>
            </w:pPr>
            <w:r>
              <w:t xml:space="preserve">Carolyn Beech, Director of Engineering, dated Mar. 5, 2025</w:t>
            </w:r>
          </w:p>
        </w:tc>
      </w:tr>
      <w:tr>
        <w:tc>
          <w:tcPr/>
          <w:p>
            <w:pPr>
              <w:pStyle w:val="Compact"/>
              <w:jc w:val="left"/>
            </w:pPr>
            <w:r>
              <w:t xml:space="preserve">9</w:t>
            </w:r>
          </w:p>
        </w:tc>
        <w:tc>
          <w:tcPr/>
          <w:p>
            <w:pPr>
              <w:pStyle w:val="Compact"/>
              <w:jc w:val="left"/>
            </w:pPr>
            <w:r>
              <w:t xml:space="preserve">Organizational Chart — Data Science &amp; ML Group</w:t>
            </w:r>
          </w:p>
        </w:tc>
        <w:tc>
          <w:tcPr/>
          <w:p>
            <w:pPr>
              <w:pStyle w:val="Compact"/>
              <w:jc w:val="left"/>
            </w:pPr>
            <w:r>
              <w:t xml:space="preserve">Brightfield Analytics Inc., effective March 2025</w:t>
            </w:r>
          </w:p>
        </w:tc>
      </w:tr>
      <w:tr>
        <w:tc>
          <w:tcPr/>
          <w:p>
            <w:pPr>
              <w:pStyle w:val="Compact"/>
              <w:jc w:val="left"/>
            </w:pPr>
            <w:r>
              <w:t xml:space="preserve">10</w:t>
            </w:r>
          </w:p>
        </w:tc>
        <w:tc>
          <w:tcPr/>
          <w:p>
            <w:pPr>
              <w:pStyle w:val="Compact"/>
              <w:jc w:val="left"/>
            </w:pPr>
            <w:r>
              <w:t xml:space="preserve">Prevailing Wage Determination (PWD)</w:t>
            </w:r>
          </w:p>
        </w:tc>
        <w:tc>
          <w:tcPr/>
          <w:p>
            <w:pPr>
              <w:pStyle w:val="Compact"/>
              <w:jc w:val="left"/>
            </w:pPr>
            <w:r>
              <w:t xml:space="preserve">DOL NPWC, Case No. P-300-25012-183456, dated Jan. 15, 2025</w:t>
            </w:r>
          </w:p>
        </w:tc>
      </w:tr>
    </w:tbl>
    <w:p>
      <w:r>
        <w:pict>
          <v:rect style="width:0;height:1.5pt" o:hralign="center" o:hrstd="t" o:hr="t"/>
        </w:pict>
      </w:r>
    </w:p>
    <w:bookmarkEnd w:id="21"/>
    <w:bookmarkStart w:id="22" w:name="X833b78327000b6d7bb69bdaf5ba8f36f972e250"/>
    <w:p>
      <w:pPr>
        <w:pStyle w:val="Heading2"/>
      </w:pPr>
      <w:r>
        <w:t xml:space="preserve">III. Cross-Reference Summary of Key Data Points</w:t>
      </w:r>
    </w:p>
    <w:p>
      <w:pPr>
        <w:pStyle w:val="FirstParagraph"/>
      </w:pPr>
      <w:r>
        <w:t xml:space="preserve">The following table reconciles the principal data points across the package. Items marked</w:t>
      </w:r>
      <w:r>
        <w:t xml:space="preserve"> </w:t>
      </w:r>
      <w:r>
        <w:rPr>
          <w:b/>
          <w:bCs/>
        </w:rPr>
        <w:t xml:space="preserve">⚠</w:t>
      </w:r>
      <w:r>
        <w:t xml:space="preserve"> </w:t>
      </w:r>
      <w:r>
        <w:t xml:space="preserve">are inconsistent or unsupported and are developed in Section IV.</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Data Point</w:t>
            </w:r>
          </w:p>
        </w:tc>
        <w:tc>
          <w:tcPr/>
          <w:p>
            <w:pPr>
              <w:pStyle w:val="Compact"/>
              <w:jc w:val="left"/>
            </w:pPr>
            <w:r>
              <w:t xml:space="preserve">LCA</w:t>
            </w:r>
          </w:p>
        </w:tc>
        <w:tc>
          <w:tcPr/>
          <w:p>
            <w:pPr>
              <w:pStyle w:val="Compact"/>
              <w:jc w:val="left"/>
            </w:pPr>
            <w:r>
              <w:t xml:space="preserve">Employer Letter</w:t>
            </w:r>
          </w:p>
        </w:tc>
        <w:tc>
          <w:tcPr/>
          <w:p>
            <w:pPr>
              <w:pStyle w:val="Compact"/>
              <w:jc w:val="left"/>
            </w:pPr>
            <w:r>
              <w:t xml:space="preserve">PWD</w:t>
            </w:r>
          </w:p>
        </w:tc>
        <w:tc>
          <w:tcPr/>
          <w:p>
            <w:pPr>
              <w:pStyle w:val="Compact"/>
              <w:jc w:val="left"/>
            </w:pPr>
            <w:r>
              <w:t xml:space="preserve">Posting Notice</w:t>
            </w:r>
          </w:p>
        </w:tc>
        <w:tc>
          <w:tcPr/>
          <w:p>
            <w:pPr>
              <w:pStyle w:val="Compact"/>
              <w:jc w:val="left"/>
            </w:pPr>
            <w:r>
              <w:t xml:space="preserve">Org Chart</w:t>
            </w:r>
          </w:p>
        </w:tc>
        <w:tc>
          <w:tcPr/>
          <w:p>
            <w:pPr>
              <w:pStyle w:val="Compact"/>
              <w:jc w:val="left"/>
            </w:pPr>
            <w:r>
              <w:t xml:space="preserve">Résumé / Eval / Transcripts</w:t>
            </w:r>
          </w:p>
        </w:tc>
        <w:tc>
          <w:tcPr/>
          <w:p>
            <w:pPr>
              <w:pStyle w:val="Compact"/>
              <w:jc w:val="left"/>
            </w:pPr>
            <w:r>
              <w:t xml:space="preserve">Status</w:t>
            </w:r>
          </w:p>
        </w:tc>
      </w:tr>
      <w:tr>
        <w:tc>
          <w:tcPr/>
          <w:p>
            <w:pPr>
              <w:pStyle w:val="Compact"/>
              <w:jc w:val="left"/>
            </w:pPr>
            <w:r>
              <w:t xml:space="preserve">Beneficiary name / DOB</w:t>
            </w:r>
          </w:p>
        </w:tc>
        <w:tc>
          <w:tcPr/>
          <w:p>
            <w:pPr>
              <w:pStyle w:val="Compact"/>
              <w:jc w:val="left"/>
            </w:pPr>
            <w:r>
              <w:t xml:space="preserve">—</w:t>
            </w:r>
          </w:p>
        </w:tc>
        <w:tc>
          <w:tcPr/>
          <w:p>
            <w:pPr>
              <w:pStyle w:val="Compact"/>
              <w:jc w:val="left"/>
            </w:pPr>
            <w:r>
              <w:t xml:space="preserve">Rajesh V.; DOB 03/14/1992</w:t>
            </w:r>
          </w:p>
        </w:tc>
        <w:tc>
          <w:tcPr/>
          <w:p>
            <w:pPr>
              <w:pStyle w:val="Compact"/>
              <w:jc w:val="left"/>
            </w:pPr>
            <w:r>
              <w:t xml:space="preserve">—</w:t>
            </w:r>
          </w:p>
        </w:tc>
        <w:tc>
          <w:tcPr/>
          <w:p>
            <w:pPr>
              <w:pStyle w:val="Compact"/>
              <w:jc w:val="left"/>
            </w:pPr>
            <w:r>
              <w:t xml:space="preserve">—</w:t>
            </w:r>
          </w:p>
        </w:tc>
        <w:tc>
          <w:tcPr/>
          <w:p>
            <w:pPr>
              <w:pStyle w:val="Compact"/>
              <w:jc w:val="left"/>
            </w:pPr>
            <w:r>
              <w:t xml:space="preserve">Rajesh V. (proposed)</w:t>
            </w:r>
          </w:p>
        </w:tc>
        <w:tc>
          <w:tcPr/>
          <w:p>
            <w:pPr>
              <w:pStyle w:val="Compact"/>
              <w:jc w:val="left"/>
            </w:pPr>
            <w:r>
              <w:t xml:space="preserve">DOB 03/14/1992 (eval, transcripts)</w:t>
            </w:r>
          </w:p>
        </w:tc>
        <w:tc>
          <w:tcPr/>
          <w:p>
            <w:pPr>
              <w:pStyle w:val="Compact"/>
              <w:jc w:val="left"/>
            </w:pPr>
            <w:r>
              <w:t xml:space="preserve">Consistent</w:t>
            </w:r>
          </w:p>
        </w:tc>
      </w:tr>
      <w:tr>
        <w:tc>
          <w:tcPr/>
          <w:p>
            <w:pPr>
              <w:pStyle w:val="Compact"/>
              <w:jc w:val="left"/>
            </w:pPr>
            <w:r>
              <w:t xml:space="preserve">Employer name / address</w:t>
            </w:r>
          </w:p>
        </w:tc>
        <w:tc>
          <w:tcPr/>
          <w:p>
            <w:pPr>
              <w:pStyle w:val="Compact"/>
              <w:jc w:val="left"/>
            </w:pPr>
            <w:r>
              <w:t xml:space="preserve">Brightfield Analytics; 4200 Congress Ave., Ste 1100, Austin, TX 78701</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Employer FEIN</w:t>
            </w:r>
          </w:p>
        </w:tc>
        <w:tc>
          <w:tcPr/>
          <w:p>
            <w:pPr>
              <w:pStyle w:val="Compact"/>
              <w:jc w:val="left"/>
            </w:pPr>
            <w:r>
              <w:t xml:space="preserve">84-3291756</w:t>
            </w:r>
          </w:p>
        </w:tc>
        <w:tc>
          <w:tcPr/>
          <w:p>
            <w:pPr>
              <w:pStyle w:val="Compact"/>
              <w:jc w:val="left"/>
            </w:pPr>
            <w:r>
              <w:t xml:space="preserve">—</w:t>
            </w:r>
          </w:p>
        </w:tc>
        <w:tc>
          <w:tcPr/>
          <w:p>
            <w:pPr>
              <w:pStyle w:val="Compact"/>
              <w:jc w:val="left"/>
            </w:pPr>
            <w:r>
              <w:t xml:space="preserve">84-3291756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Employer NAICS</w:t>
            </w:r>
          </w:p>
        </w:tc>
        <w:tc>
          <w:tcPr/>
          <w:p>
            <w:pPr>
              <w:pStyle w:val="Compact"/>
              <w:jc w:val="left"/>
            </w:pPr>
            <w:r>
              <w:t xml:space="preserve">541511</w:t>
            </w:r>
          </w:p>
        </w:tc>
        <w:tc>
          <w:tcPr/>
          <w:p>
            <w:pPr>
              <w:pStyle w:val="Compact"/>
              <w:jc w:val="left"/>
            </w:pPr>
            <w:r>
              <w:t xml:space="preserve">541511</w:t>
            </w:r>
          </w:p>
        </w:tc>
        <w:tc>
          <w:tcPr/>
          <w:p>
            <w:pPr>
              <w:pStyle w:val="Compact"/>
              <w:jc w:val="left"/>
            </w:pPr>
            <w:r>
              <w:t xml:space="preserve">541511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Employer phone</w:t>
            </w:r>
          </w:p>
        </w:tc>
        <w:tc>
          <w:tcPr/>
          <w:p>
            <w:pPr>
              <w:pStyle w:val="Compact"/>
              <w:jc w:val="left"/>
            </w:pPr>
            <w:r>
              <w:t xml:space="preserve">(512) 555-0142</w:t>
            </w:r>
          </w:p>
        </w:tc>
        <w:tc>
          <w:tcPr/>
          <w:p>
            <w:pPr>
              <w:pStyle w:val="Compact"/>
              <w:jc w:val="left"/>
            </w:pPr>
            <w:r>
              <w:t xml:space="preserve">(512) 555-0194</w:t>
            </w:r>
          </w:p>
        </w:tc>
        <w:tc>
          <w:tcPr/>
          <w:p>
            <w:pPr>
              <w:pStyle w:val="Compact"/>
              <w:jc w:val="left"/>
            </w:pPr>
            <w:r>
              <w:t xml:space="preserve">(512) 555-0187</w:t>
            </w:r>
          </w:p>
        </w:tc>
        <w:tc>
          <w:tcPr/>
          <w:p>
            <w:pPr>
              <w:pStyle w:val="Compact"/>
              <w:jc w:val="left"/>
            </w:pPr>
            <w:r>
              <w:t xml:space="preserve">(512) 555-0174 ⚠</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Inconsistent (4 different numbers)</w:t>
            </w:r>
          </w:p>
        </w:tc>
      </w:tr>
      <w:tr>
        <w:tc>
          <w:tcPr/>
          <w:p>
            <w:pPr>
              <w:pStyle w:val="Compact"/>
              <w:jc w:val="left"/>
            </w:pPr>
            <w:r>
              <w:t xml:space="preserve">Position title</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Senior ML Engineer</w:t>
            </w:r>
          </w:p>
        </w:tc>
        <w:tc>
          <w:tcPr/>
          <w:p>
            <w:pPr>
              <w:pStyle w:val="Compact"/>
              <w:jc w:val="left"/>
            </w:pPr>
            <w:r>
              <w:t xml:space="preserve">Senior ML Engineer (proposed)</w:t>
            </w:r>
          </w:p>
        </w:tc>
        <w:tc>
          <w:tcPr/>
          <w:p>
            <w:pPr>
              <w:pStyle w:val="Compact"/>
              <w:jc w:val="left"/>
            </w:pPr>
            <w:r>
              <w:t xml:space="preserve">Current title:</w:t>
            </w:r>
            <w:r>
              <w:t xml:space="preserve"> </w:t>
            </w:r>
            <w:r>
              <w:t xml:space="preserve">“</w:t>
            </w:r>
            <w:r>
              <w:t xml:space="preserve">Data Scientist</w:t>
            </w:r>
            <w:r>
              <w:t xml:space="preserve">”</w:t>
            </w:r>
            <w:r>
              <w:t xml:space="preserve"> </w:t>
            </w:r>
            <w:r>
              <w:t xml:space="preserve">⚠</w:t>
            </w:r>
          </w:p>
        </w:tc>
        <w:tc>
          <w:tcPr/>
          <w:p>
            <w:pPr>
              <w:pStyle w:val="Compact"/>
              <w:jc w:val="left"/>
            </w:pPr>
            <w:r>
              <w:t xml:space="preserve">Title change noted</w:t>
            </w:r>
          </w:p>
        </w:tc>
      </w:tr>
      <w:tr>
        <w:tc>
          <w:tcPr/>
          <w:p>
            <w:pPr>
              <w:pStyle w:val="Compact"/>
              <w:jc w:val="left"/>
            </w:pPr>
            <w:r>
              <w:t xml:space="preserve">SOC code / title</w:t>
            </w:r>
          </w:p>
        </w:tc>
        <w:tc>
          <w:tcPr/>
          <w:p>
            <w:pPr>
              <w:pStyle w:val="Compact"/>
              <w:jc w:val="left"/>
            </w:pPr>
            <w:r>
              <w:t xml:space="preserve">15-2051 / Data Scientists</w:t>
            </w:r>
          </w:p>
        </w:tc>
        <w:tc>
          <w:tcPr/>
          <w:p>
            <w:pPr>
              <w:pStyle w:val="Compact"/>
              <w:jc w:val="left"/>
            </w:pPr>
            <w:r>
              <w:t xml:space="preserve">15-2051</w:t>
            </w:r>
          </w:p>
        </w:tc>
        <w:tc>
          <w:tcPr/>
          <w:p>
            <w:pPr>
              <w:pStyle w:val="Compact"/>
              <w:jc w:val="left"/>
            </w:pPr>
            <w:r>
              <w:t xml:space="preserve">15-2051</w:t>
            </w:r>
          </w:p>
        </w:tc>
        <w:tc>
          <w:tcPr/>
          <w:p>
            <w:pPr>
              <w:pStyle w:val="Compact"/>
              <w:jc w:val="left"/>
            </w:pPr>
            <w:r>
              <w:t xml:space="preserve">15-2051</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Offered wage</w:t>
            </w:r>
          </w:p>
        </w:tc>
        <w:tc>
          <w:tcPr/>
          <w:p>
            <w:pPr>
              <w:pStyle w:val="Compact"/>
              <w:jc w:val="left"/>
            </w:pPr>
            <w:r>
              <w:t xml:space="preserve">$128,000/yr</w:t>
            </w:r>
          </w:p>
        </w:tc>
        <w:tc>
          <w:tcPr/>
          <w:p>
            <w:pPr>
              <w:pStyle w:val="Compact"/>
              <w:jc w:val="left"/>
            </w:pPr>
            <w:r>
              <w:t xml:space="preserve">$128,000/yr</w:t>
            </w:r>
          </w:p>
        </w:tc>
        <w:tc>
          <w:tcPr/>
          <w:p>
            <w:pPr>
              <w:pStyle w:val="Compact"/>
              <w:jc w:val="left"/>
            </w:pPr>
            <w:r>
              <w:t xml:space="preserve">—</w:t>
            </w:r>
          </w:p>
        </w:tc>
        <w:tc>
          <w:tcPr/>
          <w:p>
            <w:pPr>
              <w:pStyle w:val="Compact"/>
              <w:jc w:val="left"/>
            </w:pPr>
            <w:r>
              <w:t xml:space="preserve">$128,000/yr</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Prevailing wage / level</w:t>
            </w:r>
          </w:p>
        </w:tc>
        <w:tc>
          <w:tcPr/>
          <w:p>
            <w:pPr>
              <w:pStyle w:val="Compact"/>
              <w:jc w:val="left"/>
            </w:pPr>
            <w:r>
              <w:t xml:space="preserve">$113,734 / Level II</w:t>
            </w:r>
          </w:p>
        </w:tc>
        <w:tc>
          <w:tcPr/>
          <w:p>
            <w:pPr>
              <w:pStyle w:val="Compact"/>
              <w:jc w:val="left"/>
            </w:pPr>
            <w:r>
              <w:t xml:space="preserve">$113,734 / Level 2</w:t>
            </w:r>
          </w:p>
        </w:tc>
        <w:tc>
          <w:tcPr/>
          <w:p>
            <w:pPr>
              <w:pStyle w:val="Compact"/>
              <w:jc w:val="left"/>
            </w:pPr>
            <w:r>
              <w:t xml:space="preserve">$113,734 / Level 2</w:t>
            </w:r>
          </w:p>
        </w:tc>
        <w:tc>
          <w:tcPr/>
          <w:p>
            <w:pPr>
              <w:pStyle w:val="Compact"/>
              <w:jc w:val="left"/>
            </w:pPr>
            <w:r>
              <w:t xml:space="preserve">$113,734 / Level 2</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 (but see Issue F-1)</w:t>
            </w:r>
          </w:p>
        </w:tc>
      </w:tr>
      <w:tr>
        <w:tc>
          <w:tcPr/>
          <w:p>
            <w:pPr>
              <w:pStyle w:val="Compact"/>
              <w:jc w:val="left"/>
            </w:pPr>
            <w:r>
              <w:t xml:space="preserve">LCA case number</w:t>
            </w:r>
          </w:p>
        </w:tc>
        <w:tc>
          <w:tcPr/>
          <w:p>
            <w:pPr>
              <w:pStyle w:val="Compact"/>
              <w:jc w:val="left"/>
            </w:pPr>
            <w:r>
              <w:t xml:space="preserve">I-200-25031-543219</w:t>
            </w:r>
          </w:p>
        </w:tc>
        <w:tc>
          <w:tcPr/>
          <w:p>
            <w:pPr>
              <w:pStyle w:val="Compact"/>
              <w:jc w:val="left"/>
            </w:pPr>
            <w:r>
              <w:t xml:space="preserve">I-200-25031-543219</w:t>
            </w:r>
          </w:p>
        </w:tc>
        <w:tc>
          <w:tcPr/>
          <w:p>
            <w:pPr>
              <w:pStyle w:val="Compact"/>
              <w:jc w:val="left"/>
            </w:pPr>
            <w:r>
              <w:t xml:space="preserve">—</w:t>
            </w:r>
          </w:p>
        </w:tc>
        <w:tc>
          <w:tcPr/>
          <w:p>
            <w:pPr>
              <w:pStyle w:val="Compact"/>
              <w:jc w:val="left"/>
            </w:pPr>
            <w:r>
              <w:t xml:space="preserve">I-200-25031-543219</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PWD case number</w:t>
            </w:r>
          </w:p>
        </w:tc>
        <w:tc>
          <w:tcPr/>
          <w:p>
            <w:pPr>
              <w:pStyle w:val="Compact"/>
              <w:jc w:val="left"/>
            </w:pPr>
            <w:r>
              <w:t xml:space="preserve">P-300-25012-183456</w:t>
            </w:r>
          </w:p>
        </w:tc>
        <w:tc>
          <w:tcPr/>
          <w:p>
            <w:pPr>
              <w:pStyle w:val="Compact"/>
              <w:jc w:val="left"/>
            </w:pPr>
            <w:r>
              <w:t xml:space="preserve">—</w:t>
            </w:r>
          </w:p>
        </w:tc>
        <w:tc>
          <w:tcPr/>
          <w:p>
            <w:pPr>
              <w:pStyle w:val="Compact"/>
              <w:jc w:val="left"/>
            </w:pPr>
            <w:r>
              <w:t xml:space="preserve">P-300-25012-183456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Employment period</w:t>
            </w:r>
          </w:p>
        </w:tc>
        <w:tc>
          <w:tcPr/>
          <w:p>
            <w:pPr>
              <w:pStyle w:val="Compact"/>
              <w:jc w:val="left"/>
            </w:pPr>
            <w:r>
              <w:t xml:space="preserve">Oct 1, 2025 – Sep 30, 2028</w:t>
            </w:r>
          </w:p>
        </w:tc>
        <w:tc>
          <w:tcPr/>
          <w:p>
            <w:pPr>
              <w:pStyle w:val="Compact"/>
              <w:jc w:val="left"/>
            </w:pPr>
            <w:r>
              <w:t xml:space="preserve">Oct 1, 2025 – Sep 30, 2028</w:t>
            </w:r>
          </w:p>
        </w:tc>
        <w:tc>
          <w:tcPr/>
          <w:p>
            <w:pPr>
              <w:pStyle w:val="Compact"/>
              <w:jc w:val="left"/>
            </w:pPr>
            <w:r>
              <w:t xml:space="preserve">—</w:t>
            </w:r>
          </w:p>
        </w:tc>
        <w:tc>
          <w:tcPr/>
          <w:p>
            <w:pPr>
              <w:pStyle w:val="Compact"/>
              <w:jc w:val="left"/>
            </w:pPr>
            <w:r>
              <w:t xml:space="preserve">Oct 1, 2025 – Sep 30, 2028</w:t>
            </w:r>
          </w:p>
        </w:tc>
        <w:tc>
          <w:tcPr/>
          <w:p>
            <w:pPr>
              <w:pStyle w:val="Compact"/>
              <w:jc w:val="left"/>
            </w:pPr>
            <w:r>
              <w:t xml:space="preserv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PWD validity vs. LCA filing</w:t>
            </w:r>
          </w:p>
        </w:tc>
        <w:tc>
          <w:tcPr/>
          <w:p>
            <w:pPr>
              <w:pStyle w:val="Compact"/>
              <w:jc w:val="left"/>
            </w:pPr>
            <w:r>
              <w:t xml:space="preserve">—</w:t>
            </w:r>
          </w:p>
        </w:tc>
        <w:tc>
          <w:tcPr/>
          <w:p>
            <w:pPr>
              <w:pStyle w:val="Compact"/>
              <w:jc w:val="left"/>
            </w:pPr>
            <w:r>
              <w:t xml:space="preserve">—</w:t>
            </w:r>
          </w:p>
        </w:tc>
        <w:tc>
          <w:tcPr/>
          <w:p>
            <w:pPr>
              <w:pStyle w:val="Compact"/>
              <w:jc w:val="left"/>
            </w:pPr>
            <w:r>
              <w:t xml:space="preserve">Valid 01/15/25–01/14/26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LCA certified 03/10/25 — within validity ✓</w:t>
            </w:r>
          </w:p>
        </w:tc>
      </w:tr>
      <w:tr>
        <w:tc>
          <w:tcPr/>
          <w:p>
            <w:pPr>
              <w:pStyle w:val="Compact"/>
              <w:jc w:val="left"/>
            </w:pPr>
            <w:r>
              <w:t xml:space="preserve">Posting period</w:t>
            </w:r>
          </w:p>
        </w:tc>
        <w:tc>
          <w:tcPr/>
          <w:p>
            <w:pPr>
              <w:pStyle w:val="Compact"/>
              <w:jc w:val="left"/>
            </w:pPr>
            <w:r>
              <w:t xml:space="preserve">Mar 10–19, 2025</w:t>
            </w:r>
          </w:p>
        </w:tc>
        <w:tc>
          <w:tcPr/>
          <w:p>
            <w:pPr>
              <w:pStyle w:val="Compact"/>
              <w:jc w:val="left"/>
            </w:pPr>
            <w:r>
              <w:t xml:space="preserve">—</w:t>
            </w:r>
          </w:p>
        </w:tc>
        <w:tc>
          <w:tcPr/>
          <w:p>
            <w:pPr>
              <w:pStyle w:val="Compact"/>
              <w:jc w:val="left"/>
            </w:pPr>
            <w:r>
              <w:t xml:space="preserve">—</w:t>
            </w:r>
          </w:p>
        </w:tc>
        <w:tc>
          <w:tcPr/>
          <w:p>
            <w:pPr>
              <w:pStyle w:val="Compact"/>
              <w:jc w:val="left"/>
            </w:pPr>
            <w:r>
              <w:t xml:space="preserve">Mar 10–19, 2025</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8 business days — short of 10 (Issue F-2)</w:t>
            </w:r>
          </w:p>
        </w:tc>
      </w:tr>
      <w:tr>
        <w:tc>
          <w:tcPr/>
          <w:p>
            <w:pPr>
              <w:pStyle w:val="Compact"/>
              <w:jc w:val="left"/>
            </w:pPr>
            <w:r>
              <w:t xml:space="preserve">Direct reports / team size</w:t>
            </w:r>
          </w:p>
        </w:tc>
        <w:tc>
          <w:tcPr/>
          <w:p>
            <w:pPr>
              <w:pStyle w:val="Compact"/>
              <w:jc w:val="left"/>
            </w:pPr>
            <w:r>
              <w:t xml:space="preserve">“</w:t>
            </w:r>
            <w:r>
              <w:t xml:space="preserve">lead and mentor a team of data scientists</w:t>
            </w:r>
            <w:r>
              <w:t xml:space="preserve">”</w:t>
            </w:r>
          </w:p>
        </w:tc>
        <w:tc>
          <w:tcPr/>
          <w:p>
            <w:pPr>
              <w:pStyle w:val="Compact"/>
              <w:jc w:val="left"/>
            </w:pPr>
            <w:r>
              <w:t xml:space="preserve">“</w:t>
            </w:r>
            <w:r>
              <w:t xml:space="preserve">team of 3 junior data scientists</w:t>
            </w:r>
            <w:r>
              <w:t xml:space="preserve">”</w:t>
            </w:r>
          </w:p>
        </w:tc>
        <w:tc>
          <w:tcPr/>
          <w:p>
            <w:pPr>
              <w:pStyle w:val="Compact"/>
              <w:jc w:val="left"/>
            </w:pPr>
            <w:r>
              <w:t xml:space="preserve">“</w:t>
            </w:r>
            <w:r>
              <w:t xml:space="preserve">lead a team of data scientists</w:t>
            </w:r>
            <w:r>
              <w:t xml:space="preserve">”</w:t>
            </w:r>
          </w:p>
        </w:tc>
        <w:tc>
          <w:tcPr/>
          <w:p>
            <w:pPr>
              <w:pStyle w:val="Compact"/>
              <w:jc w:val="left"/>
            </w:pPr>
            <w:r>
              <w:t xml:space="preserve">—</w:t>
            </w:r>
          </w:p>
        </w:tc>
        <w:tc>
          <w:tcPr/>
          <w:p>
            <w:pPr>
              <w:pStyle w:val="Compact"/>
              <w:jc w:val="left"/>
            </w:pPr>
            <w:r>
              <w:t xml:space="preserve">2 direct reports ⚠</w:t>
            </w:r>
          </w:p>
        </w:tc>
        <w:tc>
          <w:tcPr/>
          <w:p>
            <w:pPr>
              <w:pStyle w:val="Compact"/>
              <w:jc w:val="left"/>
            </w:pPr>
            <w:r>
              <w:t xml:space="preserve">—</w:t>
            </w:r>
          </w:p>
        </w:tc>
        <w:tc>
          <w:tcPr/>
          <w:p>
            <w:pPr>
              <w:pStyle w:val="Compact"/>
              <w:jc w:val="left"/>
            </w:pPr>
            <w:r>
              <w:rPr>
                <w:b/>
                <w:bCs/>
              </w:rPr>
              <w:t xml:space="preserve">3 vs. 2 (Issue C-3)</w:t>
            </w:r>
          </w:p>
        </w:tc>
      </w:tr>
      <w:tr>
        <w:tc>
          <w:tcPr/>
          <w:p>
            <w:pPr>
              <w:pStyle w:val="Compact"/>
              <w:jc w:val="left"/>
            </w:pPr>
            <w:r>
              <w:t xml:space="preserve">Degree field required</w:t>
            </w:r>
          </w:p>
        </w:tc>
        <w:tc>
          <w:tcPr/>
          <w:p>
            <w:pPr>
              <w:pStyle w:val="Compact"/>
              <w:jc w:val="left"/>
            </w:pPr>
            <w:r>
              <w:t xml:space="preserve">CS, ML, AI, or closely related</w:t>
            </w:r>
          </w:p>
        </w:tc>
        <w:tc>
          <w:tcPr/>
          <w:p>
            <w:pPr>
              <w:pStyle w:val="Compact"/>
              <w:jc w:val="left"/>
            </w:pPr>
            <w:r>
              <w:t xml:space="preserve">CS, ML, AI, or closely related</w:t>
            </w:r>
          </w:p>
        </w:tc>
        <w:tc>
          <w:tcPr/>
          <w:p>
            <w:pPr>
              <w:pStyle w:val="Compact"/>
              <w:jc w:val="left"/>
            </w:pPr>
            <w:r>
              <w:t xml:space="preserve">Bachelor’s (min.)</w:t>
            </w:r>
          </w:p>
        </w:tc>
        <w:tc>
          <w:tcPr/>
          <w:p>
            <w:pPr>
              <w:pStyle w:val="Compact"/>
              <w:jc w:val="left"/>
            </w:pPr>
            <w:r>
              <w:t xml:space="preserve">—</w:t>
            </w:r>
          </w:p>
        </w:tc>
        <w:tc>
          <w:tcPr/>
          <w:p>
            <w:pPr>
              <w:pStyle w:val="Compact"/>
              <w:jc w:val="left"/>
            </w:pPr>
            <w:r>
              <w:t xml:space="preserve">—</w:t>
            </w:r>
          </w:p>
        </w:tc>
        <w:tc>
          <w:tcPr/>
          <w:p>
            <w:pPr>
              <w:pStyle w:val="Compact"/>
              <w:jc w:val="left"/>
            </w:pPr>
            <w:r>
              <w:t xml:space="preserve">Beneficiary: B.Tech</w:t>
            </w:r>
            <w:r>
              <w:t xml:space="preserve"> </w:t>
            </w:r>
            <w:r>
              <w:rPr>
                <w:b/>
                <w:bCs/>
              </w:rPr>
              <w:t xml:space="preserve">ECE</w:t>
            </w:r>
            <w:r>
              <w:t xml:space="preserve"> </w:t>
            </w:r>
            <w:r>
              <w:t xml:space="preserve">⚠</w:t>
            </w:r>
          </w:p>
        </w:tc>
        <w:tc>
          <w:tcPr/>
          <w:p>
            <w:pPr>
              <w:pStyle w:val="Compact"/>
              <w:jc w:val="left"/>
            </w:pPr>
            <w:r>
              <w:rPr>
                <w:b/>
                <w:bCs/>
              </w:rPr>
              <w:t xml:space="preserve">Field mismatch (Issue A-1)</w:t>
            </w:r>
          </w:p>
        </w:tc>
      </w:tr>
      <w:tr>
        <w:tc>
          <w:tcPr/>
          <w:p>
            <w:pPr>
              <w:pStyle w:val="Compact"/>
              <w:jc w:val="left"/>
            </w:pPr>
            <w:r>
              <w:t xml:space="preserve">Min. experience required</w:t>
            </w:r>
          </w:p>
        </w:tc>
        <w:tc>
          <w:tcPr/>
          <w:p>
            <w:pPr>
              <w:pStyle w:val="Compact"/>
              <w:jc w:val="left"/>
            </w:pPr>
            <w:r>
              <w:t xml:space="preserve">—</w:t>
            </w:r>
          </w:p>
        </w:tc>
        <w:tc>
          <w:tcPr/>
          <w:p>
            <w:pPr>
              <w:pStyle w:val="Compact"/>
              <w:jc w:val="left"/>
            </w:pPr>
            <w:r>
              <w:t xml:space="preserve">3 yrs progressive ML (primary); any engr. degree + 5 yrs ML (alt.)</w:t>
            </w:r>
          </w:p>
        </w:tc>
        <w:tc>
          <w:tcPr/>
          <w:p>
            <w:pPr>
              <w:pStyle w:val="Compact"/>
              <w:jc w:val="left"/>
            </w:pPr>
            <w:r>
              <w:t xml:space="preserve">36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Documented ML exp.: ~3.25 yrs (NovaStar only) ⚠</w:t>
            </w:r>
          </w:p>
        </w:tc>
        <w:tc>
          <w:tcPr/>
          <w:p>
            <w:pPr>
              <w:pStyle w:val="Compact"/>
              <w:jc w:val="left"/>
            </w:pPr>
            <w:r>
              <w:rPr>
                <w:b/>
                <w:bCs/>
              </w:rPr>
              <w:t xml:space="preserve">See Issues A-2, A-3</w:t>
            </w:r>
          </w:p>
        </w:tc>
      </w:tr>
      <w:tr>
        <w:tc>
          <w:tcPr/>
          <w:p>
            <w:pPr>
              <w:pStyle w:val="Compact"/>
              <w:jc w:val="left"/>
            </w:pPr>
            <w:r>
              <w:t xml:space="preserve">Current immigration status</w:t>
            </w:r>
          </w:p>
        </w:tc>
        <w:tc>
          <w:tcPr/>
          <w:p>
            <w:pPr>
              <w:pStyle w:val="Compact"/>
              <w:jc w:val="left"/>
            </w:pPr>
            <w:r>
              <w:t xml:space="preserve">—</w:t>
            </w:r>
          </w:p>
        </w:tc>
        <w:tc>
          <w:tcPr/>
          <w:p>
            <w:pPr>
              <w:pStyle w:val="Compact"/>
              <w:jc w:val="left"/>
            </w:pPr>
            <w:r>
              <w:t xml:space="preserve">“</w:t>
            </w:r>
            <w:r>
              <w:t xml:space="preserve">F-1 OPT</w:t>
            </w:r>
            <w:r>
              <w:t xml:space="preserve">”</w:t>
            </w:r>
            <w:r>
              <w:t xml:space="preserve"> </w:t>
            </w:r>
            <w:r>
              <w:t xml:space="preserve">→ H-1B 10/01/25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U.S. degree in record ⚠</w:t>
            </w:r>
          </w:p>
        </w:tc>
        <w:tc>
          <w:tcPr/>
          <w:p>
            <w:pPr>
              <w:pStyle w:val="Compact"/>
              <w:jc w:val="left"/>
            </w:pPr>
            <w:r>
              <w:rPr>
                <w:b/>
                <w:bCs/>
              </w:rPr>
              <w:t xml:space="preserve">Unsupported (Issue E-1)</w:t>
            </w:r>
          </w:p>
        </w:tc>
      </w:tr>
    </w:tbl>
    <w:p>
      <w:r>
        <w:pict>
          <v:rect style="width:0;height:1.5pt" o:hralign="center" o:hrstd="t" o:hr="t"/>
        </w:pict>
      </w:r>
    </w:p>
    <w:bookmarkEnd w:id="22"/>
    <w:bookmarkStart w:id="53" w:name="iv.-issues-identified"/>
    <w:p>
      <w:pPr>
        <w:pStyle w:val="Heading2"/>
      </w:pPr>
      <w:r>
        <w:t xml:space="preserve">IV. Issues Identified</w:t>
      </w:r>
    </w:p>
    <w:bookmarkStart w:id="23" w:name="iv.a.-severity-ranked-issue-index"/>
    <w:p>
      <w:pPr>
        <w:pStyle w:val="Heading3"/>
      </w:pPr>
      <w:r>
        <w:t xml:space="preserve">IV.A. Severity-Ranked Issue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A-1</w:t>
            </w:r>
          </w:p>
        </w:tc>
        <w:tc>
          <w:tcPr/>
          <w:p>
            <w:pPr>
              <w:pStyle w:val="Compact"/>
              <w:jc w:val="left"/>
            </w:pPr>
            <w:r>
              <w:t xml:space="preserve">Degree field-of-study mismatch (ECE vs. CS/ML/AI); credential evaluation does not opine on field suitability</w:t>
            </w:r>
          </w:p>
        </w:tc>
        <w:tc>
          <w:tcPr/>
          <w:p>
            <w:pPr>
              <w:pStyle w:val="Compact"/>
              <w:jc w:val="left"/>
            </w:pPr>
            <w:r>
              <w:rPr>
                <w:b/>
                <w:bCs/>
              </w:rPr>
              <w:t xml:space="preserve">Critical</w:t>
            </w:r>
          </w:p>
        </w:tc>
        <w:tc>
          <w:tcPr/>
          <w:p>
            <w:pPr>
              <w:pStyle w:val="Compact"/>
              <w:jc w:val="left"/>
            </w:pPr>
            <w:r>
              <w:t xml:space="preserve">Qualification</w:t>
            </w:r>
          </w:p>
        </w:tc>
      </w:tr>
      <w:tr>
        <w:tc>
          <w:tcPr/>
          <w:p>
            <w:pPr>
              <w:pStyle w:val="Compact"/>
              <w:jc w:val="left"/>
            </w:pPr>
            <w:r>
              <w:t xml:space="preserve">A-2</w:t>
            </w:r>
          </w:p>
        </w:tc>
        <w:tc>
          <w:tcPr/>
          <w:p>
            <w:pPr>
              <w:pStyle w:val="Compact"/>
              <w:jc w:val="left"/>
            </w:pPr>
            <w:r>
              <w:t xml:space="preserve">Alternative qualification path fails on documented experience (only ~3.25 yrs ML documented; 5 yrs required)</w:t>
            </w:r>
          </w:p>
        </w:tc>
        <w:tc>
          <w:tcPr/>
          <w:p>
            <w:pPr>
              <w:pStyle w:val="Compact"/>
              <w:jc w:val="left"/>
            </w:pPr>
            <w:r>
              <w:rPr>
                <w:b/>
                <w:bCs/>
              </w:rPr>
              <w:t xml:space="preserve">Critical</w:t>
            </w:r>
          </w:p>
        </w:tc>
        <w:tc>
          <w:tcPr/>
          <w:p>
            <w:pPr>
              <w:pStyle w:val="Compact"/>
              <w:jc w:val="left"/>
            </w:pPr>
            <w:r>
              <w:t xml:space="preserve">Qualification</w:t>
            </w:r>
          </w:p>
        </w:tc>
      </w:tr>
      <w:tr>
        <w:tc>
          <w:tcPr/>
          <w:p>
            <w:pPr>
              <w:pStyle w:val="Compact"/>
              <w:jc w:val="left"/>
            </w:pPr>
            <w:r>
              <w:t xml:space="preserve">E-1</w:t>
            </w:r>
          </w:p>
        </w:tc>
        <w:tc>
          <w:tcPr/>
          <w:p>
            <w:pPr>
              <w:pStyle w:val="Compact"/>
              <w:jc w:val="left"/>
            </w:pPr>
            <w:r>
              <w:t xml:space="preserve">F-1 OPT status asserted with no U.S. degree or OPT/EAD documentation in the record</w:t>
            </w:r>
          </w:p>
        </w:tc>
        <w:tc>
          <w:tcPr/>
          <w:p>
            <w:pPr>
              <w:pStyle w:val="Compact"/>
              <w:jc w:val="left"/>
            </w:pPr>
            <w:r>
              <w:rPr>
                <w:b/>
                <w:bCs/>
              </w:rPr>
              <w:t xml:space="preserve">Critical</w:t>
            </w:r>
          </w:p>
        </w:tc>
        <w:tc>
          <w:tcPr/>
          <w:p>
            <w:pPr>
              <w:pStyle w:val="Compact"/>
              <w:jc w:val="left"/>
            </w:pPr>
            <w:r>
              <w:t xml:space="preserve">Status</w:t>
            </w:r>
          </w:p>
        </w:tc>
      </w:tr>
      <w:tr>
        <w:tc>
          <w:tcPr/>
          <w:p>
            <w:pPr>
              <w:pStyle w:val="Compact"/>
              <w:jc w:val="left"/>
            </w:pPr>
            <w:r>
              <w:t xml:space="preserve">A-3</w:t>
            </w:r>
          </w:p>
        </w:tc>
        <w:tc>
          <w:tcPr/>
          <w:p>
            <w:pPr>
              <w:pStyle w:val="Compact"/>
              <w:jc w:val="left"/>
            </w:pPr>
            <w:r>
              <w:t xml:space="preserve">Three-year independent consulting period (Aug 2020–Aug 2023) entirely undocumented</w:t>
            </w:r>
          </w:p>
        </w:tc>
        <w:tc>
          <w:tcPr/>
          <w:p>
            <w:pPr>
              <w:pStyle w:val="Compact"/>
              <w:jc w:val="left"/>
            </w:pPr>
            <w:r>
              <w:rPr>
                <w:b/>
                <w:bCs/>
              </w:rPr>
              <w:t xml:space="preserve">High</w:t>
            </w:r>
          </w:p>
        </w:tc>
        <w:tc>
          <w:tcPr/>
          <w:p>
            <w:pPr>
              <w:pStyle w:val="Compact"/>
              <w:jc w:val="left"/>
            </w:pPr>
            <w:r>
              <w:t xml:space="preserve">Qualification / Evidence</w:t>
            </w:r>
          </w:p>
        </w:tc>
      </w:tr>
      <w:tr>
        <w:tc>
          <w:tcPr/>
          <w:p>
            <w:pPr>
              <w:pStyle w:val="Compact"/>
              <w:jc w:val="left"/>
            </w:pPr>
            <w:r>
              <w:t xml:space="preserve">A-4</w:t>
            </w:r>
          </w:p>
        </w:tc>
        <w:tc>
          <w:tcPr/>
          <w:p>
            <w:pPr>
              <w:pStyle w:val="Compact"/>
              <w:jc w:val="left"/>
            </w:pPr>
            <w:r>
              <w:t xml:space="preserve">Required specific tools (TensorFlow, PyTorch, AWS SageMaker, NLP/LLM) not evidenced in the only documented ML experience</w:t>
            </w:r>
          </w:p>
        </w:tc>
        <w:tc>
          <w:tcPr/>
          <w:p>
            <w:pPr>
              <w:pStyle w:val="Compact"/>
              <w:jc w:val="left"/>
            </w:pPr>
            <w:r>
              <w:rPr>
                <w:b/>
                <w:bCs/>
              </w:rPr>
              <w:t xml:space="preserve">High</w:t>
            </w:r>
          </w:p>
        </w:tc>
        <w:tc>
          <w:tcPr/>
          <w:p>
            <w:pPr>
              <w:pStyle w:val="Compact"/>
              <w:jc w:val="left"/>
            </w:pPr>
            <w:r>
              <w:t xml:space="preserve">Qualification</w:t>
            </w:r>
          </w:p>
        </w:tc>
      </w:tr>
      <w:tr>
        <w:tc>
          <w:tcPr/>
          <w:p>
            <w:pPr>
              <w:pStyle w:val="Compact"/>
              <w:jc w:val="left"/>
            </w:pPr>
            <w:r>
              <w:t xml:space="preserve">F-1</w:t>
            </w:r>
          </w:p>
        </w:tc>
        <w:tc>
          <w:tcPr/>
          <w:p>
            <w:pPr>
              <w:pStyle w:val="Compact"/>
              <w:jc w:val="left"/>
            </w:pPr>
            <w:r>
              <w:t xml:space="preserve">Wage level likely misclassified (Level 2 vs. Level 3/4); offered wage below Level 3 prevailing wage</w:t>
            </w:r>
          </w:p>
        </w:tc>
        <w:tc>
          <w:tcPr/>
          <w:p>
            <w:pPr>
              <w:pStyle w:val="Compact"/>
              <w:jc w:val="left"/>
            </w:pPr>
            <w:r>
              <w:rPr>
                <w:b/>
                <w:bCs/>
              </w:rPr>
              <w:t xml:space="preserve">High</w:t>
            </w:r>
          </w:p>
        </w:tc>
        <w:tc>
          <w:tcPr/>
          <w:p>
            <w:pPr>
              <w:pStyle w:val="Compact"/>
              <w:jc w:val="left"/>
            </w:pPr>
            <w:r>
              <w:t xml:space="preserve">Wage / LCA</w:t>
            </w:r>
          </w:p>
        </w:tc>
      </w:tr>
      <w:tr>
        <w:tc>
          <w:tcPr/>
          <w:p>
            <w:pPr>
              <w:pStyle w:val="Compact"/>
              <w:jc w:val="left"/>
            </w:pPr>
            <w:r>
              <w:t xml:space="preserve">A-5</w:t>
            </w:r>
          </w:p>
        </w:tc>
        <w:tc>
          <w:tcPr/>
          <w:p>
            <w:pPr>
              <w:pStyle w:val="Compact"/>
              <w:jc w:val="left"/>
            </w:pPr>
            <w:r>
              <w:t xml:space="preserve">Credential evaluator’s own qualification questionable (Ph.D.,</w:t>
            </w:r>
            <w:r>
              <w:t xml:space="preserve"> </w:t>
            </w:r>
            <w:r>
              <w:t xml:space="preserve">“</w:t>
            </w:r>
            <w:r>
              <w:t xml:space="preserve">Halford University</w:t>
            </w:r>
            <w:r>
              <w:t xml:space="preserve">”</w:t>
            </w:r>
            <w:r>
              <w:t xml:space="preserve">)</w:t>
            </w:r>
          </w:p>
        </w:tc>
        <w:tc>
          <w:tcPr/>
          <w:p>
            <w:pPr>
              <w:pStyle w:val="Compact"/>
              <w:jc w:val="left"/>
            </w:pPr>
            <w:r>
              <w:rPr>
                <w:b/>
                <w:bCs/>
              </w:rPr>
              <w:t xml:space="preserve">High</w:t>
            </w:r>
          </w:p>
        </w:tc>
        <w:tc>
          <w:tcPr/>
          <w:p>
            <w:pPr>
              <w:pStyle w:val="Compact"/>
              <w:jc w:val="left"/>
            </w:pPr>
            <w:r>
              <w:t xml:space="preserve">Evidence</w:t>
            </w:r>
          </w:p>
        </w:tc>
      </w:tr>
      <w:tr>
        <w:tc>
          <w:tcPr/>
          <w:p>
            <w:pPr>
              <w:pStyle w:val="Compact"/>
              <w:jc w:val="left"/>
            </w:pPr>
            <w:r>
              <w:t xml:space="preserve">C-1</w:t>
            </w:r>
          </w:p>
        </w:tc>
        <w:tc>
          <w:tcPr/>
          <w:p>
            <w:pPr>
              <w:pStyle w:val="Compact"/>
              <w:jc w:val="left"/>
            </w:pPr>
            <w:r>
              <w:t xml:space="preserve">Employment-date discrepancies: résumé vs. experience letters (Kiran, NovaStar)</w:t>
            </w:r>
          </w:p>
        </w:tc>
        <w:tc>
          <w:tcPr/>
          <w:p>
            <w:pPr>
              <w:pStyle w:val="Compact"/>
              <w:jc w:val="left"/>
            </w:pPr>
            <w:r>
              <w:rPr>
                <w:b/>
                <w:bCs/>
              </w:rPr>
              <w:t xml:space="preserve">Medium</w:t>
            </w:r>
          </w:p>
        </w:tc>
        <w:tc>
          <w:tcPr/>
          <w:p>
            <w:pPr>
              <w:pStyle w:val="Compact"/>
              <w:jc w:val="left"/>
            </w:pPr>
            <w:r>
              <w:t xml:space="preserve">Consistency</w:t>
            </w:r>
          </w:p>
        </w:tc>
      </w:tr>
      <w:tr>
        <w:tc>
          <w:tcPr/>
          <w:p>
            <w:pPr>
              <w:pStyle w:val="Compact"/>
              <w:jc w:val="left"/>
            </w:pPr>
            <w:r>
              <w:t xml:space="preserve">C-2</w:t>
            </w:r>
          </w:p>
        </w:tc>
        <w:tc>
          <w:tcPr/>
          <w:p>
            <w:pPr>
              <w:pStyle w:val="Compact"/>
              <w:jc w:val="left"/>
            </w:pPr>
            <w:r>
              <w:t xml:space="preserve">Employer telephone number inconsistent across four documents; posting notice lists Beneficiary’s phone</w:t>
            </w:r>
          </w:p>
        </w:tc>
        <w:tc>
          <w:tcPr/>
          <w:p>
            <w:pPr>
              <w:pStyle w:val="Compact"/>
              <w:jc w:val="left"/>
            </w:pPr>
            <w:r>
              <w:rPr>
                <w:b/>
                <w:bCs/>
              </w:rPr>
              <w:t xml:space="preserve">Medium</w:t>
            </w:r>
          </w:p>
        </w:tc>
        <w:tc>
          <w:tcPr/>
          <w:p>
            <w:pPr>
              <w:pStyle w:val="Compact"/>
              <w:jc w:val="left"/>
            </w:pPr>
            <w:r>
              <w:t xml:space="preserve">Consistency</w:t>
            </w:r>
          </w:p>
        </w:tc>
      </w:tr>
      <w:tr>
        <w:tc>
          <w:tcPr/>
          <w:p>
            <w:pPr>
              <w:pStyle w:val="Compact"/>
              <w:jc w:val="left"/>
            </w:pPr>
            <w:r>
              <w:t xml:space="preserve">F-2</w:t>
            </w:r>
          </w:p>
        </w:tc>
        <w:tc>
          <w:tcPr/>
          <w:p>
            <w:pPr>
              <w:pStyle w:val="Compact"/>
              <w:jc w:val="left"/>
            </w:pPr>
            <w:r>
              <w:t xml:space="preserve">LCA posting period ran only 8 business days; 20 CFR § 655.734(d) requires 10</w:t>
            </w:r>
          </w:p>
        </w:tc>
        <w:tc>
          <w:tcPr/>
          <w:p>
            <w:pPr>
              <w:pStyle w:val="Compact"/>
              <w:jc w:val="left"/>
            </w:pPr>
            <w:r>
              <w:rPr>
                <w:b/>
                <w:bCs/>
              </w:rPr>
              <w:t xml:space="preserve">Medium</w:t>
            </w:r>
          </w:p>
        </w:tc>
        <w:tc>
          <w:tcPr/>
          <w:p>
            <w:pPr>
              <w:pStyle w:val="Compact"/>
              <w:jc w:val="left"/>
            </w:pPr>
            <w:r>
              <w:t xml:space="preserve">LCA Compliance</w:t>
            </w:r>
          </w:p>
        </w:tc>
      </w:tr>
      <w:tr>
        <w:tc>
          <w:tcPr/>
          <w:p>
            <w:pPr>
              <w:pStyle w:val="Compact"/>
              <w:jc w:val="left"/>
            </w:pPr>
            <w:r>
              <w:t xml:space="preserve">D-1</w:t>
            </w:r>
          </w:p>
        </w:tc>
        <w:tc>
          <w:tcPr/>
          <w:p>
            <w:pPr>
              <w:pStyle w:val="Compact"/>
              <w:jc w:val="left"/>
            </w:pPr>
            <w:r>
              <w:t xml:space="preserve">No H-1B cap registration selection notice (cap-subject petitioner, FY2026)</w:t>
            </w:r>
          </w:p>
        </w:tc>
        <w:tc>
          <w:tcPr/>
          <w:p>
            <w:pPr>
              <w:pStyle w:val="Compact"/>
              <w:jc w:val="left"/>
            </w:pPr>
            <w:r>
              <w:rPr>
                <w:b/>
                <w:bCs/>
              </w:rPr>
              <w:t xml:space="preserve">Medium</w:t>
            </w:r>
          </w:p>
        </w:tc>
        <w:tc>
          <w:tcPr/>
          <w:p>
            <w:pPr>
              <w:pStyle w:val="Compact"/>
              <w:jc w:val="left"/>
            </w:pPr>
            <w:r>
              <w:t xml:space="preserve">Missing Docs</w:t>
            </w:r>
          </w:p>
        </w:tc>
      </w:tr>
      <w:tr>
        <w:tc>
          <w:tcPr/>
          <w:p>
            <w:pPr>
              <w:pStyle w:val="Compact"/>
              <w:jc w:val="left"/>
            </w:pPr>
            <w:r>
              <w:t xml:space="preserve">B-1</w:t>
            </w:r>
          </w:p>
        </w:tc>
        <w:tc>
          <w:tcPr/>
          <w:p>
            <w:pPr>
              <w:pStyle w:val="Compact"/>
              <w:jc w:val="left"/>
            </w:pPr>
            <w:r>
              <w:t xml:space="preserve">Specialty-occupation</w:t>
            </w:r>
            <w:r>
              <w:t xml:space="preserve"> </w:t>
            </w:r>
            <w:r>
              <w:t xml:space="preserve">“</w:t>
            </w:r>
            <w:r>
              <w:t xml:space="preserve">industry standard</w:t>
            </w:r>
            <w:r>
              <w:t xml:space="preserve">”</w:t>
            </w:r>
            <w:r>
              <w:t xml:space="preserve"> </w:t>
            </w:r>
            <w:r>
              <w:t xml:space="preserve">argument is conclusory and unsupported</w:t>
            </w:r>
          </w:p>
        </w:tc>
        <w:tc>
          <w:tcPr/>
          <w:p>
            <w:pPr>
              <w:pStyle w:val="Compact"/>
              <w:jc w:val="left"/>
            </w:pPr>
            <w:r>
              <w:rPr>
                <w:b/>
                <w:bCs/>
              </w:rPr>
              <w:t xml:space="preserve">Medium</w:t>
            </w:r>
          </w:p>
        </w:tc>
        <w:tc>
          <w:tcPr/>
          <w:p>
            <w:pPr>
              <w:pStyle w:val="Compact"/>
              <w:jc w:val="left"/>
            </w:pPr>
            <w:r>
              <w:t xml:space="preserve">Specialty Occ.</w:t>
            </w:r>
          </w:p>
        </w:tc>
      </w:tr>
      <w:tr>
        <w:tc>
          <w:tcPr/>
          <w:p>
            <w:pPr>
              <w:pStyle w:val="Compact"/>
              <w:jc w:val="left"/>
            </w:pPr>
            <w:r>
              <w:t xml:space="preserve">D-2</w:t>
            </w:r>
          </w:p>
        </w:tc>
        <w:tc>
          <w:tcPr/>
          <w:p>
            <w:pPr>
              <w:pStyle w:val="Compact"/>
              <w:jc w:val="left"/>
            </w:pPr>
            <w:r>
              <w:t xml:space="preserve">Core filing/status documents absent (I-129, passport, I-94, I-20/EAD, financials)</w:t>
            </w:r>
          </w:p>
        </w:tc>
        <w:tc>
          <w:tcPr/>
          <w:p>
            <w:pPr>
              <w:pStyle w:val="Compact"/>
              <w:jc w:val="left"/>
            </w:pPr>
            <w:r>
              <w:rPr>
                <w:b/>
                <w:bCs/>
              </w:rPr>
              <w:t xml:space="preserve">Medium</w:t>
            </w:r>
          </w:p>
        </w:tc>
        <w:tc>
          <w:tcPr/>
          <w:p>
            <w:pPr>
              <w:pStyle w:val="Compact"/>
              <w:jc w:val="left"/>
            </w:pPr>
            <w:r>
              <w:t xml:space="preserve">Missing Docs</w:t>
            </w:r>
          </w:p>
        </w:tc>
      </w:tr>
      <w:tr>
        <w:tc>
          <w:tcPr/>
          <w:p>
            <w:pPr>
              <w:pStyle w:val="Compact"/>
              <w:jc w:val="left"/>
            </w:pPr>
            <w:r>
              <w:t xml:space="preserve">C-3</w:t>
            </w:r>
          </w:p>
        </w:tc>
        <w:tc>
          <w:tcPr/>
          <w:p>
            <w:pPr>
              <w:pStyle w:val="Compact"/>
              <w:jc w:val="left"/>
            </w:pPr>
            <w:r>
              <w:t xml:space="preserve">Supervisory scope inconsistent:</w:t>
            </w:r>
            <w:r>
              <w:t xml:space="preserve"> </w:t>
            </w:r>
            <w:r>
              <w:t xml:space="preserve">“</w:t>
            </w:r>
            <w:r>
              <w:t xml:space="preserve">3 junior data scientists</w:t>
            </w:r>
            <w:r>
              <w:t xml:space="preserve">”</w:t>
            </w:r>
            <w:r>
              <w:t xml:space="preserve"> </w:t>
            </w:r>
            <w:r>
              <w:t xml:space="preserve">(letter) vs. 2 direct reports (org chart)</w:t>
            </w:r>
          </w:p>
        </w:tc>
        <w:tc>
          <w:tcPr/>
          <w:p>
            <w:pPr>
              <w:pStyle w:val="Compact"/>
              <w:jc w:val="left"/>
            </w:pPr>
            <w:r>
              <w:rPr>
                <w:b/>
                <w:bCs/>
              </w:rPr>
              <w:t xml:space="preserve">Low–Med</w:t>
            </w:r>
          </w:p>
        </w:tc>
        <w:tc>
          <w:tcPr/>
          <w:p>
            <w:pPr>
              <w:pStyle w:val="Compact"/>
              <w:jc w:val="left"/>
            </w:pPr>
            <w:r>
              <w:t xml:space="preserve">Consistency</w:t>
            </w:r>
          </w:p>
        </w:tc>
      </w:tr>
      <w:tr>
        <w:tc>
          <w:tcPr/>
          <w:p>
            <w:pPr>
              <w:pStyle w:val="Compact"/>
              <w:jc w:val="left"/>
            </w:pPr>
            <w:r>
              <w:t xml:space="preserve">C-4</w:t>
            </w:r>
          </w:p>
        </w:tc>
        <w:tc>
          <w:tcPr/>
          <w:p>
            <w:pPr>
              <w:pStyle w:val="Compact"/>
              <w:jc w:val="left"/>
            </w:pPr>
            <w:r>
              <w:t xml:space="preserve">Unexplained ~4-month employment gap (Jan.–Mar. 2017) between Kiran and NovaStar</w:t>
            </w:r>
          </w:p>
        </w:tc>
        <w:tc>
          <w:tcPr/>
          <w:p>
            <w:pPr>
              <w:pStyle w:val="Compact"/>
              <w:jc w:val="left"/>
            </w:pPr>
            <w:r>
              <w:rPr>
                <w:b/>
                <w:bCs/>
              </w:rPr>
              <w:t xml:space="preserve">Low–Med</w:t>
            </w:r>
          </w:p>
        </w:tc>
        <w:tc>
          <w:tcPr/>
          <w:p>
            <w:pPr>
              <w:pStyle w:val="Compact"/>
              <w:jc w:val="left"/>
            </w:pPr>
            <w:r>
              <w:t xml:space="preserve">Consistency</w:t>
            </w:r>
          </w:p>
        </w:tc>
      </w:tr>
      <w:tr>
        <w:tc>
          <w:tcPr/>
          <w:p>
            <w:pPr>
              <w:pStyle w:val="Compact"/>
              <w:jc w:val="left"/>
            </w:pPr>
            <w:r>
              <w:t xml:space="preserve">B-2</w:t>
            </w:r>
          </w:p>
        </w:tc>
        <w:tc>
          <w:tcPr/>
          <w:p>
            <w:pPr>
              <w:pStyle w:val="Compact"/>
              <w:jc w:val="left"/>
            </w:pPr>
            <w:r>
              <w:t xml:space="preserve">Broad</w:t>
            </w:r>
            <w:r>
              <w:t xml:space="preserve"> </w:t>
            </w:r>
            <w:r>
              <w:t xml:space="preserve">“</w:t>
            </w:r>
            <w:r>
              <w:t xml:space="preserve">any engineering degree</w:t>
            </w:r>
            <w:r>
              <w:t xml:space="preserve">”</w:t>
            </w:r>
            <w:r>
              <w:t xml:space="preserve"> </w:t>
            </w:r>
            <w:r>
              <w:t xml:space="preserve">alternative may undercut the specialty-occupation</w:t>
            </w:r>
            <w:r>
              <w:t xml:space="preserve"> </w:t>
            </w:r>
            <w:r>
              <w:t xml:space="preserve">“</w:t>
            </w:r>
            <w:r>
              <w:t xml:space="preserve">always required</w:t>
            </w:r>
            <w:r>
              <w:t xml:space="preserve">”</w:t>
            </w:r>
            <w:r>
              <w:t xml:space="preserve"> </w:t>
            </w:r>
            <w:r>
              <w:t xml:space="preserve">prong</w:t>
            </w:r>
          </w:p>
        </w:tc>
        <w:tc>
          <w:tcPr/>
          <w:p>
            <w:pPr>
              <w:pStyle w:val="Compact"/>
              <w:jc w:val="left"/>
            </w:pPr>
            <w:r>
              <w:rPr>
                <w:b/>
                <w:bCs/>
              </w:rPr>
              <w:t xml:space="preserve">Low–Med</w:t>
            </w:r>
          </w:p>
        </w:tc>
        <w:tc>
          <w:tcPr/>
          <w:p>
            <w:pPr>
              <w:pStyle w:val="Compact"/>
              <w:jc w:val="left"/>
            </w:pPr>
            <w:r>
              <w:t xml:space="preserve">Specialty Occ.</w:t>
            </w:r>
          </w:p>
        </w:tc>
      </w:tr>
      <w:tr>
        <w:tc>
          <w:tcPr/>
          <w:p>
            <w:pPr>
              <w:pStyle w:val="Compact"/>
              <w:jc w:val="left"/>
            </w:pPr>
            <w:r>
              <w:t xml:space="preserve">F-3</w:t>
            </w:r>
          </w:p>
        </w:tc>
        <w:tc>
          <w:tcPr/>
          <w:p>
            <w:pPr>
              <w:pStyle w:val="Compact"/>
              <w:jc w:val="left"/>
            </w:pPr>
            <w:r>
              <w:t xml:space="preserve">Posting notice claims</w:t>
            </w:r>
            <w:r>
              <w:t xml:space="preserve"> </w:t>
            </w:r>
            <w:r>
              <w:t xml:space="preserve">“</w:t>
            </w:r>
            <w:r>
              <w:t xml:space="preserve">two conspicuous locations</w:t>
            </w:r>
            <w:r>
              <w:t xml:space="preserve">”</w:t>
            </w:r>
            <w:r>
              <w:t xml:space="preserve">; LCA identifies only one</w:t>
            </w:r>
          </w:p>
        </w:tc>
        <w:tc>
          <w:tcPr/>
          <w:p>
            <w:pPr>
              <w:pStyle w:val="Compact"/>
              <w:jc w:val="left"/>
            </w:pPr>
            <w:r>
              <w:rPr>
                <w:b/>
                <w:bCs/>
              </w:rPr>
              <w:t xml:space="preserve">Low</w:t>
            </w:r>
          </w:p>
        </w:tc>
        <w:tc>
          <w:tcPr/>
          <w:p>
            <w:pPr>
              <w:pStyle w:val="Compact"/>
              <w:jc w:val="left"/>
            </w:pPr>
            <w:r>
              <w:t xml:space="preserve">LCA Compliance</w:t>
            </w:r>
          </w:p>
        </w:tc>
      </w:tr>
      <w:tr>
        <w:tc>
          <w:tcPr/>
          <w:p>
            <w:pPr>
              <w:pStyle w:val="Compact"/>
              <w:jc w:val="left"/>
            </w:pPr>
            <w:r>
              <w:t xml:space="preserve">G-1</w:t>
            </w:r>
          </w:p>
        </w:tc>
        <w:tc>
          <w:tcPr/>
          <w:p>
            <w:pPr>
              <w:pStyle w:val="Compact"/>
              <w:jc w:val="left"/>
            </w:pPr>
            <w:r>
              <w:t xml:space="preserve">Employer letter and LCA signature lines blank (unsigned)</w:t>
            </w:r>
          </w:p>
        </w:tc>
        <w:tc>
          <w:tcPr/>
          <w:p>
            <w:pPr>
              <w:pStyle w:val="Compact"/>
              <w:jc w:val="left"/>
            </w:pPr>
            <w:r>
              <w:rPr>
                <w:b/>
                <w:bCs/>
              </w:rPr>
              <w:t xml:space="preserve">Low</w:t>
            </w:r>
          </w:p>
        </w:tc>
        <w:tc>
          <w:tcPr/>
          <w:p>
            <w:pPr>
              <w:pStyle w:val="Compact"/>
              <w:jc w:val="left"/>
            </w:pPr>
            <w:r>
              <w:t xml:space="preserve">Execution</w:t>
            </w:r>
          </w:p>
        </w:tc>
      </w:tr>
      <w:tr>
        <w:tc>
          <w:tcPr/>
          <w:p>
            <w:pPr>
              <w:pStyle w:val="Compact"/>
              <w:jc w:val="left"/>
            </w:pPr>
            <w:r>
              <w:t xml:space="preserve">C-5</w:t>
            </w:r>
          </w:p>
        </w:tc>
        <w:tc>
          <w:tcPr/>
          <w:p>
            <w:pPr>
              <w:pStyle w:val="Compact"/>
              <w:jc w:val="left"/>
            </w:pPr>
            <w:r>
              <w:t xml:space="preserve">Total-experience claim inconsistent: résumé</w:t>
            </w:r>
            <w:r>
              <w:t xml:space="preserve"> </w:t>
            </w:r>
            <w:r>
              <w:t xml:space="preserve">“</w:t>
            </w:r>
            <w:r>
              <w:t xml:space="preserve">7+ years</w:t>
            </w:r>
            <w:r>
              <w:t xml:space="preserve">”</w:t>
            </w:r>
            <w:r>
              <w:t xml:space="preserve"> </w:t>
            </w:r>
            <w:r>
              <w:t xml:space="preserve">vs. letter</w:t>
            </w:r>
            <w:r>
              <w:t xml:space="preserve"> </w:t>
            </w:r>
            <w:r>
              <w:t xml:space="preserve">“</w:t>
            </w:r>
            <w:r>
              <w:t xml:space="preserve">over 8 years</w:t>
            </w:r>
            <w:r>
              <w:t xml:space="preserve">”</w:t>
            </w:r>
          </w:p>
        </w:tc>
        <w:tc>
          <w:tcPr/>
          <w:p>
            <w:pPr>
              <w:pStyle w:val="Compact"/>
              <w:jc w:val="left"/>
            </w:pPr>
            <w:r>
              <w:rPr>
                <w:b/>
                <w:bCs/>
              </w:rPr>
              <w:t xml:space="preserve">Low</w:t>
            </w:r>
          </w:p>
        </w:tc>
        <w:tc>
          <w:tcPr/>
          <w:p>
            <w:pPr>
              <w:pStyle w:val="Compact"/>
              <w:jc w:val="left"/>
            </w:pPr>
            <w:r>
              <w:t xml:space="preserve">Consistency</w:t>
            </w:r>
          </w:p>
        </w:tc>
      </w:tr>
      <w:tr>
        <w:tc>
          <w:tcPr/>
          <w:p>
            <w:pPr>
              <w:pStyle w:val="Compact"/>
              <w:jc w:val="left"/>
            </w:pPr>
            <w:r>
              <w:t xml:space="preserve">C-6</w:t>
            </w:r>
          </w:p>
        </w:tc>
        <w:tc>
          <w:tcPr/>
          <w:p>
            <w:pPr>
              <w:pStyle w:val="Compact"/>
              <w:jc w:val="left"/>
            </w:pPr>
            <w:r>
              <w:t xml:space="preserve">Current OPT title (</w:t>
            </w:r>
            <w:r>
              <w:t xml:space="preserve">“</w:t>
            </w:r>
            <w:r>
              <w:t xml:space="preserve">Data Scientist</w:t>
            </w:r>
            <w:r>
              <w:t xml:space="preserve">”</w:t>
            </w:r>
            <w:r>
              <w:t xml:space="preserve">) vs. petitioned title (</w:t>
            </w:r>
            <w:r>
              <w:t xml:space="preserve">“</w:t>
            </w:r>
            <w:r>
              <w:t xml:space="preserve">Senior ML Engineer</w:t>
            </w:r>
            <w:r>
              <w:t xml:space="preserve">”</w:t>
            </w:r>
            <w:r>
              <w:t xml:space="preserve">) not reconciled</w:t>
            </w:r>
          </w:p>
        </w:tc>
        <w:tc>
          <w:tcPr/>
          <w:p>
            <w:pPr>
              <w:pStyle w:val="Compact"/>
              <w:jc w:val="left"/>
            </w:pPr>
            <w:r>
              <w:rPr>
                <w:b/>
                <w:bCs/>
              </w:rPr>
              <w:t xml:space="preserve">Low</w:t>
            </w:r>
          </w:p>
        </w:tc>
        <w:tc>
          <w:tcPr/>
          <w:p>
            <w:pPr>
              <w:pStyle w:val="Compact"/>
              <w:jc w:val="left"/>
            </w:pPr>
            <w:r>
              <w:t xml:space="preserve">Consistency</w:t>
            </w:r>
          </w:p>
        </w:tc>
      </w:tr>
      <w:tr>
        <w:tc>
          <w:tcPr/>
          <w:p>
            <w:pPr>
              <w:pStyle w:val="Compact"/>
              <w:jc w:val="left"/>
            </w:pPr>
            <w:r>
              <w:t xml:space="preserve">D-3</w:t>
            </w:r>
          </w:p>
        </w:tc>
        <w:tc>
          <w:tcPr/>
          <w:p>
            <w:pPr>
              <w:pStyle w:val="Compact"/>
              <w:jc w:val="left"/>
            </w:pPr>
            <w:r>
              <w:t xml:space="preserve">Ability-to-pay asserted but unsupported by financial statements</w:t>
            </w:r>
          </w:p>
        </w:tc>
        <w:tc>
          <w:tcPr/>
          <w:p>
            <w:pPr>
              <w:pStyle w:val="Compact"/>
              <w:jc w:val="left"/>
            </w:pPr>
            <w:r>
              <w:rPr>
                <w:b/>
                <w:bCs/>
              </w:rPr>
              <w:t xml:space="preserve">Low</w:t>
            </w:r>
          </w:p>
        </w:tc>
        <w:tc>
          <w:tcPr/>
          <w:p>
            <w:pPr>
              <w:pStyle w:val="Compact"/>
              <w:jc w:val="left"/>
            </w:pPr>
            <w:r>
              <w:t xml:space="preserve">Missing Docs</w:t>
            </w:r>
          </w:p>
        </w:tc>
      </w:tr>
      <w:tr>
        <w:tc>
          <w:tcPr/>
          <w:p>
            <w:pPr>
              <w:pStyle w:val="Compact"/>
              <w:jc w:val="left"/>
            </w:pPr>
            <w:r>
              <w:t xml:space="preserve">C-7</w:t>
            </w:r>
          </w:p>
        </w:tc>
        <w:tc>
          <w:tcPr/>
          <w:p>
            <w:pPr>
              <w:pStyle w:val="Compact"/>
              <w:jc w:val="left"/>
            </w:pPr>
            <w:r>
              <w:t xml:space="preserve">Transcript total credits (184 incl. labs) vs. evaluation’s</w:t>
            </w:r>
            <w:r>
              <w:t xml:space="preserve"> </w:t>
            </w:r>
            <w:r>
              <w:t xml:space="preserve">“</w:t>
            </w:r>
            <w:r>
              <w:t xml:space="preserve">~160 credit hours</w:t>
            </w:r>
            <w:r>
              <w:t xml:space="preserve">”</w:t>
            </w:r>
            <w:r>
              <w:t xml:space="preserve"> </w:t>
            </w:r>
            <w:r>
              <w:t xml:space="preserve">characterization</w:t>
            </w:r>
          </w:p>
        </w:tc>
        <w:tc>
          <w:tcPr/>
          <w:p>
            <w:pPr>
              <w:pStyle w:val="Compact"/>
              <w:jc w:val="left"/>
            </w:pPr>
            <w:r>
              <w:rPr>
                <w:b/>
                <w:bCs/>
              </w:rPr>
              <w:t xml:space="preserve">Low</w:t>
            </w:r>
          </w:p>
        </w:tc>
        <w:tc>
          <w:tcPr/>
          <w:p>
            <w:pPr>
              <w:pStyle w:val="Compact"/>
              <w:jc w:val="left"/>
            </w:pPr>
            <w:r>
              <w:t xml:space="preserve">Consistency</w:t>
            </w:r>
          </w:p>
        </w:tc>
      </w:tr>
    </w:tbl>
    <w:p>
      <w:r>
        <w:pict>
          <v:rect style="width:0;height:1.5pt" o:hralign="center" o:hrstd="t" o:hr="t"/>
        </w:pict>
      </w:r>
    </w:p>
    <w:bookmarkEnd w:id="23"/>
    <w:bookmarkStart w:id="29" w:name="X3017bfae8fa354b9a1831e3937f5c1292bca611"/>
    <w:p>
      <w:pPr>
        <w:pStyle w:val="Heading3"/>
      </w:pPr>
      <w:r>
        <w:t xml:space="preserve">IV.B. Beneficiary Qualification Issues (Category A)</w:t>
      </w:r>
    </w:p>
    <w:bookmarkStart w:id="24" w:name="Xd49592cf93eda79fb82a98712687b4f65e6b0b2"/>
    <w:p>
      <w:pPr>
        <w:pStyle w:val="Heading4"/>
      </w:pPr>
      <w:r>
        <w:t xml:space="preserve">A-1. Degree Field-of-Study Mismatch — ECE vs. Required CS/ML/AI (CRITICAL)</w:t>
      </w:r>
    </w:p>
    <w:p>
      <w:pPr>
        <w:pStyle w:val="FirstParagraph"/>
      </w:pPr>
      <w:r>
        <w:rPr>
          <w:b/>
          <w:bCs/>
        </w:rPr>
        <w:t xml:space="preserve">Finding.</w:t>
      </w:r>
      <w:r>
        <w:t xml:space="preserve"> </w:t>
      </w:r>
      <w:r>
        <w:t xml:space="preserve">The Employer Support Letter (§ 3) requires, as the minimum educational qualification,</w:t>
      </w:r>
      <w:r>
        <w:t xml:space="preserve"> </w:t>
      </w:r>
      <w:r>
        <w:t xml:space="preserve">“</w:t>
      </w:r>
      <w:r>
        <w:t xml:space="preserve">a Bachelor’s degree or higher in Computer Science, Machine Learning, Artificial Intelligence, or a closely related field.</w:t>
      </w:r>
      <w:r>
        <w:t xml:space="preserve">”</w:t>
      </w:r>
      <w:r>
        <w:t xml:space="preserve"> </w:t>
      </w:r>
      <w:r>
        <w:t xml:space="preserve">The Beneficiary holds a</w:t>
      </w:r>
      <w:r>
        <w:t xml:space="preserve"> </w:t>
      </w:r>
      <w:r>
        <w:rPr>
          <w:b/>
          <w:bCs/>
        </w:rPr>
        <w:t xml:space="preserve">Bachelor of Technology in Electronics and Communication Engineering (</w:t>
      </w:r>
      <w:r>
        <w:rPr>
          <w:b/>
          <w:bCs/>
        </w:rPr>
        <w:t xml:space="preserve">“</w:t>
      </w:r>
      <w:r>
        <w:rPr>
          <w:b/>
          <w:bCs/>
        </w:rPr>
        <w:t xml:space="preserve">ECE</w:t>
      </w:r>
      <w:r>
        <w:rPr>
          <w:b/>
          <w:bCs/>
        </w:rPr>
        <w:t xml:space="preserve">”</w:t>
      </w:r>
      <w:r>
        <w:rPr>
          <w:b/>
          <w:bCs/>
        </w:rPr>
        <w:t xml:space="preserve">)</w:t>
      </w:r>
      <w:r>
        <w:t xml:space="preserve"> </w:t>
      </w:r>
      <w:r>
        <w:t xml:space="preserve">from JNTU Hyderabad (Credential Evaluation § 1; JNTU Transcript). The Credential Evaluation (§ 5) equates the degree to</w:t>
      </w:r>
      <w:r>
        <w:t xml:space="preserve"> </w:t>
      </w:r>
      <w:r>
        <w:t xml:space="preserve">“</w:t>
      </w:r>
      <w:r>
        <w:t xml:space="preserve">a four-year Bachelor of Science (B.S.) in</w:t>
      </w:r>
      <w:r>
        <w:t xml:space="preserve"> </w:t>
      </w:r>
      <w:r>
        <w:rPr>
          <w:b/>
          <w:bCs/>
        </w:rPr>
        <w:t xml:space="preserve">Electronics and Communication Engineering</w:t>
      </w:r>
      <w:r>
        <w:t xml:space="preserve"> </w:t>
      </w:r>
      <w:r>
        <w:t xml:space="preserve">from a regionally accredited institution</w:t>
      </w:r>
      <w:r>
        <w:t xml:space="preserve">”</w:t>
      </w:r>
      <w:r>
        <w:t xml:space="preserve"> </w:t>
      </w:r>
      <w:r>
        <w:t xml:space="preserve">— i.e., it equates the degree</w:t>
      </w:r>
      <w:r>
        <w:t xml:space="preserve"> </w:t>
      </w:r>
      <w:r>
        <w:rPr>
          <w:i/>
          <w:iCs/>
        </w:rPr>
        <w:t xml:space="preserve">in its own field</w:t>
      </w:r>
      <w:r>
        <w:t xml:space="preserve">, not to a CS/ML/AI degree.</w:t>
      </w:r>
    </w:p>
    <w:p>
      <w:pPr>
        <w:pStyle w:val="BodyText"/>
      </w:pPr>
      <w:r>
        <w:t xml:space="preserve">The evaluation itself quantifies the computer-science content of the program at only</w:t>
      </w:r>
      <w:r>
        <w:t xml:space="preserve"> </w:t>
      </w:r>
      <w:r>
        <w:rPr>
          <w:b/>
          <w:bCs/>
        </w:rPr>
        <w:t xml:space="preserve">~12 credit hours out of ~160 (approximately 7.5%)</w:t>
      </w:r>
      <w:r>
        <w:t xml:space="preserve"> </w:t>
      </w:r>
      <w:r>
        <w:t xml:space="preserve">of the curriculum (Credential Evaluation § 4), limited to C Programming (6 cr.), Data Structures (3 cr.), and an Introduction to Artificial Intelligence elective (3 cr.) — a characterization that the JNTU Transcript corroborates (CS101, CS201, CS401, EC704). Critically, the evaluation</w:t>
      </w:r>
      <w:r>
        <w:t xml:space="preserve"> </w:t>
      </w:r>
      <w:r>
        <w:rPr>
          <w:b/>
          <w:bCs/>
        </w:rPr>
        <w:t xml:space="preserve">expressly disclaims</w:t>
      </w:r>
      <w:r>
        <w:t xml:space="preserve"> </w:t>
      </w:r>
      <w:r>
        <w:t xml:space="preserve">any opinion on field-of-study suitability: Section 7 states that the report</w:t>
      </w:r>
      <w:r>
        <w:t xml:space="preserve"> </w:t>
      </w:r>
      <w:r>
        <w:t xml:space="preserve">“</w:t>
      </w:r>
      <w:r>
        <w:t xml:space="preserve">does not opine on whether the applicant’s field of study satisfies the requirements of any particular position or petition.</w:t>
      </w:r>
      <w:r>
        <w:t xml:space="preserve">”</w:t>
      </w:r>
    </w:p>
    <w:p>
      <w:pPr>
        <w:pStyle w:val="BodyText"/>
      </w:pPr>
      <w:r>
        <w:rPr>
          <w:b/>
          <w:bCs/>
        </w:rPr>
        <w:t xml:space="preserve">Standard.</w:t>
      </w:r>
      <w:r>
        <w:t xml:space="preserve"> </w:t>
      </w:r>
      <w:r>
        <w:t xml:space="preserve">To qualify for H-1B, the Beneficiary must hold a U.S. bachelor’s degree or higher in the specific specialty (or a closely related specialty) as the minimum entry requirement. 8 CFR § 214.2(h)(4)(iii)(A); INA § 214(i)(1). Where the degree field is not identical to the required specialty, the petitioner bears the burden of demonstrating that the field is</w:t>
      </w:r>
      <w:r>
        <w:t xml:space="preserve"> </w:t>
      </w:r>
      <w:r>
        <w:t xml:space="preserve">“</w:t>
      </w:r>
      <w:r>
        <w:t xml:space="preserve">closely related</w:t>
      </w:r>
      <w:r>
        <w:t xml:space="preserve">”</w:t>
      </w:r>
      <w:r>
        <w:t xml:space="preserve"> </w:t>
      </w:r>
      <w:r>
        <w:t xml:space="preserve">and that the coursework provides the theoretical and practical foundation for the specialty. A bare equivalency evaluation that does not address field-of-study suitability is a well-documented RFE trigger.</w:t>
      </w:r>
    </w:p>
    <w:p>
      <w:pPr>
        <w:pStyle w:val="BodyText"/>
      </w:pPr>
      <w:r>
        <w:rPr>
          <w:b/>
          <w:bCs/>
        </w:rPr>
        <w:t xml:space="preserve">Risk.</w:t>
      </w:r>
      <w:r>
        <w:t xml:space="preserve"> </w:t>
      </w:r>
      <w:r>
        <w:t xml:space="preserve">High probability of an RFE (or denial if not cured) on the ground that ECE — with only ~7.5% CS coursework and no ML/AI-specific coursework beyond a single introductory elective — is not a</w:t>
      </w:r>
      <w:r>
        <w:t xml:space="preserve"> </w:t>
      </w:r>
      <w:r>
        <w:t xml:space="preserve">“</w:t>
      </w:r>
      <w:r>
        <w:t xml:space="preserve">closely related</w:t>
      </w:r>
      <w:r>
        <w:t xml:space="preserve">”</w:t>
      </w:r>
      <w:r>
        <w:t xml:space="preserve"> </w:t>
      </w:r>
      <w:r>
        <w:t xml:space="preserve">field to Computer Science/Machine Learning/AI, and that the record contains no expert opinion connecting the ECE curriculum to the ML/AI specialty.</w:t>
      </w:r>
    </w:p>
    <w:p>
      <w:pPr>
        <w:pStyle w:val="BodyText"/>
      </w:pPr>
      <w:r>
        <w:rPr>
          <w:b/>
          <w:bCs/>
        </w:rPr>
        <w:t xml:space="preserve">Recommendation.</w:t>
      </w:r>
      <w:r>
        <w:t xml:space="preserve"> </w:t>
      </w:r>
      <w:r>
        <w:t xml:space="preserve">(1) Obtain a</w:t>
      </w:r>
      <w:r>
        <w:t xml:space="preserve"> </w:t>
      </w:r>
      <w:r>
        <w:rPr>
          <w:b/>
          <w:bCs/>
        </w:rPr>
        <w:t xml:space="preserve">supplemental expert opinion letter</w:t>
      </w:r>
      <w:r>
        <w:t xml:space="preserve"> </w:t>
      </w:r>
      <w:r>
        <w:t xml:space="preserve">(from a qualified university professor or a NACES evaluator with a verifiable academic credential) that specifically analyzes the ECE coursework — including Signals and Systems, Digital Signal Processing, Probability &amp; Stochastic Processes, Computer Architecture, and the AI elective — and opines that, singly or in combination with the Beneficiary’s post-baccalaureate experience, it provides the requisite foundation for the ML/AI specialty. (2) If the Beneficiary in fact holds a</w:t>
      </w:r>
      <w:r>
        <w:t xml:space="preserve"> </w:t>
      </w:r>
      <w:r>
        <w:rPr>
          <w:b/>
          <w:bCs/>
        </w:rPr>
        <w:t xml:space="preserve">U.S. degree</w:t>
      </w:r>
      <w:r>
        <w:t xml:space="preserve"> </w:t>
      </w:r>
      <w:r>
        <w:t xml:space="preserve">(see Issue E-1), include it; a U.S. master’s in CS/Data Science would resolve this issue entirely. (3) Alternatively, lean on the alternative-qualification path (Issue A-2) — but only after curing the experience-documentation gap.</w:t>
      </w:r>
    </w:p>
    <w:p>
      <w:r>
        <w:pict>
          <v:rect style="width:0;height:1.5pt" o:hralign="center" o:hrstd="t" o:hr="t"/>
        </w:pict>
      </w:r>
    </w:p>
    <w:bookmarkEnd w:id="24"/>
    <w:bookmarkStart w:id="25" w:name="X9e453e009d2b54d04ea548c29d9bdc68b4a8174"/>
    <w:p>
      <w:pPr>
        <w:pStyle w:val="Heading4"/>
      </w:pPr>
      <w:r>
        <w:t xml:space="preserve">A-2. Alternative Qualification Path Fails on Documented Experience (CRITICAL)</w:t>
      </w:r>
    </w:p>
    <w:p>
      <w:pPr>
        <w:pStyle w:val="FirstParagraph"/>
      </w:pPr>
      <w:r>
        <w:rPr>
          <w:b/>
          <w:bCs/>
        </w:rPr>
        <w:t xml:space="preserve">Finding.</w:t>
      </w:r>
      <w:r>
        <w:t xml:space="preserve"> </w:t>
      </w:r>
      <w:r>
        <w:t xml:space="preserve">The Employer Support Letter (§ 3) offers an alternative qualification:</w:t>
      </w:r>
      <w:r>
        <w:t xml:space="preserve"> </w:t>
      </w:r>
      <w:r>
        <w:t xml:space="preserve">“</w:t>
      </w:r>
      <w:r>
        <w:t xml:space="preserve">a Bachelor’s degree in</w:t>
      </w:r>
      <w:r>
        <w:t xml:space="preserve"> </w:t>
      </w:r>
      <w:r>
        <w:rPr>
          <w:b/>
          <w:bCs/>
        </w:rPr>
        <w:t xml:space="preserve">any engineering discipline</w:t>
      </w:r>
      <w:r>
        <w:t xml:space="preserve"> </w:t>
      </w:r>
      <w:r>
        <w:t xml:space="preserve">combined with</w:t>
      </w:r>
      <w:r>
        <w:t xml:space="preserve"> </w:t>
      </w:r>
      <w:r>
        <w:rPr>
          <w:b/>
          <w:bCs/>
        </w:rPr>
        <w:t xml:space="preserve">5 years of progressive experience in machine learning</w:t>
      </w:r>
      <w:r>
        <w:t xml:space="preserve"> </w:t>
      </w:r>
      <w:r>
        <w:t xml:space="preserve">may be accepted as an equivalent qualification.</w:t>
      </w:r>
      <w:r>
        <w:t xml:space="preserve">”</w:t>
      </w:r>
      <w:r>
        <w:t xml:space="preserve"> </w:t>
      </w:r>
      <w:r>
        <w:t xml:space="preserve">The Beneficiary satisfies the engineering-degree prong (ECE is an engineering discipline). The experience prong, however, is not met on the present record:</w:t>
      </w:r>
    </w:p>
    <w:p>
      <w:pPr>
        <w:pStyle w:val="Compact"/>
        <w:numPr>
          <w:ilvl w:val="0"/>
          <w:numId w:val="1001"/>
        </w:numPr>
      </w:pPr>
      <w:r>
        <w:rPr>
          <w:b/>
          <w:bCs/>
        </w:rPr>
        <w:t xml:space="preserve">Kiran Software Solutions (June 2014 – Dec. 2016):</w:t>
      </w:r>
      <w:r>
        <w:t xml:space="preserve"> </w:t>
      </w:r>
      <w:r>
        <w:t xml:space="preserve">Junior Software Developer — Java/Python web applications, database management,</w:t>
      </w:r>
      <w:r>
        <w:t xml:space="preserve"> </w:t>
      </w:r>
      <w:r>
        <w:t xml:space="preserve">“</w:t>
      </w:r>
      <w:r>
        <w:t xml:space="preserve">basic data analysis.</w:t>
      </w:r>
      <w:r>
        <w:t xml:space="preserve">”</w:t>
      </w:r>
      <w:r>
        <w:t xml:space="preserve"> </w:t>
      </w:r>
      <w:r>
        <w:t xml:space="preserve">This is</w:t>
      </w:r>
      <w:r>
        <w:t xml:space="preserve"> </w:t>
      </w:r>
      <w:r>
        <w:rPr>
          <w:b/>
          <w:bCs/>
        </w:rPr>
        <w:t xml:space="preserve">software development, not machine learning</w:t>
      </w:r>
      <w:r>
        <w:t xml:space="preserve">, and cannot be counted toward the 5-year ML requirement. (Kiran Experience Letter; résumé.)</w:t>
      </w:r>
    </w:p>
    <w:p>
      <w:pPr>
        <w:pStyle w:val="Compact"/>
        <w:numPr>
          <w:ilvl w:val="0"/>
          <w:numId w:val="1001"/>
        </w:numPr>
      </w:pPr>
      <w:r>
        <w:rPr>
          <w:b/>
          <w:bCs/>
        </w:rPr>
        <w:t xml:space="preserve">NovaStar Data Systems (Apr. 2017 – July 2020):</w:t>
      </w:r>
      <w:r>
        <w:t xml:space="preserve"> </w:t>
      </w:r>
      <w:r>
        <w:t xml:space="preserve">Machine Learning Analyst — this is genuine ML experience, but it spans only</w:t>
      </w:r>
      <w:r>
        <w:t xml:space="preserve"> </w:t>
      </w:r>
      <w:r>
        <w:rPr>
          <w:b/>
          <w:bCs/>
        </w:rPr>
        <w:t xml:space="preserve">~3 years 4 months</w:t>
      </w:r>
      <w:r>
        <w:t xml:space="preserve">, and the NovaStar letter does not reference TensorFlow, PyTorch, or AWS SageMaker (see Issue A-4). (NovaStar Experience Letter.)</w:t>
      </w:r>
    </w:p>
    <w:p>
      <w:pPr>
        <w:pStyle w:val="Compact"/>
        <w:numPr>
          <w:ilvl w:val="0"/>
          <w:numId w:val="1001"/>
        </w:numPr>
      </w:pPr>
      <w:r>
        <w:rPr>
          <w:b/>
          <w:bCs/>
        </w:rPr>
        <w:t xml:space="preserve">Independent ML Consultant (Aug. 2020 – Aug. 2023):</w:t>
      </w:r>
      <w:r>
        <w:t xml:space="preserve"> </w:t>
      </w:r>
      <w:r>
        <w:t xml:space="preserve">3 years of claimed ML experience, but</w:t>
      </w:r>
      <w:r>
        <w:t xml:space="preserve"> </w:t>
      </w:r>
      <w:r>
        <w:rPr>
          <w:b/>
          <w:bCs/>
        </w:rPr>
        <w:t xml:space="preserve">entirely undocumented</w:t>
      </w:r>
      <w:r>
        <w:t xml:space="preserve"> </w:t>
      </w:r>
      <w:r>
        <w:t xml:space="preserve">(see Issue A-3).</w:t>
      </w:r>
    </w:p>
    <w:p>
      <w:pPr>
        <w:pStyle w:val="FirstParagraph"/>
      </w:pPr>
      <w:r>
        <w:t xml:space="preserve">Documented progressive ML experience therefore totals</w:t>
      </w:r>
      <w:r>
        <w:t xml:space="preserve"> </w:t>
      </w:r>
      <w:r>
        <w:rPr>
          <w:b/>
          <w:bCs/>
        </w:rPr>
        <w:t xml:space="preserve">~3.25 years</w:t>
      </w:r>
      <w:r>
        <w:t xml:space="preserve"> </w:t>
      </w:r>
      <w:r>
        <w:t xml:space="preserve">— short of the 5-year alternative threshold. The Employer Letter’s assertion that the Beneficiary has</w:t>
      </w:r>
      <w:r>
        <w:t xml:space="preserve"> </w:t>
      </w:r>
      <w:r>
        <w:t xml:space="preserve">“</w:t>
      </w:r>
      <w:r>
        <w:t xml:space="preserve">over 8 years of progressive experience in software development and machine learning engineering</w:t>
      </w:r>
      <w:r>
        <w:t xml:space="preserve">”</w:t>
      </w:r>
      <w:r>
        <w:t xml:space="preserve"> </w:t>
      </w:r>
      <w:r>
        <w:t xml:space="preserve">conflates software development with machine learning and overstates the documented ML-specific experience.</w:t>
      </w:r>
    </w:p>
    <w:p>
      <w:pPr>
        <w:pStyle w:val="BodyText"/>
      </w:pPr>
      <w:r>
        <w:rPr>
          <w:b/>
          <w:bCs/>
        </w:rPr>
        <w:t xml:space="preserve">Standard.</w:t>
      </w:r>
      <w:r>
        <w:t xml:space="preserve"> </w:t>
      </w:r>
      <w:r>
        <w:t xml:space="preserve">8 CFR § 214.2(h)(4)(iii)(C) (experience may be accepted in the appropriate combination to establish equivalence); the petitioner must document progressive post-baccalaureate experience in the specialty with contemporaneous or reliable secondary evidence.</w:t>
      </w:r>
    </w:p>
    <w:p>
      <w:pPr>
        <w:pStyle w:val="BodyText"/>
      </w:pPr>
      <w:r>
        <w:rPr>
          <w:b/>
          <w:bCs/>
        </w:rPr>
        <w:t xml:space="preserve">Risk.</w:t>
      </w:r>
      <w:r>
        <w:t xml:space="preserve"> </w:t>
      </w:r>
      <w:r>
        <w:t xml:space="preserve">If the primary path (A-1) is rejected on field-of-study grounds, the alternative path fails for want of 5 documented years of ML experience. The petition would then lack any viable qualification theory.</w:t>
      </w:r>
    </w:p>
    <w:p>
      <w:pPr>
        <w:pStyle w:val="BodyText"/>
      </w:pPr>
      <w:r>
        <w:rPr>
          <w:b/>
          <w:bCs/>
        </w:rPr>
        <w:t xml:space="preserve">Recommendation.</w:t>
      </w:r>
      <w:r>
        <w:t xml:space="preserve"> </w:t>
      </w:r>
      <w:r>
        <w:t xml:space="preserve">Document the independent consulting period (Issue A-3). With NovaStar (~3.25 yrs) plus documented consulting (3 yrs), the alternative threshold of 5 years is exceeded. Ensure the documentation characterizes the consulting as progressive ML work.</w:t>
      </w:r>
    </w:p>
    <w:p>
      <w:r>
        <w:pict>
          <v:rect style="width:0;height:1.5pt" o:hralign="center" o:hrstd="t" o:hr="t"/>
        </w:pict>
      </w:r>
    </w:p>
    <w:bookmarkEnd w:id="25"/>
    <w:bookmarkStart w:id="26" w:name="Xbee3fd3a9799f775ed6a630f2e22a417c2664d3"/>
    <w:p>
      <w:pPr>
        <w:pStyle w:val="Heading4"/>
      </w:pPr>
      <w:r>
        <w:t xml:space="preserve">A-3. Undocumented Independent Consulting Period — Aug. 2020 to Aug. 2023 (HIGH)</w:t>
      </w:r>
    </w:p>
    <w:p>
      <w:pPr>
        <w:pStyle w:val="FirstParagraph"/>
      </w:pPr>
      <w:r>
        <w:rPr>
          <w:b/>
          <w:bCs/>
        </w:rPr>
        <w:t xml:space="preserve">Finding.</w:t>
      </w:r>
      <w:r>
        <w:t xml:space="preserve"> </w:t>
      </w:r>
      <w:r>
        <w:t xml:space="preserve">The résumé and the Employer Letter both list</w:t>
      </w:r>
      <w:r>
        <w:t xml:space="preserve"> </w:t>
      </w:r>
      <w:r>
        <w:t xml:space="preserve">“</w:t>
      </w:r>
      <w:r>
        <w:t xml:space="preserve">Independent Machine Learning Consultant</w:t>
      </w:r>
      <w:r>
        <w:t xml:space="preserve">”</w:t>
      </w:r>
      <w:r>
        <w:t xml:space="preserve"> </w:t>
      </w:r>
      <w:r>
        <w:t xml:space="preserve">from August 2020 to August 2023 (3 years), during which the Beneficiary allegedly developed NLP pipelines, fine-tuned transformer models, and built LLM/RAG workflows using TensorFlow, PyTorch, Hugging Face Transformers, and AWS SageMaker.</w:t>
      </w:r>
      <w:r>
        <w:t xml:space="preserve"> </w:t>
      </w:r>
      <w:r>
        <w:rPr>
          <w:b/>
          <w:bCs/>
        </w:rPr>
        <w:t xml:space="preserve">No supporting documentation of any kind is included</w:t>
      </w:r>
      <w:r>
        <w:t xml:space="preserve"> </w:t>
      </w:r>
      <w:r>
        <w:t xml:space="preserve">— no client engagement letters, no 1099/1040 tax records, no business-registration or DBA evidence, no contracts or statements of work, no LinkedIn/client corroboration.</w:t>
      </w:r>
    </w:p>
    <w:p>
      <w:pPr>
        <w:pStyle w:val="BodyText"/>
      </w:pPr>
      <w:r>
        <w:rPr>
          <w:b/>
          <w:bCs/>
        </w:rPr>
        <w:t xml:space="preserve">Standard.</w:t>
      </w:r>
      <w:r>
        <w:t xml:space="preserve"> </w:t>
      </w:r>
      <w:r>
        <w:t xml:space="preserve">USCIS scrutinizes self-employment and independent-contractor experience heavily and routinely issues RFEs demanding objective, contemporaneous corroboration (tax filings, client letters on letterhead describing dates/duties/tools, business records). Conclusory résumé entries are given little weight.</w:t>
      </w:r>
    </w:p>
    <w:p>
      <w:pPr>
        <w:pStyle w:val="BodyText"/>
      </w:pPr>
      <w:r>
        <w:rPr>
          <w:b/>
          <w:bCs/>
        </w:rPr>
        <w:t xml:space="preserve">Risk.</w:t>
      </w:r>
      <w:r>
        <w:t xml:space="preserve"> </w:t>
      </w:r>
      <w:r>
        <w:t xml:space="preserve">This 3-year block is load-bearing for the petition: it is the only period in which the required TensorFlow/PyTorch/AWS/LLM tools are claimed (Issue A-4), and it is needed to reach the 5-year alternative threshold (Issue A-2). If uncredited, both qualification theories are weakened and the specific-tool experience requirement is unsatisfied.</w:t>
      </w:r>
    </w:p>
    <w:p>
      <w:pPr>
        <w:pStyle w:val="BodyText"/>
      </w:pPr>
      <w:r>
        <w:rPr>
          <w:b/>
          <w:bCs/>
        </w:rPr>
        <w:t xml:space="preserve">Recommendation.</w:t>
      </w:r>
      <w:r>
        <w:t xml:space="preserve"> </w:t>
      </w:r>
      <w:r>
        <w:t xml:space="preserve">Obtain, at minimum: (a) 2–3</w:t>
      </w:r>
      <w:r>
        <w:t xml:space="preserve"> </w:t>
      </w:r>
      <w:r>
        <w:rPr>
          <w:b/>
          <w:bCs/>
        </w:rPr>
        <w:t xml:space="preserve">client letters</w:t>
      </w:r>
      <w:r>
        <w:t xml:space="preserve"> </w:t>
      </w:r>
      <w:r>
        <w:t xml:space="preserve">on client letterhead identifying the Beneficiary, the engagement dates, the specific ML/NLP/LLM duties, and the tools used (TensorFlow, PyTorch, AWS SageMaker, Hugging Face); (b)</w:t>
      </w:r>
      <w:r>
        <w:t xml:space="preserve"> </w:t>
      </w:r>
      <w:r>
        <w:rPr>
          <w:b/>
          <w:bCs/>
        </w:rPr>
        <w:t xml:space="preserve">IRS transcripts / 1099s / Schedule C</w:t>
      </w:r>
      <w:r>
        <w:t xml:space="preserve"> </w:t>
      </w:r>
      <w:r>
        <w:t xml:space="preserve">for 2020–2023 showing self-employment income; and (c) any</w:t>
      </w:r>
      <w:r>
        <w:t xml:space="preserve"> </w:t>
      </w:r>
      <w:r>
        <w:rPr>
          <w:b/>
          <w:bCs/>
        </w:rPr>
        <w:t xml:space="preserve">business registration / DBA</w:t>
      </w:r>
      <w:r>
        <w:t xml:space="preserve"> </w:t>
      </w:r>
      <w:r>
        <w:t xml:space="preserve">evidence. Where clients cannot be reached, supply tax records plus a detailed sworn declaration from the Beneficiary describing each engagement.</w:t>
      </w:r>
    </w:p>
    <w:p>
      <w:r>
        <w:pict>
          <v:rect style="width:0;height:1.5pt" o:hralign="center" o:hrstd="t" o:hr="t"/>
        </w:pict>
      </w:r>
    </w:p>
    <w:bookmarkEnd w:id="26"/>
    <w:bookmarkStart w:id="27" w:name="Xdda8043f89abd992ae631057ac474c215d9b476"/>
    <w:p>
      <w:pPr>
        <w:pStyle w:val="Heading4"/>
      </w:pPr>
      <w:r>
        <w:t xml:space="preserve">A-4. Required Specific Tools Not Evidenced in Documented ML Experience (HIGH)</w:t>
      </w:r>
    </w:p>
    <w:p>
      <w:pPr>
        <w:pStyle w:val="FirstParagraph"/>
      </w:pPr>
      <w:r>
        <w:rPr>
          <w:b/>
          <w:bCs/>
        </w:rPr>
        <w:t xml:space="preserve">Finding.</w:t>
      </w:r>
      <w:r>
        <w:t xml:space="preserve"> </w:t>
      </w:r>
      <w:r>
        <w:t xml:space="preserve">The Employer Letter (§ 3) requires</w:t>
      </w:r>
      <w:r>
        <w:t xml:space="preserve"> </w:t>
      </w:r>
      <w:r>
        <w:t xml:space="preserve">“</w:t>
      </w:r>
      <w:r>
        <w:t xml:space="preserve">a minimum of 3 years of progressive experience in machine learning engineering, including demonstrated proficiency with</w:t>
      </w:r>
      <w:r>
        <w:t xml:space="preserve"> </w:t>
      </w:r>
      <w:r>
        <w:rPr>
          <w:b/>
          <w:bCs/>
        </w:rPr>
        <w:t xml:space="preserve">Python, TensorFlow, PyTorch, and cloud-based ML deployment platforms such as AWS SageMaker</w:t>
      </w:r>
      <w:r>
        <w:t xml:space="preserve">,</w:t>
      </w:r>
      <w:r>
        <w:t xml:space="preserve">”</w:t>
      </w:r>
      <w:r>
        <w:t xml:space="preserve"> </w:t>
      </w:r>
      <w:r>
        <w:t xml:space="preserve">plus</w:t>
      </w:r>
      <w:r>
        <w:t xml:space="preserve"> </w:t>
      </w:r>
      <w:r>
        <w:t xml:space="preserve">“</w:t>
      </w:r>
      <w:r>
        <w:t xml:space="preserve">experience with natural language processing (NLP) and large language model fine-tuning.</w:t>
      </w:r>
      <w:r>
        <w:t xml:space="preserve">”</w:t>
      </w:r>
      <w:r>
        <w:t xml:space="preserve"> </w:t>
      </w:r>
      <w:r>
        <w:t xml:space="preserve">The</w:t>
      </w:r>
      <w:r>
        <w:t xml:space="preserve"> </w:t>
      </w:r>
      <w:r>
        <w:rPr>
          <w:b/>
          <w:bCs/>
        </w:rPr>
        <w:t xml:space="preserve">only documented ML experience</w:t>
      </w:r>
      <w:r>
        <w:t xml:space="preserve"> </w:t>
      </w:r>
      <w:r>
        <w:t xml:space="preserve">— the NovaStar letter — references Python, scikit-learn, Tableau, SQL, and A/B testing, but is</w:t>
      </w:r>
      <w:r>
        <w:t xml:space="preserve"> </w:t>
      </w:r>
      <w:r>
        <w:rPr>
          <w:b/>
          <w:bCs/>
        </w:rPr>
        <w:t xml:space="preserve">silent on TensorFlow, PyTorch, AWS SageMaker, NLP, and LLM fine-tuning.</w:t>
      </w:r>
      <w:r>
        <w:t xml:space="preserve"> </w:t>
      </w:r>
      <w:r>
        <w:t xml:space="preserve">Those tools appear only in the résumé and only within the undocumented consulting period (Issue A-3).</w:t>
      </w:r>
    </w:p>
    <w:p>
      <w:pPr>
        <w:pStyle w:val="BodyText"/>
      </w:pPr>
      <w:r>
        <w:rPr>
          <w:b/>
          <w:bCs/>
        </w:rPr>
        <w:t xml:space="preserve">Risk.</w:t>
      </w:r>
      <w:r>
        <w:t xml:space="preserve"> </w:t>
      </w:r>
      <w:r>
        <w:t xml:space="preserve">An adjudicator may find that the documented experience does not establish proficiency in the specific tools the position requires, supporting an RFE on whether the Beneficiary is qualified for the particular specialty duties.</w:t>
      </w:r>
    </w:p>
    <w:p>
      <w:pPr>
        <w:pStyle w:val="BodyText"/>
      </w:pPr>
      <w:r>
        <w:rPr>
          <w:b/>
          <w:bCs/>
        </w:rPr>
        <w:t xml:space="preserve">Recommendation.</w:t>
      </w:r>
      <w:r>
        <w:t xml:space="preserve"> </w:t>
      </w:r>
      <w:r>
        <w:t xml:space="preserve">Cure via the consulting-period documentation in Issue A-3, ensuring the client letters expressly name TensorFlow, PyTorch, AWS SageMaker, and NLP/LLM work. Consider also a supplemental NovaStar letter or declaration expanding on the tooling used, if accurate.</w:t>
      </w:r>
    </w:p>
    <w:p>
      <w:r>
        <w:pict>
          <v:rect style="width:0;height:1.5pt" o:hralign="center" o:hrstd="t" o:hr="t"/>
        </w:pict>
      </w:r>
    </w:p>
    <w:bookmarkEnd w:id="27"/>
    <w:bookmarkStart w:id="28" w:name="X00295816205999d4b8ed390a50e2242f55b2448"/>
    <w:p>
      <w:pPr>
        <w:pStyle w:val="Heading4"/>
      </w:pPr>
      <w:r>
        <w:t xml:space="preserve">A-5. Credential Evaluator’s Qualification Questionable (HIGH)</w:t>
      </w:r>
    </w:p>
    <w:p>
      <w:pPr>
        <w:pStyle w:val="FirstParagraph"/>
      </w:pPr>
      <w:r>
        <w:rPr>
          <w:b/>
          <w:bCs/>
        </w:rPr>
        <w:t xml:space="preserve">Finding.</w:t>
      </w:r>
      <w:r>
        <w:t xml:space="preserve"> </w:t>
      </w:r>
      <w:r>
        <w:t xml:space="preserve">The Credential Evaluation is signed by</w:t>
      </w:r>
      <w:r>
        <w:t xml:space="preserve"> </w:t>
      </w:r>
      <w:r>
        <w:t xml:space="preserve">“</w:t>
      </w:r>
      <w:r>
        <w:t xml:space="preserve">Dr. Linda Farnsworth, Ph.D., Senior Credential Analyst,</w:t>
      </w:r>
      <w:r>
        <w:t xml:space="preserve">”</w:t>
      </w:r>
      <w:r>
        <w:t xml:space="preserve"> </w:t>
      </w:r>
      <w:r>
        <w:t xml:space="preserve">whose credential is listed as</w:t>
      </w:r>
      <w:r>
        <w:t xml:space="preserve"> </w:t>
      </w:r>
      <w:r>
        <w:t xml:space="preserve">“</w:t>
      </w:r>
      <w:r>
        <w:t xml:space="preserve">Ph.D., Education —</w:t>
      </w:r>
      <w:r>
        <w:t xml:space="preserve"> </w:t>
      </w:r>
      <w:r>
        <w:rPr>
          <w:b/>
          <w:bCs/>
        </w:rPr>
        <w:t xml:space="preserve">Halford University</w:t>
      </w:r>
      <w:r>
        <w:t xml:space="preserve">.</w:t>
      </w:r>
      <w:r>
        <w:t xml:space="preserve">”</w:t>
      </w:r>
      <w:r>
        <w:t xml:space="preserve"> </w:t>
      </w:r>
      <w:r>
        <w:t xml:space="preserve">“</w:t>
      </w:r>
      <w:r>
        <w:t xml:space="preserve">Halford University</w:t>
      </w:r>
      <w:r>
        <w:t xml:space="preserve">”</w:t>
      </w:r>
      <w:r>
        <w:t xml:space="preserve"> </w:t>
      </w:r>
      <w:r>
        <w:t xml:space="preserve">is not a recognized, regionally accredited U.S. institution of higher education and appears to be either unaccredited or a non-residential/online entity of uncertain standing. The evaluation firm’s NACES membership is asserted but the evaluator’s</w:t>
      </w:r>
      <w:r>
        <w:t xml:space="preserve"> </w:t>
      </w:r>
      <w:r>
        <w:rPr>
          <w:i/>
          <w:iCs/>
        </w:rPr>
        <w:t xml:space="preserve">personal</w:t>
      </w:r>
      <w:r>
        <w:t xml:space="preserve"> </w:t>
      </w:r>
      <w:r>
        <w:t xml:space="preserve">academic credential is the weak link.</w:t>
      </w:r>
    </w:p>
    <w:p>
      <w:pPr>
        <w:pStyle w:val="BodyText"/>
      </w:pPr>
      <w:r>
        <w:rPr>
          <w:b/>
          <w:bCs/>
        </w:rPr>
        <w:t xml:space="preserve">Risk.</w:t>
      </w:r>
      <w:r>
        <w:t xml:space="preserve"> </w:t>
      </w:r>
      <w:r>
        <w:t xml:space="preserve">If the evaluator’s own doctorate is from an unaccredited institution, the weight of the evaluation — already limited because it does not address field-of-study suitability (Issue A-1) — is further diminished, and an adjudicator may discount it. This compounds the field-of-study risk.</w:t>
      </w:r>
    </w:p>
    <w:p>
      <w:pPr>
        <w:pStyle w:val="BodyText"/>
      </w:pPr>
      <w:r>
        <w:rPr>
          <w:b/>
          <w:bCs/>
        </w:rPr>
        <w:t xml:space="preserve">Recommendation.</w:t>
      </w:r>
      <w:r>
        <w:t xml:space="preserve"> </w:t>
      </w:r>
      <w:r>
        <w:t xml:space="preserve">Verify Halford University’s accreditation status. If it is not accredited (or cannot be confirmed), re-issue the evaluation through a NACES-member firm using an evaluator with a verifiable, regionally accredited U.S. academic credential, and have that evaluation address field-of-study suitability (per Issue A-1).</w:t>
      </w:r>
    </w:p>
    <w:p>
      <w:r>
        <w:pict>
          <v:rect style="width:0;height:1.5pt" o:hralign="center" o:hrstd="t" o:hr="t"/>
        </w:pict>
      </w:r>
    </w:p>
    <w:bookmarkEnd w:id="28"/>
    <w:bookmarkEnd w:id="29"/>
    <w:bookmarkStart w:id="37" w:name="Xe6c1c705f024b2c33ab9b1880c4ca33e1a4eebe"/>
    <w:p>
      <w:pPr>
        <w:pStyle w:val="Heading3"/>
      </w:pPr>
      <w:r>
        <w:t xml:space="preserve">IV.C. Document Consistency / Cross-Reference Discrepancies (Category C)</w:t>
      </w:r>
    </w:p>
    <w:bookmarkStart w:id="30" w:name="X0eb83539587ecda76054b0bbe512cb04b641143"/>
    <w:p>
      <w:pPr>
        <w:pStyle w:val="Heading4"/>
      </w:pPr>
      <w:r>
        <w:t xml:space="preserve">C-1. Employment-Date Discrepancies — Résumé vs. Experience Letters (MEDIUM)</w:t>
      </w:r>
    </w:p>
    <w:p>
      <w:pPr>
        <w:pStyle w:val="FirstParagraph"/>
      </w:pPr>
      <w:r>
        <w:rPr>
          <w:b/>
          <w:bCs/>
        </w:rPr>
        <w:t xml:space="preserve">Finding.</w:t>
      </w:r>
      <w:r>
        <w:t xml:space="preserve"> </w:t>
      </w:r>
      <w:r>
        <w:t xml:space="preserve">The résumé’s employment dates do not match the corroborating experience letters or the Employer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Employer</w:t>
            </w:r>
          </w:p>
        </w:tc>
        <w:tc>
          <w:tcPr/>
          <w:p>
            <w:pPr>
              <w:pStyle w:val="Compact"/>
              <w:jc w:val="left"/>
            </w:pPr>
            <w:r>
              <w:t xml:space="preserve">Résumé</w:t>
            </w:r>
          </w:p>
        </w:tc>
        <w:tc>
          <w:tcPr/>
          <w:p>
            <w:pPr>
              <w:pStyle w:val="Compact"/>
              <w:jc w:val="left"/>
            </w:pPr>
            <w:r>
              <w:t xml:space="preserve">Experience Letter</w:t>
            </w:r>
          </w:p>
        </w:tc>
        <w:tc>
          <w:tcPr/>
          <w:p>
            <w:pPr>
              <w:pStyle w:val="Compact"/>
              <w:jc w:val="left"/>
            </w:pPr>
            <w:r>
              <w:t xml:space="preserve">Employer Letter</w:t>
            </w:r>
          </w:p>
        </w:tc>
      </w:tr>
      <w:tr>
        <w:tc>
          <w:tcPr/>
          <w:p>
            <w:pPr>
              <w:pStyle w:val="Compact"/>
              <w:jc w:val="left"/>
            </w:pPr>
            <w:r>
              <w:t xml:space="preserve">Kiran Software Solutions</w:t>
            </w:r>
          </w:p>
        </w:tc>
        <w:tc>
          <w:tcPr/>
          <w:p>
            <w:pPr>
              <w:pStyle w:val="Compact"/>
              <w:jc w:val="left"/>
            </w:pPr>
            <w:r>
              <w:t xml:space="preserve">June 2014 –</w:t>
            </w:r>
            <w:r>
              <w:t xml:space="preserve"> </w:t>
            </w:r>
            <w:r>
              <w:rPr>
                <w:b/>
                <w:bCs/>
              </w:rPr>
              <w:t xml:space="preserve">March 2017</w:t>
            </w:r>
          </w:p>
        </w:tc>
        <w:tc>
          <w:tcPr/>
          <w:p>
            <w:pPr>
              <w:pStyle w:val="Compact"/>
              <w:jc w:val="left"/>
            </w:pPr>
            <w:r>
              <w:t xml:space="preserve">June 16, 2014 –</w:t>
            </w:r>
            <w:r>
              <w:t xml:space="preserve"> </w:t>
            </w:r>
            <w:r>
              <w:rPr>
                <w:b/>
                <w:bCs/>
              </w:rPr>
              <w:t xml:space="preserve">Dec. 9, 2016</w:t>
            </w:r>
          </w:p>
        </w:tc>
        <w:tc>
          <w:tcPr/>
          <w:p>
            <w:pPr>
              <w:pStyle w:val="Compact"/>
              <w:jc w:val="left"/>
            </w:pPr>
            <w:r>
              <w:t xml:space="preserve">June 2014 –</w:t>
            </w:r>
            <w:r>
              <w:t xml:space="preserve"> </w:t>
            </w:r>
            <w:r>
              <w:rPr>
                <w:b/>
                <w:bCs/>
              </w:rPr>
              <w:t xml:space="preserve">December 2016</w:t>
            </w:r>
          </w:p>
        </w:tc>
      </w:tr>
      <w:tr>
        <w:tc>
          <w:tcPr/>
          <w:p>
            <w:pPr>
              <w:pStyle w:val="Compact"/>
              <w:jc w:val="left"/>
            </w:pPr>
            <w:r>
              <w:t xml:space="preserve">NovaStar Data Systems</w:t>
            </w:r>
          </w:p>
        </w:tc>
        <w:tc>
          <w:tcPr/>
          <w:p>
            <w:pPr>
              <w:pStyle w:val="Compact"/>
              <w:jc w:val="left"/>
            </w:pPr>
            <w:r>
              <w:t xml:space="preserve">April 2017 –</w:t>
            </w:r>
            <w:r>
              <w:t xml:space="preserve"> </w:t>
            </w:r>
            <w:r>
              <w:rPr>
                <w:b/>
                <w:bCs/>
              </w:rPr>
              <w:t xml:space="preserve">August 2020</w:t>
            </w:r>
          </w:p>
        </w:tc>
        <w:tc>
          <w:tcPr/>
          <w:p>
            <w:pPr>
              <w:pStyle w:val="Compact"/>
              <w:jc w:val="left"/>
            </w:pPr>
            <w:r>
              <w:t xml:space="preserve">April 2017 –</w:t>
            </w:r>
            <w:r>
              <w:t xml:space="preserve"> </w:t>
            </w:r>
            <w:r>
              <w:rPr>
                <w:b/>
                <w:bCs/>
              </w:rPr>
              <w:t xml:space="preserve">July 2020</w:t>
            </w:r>
          </w:p>
        </w:tc>
        <w:tc>
          <w:tcPr/>
          <w:p>
            <w:pPr>
              <w:pStyle w:val="Compact"/>
              <w:jc w:val="left"/>
            </w:pPr>
            <w:r>
              <w:t xml:space="preserve">April 2017 –</w:t>
            </w:r>
            <w:r>
              <w:t xml:space="preserve"> </w:t>
            </w:r>
            <w:r>
              <w:rPr>
                <w:b/>
                <w:bCs/>
              </w:rPr>
              <w:t xml:space="preserve">July 2020</w:t>
            </w:r>
          </w:p>
        </w:tc>
      </w:tr>
    </w:tbl>
    <w:p>
      <w:pPr>
        <w:pStyle w:val="BodyText"/>
      </w:pPr>
      <w:r>
        <w:t xml:space="preserve">The résumé overstates the Kiran tenure by ~3 months and the NovaStar tenure by ~1 month relative to the controlling experience letters.</w:t>
      </w:r>
    </w:p>
    <w:p>
      <w:pPr>
        <w:pStyle w:val="BodyText"/>
      </w:pPr>
      <w:r>
        <w:rPr>
          <w:b/>
          <w:bCs/>
        </w:rPr>
        <w:t xml:space="preserve">Risk.</w:t>
      </w:r>
      <w:r>
        <w:t xml:space="preserve"> </w:t>
      </w:r>
      <w:r>
        <w:t xml:space="preserve">Date inconsistencies between the résumé and the experience letters create credibility concerns and can prompt an RFE seeking reconciliation. They also obscure a gap (Issue C-4).</w:t>
      </w:r>
    </w:p>
    <w:p>
      <w:pPr>
        <w:pStyle w:val="BodyText"/>
      </w:pPr>
      <w:r>
        <w:rPr>
          <w:b/>
          <w:bCs/>
        </w:rPr>
        <w:t xml:space="preserve">Recommendation.</w:t>
      </w:r>
      <w:r>
        <w:t xml:space="preserve"> </w:t>
      </w:r>
      <w:r>
        <w:t xml:space="preserve">Correct the résumé to match the experience letters (Kiran through Dec. 2016; NovaStar through July 2020), or obtain a corrected/supplemental experience letter if the résumé dates are accurate. Reconcile the Employer Letter’s experience narrative to the corrected dates.</w:t>
      </w:r>
    </w:p>
    <w:p>
      <w:r>
        <w:pict>
          <v:rect style="width:0;height:1.5pt" o:hralign="center" o:hrstd="t" o:hr="t"/>
        </w:pict>
      </w:r>
    </w:p>
    <w:bookmarkEnd w:id="30"/>
    <w:bookmarkStart w:id="31" w:name="Xad043b3b058164bfdcd36817d0f6068f97c11c6"/>
    <w:p>
      <w:pPr>
        <w:pStyle w:val="Heading4"/>
      </w:pPr>
      <w:r>
        <w:t xml:space="preserve">C-2. Employer Telephone Number Inconsistent Across Four Documents (MEDIUM)</w:t>
      </w:r>
    </w:p>
    <w:p>
      <w:pPr>
        <w:pStyle w:val="FirstParagraph"/>
      </w:pPr>
      <w:r>
        <w:rPr>
          <w:b/>
          <w:bCs/>
        </w:rPr>
        <w:t xml:space="preserve">Finding.</w:t>
      </w:r>
      <w:r>
        <w:t xml:space="preserve"> </w:t>
      </w:r>
      <w:r>
        <w:t xml:space="preserve">The Petitioner’s telephone number appears differently in four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Employer Phone</w:t>
            </w:r>
          </w:p>
        </w:tc>
      </w:tr>
      <w:tr>
        <w:tc>
          <w:tcPr/>
          <w:p>
            <w:pPr>
              <w:pStyle w:val="Compact"/>
              <w:jc w:val="left"/>
            </w:pPr>
            <w:r>
              <w:t xml:space="preserve">Certified LCA (§ C.4 / § D.4)</w:t>
            </w:r>
          </w:p>
        </w:tc>
        <w:tc>
          <w:tcPr/>
          <w:p>
            <w:pPr>
              <w:pStyle w:val="Compact"/>
              <w:jc w:val="left"/>
            </w:pPr>
            <w:r>
              <w:t xml:space="preserve">(512) 555-0142</w:t>
            </w:r>
          </w:p>
        </w:tc>
      </w:tr>
      <w:tr>
        <w:tc>
          <w:tcPr/>
          <w:p>
            <w:pPr>
              <w:pStyle w:val="Compact"/>
              <w:jc w:val="left"/>
            </w:pPr>
            <w:r>
              <w:t xml:space="preserve">Employer Support Letter (letterhead &amp; body)</w:t>
            </w:r>
          </w:p>
        </w:tc>
        <w:tc>
          <w:tcPr/>
          <w:p>
            <w:pPr>
              <w:pStyle w:val="Compact"/>
              <w:jc w:val="left"/>
            </w:pPr>
            <w:r>
              <w:t xml:space="preserve">(512) 555-0194</w:t>
            </w:r>
          </w:p>
        </w:tc>
      </w:tr>
      <w:tr>
        <w:tc>
          <w:tcPr/>
          <w:p>
            <w:pPr>
              <w:pStyle w:val="Compact"/>
              <w:jc w:val="left"/>
            </w:pPr>
            <w:r>
              <w:t xml:space="preserve">PWD (§ 2)</w:t>
            </w:r>
          </w:p>
        </w:tc>
        <w:tc>
          <w:tcPr/>
          <w:p>
            <w:pPr>
              <w:pStyle w:val="Compact"/>
              <w:jc w:val="left"/>
            </w:pPr>
            <w:r>
              <w:t xml:space="preserve">(512) 555-0187</w:t>
            </w:r>
          </w:p>
        </w:tc>
      </w:tr>
      <w:tr>
        <w:tc>
          <w:tcPr/>
          <w:p>
            <w:pPr>
              <w:pStyle w:val="Compact"/>
              <w:jc w:val="left"/>
            </w:pPr>
            <w:r>
              <w:t xml:space="preserve">LCA Posting Notice</w:t>
            </w:r>
          </w:p>
        </w:tc>
        <w:tc>
          <w:tcPr/>
          <w:p>
            <w:pPr>
              <w:pStyle w:val="Compact"/>
              <w:jc w:val="left"/>
            </w:pPr>
            <w:r>
              <w:t xml:space="preserve">(512) 555-0174</w:t>
            </w:r>
          </w:p>
        </w:tc>
      </w:tr>
    </w:tbl>
    <w:p>
      <w:pPr>
        <w:pStyle w:val="BodyText"/>
      </w:pPr>
      <w:r>
        <w:t xml:space="preserve">The number on the</w:t>
      </w:r>
      <w:r>
        <w:t xml:space="preserve"> </w:t>
      </w:r>
      <w:r>
        <w:rPr>
          <w:b/>
          <w:bCs/>
        </w:rPr>
        <w:t xml:space="preserve">Posting Notice — (512) 555-0174 — is the Beneficiary’s personal mobile number</w:t>
      </w:r>
      <w:r>
        <w:t xml:space="preserve"> </w:t>
      </w:r>
      <w:r>
        <w:t xml:space="preserve">as listed on the résumé, not the employer’s number. The LCA, Employer Letter, and PWD each show yet another distinct number.</w:t>
      </w:r>
    </w:p>
    <w:p>
      <w:pPr>
        <w:pStyle w:val="BodyText"/>
      </w:pPr>
      <w:r>
        <w:rPr>
          <w:b/>
          <w:bCs/>
        </w:rPr>
        <w:t xml:space="preserve">Risk.</w:t>
      </w:r>
      <w:r>
        <w:t xml:space="preserve"> </w:t>
      </w:r>
      <w:r>
        <w:t xml:space="preserve">Inconsistent employer contact information undermines the package’s uniformity and, on the posting notice, misstates the employer’s contact to employees (a posting-content deficiency). Discrepancies between the LCA and PWD employer data can draw scrutiny.</w:t>
      </w:r>
    </w:p>
    <w:p>
      <w:pPr>
        <w:pStyle w:val="BodyText"/>
      </w:pPr>
      <w:r>
        <w:rPr>
          <w:b/>
          <w:bCs/>
        </w:rPr>
        <w:t xml:space="preserve">Recommendation.</w:t>
      </w:r>
      <w:r>
        <w:t xml:space="preserve"> </w:t>
      </w:r>
      <w:r>
        <w:t xml:space="preserve">Standardize one employer telephone number across all documents. Correct the posting notice to show the employer’s actual number (matching the LCA). Confirm the correct number with the Petitioner and align the PWD/LCA if necessary (a PWD/LCA mismatch on employer contact is not fatal but should be explained).</w:t>
      </w:r>
    </w:p>
    <w:p>
      <w:r>
        <w:pict>
          <v:rect style="width:0;height:1.5pt" o:hralign="center" o:hrstd="t" o:hr="t"/>
        </w:pict>
      </w:r>
    </w:p>
    <w:bookmarkEnd w:id="31"/>
    <w:bookmarkStart w:id="32" w:name="X7c705aef92d1a533f7c0dbc66c425aab447e2ca"/>
    <w:p>
      <w:pPr>
        <w:pStyle w:val="Heading4"/>
      </w:pPr>
      <w:r>
        <w:t xml:space="preserve">C-3. Supervisory Scope Inconsistent —</w:t>
      </w:r>
      <w:r>
        <w:t xml:space="preserve"> </w:t>
      </w:r>
      <w:r>
        <w:t xml:space="preserve">“</w:t>
      </w:r>
      <w:r>
        <w:t xml:space="preserve">3</w:t>
      </w:r>
      <w:r>
        <w:t xml:space="preserve">”</w:t>
      </w:r>
      <w:r>
        <w:t xml:space="preserve"> </w:t>
      </w:r>
      <w:r>
        <w:t xml:space="preserve">vs. </w:t>
      </w:r>
      <w:r>
        <w:t xml:space="preserve">“</w:t>
      </w:r>
      <w:r>
        <w:t xml:space="preserve">2</w:t>
      </w:r>
      <w:r>
        <w:t xml:space="preserve">”</w:t>
      </w:r>
      <w:r>
        <w:t xml:space="preserve"> </w:t>
      </w:r>
      <w:r>
        <w:t xml:space="preserve">Direct Reports (LOW–MEDIUM)</w:t>
      </w:r>
    </w:p>
    <w:p>
      <w:pPr>
        <w:pStyle w:val="FirstParagraph"/>
      </w:pPr>
      <w:r>
        <w:rPr>
          <w:b/>
          <w:bCs/>
        </w:rPr>
        <w:t xml:space="preserve">Finding.</w:t>
      </w:r>
      <w:r>
        <w:t xml:space="preserve"> </w:t>
      </w:r>
      <w:r>
        <w:t xml:space="preserve">The Employer Letter (§ 2, duty 4) states the Senior ML Engineer will</w:t>
      </w:r>
      <w:r>
        <w:t xml:space="preserve"> </w:t>
      </w:r>
      <w:r>
        <w:t xml:space="preserve">“</w:t>
      </w:r>
      <w:r>
        <w:t xml:space="preserve">lead[] and mentor[] a team of</w:t>
      </w:r>
      <w:r>
        <w:t xml:space="preserve"> </w:t>
      </w:r>
      <w:r>
        <w:rPr>
          <w:b/>
          <w:bCs/>
        </w:rPr>
        <w:t xml:space="preserve">3 junior data scientists</w:t>
      </w:r>
      <w:r>
        <w:t xml:space="preserve">.</w:t>
      </w:r>
      <w:r>
        <w:t xml:space="preserve">”</w:t>
      </w:r>
      <w:r>
        <w:t xml:space="preserve"> </w:t>
      </w:r>
      <w:r>
        <w:t xml:space="preserve">The Organizational Chart shows the Senior ML Engineer with</w:t>
      </w:r>
      <w:r>
        <w:t xml:space="preserve"> </w:t>
      </w:r>
      <w:r>
        <w:rPr>
          <w:b/>
          <w:bCs/>
        </w:rPr>
        <w:t xml:space="preserve">2 direct reports</w:t>
      </w:r>
      <w:r>
        <w:t xml:space="preserve"> </w:t>
      </w:r>
      <w:r>
        <w:t xml:space="preserve">(two</w:t>
      </w:r>
      <w:r>
        <w:t xml:space="preserve"> </w:t>
      </w:r>
      <w:r>
        <w:t xml:space="preserve">“</w:t>
      </w:r>
      <w:r>
        <w:t xml:space="preserve">Data Scientist (Filled)</w:t>
      </w:r>
      <w:r>
        <w:t xml:space="preserve">”</w:t>
      </w:r>
      <w:r>
        <w:t xml:space="preserve"> </w:t>
      </w:r>
      <w:r>
        <w:t xml:space="preserve">positions at Level 4). The LCA and PWD job duties say only</w:t>
      </w:r>
      <w:r>
        <w:t xml:space="preserve"> </w:t>
      </w:r>
      <w:r>
        <w:t xml:space="preserve">“</w:t>
      </w:r>
      <w:r>
        <w:t xml:space="preserve">lead and mentor a team of data scientists</w:t>
      </w:r>
      <w:r>
        <w:t xml:space="preserve">”</w:t>
      </w:r>
      <w:r>
        <w:t xml:space="preserve"> </w:t>
      </w:r>
      <w:r>
        <w:t xml:space="preserve">(no number).</w:t>
      </w:r>
    </w:p>
    <w:p>
      <w:pPr>
        <w:pStyle w:val="BodyText"/>
      </w:pPr>
      <w:r>
        <w:rPr>
          <w:b/>
          <w:bCs/>
        </w:rPr>
        <w:t xml:space="preserve">Risk.</w:t>
      </w:r>
      <w:r>
        <w:t xml:space="preserve"> </w:t>
      </w:r>
      <w:r>
        <w:t xml:space="preserve">The discrepancy is minor on its face but interacts with the wage-level analysis (Issue F-1): supervisory scope is a wage-level driver, and an inconsistent headcount weakens the petitioner’s ability to defend (or, conversely, to challenge) the assigned level.</w:t>
      </w:r>
    </w:p>
    <w:p>
      <w:pPr>
        <w:pStyle w:val="BodyText"/>
      </w:pPr>
      <w:r>
        <w:rPr>
          <w:b/>
          <w:bCs/>
        </w:rPr>
        <w:t xml:space="preserve">Recommendation.</w:t>
      </w:r>
      <w:r>
        <w:t xml:space="preserve"> </w:t>
      </w:r>
      <w:r>
        <w:t xml:space="preserve">Reconcile the headcount — correct the Employer Letter to</w:t>
      </w:r>
      <w:r>
        <w:t xml:space="preserve"> </w:t>
      </w:r>
      <w:r>
        <w:t xml:space="preserve">“</w:t>
      </w:r>
      <w:r>
        <w:t xml:space="preserve">2</w:t>
      </w:r>
      <w:r>
        <w:t xml:space="preserve">”</w:t>
      </w:r>
      <w:r>
        <w:t xml:space="preserve"> </w:t>
      </w:r>
      <w:r>
        <w:t xml:space="preserve">or update the org chart to</w:t>
      </w:r>
      <w:r>
        <w:t xml:space="preserve"> </w:t>
      </w:r>
      <w:r>
        <w:t xml:space="preserve">“</w:t>
      </w:r>
      <w:r>
        <w:t xml:space="preserve">3,</w:t>
      </w:r>
      <w:r>
        <w:t xml:space="preserve">”</w:t>
      </w:r>
      <w:r>
        <w:t xml:space="preserve"> </w:t>
      </w:r>
      <w:r>
        <w:t xml:space="preserve">whichever is accurate — and ensure the LCA/PWD job-duty language is consistent with the final figure.</w:t>
      </w:r>
    </w:p>
    <w:p>
      <w:r>
        <w:pict>
          <v:rect style="width:0;height:1.5pt" o:hralign="center" o:hrstd="t" o:hr="t"/>
        </w:pict>
      </w:r>
    </w:p>
    <w:bookmarkEnd w:id="32"/>
    <w:bookmarkStart w:id="33" w:name="X9fc08a10d237390d8aaa26f659deff2b640561d"/>
    <w:p>
      <w:pPr>
        <w:pStyle w:val="Heading4"/>
      </w:pPr>
      <w:r>
        <w:t xml:space="preserve">C-4. Unexplained Employment Gap — January to March 2017 (LOW–MEDIUM)</w:t>
      </w:r>
    </w:p>
    <w:p>
      <w:pPr>
        <w:pStyle w:val="FirstParagraph"/>
      </w:pPr>
      <w:r>
        <w:rPr>
          <w:b/>
          <w:bCs/>
        </w:rPr>
        <w:t xml:space="preserve">Finding.</w:t>
      </w:r>
      <w:r>
        <w:t xml:space="preserve"> </w:t>
      </w:r>
      <w:r>
        <w:t xml:space="preserve">Per the experience letters, Kiran employment ended</w:t>
      </w:r>
      <w:r>
        <w:t xml:space="preserve"> </w:t>
      </w:r>
      <w:r>
        <w:rPr>
          <w:b/>
          <w:bCs/>
        </w:rPr>
        <w:t xml:space="preserve">December 9, 2016</w:t>
      </w:r>
      <w:r>
        <w:t xml:space="preserve"> </w:t>
      </w:r>
      <w:r>
        <w:t xml:space="preserve">and NovaStar employment began</w:t>
      </w:r>
      <w:r>
        <w:t xml:space="preserve"> </w:t>
      </w:r>
      <w:r>
        <w:rPr>
          <w:b/>
          <w:bCs/>
        </w:rPr>
        <w:t xml:space="preserve">April 2017</w:t>
      </w:r>
      <w:r>
        <w:t xml:space="preserve">, leaving an unexplained gap of roughly four months. The résumé obscures this gap by extending Kiran through</w:t>
      </w:r>
      <w:r>
        <w:t xml:space="preserve"> </w:t>
      </w:r>
      <w:r>
        <w:t xml:space="preserve">“</w:t>
      </w:r>
      <w:r>
        <w:t xml:space="preserve">March 2017</w:t>
      </w:r>
      <w:r>
        <w:t xml:space="preserve">”</w:t>
      </w:r>
      <w:r>
        <w:t xml:space="preserve"> </w:t>
      </w:r>
      <w:r>
        <w:t xml:space="preserve">(Issue C-1).</w:t>
      </w:r>
    </w:p>
    <w:p>
      <w:pPr>
        <w:pStyle w:val="BodyText"/>
      </w:pPr>
      <w:r>
        <w:rPr>
          <w:b/>
          <w:bCs/>
        </w:rPr>
        <w:t xml:space="preserve">Risk.</w:t>
      </w:r>
      <w:r>
        <w:t xml:space="preserve"> </w:t>
      </w:r>
      <w:r>
        <w:t xml:space="preserve">Unexplained gaps in employment history can prompt status/continuity questions, particularly given the Beneficiary’s subsequent U.S. employment and the F-1 OPT assertion (Issue E-1).</w:t>
      </w:r>
    </w:p>
    <w:p>
      <w:pPr>
        <w:pStyle w:val="BodyText"/>
      </w:pPr>
      <w:r>
        <w:rPr>
          <w:b/>
          <w:bCs/>
        </w:rPr>
        <w:t xml:space="preserve">Recommendation.</w:t>
      </w:r>
      <w:r>
        <w:t xml:space="preserve"> </w:t>
      </w:r>
      <w:r>
        <w:t xml:space="preserve">Briefly explain the gap (e.g., return to India, job search, travel) in the Employer Letter or a Beneficiary declaration, and correct the résumé dates.</w:t>
      </w:r>
    </w:p>
    <w:p>
      <w:r>
        <w:pict>
          <v:rect style="width:0;height:1.5pt" o:hralign="center" o:hrstd="t" o:hr="t"/>
        </w:pict>
      </w:r>
    </w:p>
    <w:bookmarkEnd w:id="33"/>
    <w:bookmarkStart w:id="34" w:name="Xf6ea1c03ae05c7139f38608abbd101460ede11c"/>
    <w:p>
      <w:pPr>
        <w:pStyle w:val="Heading4"/>
      </w:pPr>
      <w:r>
        <w:t xml:space="preserve">C-5. Total-Experience Claim Inconsistent —</w:t>
      </w:r>
      <w:r>
        <w:t xml:space="preserve"> </w:t>
      </w:r>
      <w:r>
        <w:t xml:space="preserve">“</w:t>
      </w:r>
      <w:r>
        <w:t xml:space="preserve">7+</w:t>
      </w:r>
      <w:r>
        <w:t xml:space="preserve">”</w:t>
      </w:r>
      <w:r>
        <w:t xml:space="preserve"> </w:t>
      </w:r>
      <w:r>
        <w:t xml:space="preserve">vs. </w:t>
      </w:r>
      <w:r>
        <w:t xml:space="preserve">“</w:t>
      </w:r>
      <w:r>
        <w:t xml:space="preserve">Over 8</w:t>
      </w:r>
      <w:r>
        <w:t xml:space="preserve">”</w:t>
      </w:r>
      <w:r>
        <w:t xml:space="preserve"> </w:t>
      </w:r>
      <w:r>
        <w:t xml:space="preserve">Years (LOW)</w:t>
      </w:r>
    </w:p>
    <w:p>
      <w:pPr>
        <w:pStyle w:val="FirstParagraph"/>
      </w:pPr>
      <w:r>
        <w:rPr>
          <w:b/>
          <w:bCs/>
        </w:rPr>
        <w:t xml:space="preserve">Finding.</w:t>
      </w:r>
      <w:r>
        <w:t xml:space="preserve"> </w:t>
      </w:r>
      <w:r>
        <w:t xml:space="preserve">The résumé’s Professional Summary states</w:t>
      </w:r>
      <w:r>
        <w:t xml:space="preserve"> </w:t>
      </w:r>
      <w:r>
        <w:t xml:space="preserve">“</w:t>
      </w:r>
      <w:r>
        <w:t xml:space="preserve">7+ years of experience.</w:t>
      </w:r>
      <w:r>
        <w:t xml:space="preserve">”</w:t>
      </w:r>
      <w:r>
        <w:t xml:space="preserve"> </w:t>
      </w:r>
      <w:r>
        <w:t xml:space="preserve">The Employer Letter (§ 4) states</w:t>
      </w:r>
      <w:r>
        <w:t xml:space="preserve"> </w:t>
      </w:r>
      <w:r>
        <w:t xml:space="preserve">“</w:t>
      </w:r>
      <w:r>
        <w:t xml:space="preserve">over 8 years of progressive experience.</w:t>
      </w:r>
      <w:r>
        <w:t xml:space="preserve">”</w:t>
      </w:r>
      <w:r>
        <w:t xml:space="preserve"> </w:t>
      </w:r>
      <w:r>
        <w:t xml:space="preserve">The figures are not reconciled.</w:t>
      </w:r>
    </w:p>
    <w:p>
      <w:pPr>
        <w:pStyle w:val="BodyText"/>
      </w:pPr>
      <w:r>
        <w:rPr>
          <w:b/>
          <w:bCs/>
        </w:rPr>
        <w:t xml:space="preserve">Recommendation.</w:t>
      </w:r>
      <w:r>
        <w:t xml:space="preserve"> </w:t>
      </w:r>
      <w:r>
        <w:t xml:space="preserve">Use a single, supportable figure. If counting ML-specific experience from NovaStar (April 2017) forward, the figure is ~8 years as of the filing date; if counting all post-graduation employment, it is ~11 years. State the basis explicitly and use one number consistently.</w:t>
      </w:r>
    </w:p>
    <w:p>
      <w:r>
        <w:pict>
          <v:rect style="width:0;height:1.5pt" o:hralign="center" o:hrstd="t" o:hr="t"/>
        </w:pict>
      </w:r>
    </w:p>
    <w:bookmarkEnd w:id="34"/>
    <w:bookmarkStart w:id="35" w:name="Xa554cdc8c9b9ac167dd3caee8ca37fd4204557f"/>
    <w:p>
      <w:pPr>
        <w:pStyle w:val="Heading4"/>
      </w:pPr>
      <w:r>
        <w:t xml:space="preserve">C-6. Current OPT Title vs. Petitioned Title Not Reconciled (LOW)</w:t>
      </w:r>
    </w:p>
    <w:p>
      <w:pPr>
        <w:pStyle w:val="FirstParagraph"/>
      </w:pPr>
      <w:r>
        <w:rPr>
          <w:b/>
          <w:bCs/>
        </w:rPr>
        <w:t xml:space="preserve">Finding.</w:t>
      </w:r>
      <w:r>
        <w:t xml:space="preserve"> </w:t>
      </w:r>
      <w:r>
        <w:t xml:space="preserve">The résumé lists the Beneficiary’s current Brightfield title as</w:t>
      </w:r>
      <w:r>
        <w:t xml:space="preserve"> </w:t>
      </w:r>
      <w:r>
        <w:rPr>
          <w:b/>
          <w:bCs/>
        </w:rPr>
        <w:t xml:space="preserve">“</w:t>
      </w:r>
      <w:r>
        <w:rPr>
          <w:b/>
          <w:bCs/>
        </w:rPr>
        <w:t xml:space="preserve">Data Scientist</w:t>
      </w:r>
      <w:r>
        <w:rPr>
          <w:b/>
          <w:bCs/>
        </w:rPr>
        <w:t xml:space="preserve">”</w:t>
      </w:r>
      <w:r>
        <w:t xml:space="preserve"> </w:t>
      </w:r>
      <w:r>
        <w:t xml:space="preserve">(Sept. 2023–present). The petitioned position is</w:t>
      </w:r>
      <w:r>
        <w:t xml:space="preserve"> </w:t>
      </w:r>
      <w:r>
        <w:rPr>
          <w:b/>
          <w:bCs/>
        </w:rPr>
        <w:t xml:space="preserve">“</w:t>
      </w:r>
      <w:r>
        <w:rPr>
          <w:b/>
          <w:bCs/>
        </w:rPr>
        <w:t xml:space="preserve">Senior Machine Learning Engineer.</w:t>
      </w:r>
      <w:r>
        <w:rPr>
          <w:b/>
          <w:bCs/>
        </w:rPr>
        <w:t xml:space="preserve">”</w:t>
      </w:r>
      <w:r>
        <w:t xml:space="preserve"> </w:t>
      </w:r>
      <w:r>
        <w:t xml:space="preserve">The Employer Letter describes the Beneficiary as currently</w:t>
      </w:r>
      <w:r>
        <w:t xml:space="preserve"> </w:t>
      </w:r>
      <w:r>
        <w:t xml:space="preserve">“</w:t>
      </w:r>
      <w:r>
        <w:t xml:space="preserve">working within the data science and machine learning team</w:t>
      </w:r>
      <w:r>
        <w:t xml:space="preserve">”</w:t>
      </w:r>
      <w:r>
        <w:t xml:space="preserve"> </w:t>
      </w:r>
      <w:r>
        <w:t xml:space="preserve">without naming the current title, and the Org Chart shows only the proposed Senior ML Engineer role.</w:t>
      </w:r>
    </w:p>
    <w:p>
      <w:pPr>
        <w:pStyle w:val="BodyText"/>
      </w:pPr>
      <w:r>
        <w:rPr>
          <w:b/>
          <w:bCs/>
        </w:rPr>
        <w:t xml:space="preserve">Risk.</w:t>
      </w:r>
      <w:r>
        <w:t xml:space="preserve"> </w:t>
      </w:r>
      <w:r>
        <w:t xml:space="preserve">Low. A change of position between the OPT role and the H-1B role is permissible, but the package should make clear that the H-1B is for a new/higher position and not merely a continuation of the current OPT duties.</w:t>
      </w:r>
    </w:p>
    <w:p>
      <w:pPr>
        <w:pStyle w:val="BodyText"/>
      </w:pPr>
      <w:r>
        <w:rPr>
          <w:b/>
          <w:bCs/>
        </w:rPr>
        <w:t xml:space="preserve">Recommendation.</w:t>
      </w:r>
      <w:r>
        <w:t xml:space="preserve"> </w:t>
      </w:r>
      <w:r>
        <w:t xml:space="preserve">Add a sentence to the Employer Letter stating the Beneficiary’s current OPT title (Data Scientist) and that the H-1B petition is for a distinct, higher-level Senior ML Engineer position with materially different duties and requirements.</w:t>
      </w:r>
    </w:p>
    <w:p>
      <w:r>
        <w:pict>
          <v:rect style="width:0;height:1.5pt" o:hralign="center" o:hrstd="t" o:hr="t"/>
        </w:pict>
      </w:r>
    </w:p>
    <w:bookmarkEnd w:id="35"/>
    <w:bookmarkStart w:id="36" w:name="Xe4733207429761db8418b74c4f6f16beaa823b7"/>
    <w:p>
      <w:pPr>
        <w:pStyle w:val="Heading4"/>
      </w:pPr>
      <w:r>
        <w:t xml:space="preserve">C-7. Transcript Total Credits vs. Evaluation Characterization (LOW)</w:t>
      </w:r>
    </w:p>
    <w:p>
      <w:pPr>
        <w:pStyle w:val="FirstParagraph"/>
      </w:pPr>
      <w:r>
        <w:rPr>
          <w:b/>
          <w:bCs/>
        </w:rPr>
        <w:t xml:space="preserve">Finding.</w:t>
      </w:r>
      <w:r>
        <w:t xml:space="preserve"> </w:t>
      </w:r>
      <w:r>
        <w:t xml:space="preserve">The JNTU Transcript reports</w:t>
      </w:r>
      <w:r>
        <w:t xml:space="preserve"> </w:t>
      </w:r>
      <w:r>
        <w:rPr>
          <w:b/>
          <w:bCs/>
        </w:rPr>
        <w:t xml:space="preserve">184 total credits</w:t>
      </w:r>
      <w:r>
        <w:t xml:space="preserve"> </w:t>
      </w:r>
      <w:r>
        <w:t xml:space="preserve">(including laboratory credits) and ~160 theory credit hours. The Credential Evaluation (§ 4) characterizes the program as</w:t>
      </w:r>
      <w:r>
        <w:t xml:space="preserve"> </w:t>
      </w:r>
      <w:r>
        <w:t xml:space="preserve">“</w:t>
      </w:r>
      <w:r>
        <w:t xml:space="preserve">approximately 160 credit hours.</w:t>
      </w:r>
      <w:r>
        <w:t xml:space="preserve">”</w:t>
      </w:r>
      <w:r>
        <w:t xml:space="preserve"> </w:t>
      </w:r>
      <w:r>
        <w:t xml:space="preserve">The evaluation’s figure matches the transcript’s</w:t>
      </w:r>
      <w:r>
        <w:t xml:space="preserve"> </w:t>
      </w:r>
      <w:r>
        <w:rPr>
          <w:i/>
          <w:iCs/>
        </w:rPr>
        <w:t xml:space="preserve">theory</w:t>
      </w:r>
      <w:r>
        <w:t xml:space="preserve"> </w:t>
      </w:r>
      <w:r>
        <w:t xml:space="preserve">hours but omits the ~24 laboratory credits, slightly understating the program’s total credit volume. The 12-credit CS figure (7.5%) is computed against the ~160 theory base.</w:t>
      </w:r>
    </w:p>
    <w:p>
      <w:pPr>
        <w:pStyle w:val="BodyText"/>
      </w:pPr>
      <w:r>
        <w:rPr>
          <w:b/>
          <w:bCs/>
        </w:rPr>
        <w:t xml:space="preserve">Risk.</w:t>
      </w:r>
      <w:r>
        <w:t xml:space="preserve"> </w:t>
      </w:r>
      <w:r>
        <w:t xml:space="preserve">Negligible as a standalone matter, but it should be internally consistent if the evaluation is relied upon to quantify the CS content.</w:t>
      </w:r>
    </w:p>
    <w:p>
      <w:pPr>
        <w:pStyle w:val="BodyText"/>
      </w:pPr>
      <w:r>
        <w:rPr>
          <w:b/>
          <w:bCs/>
        </w:rPr>
        <w:t xml:space="preserve">Recommendation.</w:t>
      </w:r>
      <w:r>
        <w:t xml:space="preserve"> </w:t>
      </w:r>
      <w:r>
        <w:t xml:space="preserve">Minor: align the evaluation’s program-size description with the transcript (state</w:t>
      </w:r>
      <w:r>
        <w:t xml:space="preserve"> </w:t>
      </w:r>
      <w:r>
        <w:t xml:space="preserve">“</w:t>
      </w:r>
      <w:r>
        <w:t xml:space="preserve">184 credits including ~24 laboratory credits; ~160 theory credit hours</w:t>
      </w:r>
      <w:r>
        <w:t xml:space="preserve">”</w:t>
      </w:r>
      <w:r>
        <w:t xml:space="preserve">) so the CS-content percentage is unambiguous.</w:t>
      </w:r>
    </w:p>
    <w:p>
      <w:r>
        <w:pict>
          <v:rect style="width:0;height:1.5pt" o:hralign="center" o:hrstd="t" o:hr="t"/>
        </w:pict>
      </w:r>
    </w:p>
    <w:bookmarkEnd w:id="36"/>
    <w:bookmarkEnd w:id="37"/>
    <w:bookmarkStart w:id="41" w:name="iv.d.-missing-documentation-category-d"/>
    <w:p>
      <w:pPr>
        <w:pStyle w:val="Heading3"/>
      </w:pPr>
      <w:r>
        <w:t xml:space="preserve">IV.D. Missing Documentation (Category D)</w:t>
      </w:r>
    </w:p>
    <w:bookmarkStart w:id="38" w:name="X77b47c5587ee766bd481d4dfeb67076c70ee942"/>
    <w:p>
      <w:pPr>
        <w:pStyle w:val="Heading4"/>
      </w:pPr>
      <w:r>
        <w:t xml:space="preserve">D-1. No H-1B Cap Registration Selection Notice (MEDIUM)</w:t>
      </w:r>
    </w:p>
    <w:p>
      <w:pPr>
        <w:pStyle w:val="FirstParagraph"/>
      </w:pPr>
      <w:r>
        <w:rPr>
          <w:b/>
          <w:bCs/>
        </w:rPr>
        <w:t xml:space="preserve">Finding.</w:t>
      </w:r>
      <w:r>
        <w:t xml:space="preserve"> </w:t>
      </w:r>
      <w:r>
        <w:t xml:space="preserve">Brightfield Analytics Inc. is a private, for-profit employer (NAICS 541511) and is therefore</w:t>
      </w:r>
      <w:r>
        <w:t xml:space="preserve"> </w:t>
      </w:r>
      <w:r>
        <w:rPr>
          <w:b/>
          <w:bCs/>
        </w:rPr>
        <w:t xml:space="preserve">cap-subject</w:t>
      </w:r>
      <w:r>
        <w:t xml:space="preserve">. The petition’s October 1, 2025 start date corresponds to FY2026, requiring selection in the H-1B cap registration lottery. No USCIS</w:t>
      </w:r>
      <w:r>
        <w:t xml:space="preserve"> </w:t>
      </w:r>
      <w:r>
        <w:rPr>
          <w:b/>
          <w:bCs/>
        </w:rPr>
        <w:t xml:space="preserve">registration selection notice</w:t>
      </w:r>
      <w:r>
        <w:t xml:space="preserve"> </w:t>
      </w:r>
      <w:r>
        <w:t xml:space="preserve">is in the package.</w:t>
      </w:r>
    </w:p>
    <w:p>
      <w:pPr>
        <w:pStyle w:val="BodyText"/>
      </w:pPr>
      <w:r>
        <w:rPr>
          <w:b/>
          <w:bCs/>
        </w:rPr>
        <w:t xml:space="preserve">Risk.</w:t>
      </w:r>
      <w:r>
        <w:t xml:space="preserve"> </w:t>
      </w:r>
      <w:r>
        <w:t xml:space="preserve">Without proof of selection, the petition cannot be approved as cap-subject. (If the package is only the supporting exhibits and the selection notice is held elsewhere, this is a filing-assembly item; if not, it is a gating deficiency.)</w:t>
      </w:r>
    </w:p>
    <w:p>
      <w:pPr>
        <w:pStyle w:val="BodyText"/>
      </w:pPr>
      <w:r>
        <w:rPr>
          <w:b/>
          <w:bCs/>
        </w:rPr>
        <w:t xml:space="preserve">Recommendation.</w:t>
      </w:r>
      <w:r>
        <w:t xml:space="preserve"> </w:t>
      </w:r>
      <w:r>
        <w:t xml:space="preserve">Include the FY2026 H-1B registration selection notice confirming the Beneficiary was selected under the Beneficiary’s registration.</w:t>
      </w:r>
    </w:p>
    <w:p>
      <w:r>
        <w:pict>
          <v:rect style="width:0;height:1.5pt" o:hralign="center" o:hrstd="t" o:hr="t"/>
        </w:pict>
      </w:r>
    </w:p>
    <w:bookmarkEnd w:id="38"/>
    <w:bookmarkStart w:id="39" w:name="Xa446befd3bd4461ebda92996108fc06529eb133"/>
    <w:p>
      <w:pPr>
        <w:pStyle w:val="Heading4"/>
      </w:pPr>
      <w:r>
        <w:t xml:space="preserve">D-2. Core Filing and Status Documents Absent (MEDIUM)</w:t>
      </w:r>
    </w:p>
    <w:p>
      <w:pPr>
        <w:pStyle w:val="FirstParagraph"/>
      </w:pPr>
      <w:r>
        <w:rPr>
          <w:b/>
          <w:bCs/>
        </w:rPr>
        <w:t xml:space="preserve">Finding.</w:t>
      </w:r>
      <w:r>
        <w:t xml:space="preserve"> </w:t>
      </w:r>
      <w:r>
        <w:t xml:space="preserve">The package contains no Form I-129 (and supplements), no beneficiary passport copy, no Form I-94, no prior visa copies, and — most importantly given Issue E-1 —</w:t>
      </w:r>
      <w:r>
        <w:t xml:space="preserve"> </w:t>
      </w:r>
      <w:r>
        <w:rPr>
          <w:b/>
          <w:bCs/>
        </w:rPr>
        <w:t xml:space="preserve">no F-1 OPT documentation (Form I-20, EAD) and no U.S. degree</w:t>
      </w:r>
      <w:r>
        <w:t xml:space="preserve">. No petitioner financial statements (tax returns, audited financials, annual report) are included to support the ability-to-pay assertion (Issue D-3).</w:t>
      </w:r>
    </w:p>
    <w:p>
      <w:pPr>
        <w:pStyle w:val="BodyText"/>
      </w:pPr>
      <w:r>
        <w:rPr>
          <w:b/>
          <w:bCs/>
        </w:rPr>
        <w:t xml:space="preserve">Risk.</w:t>
      </w:r>
      <w:r>
        <w:t xml:space="preserve"> </w:t>
      </w:r>
      <w:r>
        <w:t xml:space="preserve">These are standard filing components. Their absence from the review set may reflect filing-assembly sequencing, but the F-1 OPT / U.S. degree gap (Issue E-1) is substantive, not merely administrative.</w:t>
      </w:r>
    </w:p>
    <w:p>
      <w:pPr>
        <w:pStyle w:val="BodyText"/>
      </w:pPr>
      <w:r>
        <w:rPr>
          <w:b/>
          <w:bCs/>
        </w:rPr>
        <w:t xml:space="preserve">Recommendation.</w:t>
      </w:r>
      <w:r>
        <w:t xml:space="preserve"> </w:t>
      </w:r>
      <w:r>
        <w:t xml:space="preserve">Confirm the full filing includes I-129 with H Classification Supplement and Data Collection Supplement, the Beneficiary’s passport/I-94/visa, and — critically — the F-1 OPT I-20 and EAD (and any underlying U.S. degree). Include petitioner financials per Issue D-3.</w:t>
      </w:r>
    </w:p>
    <w:p>
      <w:r>
        <w:pict>
          <v:rect style="width:0;height:1.5pt" o:hralign="center" o:hrstd="t" o:hr="t"/>
        </w:pict>
      </w:r>
    </w:p>
    <w:bookmarkEnd w:id="39"/>
    <w:bookmarkStart w:id="40" w:name="X1d0cba063f55c0af7a57378866f2f068bcf6570"/>
    <w:p>
      <w:pPr>
        <w:pStyle w:val="Heading4"/>
      </w:pPr>
      <w:r>
        <w:t xml:space="preserve">D-3. Ability-to-Pay Asserted but Unsupported (LOW)</w:t>
      </w:r>
    </w:p>
    <w:p>
      <w:pPr>
        <w:pStyle w:val="FirstParagraph"/>
      </w:pPr>
      <w:r>
        <w:rPr>
          <w:b/>
          <w:bCs/>
        </w:rPr>
        <w:t xml:space="preserve">Finding.</w:t>
      </w:r>
      <w:r>
        <w:t xml:space="preserve"> </w:t>
      </w:r>
      <w:r>
        <w:t xml:space="preserve">The Employer Letter (§§ 1, 5) asserts the Petitioner</w:t>
      </w:r>
      <w:r>
        <w:t xml:space="preserve"> </w:t>
      </w:r>
      <w:r>
        <w:t xml:space="preserve">“</w:t>
      </w:r>
      <w:r>
        <w:t xml:space="preserve">has the financial ability to pay the proffered annual wage of $128,000,</w:t>
      </w:r>
      <w:r>
        <w:t xml:space="preserve">”</w:t>
      </w:r>
      <w:r>
        <w:t xml:space="preserve"> </w:t>
      </w:r>
      <w:r>
        <w:t xml:space="preserve">citing $41.2M FY2023 revenue and 187 employees. No financial statements, federal tax returns, or annual report are included.</w:t>
      </w:r>
    </w:p>
    <w:p>
      <w:pPr>
        <w:pStyle w:val="BodyText"/>
      </w:pPr>
      <w:r>
        <w:rPr>
          <w:b/>
          <w:bCs/>
        </w:rPr>
        <w:t xml:space="preserve">Risk.</w:t>
      </w:r>
      <w:r>
        <w:t xml:space="preserve"> </w:t>
      </w:r>
      <w:r>
        <w:t xml:space="preserve">Low for a single beneficiary at this revenue/employee scale (USCIS generally accepts net income or net current assets covering the proffered wage; $41.2M revenue against one $128,000 salary is comfortably sufficient), but unsupported assertions can draw an RFE in closer cases.</w:t>
      </w:r>
    </w:p>
    <w:p>
      <w:pPr>
        <w:pStyle w:val="BodyText"/>
      </w:pPr>
      <w:r>
        <w:rPr>
          <w:b/>
          <w:bCs/>
        </w:rPr>
        <w:t xml:space="preserve">Recommendation.</w:t>
      </w:r>
      <w:r>
        <w:t xml:space="preserve"> </w:t>
      </w:r>
      <w:r>
        <w:t xml:space="preserve">Include the Petitioner’s most recent federal tax return and/or an annual report/audited financial statement. For a single beneficiary, one year of tax return data is typically sufficient.</w:t>
      </w:r>
    </w:p>
    <w:p>
      <w:r>
        <w:pict>
          <v:rect style="width:0;height:1.5pt" o:hralign="center" o:hrstd="t" o:hr="t"/>
        </w:pict>
      </w:r>
    </w:p>
    <w:bookmarkEnd w:id="40"/>
    <w:bookmarkEnd w:id="41"/>
    <w:bookmarkStart w:id="43" w:name="Xfe3ffa31742348010e08601f14e4383892cfc0e"/>
    <w:p>
      <w:pPr>
        <w:pStyle w:val="Heading3"/>
      </w:pPr>
      <w:r>
        <w:t xml:space="preserve">IV.E. Status &amp; Maintenance Issues (Category E)</w:t>
      </w:r>
    </w:p>
    <w:bookmarkStart w:id="42" w:name="X220ea99edc81ed3e90a5648f6e67e04eb70f750"/>
    <w:p>
      <w:pPr>
        <w:pStyle w:val="Heading4"/>
      </w:pPr>
      <w:r>
        <w:t xml:space="preserve">E-1. F-1 OPT Status Asserted With No U.S. Degree or OPT Documentation (CRITICAL)</w:t>
      </w:r>
    </w:p>
    <w:p>
      <w:pPr>
        <w:pStyle w:val="FirstParagraph"/>
      </w:pPr>
      <w:r>
        <w:rPr>
          <w:b/>
          <w:bCs/>
        </w:rPr>
        <w:t xml:space="preserve">Finding.</w:t>
      </w:r>
      <w:r>
        <w:t xml:space="preserve"> </w:t>
      </w:r>
      <w:r>
        <w:t xml:space="preserve">The Employer Letter (§ 4) states the Beneficiary</w:t>
      </w:r>
      <w:r>
        <w:t xml:space="preserve"> </w:t>
      </w:r>
      <w:r>
        <w:t xml:space="preserve">“</w:t>
      </w:r>
      <w:r>
        <w:t xml:space="preserve">is currently maintaining valid</w:t>
      </w:r>
      <w:r>
        <w:t xml:space="preserve"> </w:t>
      </w:r>
      <w:r>
        <w:rPr>
          <w:b/>
          <w:bCs/>
        </w:rPr>
        <w:t xml:space="preserve">F-1 Optional Practical Training (OPT) status</w:t>
      </w:r>
      <w:r>
        <w:t xml:space="preserve"> </w:t>
      </w:r>
      <w:r>
        <w:t xml:space="preserve">and will transition to H-1B nonimmigrant status effective October 1, 2025.</w:t>
      </w:r>
      <w:r>
        <w:t xml:space="preserve">”</w:t>
      </w:r>
      <w:r>
        <w:t xml:space="preserve"> </w:t>
      </w:r>
      <w:r>
        <w:t xml:space="preserve">F-1 OPT, however, is available only to students who have earned a degree from a</w:t>
      </w:r>
      <w:r>
        <w:t xml:space="preserve"> </w:t>
      </w:r>
      <w:r>
        <w:rPr>
          <w:b/>
          <w:bCs/>
        </w:rPr>
        <w:t xml:space="preserve">U.S. Student and Exchange Visitor Program (SEVP)-certified school</w:t>
      </w:r>
      <w:r>
        <w:t xml:space="preserve">; it cannot be based on a foreign degree alone. The only degree anywhere in the record is the</w:t>
      </w:r>
      <w:r>
        <w:t xml:space="preserve"> </w:t>
      </w:r>
      <w:r>
        <w:rPr>
          <w:b/>
          <w:bCs/>
        </w:rPr>
        <w:t xml:space="preserve">JNTU B.Tech (India, May 2014)</w:t>
      </w:r>
      <w:r>
        <w:t xml:space="preserve">. There is</w:t>
      </w:r>
      <w:r>
        <w:t xml:space="preserve"> </w:t>
      </w:r>
      <w:r>
        <w:rPr>
          <w:b/>
          <w:bCs/>
        </w:rPr>
        <w:t xml:space="preserve">no U.S. degree, no Form I-20, no EAD, and no SEVIS record</w:t>
      </w:r>
      <w:r>
        <w:t xml:space="preserve"> </w:t>
      </w:r>
      <w:r>
        <w:t xml:space="preserve">in the package, and the résumé’s Education section lists only the JNTU degree.</w:t>
      </w:r>
    </w:p>
    <w:p>
      <w:pPr>
        <w:pStyle w:val="BodyText"/>
      </w:pPr>
      <w:r>
        <w:t xml:space="preserve">The timeline compounds the concern: the Beneficiary worked in Dallas for NovaStar from April 2017 to July 2020, yet no U.S. degree or prior nonimmigrant status is documented for that period either. If the Beneficiary holds a U.S. master’s degree (the most plausible explanation for both the F-1 OPT assertion and a STEM-OPT extension running through the October 2025 start date), its omission is a major oversight — and one that would, if supplied,</w:t>
      </w:r>
      <w:r>
        <w:t xml:space="preserve"> </w:t>
      </w:r>
      <w:r>
        <w:rPr>
          <w:b/>
          <w:bCs/>
        </w:rPr>
        <w:t xml:space="preserve">resolve the field-of-study problem in Issue A-1</w:t>
      </w:r>
      <w:r>
        <w:t xml:space="preserve"> </w:t>
      </w:r>
      <w:r>
        <w:t xml:space="preserve">(a U.S. MS in CS/Data Science directly satisfies the required specialty).</w:t>
      </w:r>
    </w:p>
    <w:p>
      <w:pPr>
        <w:pStyle w:val="BodyText"/>
      </w:pPr>
      <w:r>
        <w:rPr>
          <w:b/>
          <w:bCs/>
        </w:rPr>
        <w:t xml:space="preserve">Standard.</w:t>
      </w:r>
      <w:r>
        <w:t xml:space="preserve"> </w:t>
      </w:r>
      <w:r>
        <w:t xml:space="preserve">INA § 214(i)(1); 8 CFR § 214.2(h)(4)(iii)(A) (qualification); 8 CFR § 214.2(f) (F-1/OPT). A change-of-status petition requires evidence of the Beneficiary’s current lawful status and maintenance of status (I-94, I-20, EAD).</w:t>
      </w:r>
    </w:p>
    <w:p>
      <w:pPr>
        <w:pStyle w:val="BodyText"/>
      </w:pPr>
      <w:r>
        <w:rPr>
          <w:b/>
          <w:bCs/>
        </w:rPr>
        <w:t xml:space="preserve">Risk.</w:t>
      </w:r>
      <w:r>
        <w:t xml:space="preserve"> </w:t>
      </w:r>
      <w:r>
        <w:t xml:space="preserve">Critical. (a) If no U.S. degree exists, the F-1 OPT assertion is inaccurate and the Beneficiary’s current lawful status — and thus eligibility for a change of status — is in question. (b) If a U.S. degree exists but is omitted, the petition is missing its strongest qualification evidence and the basis for the asserted status. Either way, the record is internally inconsistent and materially incomplete on a gating issue.</w:t>
      </w:r>
    </w:p>
    <w:p>
      <w:pPr>
        <w:pStyle w:val="BodyText"/>
      </w:pPr>
      <w:r>
        <w:rPr>
          <w:b/>
          <w:bCs/>
        </w:rPr>
        <w:t xml:space="preserve">Recommendation.</w:t>
      </w:r>
      <w:r>
        <w:t xml:space="preserve"> </w:t>
      </w:r>
      <w:r>
        <w:t xml:space="preserve">(1) Determine whether the Beneficiary holds a U.S. degree. If yes,</w:t>
      </w:r>
      <w:r>
        <w:t xml:space="preserve"> </w:t>
      </w:r>
      <w:r>
        <w:rPr>
          <w:b/>
          <w:bCs/>
        </w:rPr>
        <w:t xml:space="preserve">include the U.S. degree, transcript, I-20(s), and EAD</w:t>
      </w:r>
      <w:r>
        <w:t xml:space="preserve"> </w:t>
      </w:r>
      <w:r>
        <w:t xml:space="preserve">immediately — this both cures the status issue and likely resolves Issue A-1. (2) If no U.S. degree exists, correct the Employer Letter’s status statement and document the Beneficiary’s actual current status (with I-94/visa), and address how the Beneficiary has been lawfully employed at Brightfield since September 2023. (3) Address the cap-gap/STEM-OPT timing if applicable. (4) Document the status under which the Beneficiary worked at NovaStar (2017–2020).</w:t>
      </w:r>
    </w:p>
    <w:p>
      <w:r>
        <w:pict>
          <v:rect style="width:0;height:1.5pt" o:hralign="center" o:hrstd="t" o:hr="t"/>
        </w:pict>
      </w:r>
    </w:p>
    <w:bookmarkEnd w:id="42"/>
    <w:bookmarkEnd w:id="43"/>
    <w:bookmarkStart w:id="47" w:name="X2bec4f6f42dd09104a5dc46ad518b2fdcecf3be"/>
    <w:p>
      <w:pPr>
        <w:pStyle w:val="Heading3"/>
      </w:pPr>
      <w:r>
        <w:t xml:space="preserve">IV.F. Wage &amp; LCA Compliance Issues (Category F)</w:t>
      </w:r>
    </w:p>
    <w:bookmarkStart w:id="44" w:name="Xc0c788f7ec07342be262106aa774321de066d5d"/>
    <w:p>
      <w:pPr>
        <w:pStyle w:val="Heading4"/>
      </w:pPr>
      <w:r>
        <w:t xml:space="preserve">F-1. Wage Level Likely Misclassified — Level 2 vs. Level 3/4 (HIGH)</w:t>
      </w:r>
    </w:p>
    <w:p>
      <w:pPr>
        <w:pStyle w:val="FirstParagraph"/>
      </w:pPr>
      <w:r>
        <w:rPr>
          <w:b/>
          <w:bCs/>
        </w:rPr>
        <w:t xml:space="preserve">Finding.</w:t>
      </w:r>
      <w:r>
        <w:t xml:space="preserve"> </w:t>
      </w:r>
      <w:r>
        <w:t xml:space="preserve">The PWD and LCA classify the position at</w:t>
      </w:r>
      <w:r>
        <w:t xml:space="preserve"> </w:t>
      </w:r>
      <w:r>
        <w:rPr>
          <w:b/>
          <w:bCs/>
        </w:rPr>
        <w:t xml:space="preserve">Wage Level 2</w:t>
      </w:r>
      <w:r>
        <w:t xml:space="preserve"> </w:t>
      </w:r>
      <w:r>
        <w:t xml:space="preserve">($113,734), which the PWD defines as workers who</w:t>
      </w:r>
      <w:r>
        <w:t xml:space="preserve"> </w:t>
      </w:r>
      <w:r>
        <w:t xml:space="preserve">“</w:t>
      </w:r>
      <w:r>
        <w:t xml:space="preserve">perform moderately complex tasks requiring</w:t>
      </w:r>
      <w:r>
        <w:t xml:space="preserve"> </w:t>
      </w:r>
      <w:r>
        <w:rPr>
          <w:b/>
          <w:bCs/>
        </w:rPr>
        <w:t xml:space="preserve">limited judgment</w:t>
      </w:r>
      <w:r>
        <w:t xml:space="preserve">.</w:t>
      </w:r>
      <w:r>
        <w:t xml:space="preserve">”</w:t>
      </w:r>
      <w:r>
        <w:t xml:space="preserve"> </w:t>
      </w:r>
      <w:r>
        <w:t xml:space="preserve">The job duties as described in the Employer Letter, LCA, and PWD, however, include</w:t>
      </w:r>
      <w:r>
        <w:t xml:space="preserve"> </w:t>
      </w:r>
      <w:r>
        <w:rPr>
          <w:b/>
          <w:bCs/>
        </w:rPr>
        <w:t xml:space="preserve">supervisory</w:t>
      </w:r>
      <w:r>
        <w:t xml:space="preserve"> </w:t>
      </w:r>
      <w:r>
        <w:t xml:space="preserve">duties (</w:t>
      </w:r>
      <w:r>
        <w:t xml:space="preserve">“</w:t>
      </w:r>
      <w:r>
        <w:t xml:space="preserve">lead and mentor a team of [3/2] junior data scientists</w:t>
      </w:r>
      <w:r>
        <w:t xml:space="preserve">”</w:t>
      </w:r>
      <w:r>
        <w:t xml:space="preserve">) and the exercise of</w:t>
      </w:r>
      <w:r>
        <w:t xml:space="preserve"> </w:t>
      </w:r>
      <w:r>
        <w:rPr>
          <w:b/>
          <w:bCs/>
        </w:rPr>
        <w:t xml:space="preserve">independent judgment</w:t>
      </w:r>
      <w:r>
        <w:t xml:space="preserve"> </w:t>
      </w:r>
      <w:r>
        <w:t xml:space="preserve">(</w:t>
      </w:r>
      <w:r>
        <w:t xml:space="preserve">“</w:t>
      </w:r>
      <w:r>
        <w:t xml:space="preserve">exercises independent judgment in the design and implementation of machine learning solutions</w:t>
      </w:r>
      <w:r>
        <w:t xml:space="preserve">”</w:t>
      </w:r>
      <w:r>
        <w:t xml:space="preserve">; reports directly to the CTO). The PWD’s own level definitions map these characteristics to</w:t>
      </w:r>
      <w:r>
        <w:t xml:space="preserve"> </w:t>
      </w:r>
      <w:r>
        <w:rPr>
          <w:b/>
          <w:bCs/>
        </w:rPr>
        <w:t xml:space="preserve">Level 3</w:t>
      </w:r>
      <w:r>
        <w:t xml:space="preserve"> </w:t>
      </w:r>
      <w:r>
        <w:t xml:space="preserve">(</w:t>
      </w:r>
      <w:r>
        <w:t xml:space="preserve">“</w:t>
      </w:r>
      <w:r>
        <w:t xml:space="preserve">may exercise independent judgment, and may have supervisory responsibilities,</w:t>
      </w:r>
      <w:r>
        <w:t xml:space="preserve">”</w:t>
      </w:r>
      <w:r>
        <w:t xml:space="preserve"> </w:t>
      </w:r>
      <w:r>
        <w:t xml:space="preserve">$137,946) and arguably</w:t>
      </w:r>
      <w:r>
        <w:t xml:space="preserve"> </w:t>
      </w:r>
      <w:r>
        <w:rPr>
          <w:b/>
          <w:bCs/>
        </w:rPr>
        <w:t xml:space="preserve">Level 4</w:t>
      </w:r>
      <w:r>
        <w:t xml:space="preserve"> </w:t>
      </w:r>
      <w:r>
        <w:t xml:space="preserve">(</w:t>
      </w:r>
      <w:r>
        <w:t xml:space="preserve">“</w:t>
      </w:r>
      <w:r>
        <w:t xml:space="preserve">supervise and train other workers,</w:t>
      </w:r>
      <w:r>
        <w:t xml:space="preserve">”</w:t>
      </w:r>
      <w:r>
        <w:t xml:space="preserve"> </w:t>
      </w:r>
      <w:r>
        <w:t xml:space="preserve">$162,157).</w:t>
      </w:r>
    </w:p>
    <w:p>
      <w:pPr>
        <w:pStyle w:val="BodyText"/>
      </w:pPr>
      <w:r>
        <w:t xml:space="preserve">The offered wage of</w:t>
      </w:r>
      <w:r>
        <w:t xml:space="preserve"> </w:t>
      </w:r>
      <w:r>
        <w:rPr>
          <w:b/>
          <w:bCs/>
        </w:rPr>
        <w:t xml:space="preserve">$128,000</w:t>
      </w:r>
      <w:r>
        <w:t xml:space="preserve"> </w:t>
      </w:r>
      <w:r>
        <w:t xml:space="preserve">exceeds the Level 2 prevailing wage ($113,734) but</w:t>
      </w:r>
      <w:r>
        <w:t xml:space="preserve"> </w:t>
      </w:r>
      <w:r>
        <w:rPr>
          <w:b/>
          <w:bCs/>
        </w:rPr>
        <w:t xml:space="preserve">falls below the Level 3 prevailing wage ($137,946)</w:t>
      </w:r>
      <w:r>
        <w:t xml:space="preserve">. If the correct level is 3, the offered wage would not satisfy the prevailing-wage requirement.</w:t>
      </w:r>
    </w:p>
    <w:p>
      <w:pPr>
        <w:pStyle w:val="BodyText"/>
      </w:pPr>
      <w:r>
        <w:rPr>
          <w:b/>
          <w:bCs/>
        </w:rPr>
        <w:t xml:space="preserve">Standard.</w:t>
      </w:r>
      <w:r>
        <w:t xml:space="preserve"> </w:t>
      </w:r>
      <w:r>
        <w:t xml:space="preserve">20 CFR § 655.715 (wage-level definitions); INA § 212(n)(1)(A) (wage attestation). The DOL NPWC issued the PWD at Level 2 based on the employer’s submission; the PWD is binding for LCA purposes. However, an internal inconsistency between the</w:t>
      </w:r>
      <w:r>
        <w:t xml:space="preserve"> </w:t>
      </w:r>
      <w:r>
        <w:rPr>
          <w:i/>
          <w:iCs/>
        </w:rPr>
        <w:t xml:space="preserve">duties described</w:t>
      </w:r>
      <w:r>
        <w:t xml:space="preserve"> </w:t>
      </w:r>
      <w:r>
        <w:t xml:space="preserve">(supervisory/independent judgment) and the</w:t>
      </w:r>
      <w:r>
        <w:t xml:space="preserve"> </w:t>
      </w:r>
      <w:r>
        <w:rPr>
          <w:i/>
          <w:iCs/>
        </w:rPr>
        <w:t xml:space="preserve">level certified</w:t>
      </w:r>
      <w:r>
        <w:t xml:space="preserve"> </w:t>
      </w:r>
      <w:r>
        <w:t xml:space="preserve">(limited judgment) creates exposure: DOL enforcement, and increasingly USCIS scrutiny, can challenge a level that is inconsistent with the proffered duties.</w:t>
      </w:r>
    </w:p>
    <w:p>
      <w:pPr>
        <w:pStyle w:val="BodyText"/>
      </w:pPr>
      <w:r>
        <w:rPr>
          <w:b/>
          <w:bCs/>
        </w:rPr>
        <w:t xml:space="preserve">Risk.</w:t>
      </w:r>
      <w:r>
        <w:t xml:space="preserve"> </w:t>
      </w:r>
      <w:r>
        <w:t xml:space="preserve">High. If the duties truly warrant Level 3, the Petitioner faces a prevailing-wage compliance exposure (offered wage below the correct prevailing wage) and the LCA attestation could be challenged. Even if Level 2 is defensible, the</w:t>
      </w:r>
      <w:r>
        <w:t xml:space="preserve"> </w:t>
      </w:r>
      <w:r>
        <w:t xml:space="preserve">“</w:t>
      </w:r>
      <w:r>
        <w:t xml:space="preserve">limited judgment</w:t>
      </w:r>
      <w:r>
        <w:t xml:space="preserve">”</w:t>
      </w:r>
      <w:r>
        <w:t xml:space="preserve"> </w:t>
      </w:r>
      <w:r>
        <w:t xml:space="preserve">language is in tension with the</w:t>
      </w:r>
      <w:r>
        <w:t xml:space="preserve"> </w:t>
      </w:r>
      <w:r>
        <w:t xml:space="preserve">“</w:t>
      </w:r>
      <w:r>
        <w:t xml:space="preserve">independent judgment</w:t>
      </w:r>
      <w:r>
        <w:t xml:space="preserve">”</w:t>
      </w:r>
      <w:r>
        <w:t xml:space="preserve"> </w:t>
      </w:r>
      <w:r>
        <w:t xml:space="preserve">language in the Employer Letter.</w:t>
      </w:r>
    </w:p>
    <w:p>
      <w:pPr>
        <w:pStyle w:val="BodyText"/>
      </w:pPr>
      <w:r>
        <w:rPr>
          <w:b/>
          <w:bCs/>
        </w:rPr>
        <w:t xml:space="preserve">Recommendation.</w:t>
      </w:r>
      <w:r>
        <w:t xml:space="preserve"> </w:t>
      </w:r>
      <w:r>
        <w:t xml:space="preserve">(1) Reassess the wage level against the actual duties. If the position is genuinely supervisory/senior with independent judgment,</w:t>
      </w:r>
      <w:r>
        <w:t xml:space="preserve"> </w:t>
      </w:r>
      <w:r>
        <w:rPr>
          <w:b/>
          <w:bCs/>
        </w:rPr>
        <w:t xml:space="preserve">increase the offered wage to at least $137,946</w:t>
      </w:r>
      <w:r>
        <w:t xml:space="preserve"> </w:t>
      </w:r>
      <w:r>
        <w:t xml:space="preserve">(Level 3) and obtain a new PWD/LCA at the correct level. (2) If Level 2 is to be maintained,</w:t>
      </w:r>
      <w:r>
        <w:t xml:space="preserve"> </w:t>
      </w:r>
      <w:r>
        <w:rPr>
          <w:b/>
          <w:bCs/>
        </w:rPr>
        <w:t xml:space="preserve">soften the duty language</w:t>
      </w:r>
      <w:r>
        <w:t xml:space="preserve"> </w:t>
      </w:r>
      <w:r>
        <w:t xml:space="preserve">to align with Level 2 (remove or de-emphasize</w:t>
      </w:r>
      <w:r>
        <w:t xml:space="preserve"> </w:t>
      </w:r>
      <w:r>
        <w:t xml:space="preserve">“</w:t>
      </w:r>
      <w:r>
        <w:t xml:space="preserve">independent judgment</w:t>
      </w:r>
      <w:r>
        <w:t xml:space="preserve">”</w:t>
      </w:r>
      <w:r>
        <w:t xml:space="preserve"> </w:t>
      </w:r>
      <w:r>
        <w:t xml:space="preserve">and the lead/mentor supervisory framing) — but note this may create tension with the specialty-occupation and</w:t>
      </w:r>
      <w:r>
        <w:t xml:space="preserve"> </w:t>
      </w:r>
      <w:r>
        <w:t xml:space="preserve">“</w:t>
      </w:r>
      <w:r>
        <w:t xml:space="preserve">senior</w:t>
      </w:r>
      <w:r>
        <w:t xml:space="preserve">”</w:t>
      </w:r>
      <w:r>
        <w:t xml:space="preserve"> </w:t>
      </w:r>
      <w:r>
        <w:t xml:space="preserve">characterization. (3) Reconcile the supervisory headcount (Issue C-3) as part of this analysis.</w:t>
      </w:r>
    </w:p>
    <w:p>
      <w:r>
        <w:pict>
          <v:rect style="width:0;height:1.5pt" o:hralign="center" o:hrstd="t" o:hr="t"/>
        </w:pict>
      </w:r>
    </w:p>
    <w:bookmarkEnd w:id="44"/>
    <w:bookmarkStart w:id="45" w:name="X69b4e8f0a3c33979c13129dcfb20908049f794f"/>
    <w:p>
      <w:pPr>
        <w:pStyle w:val="Heading4"/>
      </w:pPr>
      <w:r>
        <w:t xml:space="preserve">F-2. LCA Posting Period Short of 10 Business Days (MEDIUM)</w:t>
      </w:r>
    </w:p>
    <w:p>
      <w:pPr>
        <w:pStyle w:val="FirstParagraph"/>
      </w:pPr>
      <w:r>
        <w:rPr>
          <w:b/>
          <w:bCs/>
        </w:rPr>
        <w:t xml:space="preserve">Finding.</w:t>
      </w:r>
      <w:r>
        <w:t xml:space="preserve"> </w:t>
      </w:r>
      <w:r>
        <w:t xml:space="preserve">The LCA (§ J.2) and Posting Notice both state the notice was posted</w:t>
      </w:r>
      <w:r>
        <w:t xml:space="preserve"> </w:t>
      </w:r>
      <w:r>
        <w:rPr>
          <w:b/>
          <w:bCs/>
        </w:rPr>
        <w:t xml:space="preserve">March 10, 2025 through March 19, 2025.</w:t>
      </w:r>
      <w:r>
        <w:t xml:space="preserve"> </w:t>
      </w:r>
      <w:r>
        <w:t xml:space="preserve">March 10, 2025 is a Monday and March 19, 2025 is a Wednesday. Counting only weekdays (excluding the March 15–16 weekend), the posting ran for</w:t>
      </w:r>
      <w:r>
        <w:t xml:space="preserve"> </w:t>
      </w:r>
      <w:r>
        <w:rPr>
          <w:b/>
          <w:bCs/>
        </w:rPr>
        <w:t xml:space="preserve">8 business days</w:t>
      </w:r>
      <w:r>
        <w:t xml:space="preserve"> </w:t>
      </w:r>
      <w:r>
        <w:t xml:space="preserve">(Mar. 10, 11, 12, 13, 14, 17, 18, 19). Ten business days would have required posting through</w:t>
      </w:r>
      <w:r>
        <w:t xml:space="preserve"> </w:t>
      </w:r>
      <w:r>
        <w:rPr>
          <w:b/>
          <w:bCs/>
        </w:rPr>
        <w:t xml:space="preserve">Friday, March 21, 2025.</w:t>
      </w:r>
    </w:p>
    <w:p>
      <w:pPr>
        <w:pStyle w:val="BodyText"/>
      </w:pPr>
      <w:r>
        <w:rPr>
          <w:b/>
          <w:bCs/>
        </w:rPr>
        <w:t xml:space="preserve">Standard.</w:t>
      </w:r>
      <w:r>
        <w:t xml:space="preserve"> </w:t>
      </w:r>
      <w:r>
        <w:t xml:space="preserve">20 CFR § 655.734(d)(1) requires that the notice of filing</w:t>
      </w:r>
      <w:r>
        <w:t xml:space="preserve"> </w:t>
      </w:r>
      <w:r>
        <w:t xml:space="preserve">“</w:t>
      </w:r>
      <w:r>
        <w:t xml:space="preserve">be posted … for a total of</w:t>
      </w:r>
      <w:r>
        <w:t xml:space="preserve"> </w:t>
      </w:r>
      <w:r>
        <w:rPr>
          <w:b/>
          <w:bCs/>
        </w:rPr>
        <w:t xml:space="preserve">10 consecutive business days</w:t>
      </w:r>
      <w:r>
        <w:t xml:space="preserve">”</w:t>
      </w:r>
      <w:r>
        <w:t xml:space="preserve"> </w:t>
      </w:r>
      <w:r>
        <w:t xml:space="preserve">in at least two conspicuous locations at the place of employment (or by the permitted electronic/alternative means).</w:t>
      </w:r>
    </w:p>
    <w:p>
      <w:pPr>
        <w:pStyle w:val="BodyText"/>
      </w:pPr>
      <w:r>
        <w:rPr>
          <w:b/>
          <w:bCs/>
        </w:rPr>
        <w:t xml:space="preserve">Risk.</w:t>
      </w:r>
      <w:r>
        <w:t xml:space="preserve"> </w:t>
      </w:r>
      <w:r>
        <w:t xml:space="preserve">The posting fell</w:t>
      </w:r>
      <w:r>
        <w:t xml:space="preserve"> </w:t>
      </w:r>
      <w:r>
        <w:rPr>
          <w:b/>
          <w:bCs/>
        </w:rPr>
        <w:t xml:space="preserve">two business days short</w:t>
      </w:r>
      <w:r>
        <w:t xml:space="preserve"> </w:t>
      </w:r>
      <w:r>
        <w:t xml:space="preserve">of the regulatory minimum, a notice-compliance deficiency that can be raised in a DOL investigation or, in some circumstances, flagged in adjudication. Because the LCA is already certified, the cure is prospective documentation and process correction rather than re-filing, but the deficiency should be acknowledged and remediated.</w:t>
      </w:r>
    </w:p>
    <w:p>
      <w:pPr>
        <w:pStyle w:val="BodyText"/>
      </w:pPr>
      <w:r>
        <w:rPr>
          <w:b/>
          <w:bCs/>
        </w:rPr>
        <w:t xml:space="preserve">Recommendation.</w:t>
      </w:r>
      <w:r>
        <w:t xml:space="preserve"> </w:t>
      </w:r>
      <w:r>
        <w:t xml:space="preserve">(1) Re-post the notice for a full 10 consecutive business days and document the new posting dates and both locations. (2) Implement a calendared 10-business-day posting protocol for future LCAs. (3) If the petition has not yet been filed, ensure the corrected posting is completed and documented before filing; if already filed, retain the corrected posting evidence in the Public Access File and be prepared to address it if questioned.</w:t>
      </w:r>
    </w:p>
    <w:p>
      <w:r>
        <w:pict>
          <v:rect style="width:0;height:1.5pt" o:hralign="center" o:hrstd="t" o:hr="t"/>
        </w:pict>
      </w:r>
    </w:p>
    <w:bookmarkEnd w:id="45"/>
    <w:bookmarkStart w:id="46" w:name="X62242473537071c6eda6ae7088d7888109c25dc"/>
    <w:p>
      <w:pPr>
        <w:pStyle w:val="Heading4"/>
      </w:pPr>
      <w:r>
        <w:t xml:space="preserve">F-3. Posting Notice Claims</w:t>
      </w:r>
      <w:r>
        <w:t xml:space="preserve"> </w:t>
      </w:r>
      <w:r>
        <w:t xml:space="preserve">“</w:t>
      </w:r>
      <w:r>
        <w:t xml:space="preserve">Two Locations</w:t>
      </w:r>
      <w:r>
        <w:t xml:space="preserve">”</w:t>
      </w:r>
      <w:r>
        <w:t xml:space="preserve">; LCA Identifies One (LOW)</w:t>
      </w:r>
    </w:p>
    <w:p>
      <w:pPr>
        <w:pStyle w:val="FirstParagraph"/>
      </w:pPr>
      <w:r>
        <w:rPr>
          <w:b/>
          <w:bCs/>
        </w:rPr>
        <w:t xml:space="preserve">Finding.</w:t>
      </w:r>
      <w:r>
        <w:t xml:space="preserve"> </w:t>
      </w:r>
      <w:r>
        <w:t xml:space="preserve">The Posting Notice states it</w:t>
      </w:r>
      <w:r>
        <w:t xml:space="preserve"> </w:t>
      </w:r>
      <w:r>
        <w:t xml:space="preserve">“</w:t>
      </w:r>
      <w:r>
        <w:t xml:space="preserve">is being posted in</w:t>
      </w:r>
      <w:r>
        <w:t xml:space="preserve"> </w:t>
      </w:r>
      <w:r>
        <w:rPr>
          <w:b/>
          <w:bCs/>
        </w:rPr>
        <w:t xml:space="preserve">two conspicuous locations</w:t>
      </w:r>
      <w:r>
        <w:t xml:space="preserve"> </w:t>
      </w:r>
      <w:r>
        <w:t xml:space="preserve">at the place of employment,</w:t>
      </w:r>
      <w:r>
        <w:t xml:space="preserve">”</w:t>
      </w:r>
      <w:r>
        <w:t xml:space="preserve"> </w:t>
      </w:r>
      <w:r>
        <w:t xml:space="preserve">consistent with 20 CFR § 655.734(d). The LCA (§ J.3), however, identifies only</w:t>
      </w:r>
      <w:r>
        <w:t xml:space="preserve"> </w:t>
      </w:r>
      <w:r>
        <w:rPr>
          <w:b/>
          <w:bCs/>
        </w:rPr>
        <w:t xml:space="preserve">one</w:t>
      </w:r>
      <w:r>
        <w:t xml:space="preserve"> </w:t>
      </w:r>
      <w:r>
        <w:t xml:space="preserve">posting location (</w:t>
      </w:r>
      <w:r>
        <w:t xml:space="preserve">“</w:t>
      </w:r>
      <w:r>
        <w:t xml:space="preserve">Employee common area / break room, first floor</w:t>
      </w:r>
      <w:r>
        <w:t xml:space="preserve">”</w:t>
      </w:r>
      <w:r>
        <w:t xml:space="preserve">). The second location is not documented.</w:t>
      </w:r>
    </w:p>
    <w:p>
      <w:pPr>
        <w:pStyle w:val="BodyText"/>
      </w:pPr>
      <w:r>
        <w:rPr>
          <w:b/>
          <w:bCs/>
        </w:rPr>
        <w:t xml:space="preserve">Risk.</w:t>
      </w:r>
      <w:r>
        <w:t xml:space="preserve"> </w:t>
      </w:r>
      <w:r>
        <w:t xml:space="preserve">Low, but the LCA’s notice section and the posting record should be internally consistent and should evidence both required locations.</w:t>
      </w:r>
    </w:p>
    <w:p>
      <w:pPr>
        <w:pStyle w:val="BodyText"/>
      </w:pPr>
      <w:r>
        <w:rPr>
          <w:b/>
          <w:bCs/>
        </w:rPr>
        <w:t xml:space="preserve">Recommendation.</w:t>
      </w:r>
      <w:r>
        <w:t xml:space="preserve"> </w:t>
      </w:r>
      <w:r>
        <w:t xml:space="preserve">Identify and document the second conspicuous posting location in the LCA notice record and in the Public Access File (e.g., a second break room, a main entrance bulletin board, or an electronic posting meeting the alternative-means requirements).</w:t>
      </w:r>
    </w:p>
    <w:p>
      <w:r>
        <w:pict>
          <v:rect style="width:0;height:1.5pt" o:hralign="center" o:hrstd="t" o:hr="t"/>
        </w:pict>
      </w:r>
    </w:p>
    <w:bookmarkEnd w:id="46"/>
    <w:bookmarkEnd w:id="47"/>
    <w:bookmarkStart w:id="50" w:name="X3b0e35b13563ca5ebf55d298876c9def185d7a6"/>
    <w:p>
      <w:pPr>
        <w:pStyle w:val="Heading3"/>
      </w:pPr>
      <w:r>
        <w:t xml:space="preserve">IV.G. Specialty Occupation Issues (Category B)</w:t>
      </w:r>
    </w:p>
    <w:bookmarkStart w:id="48" w:name="Xab345e9b419486509e0188c362c1dd319232d87"/>
    <w:p>
      <w:pPr>
        <w:pStyle w:val="Heading4"/>
      </w:pPr>
      <w:r>
        <w:t xml:space="preserve">B-1.</w:t>
      </w:r>
      <w:r>
        <w:t xml:space="preserve"> </w:t>
      </w:r>
      <w:r>
        <w:t xml:space="preserve">“</w:t>
      </w:r>
      <w:r>
        <w:t xml:space="preserve">Industry Standard</w:t>
      </w:r>
      <w:r>
        <w:t xml:space="preserve">”</w:t>
      </w:r>
      <w:r>
        <w:t xml:space="preserve"> </w:t>
      </w:r>
      <w:r>
        <w:t xml:space="preserve">Argument Is Conclusory and Unsupported (MEDIUM)</w:t>
      </w:r>
    </w:p>
    <w:p>
      <w:pPr>
        <w:pStyle w:val="FirstParagraph"/>
      </w:pPr>
      <w:r>
        <w:rPr>
          <w:b/>
          <w:bCs/>
        </w:rPr>
        <w:t xml:space="preserve">Finding.</w:t>
      </w:r>
      <w:r>
        <w:t xml:space="preserve"> </w:t>
      </w:r>
      <w:r>
        <w:t xml:space="preserve">The Employer Letter (§ 3) argues the position is a specialty occupation in part because</w:t>
      </w:r>
      <w:r>
        <w:t xml:space="preserve"> </w:t>
      </w:r>
      <w:r>
        <w:t xml:space="preserve">“</w:t>
      </w:r>
      <w:r>
        <w:t xml:space="preserve">[s]imilar positions at peer companies in the AI and data analytics consulting industry, including firms of comparable size and scope, uniformly require equivalent educational backgrounds as a condition of employment.</w:t>
      </w:r>
      <w:r>
        <w:t xml:space="preserve">”</w:t>
      </w:r>
      <w:r>
        <w:t xml:space="preserve"> </w:t>
      </w:r>
      <w:r>
        <w:t xml:space="preserve">This is a conclusory assertion with</w:t>
      </w:r>
      <w:r>
        <w:t xml:space="preserve"> </w:t>
      </w:r>
      <w:r>
        <w:rPr>
          <w:b/>
          <w:bCs/>
        </w:rPr>
        <w:t xml:space="preserve">no supporting evidence</w:t>
      </w:r>
      <w:r>
        <w:t xml:space="preserve"> </w:t>
      </w:r>
      <w:r>
        <w:t xml:space="preserve">— no competitor job postings, no O*NET/Occupational Outlook Handbook citation, no industry survey, no expert opinion, and no named peer firms.</w:t>
      </w:r>
    </w:p>
    <w:p>
      <w:pPr>
        <w:pStyle w:val="BodyText"/>
      </w:pPr>
      <w:r>
        <w:rPr>
          <w:b/>
          <w:bCs/>
        </w:rPr>
        <w:t xml:space="preserve">Standard.</w:t>
      </w:r>
      <w:r>
        <w:t xml:space="preserve"> </w:t>
      </w:r>
      <w:r>
        <w:t xml:space="preserve">INA § 214(i)(1); 8 CFR § 214.2(h)(4)(ii)–(iii). A specialty occupation requires,</w:t>
      </w:r>
      <w:r>
        <w:t xml:space="preserve"> </w:t>
      </w:r>
      <w:r>
        <w:rPr>
          <w:i/>
          <w:iCs/>
        </w:rPr>
        <w:t xml:space="preserve">inter alia</w:t>
      </w:r>
      <w:r>
        <w:t xml:space="preserve">, that a baccalaureate (or higher) degree in a specific specialty be the normal requirement for entry into the occupation. USCIS routinely issues RFEs demanding objective corroboration of the</w:t>
      </w:r>
      <w:r>
        <w:t xml:space="preserve"> </w:t>
      </w:r>
      <w:r>
        <w:t xml:space="preserve">“</w:t>
      </w:r>
      <w:r>
        <w:t xml:space="preserve">industry standard</w:t>
      </w:r>
      <w:r>
        <w:t xml:space="preserve">”</w:t>
      </w:r>
      <w:r>
        <w:t xml:space="preserve"> </w:t>
      </w:r>
      <w:r>
        <w:t xml:space="preserve">/</w:t>
      </w:r>
      <w:r>
        <w:t xml:space="preserve"> </w:t>
      </w:r>
      <w:r>
        <w:t xml:space="preserve">“</w:t>
      </w:r>
      <w:r>
        <w:t xml:space="preserve">always required</w:t>
      </w:r>
      <w:r>
        <w:t xml:space="preserve">”</w:t>
      </w:r>
      <w:r>
        <w:t xml:space="preserve"> </w:t>
      </w:r>
      <w:r>
        <w:t xml:space="preserve">prongs.</w:t>
      </w:r>
    </w:p>
    <w:p>
      <w:pPr>
        <w:pStyle w:val="BodyText"/>
      </w:pPr>
      <w:r>
        <w:rPr>
          <w:b/>
          <w:bCs/>
        </w:rPr>
        <w:t xml:space="preserve">Risk.</w:t>
      </w:r>
      <w:r>
        <w:t xml:space="preserve"> </w:t>
      </w:r>
      <w:r>
        <w:t xml:space="preserve">Medium. The specialty-occupation argument is currently assertion-based and vulnerable to an RFE seeking objective evidence.</w:t>
      </w:r>
    </w:p>
    <w:p>
      <w:pPr>
        <w:pStyle w:val="BodyText"/>
      </w:pPr>
      <w:r>
        <w:rPr>
          <w:b/>
          <w:bCs/>
        </w:rPr>
        <w:t xml:space="preserve">Recommendation.</w:t>
      </w:r>
      <w:r>
        <w:t xml:space="preserve"> </w:t>
      </w:r>
      <w:r>
        <w:t xml:space="preserve">Support the specialty-occupation analysis with: (a) 2–4</w:t>
      </w:r>
      <w:r>
        <w:t xml:space="preserve"> </w:t>
      </w:r>
      <w:r>
        <w:rPr>
          <w:b/>
          <w:bCs/>
        </w:rPr>
        <w:t xml:space="preserve">competitor/peer job postings</w:t>
      </w:r>
      <w:r>
        <w:t xml:space="preserve"> </w:t>
      </w:r>
      <w:r>
        <w:t xml:space="preserve">(from named firms) showing a bachelor’s in CS/ML/AI (or closely related) as a minimum requirement for comparable Senior ML Engineer roles; (b) a citation to the **O*NET</w:t>
      </w:r>
      <w:r>
        <w:rPr>
          <w:b/>
          <w:bCs/>
        </w:rPr>
        <w:t xml:space="preserve"> </w:t>
      </w:r>
      <w:r>
        <w:rPr>
          <w:b/>
          <w:bCs/>
        </w:rPr>
        <w:t xml:space="preserve">profile and</w:t>
      </w:r>
      <w:r>
        <w:rPr>
          <w:b/>
          <w:bCs/>
        </w:rPr>
        <w:t xml:space="preserve"> </w:t>
      </w:r>
      <w:r>
        <w:t xml:space="preserve">Occupational Outlook Handbook</w:t>
      </w:r>
      <w:r>
        <w:rPr>
          <w:b/>
          <w:bCs/>
        </w:rPr>
        <w:t xml:space="preserve"> </w:t>
      </w:r>
      <w:r>
        <w:rPr>
          <w:b/>
          <w:bCs/>
        </w:rPr>
        <w:t xml:space="preserve">entry for Data Scientists (SOC 15-2051) reflecting the typical entry-level education; (c) optionally, an</w:t>
      </w:r>
      <w:r>
        <w:rPr>
          <w:b/>
          <w:bCs/>
        </w:rPr>
        <w:t xml:space="preserve"> </w:t>
      </w:r>
      <w:r>
        <w:t xml:space="preserve">expert opinion** from a practitioner in the field; and (d) a clear articulation of the complex, specialized duties (already present in § 2 of the letter) that necessitate the degree.</w:t>
      </w:r>
    </w:p>
    <w:p>
      <w:r>
        <w:pict>
          <v:rect style="width:0;height:1.5pt" o:hralign="center" o:hrstd="t" o:hr="t"/>
        </w:pict>
      </w:r>
    </w:p>
    <w:bookmarkEnd w:id="48"/>
    <w:bookmarkStart w:id="49" w:name="Xd6dc6c2f11ab2ca83ef3ee4751ab9a393298be2"/>
    <w:p>
      <w:pPr>
        <w:pStyle w:val="Heading4"/>
      </w:pPr>
      <w:r>
        <w:t xml:space="preserve">B-2. Broad</w:t>
      </w:r>
      <w:r>
        <w:t xml:space="preserve"> </w:t>
      </w:r>
      <w:r>
        <w:t xml:space="preserve">“</w:t>
      </w:r>
      <w:r>
        <w:t xml:space="preserve">Any Engineering Degree</w:t>
      </w:r>
      <w:r>
        <w:t xml:space="preserve">”</w:t>
      </w:r>
      <w:r>
        <w:t xml:space="preserve"> </w:t>
      </w:r>
      <w:r>
        <w:t xml:space="preserve">Alternative May Undercut the Specialty-Occupation Prong (LOW–MEDIUM)</w:t>
      </w:r>
    </w:p>
    <w:p>
      <w:pPr>
        <w:pStyle w:val="FirstParagraph"/>
      </w:pPr>
      <w:r>
        <w:rPr>
          <w:b/>
          <w:bCs/>
        </w:rPr>
        <w:t xml:space="preserve">Finding.</w:t>
      </w:r>
      <w:r>
        <w:t xml:space="preserve"> </w:t>
      </w:r>
      <w:r>
        <w:t xml:space="preserve">The Employer Letter (§ 3) states the employer will accept</w:t>
      </w:r>
      <w:r>
        <w:t xml:space="preserve"> </w:t>
      </w:r>
      <w:r>
        <w:t xml:space="preserve">“</w:t>
      </w:r>
      <w:r>
        <w:t xml:space="preserve">a Bachelor’s degree in</w:t>
      </w:r>
      <w:r>
        <w:t xml:space="preserve"> </w:t>
      </w:r>
      <w:r>
        <w:rPr>
          <w:b/>
          <w:bCs/>
        </w:rPr>
        <w:t xml:space="preserve">any engineering discipline</w:t>
      </w:r>
      <w:r>
        <w:t xml:space="preserve"> </w:t>
      </w:r>
      <w:r>
        <w:t xml:space="preserve">combined with 5 years of progressive experience in machine learning</w:t>
      </w:r>
      <w:r>
        <w:t xml:space="preserve">”</w:t>
      </w:r>
      <w:r>
        <w:t xml:space="preserve"> </w:t>
      </w:r>
      <w:r>
        <w:t xml:space="preserve">as an equivalent qualification. Accepting</w:t>
      </w:r>
      <w:r>
        <w:t xml:space="preserve"> </w:t>
      </w:r>
      <w:r>
        <w:rPr>
          <w:i/>
          <w:iCs/>
        </w:rPr>
        <w:t xml:space="preserve">any</w:t>
      </w:r>
      <w:r>
        <w:t xml:space="preserve"> </w:t>
      </w:r>
      <w:r>
        <w:t xml:space="preserve">engineering degree (rather than a specific specialty or a closely related set) can be read to suggest that a degree in a</w:t>
      </w:r>
      <w:r>
        <w:t xml:space="preserve"> </w:t>
      </w:r>
      <w:r>
        <w:rPr>
          <w:i/>
          <w:iCs/>
        </w:rPr>
        <w:t xml:space="preserve">specific</w:t>
      </w:r>
      <w:r>
        <w:t xml:space="preserve"> </w:t>
      </w:r>
      <w:r>
        <w:t xml:space="preserve">specialty is not invariably required — in tension with the</w:t>
      </w:r>
      <w:r>
        <w:t xml:space="preserve"> </w:t>
      </w:r>
      <w:r>
        <w:t xml:space="preserve">“</w:t>
      </w:r>
      <w:r>
        <w:t xml:space="preserve">bachelor’s in a specific specialty … is normally the minimum</w:t>
      </w:r>
      <w:r>
        <w:t xml:space="preserve">”</w:t>
      </w:r>
      <w:r>
        <w:t xml:space="preserve"> </w:t>
      </w:r>
      <w:r>
        <w:t xml:space="preserve">prong of the specialty-occupation test.</w:t>
      </w:r>
    </w:p>
    <w:p>
      <w:pPr>
        <w:pStyle w:val="BodyText"/>
      </w:pPr>
      <w:r>
        <w:rPr>
          <w:b/>
          <w:bCs/>
        </w:rPr>
        <w:t xml:space="preserve">Risk.</w:t>
      </w:r>
      <w:r>
        <w:t xml:space="preserve"> </w:t>
      </w:r>
      <w:r>
        <w:t xml:space="preserve">Low–medium. USCIS has, in some adjudications, treated overly broad alternative-qualification language as evidence that the degree requirement is not truly for a specific specialty.</w:t>
      </w:r>
    </w:p>
    <w:p>
      <w:pPr>
        <w:pStyle w:val="BodyText"/>
      </w:pPr>
      <w:r>
        <w:rPr>
          <w:b/>
          <w:bCs/>
        </w:rPr>
        <w:t xml:space="preserve">Recommendation.</w:t>
      </w:r>
      <w:r>
        <w:t xml:space="preserve"> </w:t>
      </w:r>
      <w:r>
        <w:t xml:space="preserve">Narrow the alternative to</w:t>
      </w:r>
      <w:r>
        <w:t xml:space="preserve"> </w:t>
      </w:r>
      <w:r>
        <w:t xml:space="preserve">“</w:t>
      </w:r>
      <w:r>
        <w:t xml:space="preserve">a Bachelor’s degree in</w:t>
      </w:r>
      <w:r>
        <w:t xml:space="preserve"> </w:t>
      </w:r>
      <w:r>
        <w:rPr>
          <w:b/>
          <w:bCs/>
        </w:rPr>
        <w:t xml:space="preserve">a related engineering or quantitative discipline</w:t>
      </w:r>
      <w:r>
        <w:t xml:space="preserve"> </w:t>
      </w:r>
      <w:r>
        <w:t xml:space="preserve">(e.g., Electrical, Computer, Electronics, or Software Engineering, or Applied Mathematics/Statistics) combined with progressive ML experience,</w:t>
      </w:r>
      <w:r>
        <w:t xml:space="preserve">”</w:t>
      </w:r>
      <w:r>
        <w:t xml:space="preserve"> </w:t>
      </w:r>
      <w:r>
        <w:t xml:space="preserve">and frame it as a degree-plus-experience equivalence under 8 CFR § 214.2(h)(4)(iii)(C) rather than as a substitute for the specialty requirement. Ensure the primary requirement (CS/ML/AI or closely related) remains clearly the minimum.</w:t>
      </w:r>
    </w:p>
    <w:p>
      <w:r>
        <w:pict>
          <v:rect style="width:0;height:1.5pt" o:hralign="center" o:hrstd="t" o:hr="t"/>
        </w:pict>
      </w:r>
    </w:p>
    <w:bookmarkEnd w:id="49"/>
    <w:bookmarkEnd w:id="50"/>
    <w:bookmarkStart w:id="52" w:name="X3a70250743a07c3dc87c60807d5e1acc4cabc7e"/>
    <w:p>
      <w:pPr>
        <w:pStyle w:val="Heading3"/>
      </w:pPr>
      <w:r>
        <w:t xml:space="preserve">IV.H. Execution / Formal Deficiencies (Category G)</w:t>
      </w:r>
    </w:p>
    <w:bookmarkStart w:id="51" w:name="Xfb0a0df62ee5b046b83d1f91a4ca7357f15b078"/>
    <w:p>
      <w:pPr>
        <w:pStyle w:val="Heading4"/>
      </w:pPr>
      <w:r>
        <w:t xml:space="preserve">G-1. Unsigned Employer Letter and LCA (LOW)</w:t>
      </w:r>
    </w:p>
    <w:p>
      <w:pPr>
        <w:pStyle w:val="FirstParagraph"/>
      </w:pPr>
      <w:r>
        <w:rPr>
          <w:b/>
          <w:bCs/>
        </w:rPr>
        <w:t xml:space="preserve">Finding.</w:t>
      </w:r>
      <w:r>
        <w:t xml:space="preserve"> </w:t>
      </w:r>
      <w:r>
        <w:t xml:space="preserve">The Employer Support Letter is dated April 7, 2025 but the signature line is</w:t>
      </w:r>
      <w:r>
        <w:t xml:space="preserve"> </w:t>
      </w:r>
      <w:r>
        <w:rPr>
          <w:b/>
          <w:bCs/>
        </w:rPr>
        <w:t xml:space="preserve">blank</w:t>
      </w:r>
      <w:r>
        <w:t xml:space="preserve"> </w:t>
      </w:r>
      <w:r>
        <w:t xml:space="preserve">(no signature). The LCA (§ L.2) likewise shows a</w:t>
      </w:r>
      <w:r>
        <w:t xml:space="preserve"> </w:t>
      </w:r>
      <w:r>
        <w:rPr>
          <w:b/>
          <w:bCs/>
        </w:rPr>
        <w:t xml:space="preserve">blank</w:t>
      </w:r>
      <w:r>
        <w:t xml:space="preserve"> </w:t>
      </w:r>
      <w:r>
        <w:t xml:space="preserve">signature line for Patricia Kwon (dated March 10, 2025). The Kiran letter bears a</w:t>
      </w:r>
      <w:r>
        <w:t xml:space="preserve"> </w:t>
      </w:r>
      <w:r>
        <w:t xml:space="preserve">“</w:t>
      </w:r>
      <w:r>
        <w:t xml:space="preserve">/s/</w:t>
      </w:r>
      <w:r>
        <w:t xml:space="preserve">”</w:t>
      </w:r>
      <w:r>
        <w:t xml:space="preserve"> </w:t>
      </w:r>
      <w:r>
        <w:t xml:space="preserve">signature; the NovaStar letter’s signature line is blank.</w:t>
      </w:r>
    </w:p>
    <w:p>
      <w:pPr>
        <w:pStyle w:val="BodyText"/>
      </w:pPr>
      <w:r>
        <w:rPr>
          <w:b/>
          <w:bCs/>
        </w:rPr>
        <w:t xml:space="preserve">Risk.</w:t>
      </w:r>
      <w:r>
        <w:t xml:space="preserve"> </w:t>
      </w:r>
      <w:r>
        <w:t xml:space="preserve">Low for review purposes (these may be template/working copies), but the filed petition should contain originally signed documents. USCIS accepts copies, but the underlying documents should be executed.</w:t>
      </w:r>
    </w:p>
    <w:p>
      <w:pPr>
        <w:pStyle w:val="BodyText"/>
      </w:pPr>
      <w:r>
        <w:rPr>
          <w:b/>
          <w:bCs/>
        </w:rPr>
        <w:t xml:space="preserve">Recommendation.</w:t>
      </w:r>
      <w:r>
        <w:t xml:space="preserve"> </w:t>
      </w:r>
      <w:r>
        <w:t xml:space="preserve">Ensure the filed Employer Letter and LCA bear original (or compliant electronic) signatures, and that the NovaStar letter is signed. Retain signed originals in the file.</w:t>
      </w:r>
    </w:p>
    <w:p>
      <w:r>
        <w:pict>
          <v:rect style="width:0;height:1.5pt" o:hralign="center" o:hrstd="t" o:hr="t"/>
        </w:pict>
      </w:r>
    </w:p>
    <w:bookmarkEnd w:id="51"/>
    <w:bookmarkEnd w:id="52"/>
    <w:bookmarkEnd w:id="53"/>
    <w:bookmarkStart w:id="54" w:name="X132563d0a5a90f3839d4021b7f2395b087bc04f"/>
    <w:p>
      <w:pPr>
        <w:pStyle w:val="Heading2"/>
      </w:pPr>
      <w:r>
        <w:t xml:space="preserve">V. Prioritized Recommendations / Action Items</w:t>
      </w:r>
    </w:p>
    <w:p>
      <w:pPr>
        <w:pStyle w:val="FirstParagraph"/>
      </w:pPr>
      <w:r>
        <w:t xml:space="preserve">The following actions are ordered by impact on approvability. Items 1–3 are gating and should be resolved before filing.</w:t>
      </w:r>
    </w:p>
    <w:p>
      <w:pPr>
        <w:numPr>
          <w:ilvl w:val="0"/>
          <w:numId w:val="1002"/>
        </w:numPr>
      </w:pPr>
      <w:r>
        <w:rPr>
          <w:b/>
          <w:bCs/>
        </w:rPr>
        <w:t xml:space="preserve">(CRITICAL — Issue E-1)</w:t>
      </w:r>
      <w:r>
        <w:t xml:space="preserve"> </w:t>
      </w:r>
      <w:r>
        <w:t xml:space="preserve">Determine whether the Beneficiary holds a U.S. degree. If yes, add the U.S. degree, transcript, I-20(s), and EAD — this cures the F-1 OPT/status issue and most likely resolves the field-of-study issue (A-1). If no, correct the status assertion and document the Beneficiary’s actual lawful status and maintenance of status, including the basis for U.S. employment at NovaStar (2017–2020) and Brightfield (2023–present).</w:t>
      </w:r>
    </w:p>
    <w:p>
      <w:pPr>
        <w:numPr>
          <w:ilvl w:val="0"/>
          <w:numId w:val="1002"/>
        </w:numPr>
      </w:pPr>
      <w:r>
        <w:rPr>
          <w:b/>
          <w:bCs/>
        </w:rPr>
        <w:t xml:space="preserve">(CRITICAL — Issue A-1)</w:t>
      </w:r>
      <w:r>
        <w:t xml:space="preserve"> </w:t>
      </w:r>
      <w:r>
        <w:t xml:space="preserve">If no U.S. CS/DS degree is available, obtain a</w:t>
      </w:r>
      <w:r>
        <w:t xml:space="preserve"> </w:t>
      </w:r>
      <w:r>
        <w:rPr>
          <w:b/>
          <w:bCs/>
        </w:rPr>
        <w:t xml:space="preserve">supplemental expert opinion</w:t>
      </w:r>
      <w:r>
        <w:t xml:space="preserve"> </w:t>
      </w:r>
      <w:r>
        <w:t xml:space="preserve">addressing whether the ECE degree (with its specific coursework) is a</w:t>
      </w:r>
      <w:r>
        <w:t xml:space="preserve"> </w:t>
      </w:r>
      <w:r>
        <w:t xml:space="preserve">“</w:t>
      </w:r>
      <w:r>
        <w:t xml:space="preserve">closely related</w:t>
      </w:r>
      <w:r>
        <w:t xml:space="preserve">”</w:t>
      </w:r>
      <w:r>
        <w:t xml:space="preserve"> </w:t>
      </w:r>
      <w:r>
        <w:t xml:space="preserve">field to CS/ML/AI and provides the requisite foundation, singly or combined with experience. Re-issue through an evaluator with a verifiable, regionally accredited credential (Issue A-5).</w:t>
      </w:r>
    </w:p>
    <w:p>
      <w:pPr>
        <w:numPr>
          <w:ilvl w:val="0"/>
          <w:numId w:val="1002"/>
        </w:numPr>
      </w:pPr>
      <w:r>
        <w:rPr>
          <w:b/>
          <w:bCs/>
        </w:rPr>
        <w:t xml:space="preserve">(CRITICAL/HIGH — Issues A-2, A-3, A-4)</w:t>
      </w:r>
      <w:r>
        <w:t xml:space="preserve"> </w:t>
      </w:r>
      <w:r>
        <w:rPr>
          <w:b/>
          <w:bCs/>
        </w:rPr>
        <w:t xml:space="preserve">Document the independent consulting period (Aug. 2020–Aug. 2023)</w:t>
      </w:r>
      <w:r>
        <w:t xml:space="preserve"> </w:t>
      </w:r>
      <w:r>
        <w:t xml:space="preserve">with client letters (naming TensorFlow, PyTorch, AWS SageMaker, NLP/LLM work) and tax/business records. This is the single highest-leverage cure: it satisfies the 5-year alternative threshold (A-2), supplies the required specific-tool experience (A-4), and corroborates the load-bearing 3-year block (A-3).</w:t>
      </w:r>
    </w:p>
    <w:p>
      <w:pPr>
        <w:numPr>
          <w:ilvl w:val="0"/>
          <w:numId w:val="1002"/>
        </w:numPr>
      </w:pPr>
      <w:r>
        <w:rPr>
          <w:b/>
          <w:bCs/>
        </w:rPr>
        <w:t xml:space="preserve">(HIGH — Issue F-1)</w:t>
      </w:r>
      <w:r>
        <w:t xml:space="preserve"> </w:t>
      </w:r>
      <w:r>
        <w:t xml:space="preserve">Reassess the wage level against the supervisory/independent-judgment duties. If Level 3 is appropriate,</w:t>
      </w:r>
      <w:r>
        <w:t xml:space="preserve"> </w:t>
      </w:r>
      <w:r>
        <w:rPr>
          <w:b/>
          <w:bCs/>
        </w:rPr>
        <w:t xml:space="preserve">raise the offered wage to ≥ $137,946</w:t>
      </w:r>
      <w:r>
        <w:t xml:space="preserve"> </w:t>
      </w:r>
      <w:r>
        <w:t xml:space="preserve">and obtain a new PWD/LCA; if Level 2 is maintained, align the duty language with</w:t>
      </w:r>
      <w:r>
        <w:t xml:space="preserve"> </w:t>
      </w:r>
      <w:r>
        <w:t xml:space="preserve">“</w:t>
      </w:r>
      <w:r>
        <w:t xml:space="preserve">limited judgment</w:t>
      </w:r>
      <w:r>
        <w:t xml:space="preserve">”</w:t>
      </w:r>
      <w:r>
        <w:t xml:space="preserve"> </w:t>
      </w:r>
      <w:r>
        <w:t xml:space="preserve">and reconcile the headcount (C-3).</w:t>
      </w:r>
    </w:p>
    <w:p>
      <w:pPr>
        <w:numPr>
          <w:ilvl w:val="0"/>
          <w:numId w:val="1002"/>
        </w:numPr>
      </w:pPr>
      <w:r>
        <w:rPr>
          <w:b/>
          <w:bCs/>
        </w:rPr>
        <w:t xml:space="preserve">(MEDIUM — Issue F-2)</w:t>
      </w:r>
      <w:r>
        <w:t xml:space="preserve"> </w:t>
      </w:r>
      <w:r>
        <w:t xml:space="preserve">Re-post the LCA notice for a full</w:t>
      </w:r>
      <w:r>
        <w:t xml:space="preserve"> </w:t>
      </w:r>
      <w:r>
        <w:rPr>
          <w:b/>
          <w:bCs/>
        </w:rPr>
        <w:t xml:space="preserve">10 consecutive business days</w:t>
      </w:r>
      <w:r>
        <w:t xml:space="preserve"> </w:t>
      </w:r>
      <w:r>
        <w:t xml:space="preserve">and document both posting locations (F-3); retain corrected evidence in the Public Access File.</w:t>
      </w:r>
    </w:p>
    <w:p>
      <w:pPr>
        <w:numPr>
          <w:ilvl w:val="0"/>
          <w:numId w:val="1002"/>
        </w:numPr>
      </w:pPr>
      <w:r>
        <w:rPr>
          <w:b/>
          <w:bCs/>
        </w:rPr>
        <w:t xml:space="preserve">(MEDIUM — Issue C-2)</w:t>
      </w:r>
      <w:r>
        <w:t xml:space="preserve"> </w:t>
      </w:r>
      <w:r>
        <w:t xml:space="preserve">Standardize the employer telephone number across all documents; correct the posting notice (which currently shows the Beneficiary’s number).</w:t>
      </w:r>
    </w:p>
    <w:p>
      <w:pPr>
        <w:numPr>
          <w:ilvl w:val="0"/>
          <w:numId w:val="1002"/>
        </w:numPr>
      </w:pPr>
      <w:r>
        <w:rPr>
          <w:b/>
          <w:bCs/>
        </w:rPr>
        <w:t xml:space="preserve">(MEDIUM — Issue C-1)</w:t>
      </w:r>
      <w:r>
        <w:t xml:space="preserve"> </w:t>
      </w:r>
      <w:r>
        <w:t xml:space="preserve">Correct the résumé employment dates to match the experience letters (Kiran through Dec. 2016; NovaStar through July 2020) and explain the Jan.–Mar. 2017 gap (C-4).</w:t>
      </w:r>
    </w:p>
    <w:p>
      <w:pPr>
        <w:numPr>
          <w:ilvl w:val="0"/>
          <w:numId w:val="1002"/>
        </w:numPr>
      </w:pPr>
      <w:r>
        <w:rPr>
          <w:b/>
          <w:bCs/>
        </w:rPr>
        <w:t xml:space="preserve">(MEDIUM — Issue B-1)</w:t>
      </w:r>
      <w:r>
        <w:t xml:space="preserve"> </w:t>
      </w:r>
      <w:r>
        <w:t xml:space="preserve">Support the specialty-occupation analysis with peer job postings, O*NET/OOH citations, and (optionally) an expert opinion.</w:t>
      </w:r>
    </w:p>
    <w:p>
      <w:pPr>
        <w:numPr>
          <w:ilvl w:val="0"/>
          <w:numId w:val="1002"/>
        </w:numPr>
      </w:pPr>
      <w:r>
        <w:rPr>
          <w:b/>
          <w:bCs/>
        </w:rPr>
        <w:t xml:space="preserve">(MEDIUM — Issues D-1, D-2)</w:t>
      </w:r>
      <w:r>
        <w:t xml:space="preserve"> </w:t>
      </w:r>
      <w:r>
        <w:t xml:space="preserve">Confirm inclusion of the cap registration selection notice, Form I-129 and supplements, passport/I-94/visa, and petitioner financials (D-3).</w:t>
      </w:r>
    </w:p>
    <w:p>
      <w:pPr>
        <w:numPr>
          <w:ilvl w:val="0"/>
          <w:numId w:val="1002"/>
        </w:numPr>
      </w:pPr>
      <w:r>
        <w:rPr>
          <w:b/>
          <w:bCs/>
        </w:rPr>
        <w:t xml:space="preserve">(LOW–MEDIUM — Issues C-3, B-2, C-5, C-6, C-7, G-1)</w:t>
      </w:r>
      <w:r>
        <w:t xml:space="preserve"> </w:t>
      </w:r>
      <w:r>
        <w:t xml:space="preserve">Reconcile the supervisory headcount (3 vs. 2); narrow the alternative-qualification language; use a single supportable experience figure; clarify current OPT title vs. petitioned title; align the evaluation’s credit-hour description with the transcript; and ensure all documents are signed.</w:t>
      </w:r>
    </w:p>
    <w:p>
      <w:r>
        <w:pict>
          <v:rect style="width:0;height:1.5pt" o:hralign="center" o:hrstd="t" o:hr="t"/>
        </w:pict>
      </w:r>
    </w:p>
    <w:bookmarkEnd w:id="54"/>
    <w:bookmarkStart w:id="55" w:name="vi.-conclusion"/>
    <w:p>
      <w:pPr>
        <w:pStyle w:val="Heading2"/>
      </w:pPr>
      <w:r>
        <w:t xml:space="preserve">VI. Conclusion</w:t>
      </w:r>
    </w:p>
    <w:p>
      <w:pPr>
        <w:pStyle w:val="FirstParagraph"/>
      </w:pPr>
      <w:r>
        <w:t xml:space="preserve">The petition package is largely consistent on its core identifying data (beneficiary, employer, SOC code, wage, LCA/PWD case numbers, and validity periods), and the proffered wage exceeds the certified Level 2 prevailing wage. The package’s principal vulnerabilities are</w:t>
      </w:r>
      <w:r>
        <w:t xml:space="preserve"> </w:t>
      </w:r>
      <w:r>
        <w:rPr>
          <w:b/>
          <w:bCs/>
        </w:rPr>
        <w:t xml:space="preserve">substantive, not clerical</w:t>
      </w:r>
      <w:r>
        <w:t xml:space="preserve">: the Beneficiary’s degree is in a field (ECE) that the credential evaluation does not tie to the required CS/ML/AI specialty; the alternative qualification path depends on an undocumented three-year consulting period; the only documented ML experience does not evidence the specific tools the position requires; the F-1 OPT status assertion is unsupported by any U.S. degree or OPT documentation; and the wage level appears understated relative to the supervisory, independent-judgment duties described. Several lesser consistency and execution items (date mismatches, phone-number inconsistencies, an 8-business-day posting, an unsigned letter) should also be cured.</w:t>
      </w:r>
    </w:p>
    <w:p>
      <w:pPr>
        <w:pStyle w:val="BodyText"/>
      </w:pPr>
      <w:r>
        <w:t xml:space="preserve">With the prioritized cures in Section V — most importantly, supplying any U.S. degree and OPT documentation, documenting the consulting period, and obtaining a field-of-study expert opinion — the petition can be materially strengthened before filing. Absent those cures, the petition carries a meaningful risk of RFE or denial on qualification and status grounds.</w:t>
      </w:r>
    </w:p>
    <w:p>
      <w:r>
        <w:pict>
          <v:rect style="width:0;height:1.5pt" o:hralign="center" o:hrstd="t" o:hr="t"/>
        </w:pict>
      </w:r>
    </w:p>
    <w:p>
      <w:pPr>
        <w:pStyle w:val="FirstParagraph"/>
      </w:pPr>
      <w:r>
        <w:rPr>
          <w:i/>
          <w:iCs/>
        </w:rPr>
        <w:t xml:space="preserve">Prepared on the basis of the ten documents listed in Section II. This memorandum identifies issues for internal review and cure; it does not constitute a final adjudicatory determination or a guarantee of any outcome.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2026-06-28T21:27:38Z</dcterms:created>
  <dcterms:modified xsi:type="dcterms:W3CDTF">2026-06-28T21:27:38Z</dcterms:modified>
</cp:coreProperties>
</file>

<file path=docProps/custom.xml><?xml version="1.0" encoding="utf-8"?>
<Properties xmlns="http://schemas.openxmlformats.org/officeDocument/2006/custom-properties" xmlns:vt="http://schemas.openxmlformats.org/officeDocument/2006/docPropsVTypes"/>
</file>