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TO:</w:t>
      </w:r>
      <w:r>
        <w:t xml:space="preserve"> </w:t>
      </w:r>
      <w:r>
        <w:t xml:space="preserve">File / Supervising Attorney (H-1B Petition — Brightfield Analytics Inc. — Rajesh Venkataraman)</w:t>
      </w:r>
    </w:p>
    <w:p>
      <w:pPr>
        <w:pStyle w:val="BodyText"/>
      </w:pPr>
      <w:r>
        <w:rPr>
          <w:b/>
          <w:bCs/>
        </w:rPr>
        <w:t xml:space="preserve">FROM:</w:t>
      </w:r>
      <w:r>
        <w:t xml:space="preserve"> </w:t>
      </w:r>
      <w:r>
        <w:t xml:space="preserve">Immigration Case Review</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Issue Identification and Cross-Reference Review — H-1B Specialty Occupation Petition (Beneficiary: Rajesh Venkataraman; Petitioner: Brightfield Analytics Inc.; Position: Senior Machine Learning Engineer; SOC 15-2051)</w:t>
      </w:r>
    </w:p>
    <w:p>
      <w:pPr>
        <w:pStyle w:val="BodyText"/>
      </w:pPr>
      <w:r>
        <w:rPr>
          <w:b/>
          <w:bCs/>
        </w:rPr>
        <w:t xml:space="preserve">PRIVILEGED &amp; CONFIDENTIAL — ATTORNEY WORK PRODUCT</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reports the results of a cross-reference review of the H-1B petition package assembled on behalf of Brightfield Analytics Inc. (</w:t>
      </w:r>
      <w:r>
        <w:t xml:space="preserve">“</w:t>
      </w:r>
      <w:r>
        <w:t xml:space="preserve">Brightfield</w:t>
      </w:r>
      <w:r>
        <w:t xml:space="preserve">”</w:t>
      </w:r>
      <w:r>
        <w:t xml:space="preserve"> </w:t>
      </w:r>
      <w:r>
        <w:t xml:space="preserve">/</w:t>
      </w:r>
      <w:r>
        <w:t xml:space="preserve"> </w:t>
      </w:r>
      <w:r>
        <w:t xml:space="preserve">“</w:t>
      </w:r>
      <w:r>
        <w:t xml:space="preserve">the Petitioner</w:t>
      </w:r>
      <w:r>
        <w:t xml:space="preserve">”</w:t>
      </w:r>
      <w:r>
        <w:t xml:space="preserve">) for the beneficiary Rajesh Venkataraman (</w:t>
      </w:r>
      <w:r>
        <w:t xml:space="preserve">“</w:t>
      </w:r>
      <w:r>
        <w:t xml:space="preserve">the Beneficiary</w:t>
      </w:r>
      <w:r>
        <w:t xml:space="preserve">”</w:t>
      </w:r>
      <w:r>
        <w:t xml:space="preserve">). Ten documents were reviewed and cross-checked against one another and against the governing statutory and regulatory requirements (INA § 214(i); 8 CFR § 214.2(h)(4); 20 CFR Part 655, Subparts H and I).</w:t>
      </w:r>
    </w:p>
    <w:p>
      <w:pPr>
        <w:pStyle w:val="BodyText"/>
      </w:pPr>
      <w:r>
        <w:t xml:space="preserve">The package is, on the whole, coherent and largely internally consistent on core petition elements (petitioner identity, position, SOC code, wage, and LCA/PWD cross-references). However, the review identifies</w:t>
      </w:r>
      <w:r>
        <w:t xml:space="preserve"> </w:t>
      </w:r>
      <w:r>
        <w:rPr>
          <w:b/>
          <w:bCs/>
        </w:rPr>
        <w:t xml:space="preserve">twenty-two (22) discrete issues</w:t>
      </w:r>
      <w:r>
        <w:t xml:space="preserve"> </w:t>
      </w:r>
      <w:r>
        <w:t xml:space="preserve">spanning data-integrity inconsistencies, a potentially material prevailing-wage-level problem, specialty-occupation and beneficiary-qualification vulnerabilities, documentation gaps, and credential-evaluation concerns. Five issues are rated</w:t>
      </w:r>
      <w:r>
        <w:t xml:space="preserve"> </w:t>
      </w:r>
      <w:r>
        <w:rPr>
          <w:b/>
          <w:bCs/>
        </w:rPr>
        <w:t xml:space="preserve">High</w:t>
      </w:r>
      <w:r>
        <w:t xml:space="preserve"> </w:t>
      </w:r>
      <w:r>
        <w:t xml:space="preserve">priority because they could independently trigger a Request for Evidence (</w:t>
      </w:r>
      <w:r>
        <w:t xml:space="preserve">“</w:t>
      </w:r>
      <w:r>
        <w:t xml:space="preserve">RFE</w:t>
      </w:r>
      <w:r>
        <w:t xml:space="preserve">”</w:t>
      </w:r>
      <w:r>
        <w:t xml:space="preserve">), a Notice of Intent to Deny, or an LCA compliance exposure; the remainder are Medium or Low and are correctable.</w:t>
      </w:r>
    </w:p>
    <w:p>
      <w:pPr>
        <w:pStyle w:val="BodyText"/>
      </w:pPr>
      <w:r>
        <w:t xml:space="preserve">The single most consequential finding is that the proffered position is described across multiple documents as involving</w:t>
      </w:r>
      <w:r>
        <w:t xml:space="preserve"> </w:t>
      </w:r>
      <w:r>
        <w:rPr>
          <w:b/>
          <w:bCs/>
        </w:rPr>
        <w:t xml:space="preserve">supervisory duties and independent judgment</w:t>
      </w:r>
      <w:r>
        <w:t xml:space="preserve"> </w:t>
      </w:r>
      <w:r>
        <w:t xml:space="preserve">— indicators that, under the Department of Labor’s own wage-level definitions, correspond to</w:t>
      </w:r>
      <w:r>
        <w:t xml:space="preserve"> </w:t>
      </w:r>
      <w:r>
        <w:rPr>
          <w:b/>
          <w:bCs/>
        </w:rPr>
        <w:t xml:space="preserve">Wage Level 3 ($137,946)</w:t>
      </w:r>
      <w:r>
        <w:t xml:space="preserve"> </w:t>
      </w:r>
      <w:r>
        <w:t xml:space="preserve">rather than the certified</w:t>
      </w:r>
      <w:r>
        <w:t xml:space="preserve"> </w:t>
      </w:r>
      <w:r>
        <w:rPr>
          <w:b/>
          <w:bCs/>
        </w:rPr>
        <w:t xml:space="preserve">Wage Level 2 ($113,734)</w:t>
      </w:r>
      <w:r>
        <w:t xml:space="preserve">. The offered wage of</w:t>
      </w:r>
      <w:r>
        <w:t xml:space="preserve"> </w:t>
      </w:r>
      <w:r>
        <w:rPr>
          <w:b/>
          <w:bCs/>
        </w:rPr>
        <w:t xml:space="preserve">$128,000</w:t>
      </w:r>
      <w:r>
        <w:t xml:space="preserve"> </w:t>
      </w:r>
      <w:r>
        <w:t xml:space="preserve">exceeds Level 2 but</w:t>
      </w:r>
      <w:r>
        <w:t xml:space="preserve"> </w:t>
      </w:r>
      <w:r>
        <w:rPr>
          <w:b/>
          <w:bCs/>
        </w:rPr>
        <w:t xml:space="preserve">falls below Level 3</w:t>
      </w:r>
      <w:r>
        <w:t xml:space="preserve">. If the correct level is Level 3, the Petitioner is not satisfying the prevailing-wage attestation, and the LCA wage compliance is at risk. This should be resolved before filing.</w:t>
      </w:r>
    </w:p>
    <w:p>
      <w:pPr>
        <w:pStyle w:val="BodyText"/>
      </w:pPr>
      <w:r>
        <w:t xml:space="preserve">The second most consequential cluster concerns the</w:t>
      </w:r>
      <w:r>
        <w:t xml:space="preserve"> </w:t>
      </w:r>
      <w:r>
        <w:rPr>
          <w:b/>
          <w:bCs/>
        </w:rPr>
        <w:t xml:space="preserve">Beneficiary’s qualifications</w:t>
      </w:r>
      <w:r>
        <w:t xml:space="preserve">: his degree is in Electronics and Communication Engineering (</w:t>
      </w:r>
      <w:r>
        <w:t xml:space="preserve">“</w:t>
      </w:r>
      <w:r>
        <w:t xml:space="preserve">ECE</w:t>
      </w:r>
      <w:r>
        <w:t xml:space="preserve">”</w:t>
      </w:r>
      <w:r>
        <w:t xml:space="preserve">), while the position requires Computer Science, Machine Learning, Artificial Intelligence, or a</w:t>
      </w:r>
      <w:r>
        <w:t xml:space="preserve"> </w:t>
      </w:r>
      <w:r>
        <w:t xml:space="preserve">“</w:t>
      </w:r>
      <w:r>
        <w:t xml:space="preserve">closely related</w:t>
      </w:r>
      <w:r>
        <w:t xml:space="preserve">”</w:t>
      </w:r>
      <w:r>
        <w:t xml:space="preserve"> </w:t>
      </w:r>
      <w:r>
        <w:t xml:space="preserve">field; the credential evaluation quantifies computer-related coursework at only ~7.5% of the curriculum and expressly declines to opine on field-of-study fit; and the ~3-year independent-consulting period that supplies much of the deep-learning/tool-specific experience is entirely undocumented.</w:t>
      </w:r>
    </w:p>
    <w:bookmarkStart w:id="20" w:name="issue-summary-table"/>
    <w:p>
      <w:pPr>
        <w:pStyle w:val="Heading3"/>
      </w:pPr>
      <w:r>
        <w:t xml:space="preserve">Issue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Wage level likely understated (Level 2 vs. Level 3); offered wage below Level 3</w:t>
            </w:r>
          </w:p>
        </w:tc>
        <w:tc>
          <w:tcPr/>
          <w:p>
            <w:pPr>
              <w:pStyle w:val="Compact"/>
              <w:jc w:val="left"/>
            </w:pPr>
            <w:r>
              <w:t xml:space="preserve">Wage / LCA</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Field-of-study mismatch (ECE vs. CS/ML/AI); evaluation does not bridge the gap</w:t>
            </w:r>
          </w:p>
        </w:tc>
        <w:tc>
          <w:tcPr/>
          <w:p>
            <w:pPr>
              <w:pStyle w:val="Compact"/>
              <w:jc w:val="left"/>
            </w:pPr>
            <w:r>
              <w:t xml:space="preserve">Specialty Occ. / Qualifications</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~3-year independent-consulting period undocumented</w:t>
            </w:r>
          </w:p>
        </w:tc>
        <w:tc>
          <w:tcPr/>
          <w:p>
            <w:pPr>
              <w:pStyle w:val="Compact"/>
              <w:jc w:val="left"/>
            </w:pPr>
            <w:r>
              <w:t xml:space="preserve">Documentation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Credential evaluator’s Ph.D. from</w:t>
            </w:r>
            <w:r>
              <w:t xml:space="preserve"> </w:t>
            </w:r>
            <w:r>
              <w:t xml:space="preserve">“</w:t>
            </w:r>
            <w:r>
              <w:t xml:space="preserve">Halford University</w:t>
            </w:r>
            <w:r>
              <w:t xml:space="preserve">”</w:t>
            </w:r>
            <w:r>
              <w:t xml:space="preserve"> </w:t>
            </w:r>
            <w:r>
              <w:t xml:space="preserve">(unaccredited)</w:t>
            </w:r>
          </w:p>
        </w:tc>
        <w:tc>
          <w:tcPr/>
          <w:p>
            <w:pPr>
              <w:pStyle w:val="Compact"/>
              <w:jc w:val="left"/>
            </w:pPr>
            <w:r>
              <w:t xml:space="preserve">Credential Evaluation</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LCA posting period appears shorter than 10 business days</w:t>
            </w:r>
          </w:p>
        </w:tc>
        <w:tc>
          <w:tcPr/>
          <w:p>
            <w:pPr>
              <w:pStyle w:val="Compact"/>
              <w:jc w:val="left"/>
            </w:pPr>
            <w:r>
              <w:t xml:space="preserve">LCA Posting</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Required tools (TensorFlow/PyTorch/AWS/NLP/LLM) not corroborated by experience letters</w:t>
            </w:r>
          </w:p>
        </w:tc>
        <w:tc>
          <w:tcPr/>
          <w:p>
            <w:pPr>
              <w:pStyle w:val="Compact"/>
              <w:jc w:val="left"/>
            </w:pPr>
            <w:r>
              <w:t xml:space="preserve">Qualifications</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w:t>
            </w:r>
            <w:r>
              <w:t xml:space="preserve">Alternative qualification</w:t>
            </w:r>
            <w:r>
              <w:t xml:space="preserve">”</w:t>
            </w:r>
            <w:r>
              <w:t xml:space="preserve"> </w:t>
            </w:r>
            <w:r>
              <w:t xml:space="preserve">(any engineering degree + 5 yrs) may dilute specialty-occupation showing</w:t>
            </w:r>
          </w:p>
        </w:tc>
        <w:tc>
          <w:tcPr/>
          <w:p>
            <w:pPr>
              <w:pStyle w:val="Compact"/>
              <w:jc w:val="left"/>
            </w:pPr>
            <w:r>
              <w:t xml:space="preserve">Specialty Occ.</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Employer/HR contact telephone numbers inconsistent across four documents</w:t>
            </w:r>
          </w:p>
        </w:tc>
        <w:tc>
          <w:tcPr/>
          <w:p>
            <w:pPr>
              <w:pStyle w:val="Compact"/>
              <w:jc w:val="left"/>
            </w:pPr>
            <w:r>
              <w:t xml:space="preserve">Data Integrity</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Kiran employment dates overstated on resume vs. experience letter</w:t>
            </w:r>
          </w:p>
        </w:tc>
        <w:tc>
          <w:tcPr/>
          <w:p>
            <w:pPr>
              <w:pStyle w:val="Compact"/>
              <w:jc w:val="left"/>
            </w:pPr>
            <w:r>
              <w:t xml:space="preserve">Data Integrity</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NovaStar employment dates overstated on resume vs. experience letter</w:t>
            </w:r>
          </w:p>
        </w:tc>
        <w:tc>
          <w:tcPr/>
          <w:p>
            <w:pPr>
              <w:pStyle w:val="Compact"/>
              <w:jc w:val="left"/>
            </w:pPr>
            <w:r>
              <w:t xml:space="preserve">Data Integrity</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Team-size inconsistency (3 junior data scientists vs. 2 direct reports on org chart)</w:t>
            </w:r>
          </w:p>
        </w:tc>
        <w:tc>
          <w:tcPr/>
          <w:p>
            <w:pPr>
              <w:pStyle w:val="Compact"/>
              <w:jc w:val="left"/>
            </w:pPr>
            <w:r>
              <w:t xml:space="preserve">Data Integrity</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Ability-to-pay asserted but not documented</w:t>
            </w:r>
          </w:p>
        </w:tc>
        <w:tc>
          <w:tcPr/>
          <w:p>
            <w:pPr>
              <w:pStyle w:val="Compact"/>
              <w:jc w:val="left"/>
            </w:pPr>
            <w:r>
              <w:t xml:space="preserve">Documentation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Beneficiary identity / current-status documents missing (passport, I-94, I-20, EAD)</w:t>
            </w:r>
          </w:p>
        </w:tc>
        <w:tc>
          <w:tcPr/>
          <w:p>
            <w:pPr>
              <w:pStyle w:val="Compact"/>
              <w:jc w:val="left"/>
            </w:pPr>
            <w:r>
              <w:t xml:space="preserve">Documentation</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LCA posting-location documentation incomplete (one location vs. two required)</w:t>
            </w:r>
          </w:p>
        </w:tc>
        <w:tc>
          <w:tcPr/>
          <w:p>
            <w:pPr>
              <w:pStyle w:val="Compact"/>
              <w:jc w:val="left"/>
            </w:pPr>
            <w:r>
              <w:t xml:space="preserve">LCA Posting</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B.Tech degree certificate not included as a standalone document</w:t>
            </w:r>
          </w:p>
        </w:tc>
        <w:tc>
          <w:tcPr/>
          <w:p>
            <w:pPr>
              <w:pStyle w:val="Compact"/>
              <w:jc w:val="left"/>
            </w:pPr>
            <w:r>
              <w:t xml:space="preserve">Documentation</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Form I-129 not present in the reviewed package</w:t>
            </w:r>
          </w:p>
        </w:tc>
        <w:tc>
          <w:tcPr/>
          <w:p>
            <w:pPr>
              <w:pStyle w:val="Compact"/>
              <w:jc w:val="left"/>
            </w:pPr>
            <w:r>
              <w:t xml:space="preserve">Documentation</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Years-of-experience figure inconsistent (resume</w:t>
            </w:r>
            <w:r>
              <w:t xml:space="preserve"> </w:t>
            </w:r>
            <w:r>
              <w:t xml:space="preserve">“</w:t>
            </w:r>
            <w:r>
              <w:t xml:space="preserve">7+</w:t>
            </w:r>
            <w:r>
              <w:t xml:space="preserve">”</w:t>
            </w:r>
            <w:r>
              <w:t xml:space="preserve"> </w:t>
            </w:r>
            <w:r>
              <w:t xml:space="preserve">vs. letter</w:t>
            </w:r>
            <w:r>
              <w:t xml:space="preserve"> </w:t>
            </w:r>
            <w:r>
              <w:t xml:space="preserve">“</w:t>
            </w:r>
            <w:r>
              <w:t xml:space="preserve">over 8</w:t>
            </w:r>
            <w:r>
              <w:t xml:space="preserve">”</w:t>
            </w:r>
            <w:r>
              <w:t xml:space="preserve">)</w:t>
            </w:r>
          </w:p>
        </w:tc>
        <w:tc>
          <w:tcPr/>
          <w:p>
            <w:pPr>
              <w:pStyle w:val="Compact"/>
              <w:jc w:val="left"/>
            </w:pPr>
            <w:r>
              <w:t xml:space="preserve">Data Integrity</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Org-chart structural ambiguity (VP</w:t>
            </w:r>
            <w:r>
              <w:t xml:space="preserve"> </w:t>
            </w:r>
            <w:r>
              <w:t xml:space="preserve">“</w:t>
            </w:r>
            <w:r>
              <w:t xml:space="preserve">TBH</w:t>
            </w:r>
            <w:r>
              <w:t xml:space="preserve">”</w:t>
            </w:r>
            <w:r>
              <w:t xml:space="preserve">; interim CTO reporting)</w:t>
            </w:r>
          </w:p>
        </w:tc>
        <w:tc>
          <w:tcPr/>
          <w:p>
            <w:pPr>
              <w:pStyle w:val="Compact"/>
              <w:jc w:val="left"/>
            </w:pPr>
            <w:r>
              <w:t xml:space="preserve">Specialty Occ.</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Current</w:t>
            </w:r>
            <w:r>
              <w:t xml:space="preserve"> </w:t>
            </w:r>
            <w:r>
              <w:t xml:space="preserve">“</w:t>
            </w:r>
            <w:r>
              <w:t xml:space="preserve">Data Scientist</w:t>
            </w:r>
            <w:r>
              <w:t xml:space="preserve">”</w:t>
            </w:r>
            <w:r>
              <w:t xml:space="preserve"> </w:t>
            </w:r>
            <w:r>
              <w:t xml:space="preserve">(OPT) vs. petitioned</w:t>
            </w:r>
            <w:r>
              <w:t xml:space="preserve"> </w:t>
            </w:r>
            <w:r>
              <w:t xml:space="preserve">“</w:t>
            </w:r>
            <w:r>
              <w:t xml:space="preserve">Senior ML Engineer</w:t>
            </w:r>
            <w:r>
              <w:t xml:space="preserve">”</w:t>
            </w:r>
            <w:r>
              <w:t xml:space="preserve"> </w:t>
            </w:r>
            <w:r>
              <w:t xml:space="preserve">role clarity</w:t>
            </w:r>
          </w:p>
        </w:tc>
        <w:tc>
          <w:tcPr/>
          <w:p>
            <w:pPr>
              <w:pStyle w:val="Compact"/>
              <w:jc w:val="left"/>
            </w:pPr>
            <w:r>
              <w:t xml:space="preserve">Specialty Occ.</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Credential-evaluation credit-hour total reflects theory credits only (160 vs. 184)</w:t>
            </w:r>
          </w:p>
        </w:tc>
        <w:tc>
          <w:tcPr/>
          <w:p>
            <w:pPr>
              <w:pStyle w:val="Compact"/>
              <w:jc w:val="left"/>
            </w:pPr>
            <w:r>
              <w:t xml:space="preserve">Credential Evaluation</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PWD job-duties summary internally inconsistent with assigned wage level</w:t>
            </w:r>
          </w:p>
        </w:tc>
        <w:tc>
          <w:tcPr/>
          <w:p>
            <w:pPr>
              <w:pStyle w:val="Compact"/>
              <w:jc w:val="left"/>
            </w:pPr>
            <w:r>
              <w:t xml:space="preserve">Wage / LCA</w:t>
            </w:r>
          </w:p>
        </w:tc>
        <w:tc>
          <w:tcPr/>
          <w:p>
            <w:pPr>
              <w:pStyle w:val="Compact"/>
              <w:jc w:val="left"/>
            </w:pPr>
            <w:r>
              <w:t xml:space="preserve">Low</w:t>
            </w:r>
          </w:p>
        </w:tc>
      </w:tr>
      <w:tr>
        <w:tc>
          <w:tcPr/>
          <w:p>
            <w:pPr>
              <w:pStyle w:val="Compact"/>
              <w:jc w:val="left"/>
            </w:pPr>
            <w:r>
              <w:t xml:space="preserve">22</w:t>
            </w:r>
          </w:p>
        </w:tc>
        <w:tc>
          <w:tcPr/>
          <w:p>
            <w:pPr>
              <w:pStyle w:val="Compact"/>
              <w:jc w:val="left"/>
            </w:pPr>
            <w:r>
              <w:t xml:space="preserve">Posting notice lists beneficiary’s personal phone as employer contact</w:t>
            </w:r>
          </w:p>
        </w:tc>
        <w:tc>
          <w:tcPr/>
          <w:p>
            <w:pPr>
              <w:pStyle w:val="Compact"/>
              <w:jc w:val="left"/>
            </w:pPr>
            <w:r>
              <w:t xml:space="preserve">Data Integrity</w:t>
            </w:r>
          </w:p>
        </w:tc>
        <w:tc>
          <w:tcPr/>
          <w:p>
            <w:pPr>
              <w:pStyle w:val="Compact"/>
              <w:jc w:val="left"/>
            </w:pPr>
            <w:r>
              <w:t xml:space="preserve">Low</w:t>
            </w:r>
          </w:p>
        </w:tc>
      </w:tr>
    </w:tbl>
    <w:p>
      <w:r>
        <w:pict>
          <v:rect style="width:0;height:1.5pt" o:hralign="center" o:hrstd="t" o:hr="t"/>
        </w:pict>
      </w:r>
    </w:p>
    <w:bookmarkEnd w:id="20"/>
    <w:bookmarkEnd w:id="21"/>
    <w:bookmarkStart w:id="22" w:name="documents-reviewed"/>
    <w:p>
      <w:pPr>
        <w:pStyle w:val="Heading2"/>
      </w:pPr>
      <w:r>
        <w:t xml:space="preserve">2. Documents Reviewed</w:t>
      </w:r>
    </w:p>
    <w:p>
      <w:pPr>
        <w:pStyle w:val="Compact"/>
        <w:numPr>
          <w:ilvl w:val="0"/>
          <w:numId w:val="1001"/>
        </w:numPr>
      </w:pPr>
      <w:r>
        <w:rPr>
          <w:b/>
          <w:bCs/>
        </w:rPr>
        <w:t xml:space="preserve">Beneficiary Resume</w:t>
      </w:r>
      <w:r>
        <w:t xml:space="preserve"> </w:t>
      </w:r>
      <w:r>
        <w:t xml:space="preserve">— Rajesh Venkataraman (undated).</w:t>
      </w:r>
    </w:p>
    <w:p>
      <w:pPr>
        <w:pStyle w:val="Compact"/>
        <w:numPr>
          <w:ilvl w:val="0"/>
          <w:numId w:val="1001"/>
        </w:numPr>
      </w:pPr>
      <w:r>
        <w:rPr>
          <w:b/>
          <w:bCs/>
        </w:rPr>
        <w:t xml:space="preserve">Certified Labor Condition Application</w:t>
      </w:r>
      <w:r>
        <w:t xml:space="preserve"> </w:t>
      </w:r>
      <w:r>
        <w:t xml:space="preserve">— ETA Form 9035/9035E, Case No. I-200-25031-543219, certified March 10, 2025.</w:t>
      </w:r>
    </w:p>
    <w:p>
      <w:pPr>
        <w:pStyle w:val="Compact"/>
        <w:numPr>
          <w:ilvl w:val="0"/>
          <w:numId w:val="1001"/>
        </w:numPr>
      </w:pPr>
      <w:r>
        <w:rPr>
          <w:b/>
          <w:bCs/>
        </w:rPr>
        <w:t xml:space="preserve">Foreign Credential Evaluation Report</w:t>
      </w:r>
      <w:r>
        <w:t xml:space="preserve"> </w:t>
      </w:r>
      <w:r>
        <w:t xml:space="preserve">— Westbridge Credential Services, Report No. WCS-2025-03187, dated February 18, 2025.</w:t>
      </w:r>
    </w:p>
    <w:p>
      <w:pPr>
        <w:pStyle w:val="Compact"/>
        <w:numPr>
          <w:ilvl w:val="0"/>
          <w:numId w:val="1001"/>
        </w:numPr>
      </w:pPr>
      <w:r>
        <w:rPr>
          <w:b/>
          <w:bCs/>
        </w:rPr>
        <w:t xml:space="preserve">Employer Support Letter</w:t>
      </w:r>
      <w:r>
        <w:t xml:space="preserve"> </w:t>
      </w:r>
      <w:r>
        <w:t xml:space="preserve">— Brightfield Analytics Inc., signed by Patricia Kwon, HR Director, dated April 7, 2025.</w:t>
      </w:r>
    </w:p>
    <w:p>
      <w:pPr>
        <w:pStyle w:val="Compact"/>
        <w:numPr>
          <w:ilvl w:val="0"/>
          <w:numId w:val="1001"/>
        </w:numPr>
      </w:pPr>
      <w:r>
        <w:rPr>
          <w:b/>
          <w:bCs/>
        </w:rPr>
        <w:t xml:space="preserve">JNTU Official Transcript</w:t>
      </w:r>
      <w:r>
        <w:t xml:space="preserve"> </w:t>
      </w:r>
      <w:r>
        <w:t xml:space="preserve">— Transcript Ref. No. JNTUH/ECE/2014/08347, issued June 12, 2014.</w:t>
      </w:r>
    </w:p>
    <w:p>
      <w:pPr>
        <w:pStyle w:val="Compact"/>
        <w:numPr>
          <w:ilvl w:val="0"/>
          <w:numId w:val="1001"/>
        </w:numPr>
      </w:pPr>
      <w:r>
        <w:rPr>
          <w:b/>
          <w:bCs/>
        </w:rPr>
        <w:t xml:space="preserve">Kiran Software Solutions Experience Letter</w:t>
      </w:r>
      <w:r>
        <w:t xml:space="preserve"> </w:t>
      </w:r>
      <w:r>
        <w:t xml:space="preserve">— signed by Suresh Raghavan, VP of Engineering, dated February 18, 2025.</w:t>
      </w:r>
    </w:p>
    <w:p>
      <w:pPr>
        <w:pStyle w:val="Compact"/>
        <w:numPr>
          <w:ilvl w:val="0"/>
          <w:numId w:val="1001"/>
        </w:numPr>
      </w:pPr>
      <w:r>
        <w:rPr>
          <w:b/>
          <w:bCs/>
        </w:rPr>
        <w:t xml:space="preserve">LCA Posting Notice</w:t>
      </w:r>
      <w:r>
        <w:t xml:space="preserve"> </w:t>
      </w:r>
      <w:r>
        <w:t xml:space="preserve">— Brightfield Analytics Inc., posted March 10–19, 2025.</w:t>
      </w:r>
    </w:p>
    <w:p>
      <w:pPr>
        <w:pStyle w:val="Compact"/>
        <w:numPr>
          <w:ilvl w:val="0"/>
          <w:numId w:val="1001"/>
        </w:numPr>
      </w:pPr>
      <w:r>
        <w:rPr>
          <w:b/>
          <w:bCs/>
        </w:rPr>
        <w:t xml:space="preserve">NovaStar Data Systems Experience Letter</w:t>
      </w:r>
      <w:r>
        <w:t xml:space="preserve"> </w:t>
      </w:r>
      <w:r>
        <w:t xml:space="preserve">— signed by Carolyn Beech, Director of Engineering, dated March 5, 2025.</w:t>
      </w:r>
    </w:p>
    <w:p>
      <w:pPr>
        <w:pStyle w:val="Compact"/>
        <w:numPr>
          <w:ilvl w:val="0"/>
          <w:numId w:val="1001"/>
        </w:numPr>
      </w:pPr>
      <w:r>
        <w:rPr>
          <w:b/>
          <w:bCs/>
        </w:rPr>
        <w:t xml:space="preserve">Organizational Chart</w:t>
      </w:r>
      <w:r>
        <w:t xml:space="preserve"> </w:t>
      </w:r>
      <w:r>
        <w:t xml:space="preserve">— Data Science &amp; Machine Learning Group, effective March 2025.</w:t>
      </w:r>
    </w:p>
    <w:p>
      <w:pPr>
        <w:pStyle w:val="Compact"/>
        <w:numPr>
          <w:ilvl w:val="0"/>
          <w:numId w:val="1001"/>
        </w:numPr>
      </w:pPr>
      <w:r>
        <w:rPr>
          <w:b/>
          <w:bCs/>
        </w:rPr>
        <w:t xml:space="preserve">Prevailing Wage Determination</w:t>
      </w:r>
      <w:r>
        <w:t xml:space="preserve"> </w:t>
      </w:r>
      <w:r>
        <w:t xml:space="preserve">— PWD Case No. P-300-25012-183456, determined January 15, 2025.</w:t>
      </w:r>
    </w:p>
    <w:p>
      <w:r>
        <w:pict>
          <v:rect style="width:0;height:1.5pt" o:hralign="center" o:hrstd="t" o:hr="t"/>
        </w:pict>
      </w:r>
    </w:p>
    <w:bookmarkEnd w:id="22"/>
    <w:bookmarkStart w:id="50" w:name="cross-reference-findings"/>
    <w:p>
      <w:pPr>
        <w:pStyle w:val="Heading2"/>
      </w:pPr>
      <w:r>
        <w:t xml:space="preserve">3. Cross-Reference Findings</w:t>
      </w:r>
    </w:p>
    <w:p>
      <w:pPr>
        <w:pStyle w:val="FirstParagraph"/>
      </w:pPr>
      <w:r>
        <w:t xml:space="preserve">Findings are grouped by category. Each finding identifies the documents in tension, the specific discrepancy or deficiency, the governing authority where applicable, and a recommended corrective action.</w:t>
      </w:r>
    </w:p>
    <w:bookmarkStart w:id="27" w:name="wage-and-prevailing-wage-issues"/>
    <w:p>
      <w:pPr>
        <w:pStyle w:val="Heading3"/>
      </w:pPr>
      <w:r>
        <w:t xml:space="preserve">3.1 Wage and Prevailing-Wage Issues</w:t>
      </w:r>
    </w:p>
    <w:bookmarkStart w:id="23" w:name="X00b766cf707ec005f7ae4fd448107c6256eb99d"/>
    <w:p>
      <w:pPr>
        <w:pStyle w:val="Heading4"/>
      </w:pPr>
      <w:r>
        <w:t xml:space="preserve">Issue 1 — Wage level likely understated; offered wage below the probable correct prevailing wage (HIGH)</w:t>
      </w:r>
    </w:p>
    <w:p>
      <w:pPr>
        <w:pStyle w:val="FirstParagraph"/>
      </w:pPr>
      <w:r>
        <w:t xml:space="preserve">The certified LCA and PWD establish a prevailing wage of</w:t>
      </w:r>
      <w:r>
        <w:t xml:space="preserve"> </w:t>
      </w:r>
      <w:r>
        <w:rPr>
          <w:b/>
          <w:bCs/>
        </w:rPr>
        <w:t xml:space="preserve">$113,734 (Wage Level 2)</w:t>
      </w:r>
      <w:r>
        <w:t xml:space="preserve"> </w:t>
      </w:r>
      <w:r>
        <w:t xml:space="preserve">for SOC 15-2051 (Data Scientists) in the Austin-Round Rock-Georgetown, TX MSA. The offered wage is</w:t>
      </w:r>
      <w:r>
        <w:t xml:space="preserve"> </w:t>
      </w:r>
      <w:r>
        <w:rPr>
          <w:b/>
          <w:bCs/>
        </w:rPr>
        <w:t xml:space="preserve">$128,000</w:t>
      </w:r>
      <w:r>
        <w:t xml:space="preserve">, which exceeds Level 2 but is</w:t>
      </w:r>
      <w:r>
        <w:t xml:space="preserve"> </w:t>
      </w:r>
      <w:r>
        <w:rPr>
          <w:b/>
          <w:bCs/>
        </w:rPr>
        <w:t xml:space="preserve">below Level 3 ($137,946)</w:t>
      </w:r>
      <w:r>
        <w:t xml:space="preserve">.</w:t>
      </w:r>
    </w:p>
    <w:p>
      <w:pPr>
        <w:pStyle w:val="BodyText"/>
      </w:pPr>
      <w:r>
        <w:t xml:space="preserve">The Department of Labor’s wage-level definitions (as set out on the face of the PWD) provide:</w:t>
      </w:r>
    </w:p>
    <w:p>
      <w:pPr>
        <w:pStyle w:val="Compact"/>
        <w:numPr>
          <w:ilvl w:val="0"/>
          <w:numId w:val="1002"/>
        </w:numPr>
      </w:pPr>
      <w:r>
        <w:rPr>
          <w:b/>
          <w:bCs/>
        </w:rPr>
        <w:t xml:space="preserve">Level 2 (Qualified):</w:t>
      </w:r>
      <w:r>
        <w:t xml:space="preserve"> </w:t>
      </w:r>
      <w:r>
        <w:t xml:space="preserve">workers who</w:t>
      </w:r>
      <w:r>
        <w:t xml:space="preserve"> </w:t>
      </w:r>
      <w:r>
        <w:t xml:space="preserve">“</w:t>
      </w:r>
      <w:r>
        <w:t xml:space="preserve">perform moderately complex tasks requiring</w:t>
      </w:r>
      <w:r>
        <w:t xml:space="preserve"> </w:t>
      </w:r>
      <w:r>
        <w:rPr>
          <w:b/>
          <w:bCs/>
        </w:rPr>
        <w:t xml:space="preserve">limited judgment</w:t>
      </w:r>
      <w:r>
        <w:t xml:space="preserve">.</w:t>
      </w:r>
      <w:r>
        <w:t xml:space="preserve">”</w:t>
      </w:r>
    </w:p>
    <w:p>
      <w:pPr>
        <w:pStyle w:val="Compact"/>
        <w:numPr>
          <w:ilvl w:val="0"/>
          <w:numId w:val="1002"/>
        </w:numPr>
      </w:pPr>
      <w:r>
        <w:rPr>
          <w:b/>
          <w:bCs/>
        </w:rPr>
        <w:t xml:space="preserve">Level 3 (Experienced):</w:t>
      </w:r>
      <w:r>
        <w:t xml:space="preserve"> </w:t>
      </w:r>
      <w:r>
        <w:t xml:space="preserve">workers who</w:t>
      </w:r>
      <w:r>
        <w:t xml:space="preserve"> </w:t>
      </w:r>
      <w:r>
        <w:t xml:space="preserve">“</w:t>
      </w:r>
      <w:r>
        <w:t xml:space="preserve">may exercise</w:t>
      </w:r>
      <w:r>
        <w:t xml:space="preserve"> </w:t>
      </w:r>
      <w:r>
        <w:rPr>
          <w:b/>
          <w:bCs/>
        </w:rPr>
        <w:t xml:space="preserve">independent judgment</w:t>
      </w:r>
      <w:r>
        <w:t xml:space="preserve">, and may have</w:t>
      </w:r>
      <w:r>
        <w:t xml:space="preserve"> </w:t>
      </w:r>
      <w:r>
        <w:rPr>
          <w:b/>
          <w:bCs/>
        </w:rPr>
        <w:t xml:space="preserve">supervisory responsibilities</w:t>
      </w:r>
      <w:r>
        <w:t xml:space="preserve">.</w:t>
      </w:r>
      <w:r>
        <w:t xml:space="preserve">”</w:t>
      </w:r>
    </w:p>
    <w:p>
      <w:pPr>
        <w:pStyle w:val="FirstParagraph"/>
      </w:pPr>
      <w:r>
        <w:t xml:space="preserve">The proffered position is described, across multiple documents, in terms that track the Level 3 definition:</w:t>
      </w:r>
    </w:p>
    <w:p>
      <w:pPr>
        <w:pStyle w:val="Compact"/>
        <w:numPr>
          <w:ilvl w:val="0"/>
          <w:numId w:val="1003"/>
        </w:numPr>
      </w:pPr>
      <w:r>
        <w:rPr>
          <w:b/>
          <w:bCs/>
        </w:rPr>
        <w:t xml:space="preserve">Employer Support Letter, §2 (Duty 4):</w:t>
      </w:r>
      <w:r>
        <w:t xml:space="preserve"> </w:t>
      </w:r>
      <w:r>
        <w:t xml:space="preserve">“</w:t>
      </w:r>
      <w:r>
        <w:t xml:space="preserve">Leading and mentoring a team of</w:t>
      </w:r>
      <w:r>
        <w:t xml:space="preserve"> </w:t>
      </w:r>
      <w:r>
        <w:rPr>
          <w:b/>
          <w:bCs/>
        </w:rPr>
        <w:t xml:space="preserve">3 junior data scientists</w:t>
      </w:r>
      <w:r>
        <w:t xml:space="preserve"> </w:t>
      </w:r>
      <w:r>
        <w:t xml:space="preserve">…</w:t>
      </w:r>
      <w:r>
        <w:t xml:space="preserve">”</w:t>
      </w:r>
      <w:r>
        <w:t xml:space="preserve"> </w:t>
      </w:r>
      <w:r>
        <w:t xml:space="preserve">(supervisory).</w:t>
      </w:r>
    </w:p>
    <w:p>
      <w:pPr>
        <w:pStyle w:val="Compact"/>
        <w:numPr>
          <w:ilvl w:val="0"/>
          <w:numId w:val="1003"/>
        </w:numPr>
      </w:pPr>
      <w:r>
        <w:rPr>
          <w:b/>
          <w:bCs/>
        </w:rPr>
        <w:t xml:space="preserve">Employer Support Letter, §2:</w:t>
      </w:r>
      <w:r>
        <w:t xml:space="preserve"> </w:t>
      </w:r>
      <w:r>
        <w:t xml:space="preserve">the role</w:t>
      </w:r>
      <w:r>
        <w:t xml:space="preserve"> </w:t>
      </w:r>
      <w:r>
        <w:t xml:space="preserve">“</w:t>
      </w:r>
      <w:r>
        <w:t xml:space="preserve">reports directly to the Chief Technology Officer (CTO) and</w:t>
      </w:r>
      <w:r>
        <w:t xml:space="preserve"> </w:t>
      </w:r>
      <w:r>
        <w:rPr>
          <w:b/>
          <w:bCs/>
        </w:rPr>
        <w:t xml:space="preserve">exercises independent judgment</w:t>
      </w:r>
      <w:r>
        <w:t xml:space="preserve"> </w:t>
      </w:r>
      <w:r>
        <w:t xml:space="preserve">in the design and implementation of machine learning solutions.</w:t>
      </w:r>
      <w:r>
        <w:t xml:space="preserve">”</w:t>
      </w:r>
    </w:p>
    <w:p>
      <w:pPr>
        <w:pStyle w:val="Compact"/>
        <w:numPr>
          <w:ilvl w:val="0"/>
          <w:numId w:val="1003"/>
        </w:numPr>
      </w:pPr>
      <w:r>
        <w:rPr>
          <w:b/>
          <w:bCs/>
        </w:rPr>
        <w:t xml:space="preserve">LCA, §G.5 (Job Duties):</w:t>
      </w:r>
      <w:r>
        <w:t xml:space="preserve"> </w:t>
      </w:r>
      <w:r>
        <w:t xml:space="preserve">“</w:t>
      </w:r>
      <w:r>
        <w:rPr>
          <w:b/>
          <w:bCs/>
        </w:rPr>
        <w:t xml:space="preserve">lead and mentor a team of data scientists</w:t>
      </w:r>
      <w:r>
        <w:t xml:space="preserve">.</w:t>
      </w:r>
      <w:r>
        <w:t xml:space="preserve">”</w:t>
      </w:r>
    </w:p>
    <w:p>
      <w:pPr>
        <w:pStyle w:val="Compact"/>
        <w:numPr>
          <w:ilvl w:val="0"/>
          <w:numId w:val="1003"/>
        </w:numPr>
      </w:pPr>
      <w:r>
        <w:rPr>
          <w:b/>
          <w:bCs/>
        </w:rPr>
        <w:t xml:space="preserve">PWD, §3 (Job Duties Summary):</w:t>
      </w:r>
      <w:r>
        <w:t xml:space="preserve"> </w:t>
      </w:r>
      <w:r>
        <w:t xml:space="preserve">“</w:t>
      </w:r>
      <w:r>
        <w:rPr>
          <w:b/>
          <w:bCs/>
        </w:rPr>
        <w:t xml:space="preserve">lead a team of data scientists</w:t>
      </w:r>
      <w:r>
        <w:t xml:space="preserve">.</w:t>
      </w:r>
      <w:r>
        <w:t xml:space="preserve">”</w:t>
      </w:r>
    </w:p>
    <w:p>
      <w:pPr>
        <w:pStyle w:val="Compact"/>
        <w:numPr>
          <w:ilvl w:val="0"/>
          <w:numId w:val="1003"/>
        </w:numPr>
      </w:pPr>
      <w:r>
        <w:rPr>
          <w:b/>
          <w:bCs/>
        </w:rPr>
        <w:t xml:space="preserve">Organizational Chart:</w:t>
      </w:r>
      <w:r>
        <w:t xml:space="preserve"> </w:t>
      </w:r>
      <w:r>
        <w:t xml:space="preserve">the Senior Machine Learning Engineer is shown with</w:t>
      </w:r>
      <w:r>
        <w:t xml:space="preserve"> </w:t>
      </w:r>
      <w:r>
        <w:rPr>
          <w:b/>
          <w:bCs/>
        </w:rPr>
        <w:t xml:space="preserve">direct reports</w:t>
      </w:r>
      <w:r>
        <w:t xml:space="preserve"> </w:t>
      </w:r>
      <w:r>
        <w:t xml:space="preserve">(two Data Scientists) and sits one level below the CTO.</w:t>
      </w:r>
    </w:p>
    <w:p>
      <w:pPr>
        <w:pStyle w:val="Compact"/>
        <w:numPr>
          <w:ilvl w:val="0"/>
          <w:numId w:val="1003"/>
        </w:numPr>
      </w:pPr>
      <w:r>
        <w:t xml:space="preserve">The position carries a</w:t>
      </w:r>
      <w:r>
        <w:t xml:space="preserve"> </w:t>
      </w:r>
      <w:r>
        <w:rPr>
          <w:b/>
          <w:bCs/>
        </w:rPr>
        <w:t xml:space="preserve">“</w:t>
      </w:r>
      <w:r>
        <w:rPr>
          <w:b/>
          <w:bCs/>
        </w:rPr>
        <w:t xml:space="preserve">Senior</w:t>
      </w:r>
      <w:r>
        <w:rPr>
          <w:b/>
          <w:bCs/>
        </w:rPr>
        <w:t xml:space="preserve">”</w:t>
      </w:r>
      <w:r>
        <w:rPr>
          <w:b/>
          <w:bCs/>
        </w:rPr>
        <w:t xml:space="preserve"> </w:t>
      </w:r>
      <w:r>
        <w:rPr>
          <w:b/>
          <w:bCs/>
        </w:rPr>
        <w:t xml:space="preserve">title</w:t>
      </w:r>
      <w:r>
        <w:t xml:space="preserve">, requires</w:t>
      </w:r>
      <w:r>
        <w:t xml:space="preserve"> </w:t>
      </w:r>
      <w:r>
        <w:rPr>
          <w:b/>
          <w:bCs/>
        </w:rPr>
        <w:t xml:space="preserve">3+ years</w:t>
      </w:r>
      <w:r>
        <w:t xml:space="preserve"> </w:t>
      </w:r>
      <w:r>
        <w:t xml:space="preserve">of progressive experience, and involves leading/mentoring junior staff.</w:t>
      </w:r>
    </w:p>
    <w:p>
      <w:pPr>
        <w:pStyle w:val="FirstParagraph"/>
      </w:pPr>
      <w:r>
        <w:t xml:space="preserve">Supervisory responsibilities plus independent judgment are the hallmark indicators of</w:t>
      </w:r>
      <w:r>
        <w:t xml:space="preserve"> </w:t>
      </w:r>
      <w:r>
        <w:rPr>
          <w:b/>
          <w:bCs/>
        </w:rPr>
        <w:t xml:space="preserve">Level 3</w:t>
      </w:r>
      <w:r>
        <w:t xml:space="preserve">, not Level 2 (</w:t>
      </w:r>
      <w:r>
        <w:t xml:space="preserve">“</w:t>
      </w:r>
      <w:r>
        <w:t xml:space="preserve">limited judgment</w:t>
      </w:r>
      <w:r>
        <w:t xml:space="preserve">”</w:t>
      </w:r>
      <w:r>
        <w:t xml:space="preserve">). The Level 2 determination therefore appears inconsistent with the duties the Petitioner itself described. Because the offered wage ($128,000) sits</w:t>
      </w:r>
      <w:r>
        <w:t xml:space="preserve"> </w:t>
      </w:r>
      <w:r>
        <w:rPr>
          <w:b/>
          <w:bCs/>
        </w:rPr>
        <w:t xml:space="preserve">between</w:t>
      </w:r>
      <w:r>
        <w:t xml:space="preserve"> </w:t>
      </w:r>
      <w:r>
        <w:t xml:space="preserve">Level 2 and Level 3, this is not a harmless characterization error: if the correct level is Level 3, the Petitioner has not satisfied the prevailing-wage attestation under INA § 212(n)(1)(A) and 20 CFR § 655.731, exposing the petition to both an adjudicative challenge and an LCA wage-compliance violation.</w:t>
      </w:r>
    </w:p>
    <w:p>
      <w:pPr>
        <w:pStyle w:val="BodyText"/>
      </w:pPr>
      <w:r>
        <w:rPr>
          <w:b/>
          <w:bCs/>
        </w:rPr>
        <w:t xml:space="preserve">Recommendation:</w:t>
      </w:r>
      <w:r>
        <w:t xml:space="preserve"> </w:t>
      </w:r>
      <w:r>
        <w:t xml:space="preserve">Before filing, re-evaluate the wage level. Either (a) obtain a corrected PWD at Level 3 and increase the offered wage to at least $137,946 (and re-file the LCA accordingly), or (b) revise the position description to support a genuine Level 2 characterization (i.e., remove or materially reduce the supervisory/independent-judgment language and the</w:t>
      </w:r>
      <w:r>
        <w:t xml:space="preserve"> </w:t>
      </w:r>
      <w:r>
        <w:t xml:space="preserve">“</w:t>
      </w:r>
      <w:r>
        <w:t xml:space="preserve">senior</w:t>
      </w:r>
      <w:r>
        <w:t xml:space="preserve">”</w:t>
      </w:r>
      <w:r>
        <w:t xml:space="preserve">/team-lead framing) — noting that option (b) may itself weaken the specialty-occupation showing (see Issues 7, 18). The current posture — supervisory duties + independent judgment + a wage below Level 3 — is the most significant risk in the package.</w:t>
      </w:r>
    </w:p>
    <w:bookmarkEnd w:id="23"/>
    <w:bookmarkStart w:id="24" w:name="X5092d5fd83c2a16fb1e98684a68fb667e29762c"/>
    <w:p>
      <w:pPr>
        <w:pStyle w:val="Heading4"/>
      </w:pPr>
      <w:r>
        <w:t xml:space="preserve">Issue 5 — LCA posting period appears shorter than the 10-business-day minimum (HIGH)</w:t>
      </w:r>
    </w:p>
    <w:p>
      <w:pPr>
        <w:pStyle w:val="FirstParagraph"/>
      </w:pPr>
      <w:r>
        <w:t xml:space="preserve">The LCA (§J.2) and the Posting Notice both state the notice was posted</w:t>
      </w:r>
      <w:r>
        <w:t xml:space="preserve"> </w:t>
      </w:r>
      <w:r>
        <w:rPr>
          <w:b/>
          <w:bCs/>
        </w:rPr>
        <w:t xml:space="preserve">March 10, 2025</w:t>
      </w:r>
      <w:r>
        <w:t xml:space="preserve"> </w:t>
      </w:r>
      <w:r>
        <w:t xml:space="preserve">and removed</w:t>
      </w:r>
      <w:r>
        <w:t xml:space="preserve"> </w:t>
      </w:r>
      <w:r>
        <w:rPr>
          <w:b/>
          <w:bCs/>
        </w:rPr>
        <w:t xml:space="preserve">March 19, 2025</w:t>
      </w:r>
      <w:r>
        <w:t xml:space="preserve">. March 10, 2025 was a Monday; March 19, 2025 was a Wednesday. Counting only business days (excluding the weekends of March 15–16), the posting ran for</w:t>
      </w:r>
      <w:r>
        <w:t xml:space="preserve"> </w:t>
      </w:r>
      <w:r>
        <w:rPr>
          <w:b/>
          <w:bCs/>
        </w:rPr>
        <w:t xml:space="preserve">eight (8) business days</w:t>
      </w:r>
      <w:r>
        <w:t xml:space="preserve"> </w:t>
      </w:r>
      <w:r>
        <w:t xml:space="preserve">(Mar. 10, 11, 12, 13, 14, 17, 18, 19).</w:t>
      </w:r>
    </w:p>
    <w:p>
      <w:pPr>
        <w:pStyle w:val="BodyText"/>
      </w:pPr>
      <w:r>
        <w:t xml:space="preserve">20 CFR § 655.734(a)(1)(ii) requires that the notice be posted</w:t>
      </w:r>
      <w:r>
        <w:t xml:space="preserve"> </w:t>
      </w:r>
      <w:r>
        <w:t xml:space="preserve">“</w:t>
      </w:r>
      <w:r>
        <w:t xml:space="preserve">in two conspicuous locations at the place of employment for a total of</w:t>
      </w:r>
      <w:r>
        <w:t xml:space="preserve"> </w:t>
      </w:r>
      <w:r>
        <w:rPr>
          <w:b/>
          <w:bCs/>
        </w:rPr>
        <w:t xml:space="preserve">10 business days</w:t>
      </w:r>
      <w:r>
        <w:t xml:space="preserve">.</w:t>
      </w:r>
      <w:r>
        <w:t xml:space="preserve">”</w:t>
      </w:r>
      <w:r>
        <w:t xml:space="preserve"> </w:t>
      </w:r>
      <w:r>
        <w:t xml:space="preserve">The documented period is two business days short. To satisfy the regulation from a March 10 start, posting should have continued through at least</w:t>
      </w:r>
      <w:r>
        <w:t xml:space="preserve"> </w:t>
      </w:r>
      <w:r>
        <w:rPr>
          <w:b/>
          <w:bCs/>
        </w:rPr>
        <w:t xml:space="preserve">Friday, March 21, 2025</w:t>
      </w:r>
      <w:r>
        <w:t xml:space="preserve">.</w:t>
      </w:r>
    </w:p>
    <w:p>
      <w:pPr>
        <w:pStyle w:val="BodyText"/>
      </w:pPr>
      <w:r>
        <w:rPr>
          <w:b/>
          <w:bCs/>
        </w:rPr>
        <w:t xml:space="preserve">Recommendation:</w:t>
      </w:r>
      <w:r>
        <w:t xml:space="preserve"> </w:t>
      </w:r>
      <w:r>
        <w:t xml:space="preserve">Re-post the notice for a full 10-business-day period in two conspicuous locations, document both locations and the precise dates, and retain evidence (e.g., dated photographs, signed posting log) in the Public Access File. Confirm the re-posting occurs before the petition is filed.</w:t>
      </w:r>
    </w:p>
    <w:bookmarkEnd w:id="24"/>
    <w:bookmarkStart w:id="25" w:name="X699244f06ca26cfbf20dc76ec6df0eeafc1fbec"/>
    <w:p>
      <w:pPr>
        <w:pStyle w:val="Heading4"/>
      </w:pPr>
      <w:r>
        <w:t xml:space="preserve">Issue 14 — LCA posting-location documentation incomplete (MEDIUM)</w:t>
      </w:r>
    </w:p>
    <w:p>
      <w:pPr>
        <w:pStyle w:val="FirstParagraph"/>
      </w:pPr>
      <w:r>
        <w:t xml:space="preserve">20 CFR § 655.734(a)(1)(ii) requires posting in</w:t>
      </w:r>
      <w:r>
        <w:t xml:space="preserve"> </w:t>
      </w:r>
      <w:r>
        <w:rPr>
          <w:b/>
          <w:bCs/>
        </w:rPr>
        <w:t xml:space="preserve">two</w:t>
      </w:r>
      <w:r>
        <w:t xml:space="preserve"> </w:t>
      </w:r>
      <w:r>
        <w:t xml:space="preserve">conspicuous locations. The Posting Notice document itself recites that it</w:t>
      </w:r>
      <w:r>
        <w:t xml:space="preserve"> </w:t>
      </w:r>
      <w:r>
        <w:t xml:space="preserve">“</w:t>
      </w:r>
      <w:r>
        <w:t xml:space="preserve">is being posted in two conspicuous locations at the place of employment.</w:t>
      </w:r>
      <w:r>
        <w:t xml:space="preserve">”</w:t>
      </w:r>
      <w:r>
        <w:t xml:space="preserve"> </w:t>
      </w:r>
      <w:r>
        <w:t xml:space="preserve">However, the LCA (§J.3) documents only</w:t>
      </w:r>
      <w:r>
        <w:t xml:space="preserve"> </w:t>
      </w:r>
      <w:r>
        <w:rPr>
          <w:b/>
          <w:bCs/>
        </w:rPr>
        <w:t xml:space="preserve">one</w:t>
      </w:r>
      <w:r>
        <w:t xml:space="preserve"> </w:t>
      </w:r>
      <w:r>
        <w:t xml:space="preserve">location —</w:t>
      </w:r>
      <w:r>
        <w:t xml:space="preserve"> </w:t>
      </w:r>
      <w:r>
        <w:t xml:space="preserve">“</w:t>
      </w:r>
      <w:r>
        <w:t xml:space="preserve">Employee common area / break room, first floor.</w:t>
      </w:r>
      <w:r>
        <w:t xml:space="preserve">”</w:t>
      </w:r>
      <w:r>
        <w:t xml:space="preserve"> </w:t>
      </w:r>
      <w:r>
        <w:t xml:space="preserve">The second location is not identified anywhere in the package.</w:t>
      </w:r>
    </w:p>
    <w:p>
      <w:pPr>
        <w:pStyle w:val="BodyText"/>
      </w:pPr>
      <w:r>
        <w:rPr>
          <w:b/>
          <w:bCs/>
        </w:rPr>
        <w:t xml:space="preserve">Recommendation:</w:t>
      </w:r>
      <w:r>
        <w:t xml:space="preserve"> </w:t>
      </w:r>
      <w:r>
        <w:t xml:space="preserve">Identify and document both posting locations in the Public Access File and in any cover-letter description of compliance. This should be cured together with Issue 5.</w:t>
      </w:r>
    </w:p>
    <w:bookmarkEnd w:id="25"/>
    <w:bookmarkStart w:id="26" w:name="X1b687656ad2a1a34c550dd304f86966c22d7570"/>
    <w:p>
      <w:pPr>
        <w:pStyle w:val="Heading4"/>
      </w:pPr>
      <w:r>
        <w:t xml:space="preserve">Issue 21 — PWD job-duties summary internally inconsistent with the assigned wage level (LOW)</w:t>
      </w:r>
    </w:p>
    <w:p>
      <w:pPr>
        <w:pStyle w:val="FirstParagraph"/>
      </w:pPr>
      <w:r>
        <w:t xml:space="preserve">The PWD’s own §3 Job Duties Summary includes</w:t>
      </w:r>
      <w:r>
        <w:t xml:space="preserve"> </w:t>
      </w:r>
      <w:r>
        <w:t xml:space="preserve">“</w:t>
      </w:r>
      <w:r>
        <w:rPr>
          <w:b/>
          <w:bCs/>
        </w:rPr>
        <w:t xml:space="preserve">lead a team of data scientists</w:t>
      </w:r>
      <w:r>
        <w:t xml:space="preserve">”</w:t>
      </w:r>
      <w:r>
        <w:t xml:space="preserve"> </w:t>
      </w:r>
      <w:r>
        <w:t xml:space="preserve">— a supervisory function that, per the DOL definitions printed on the same PWD, is a Level 3 indicator — yet the determination assigned Level 2. This internal inconsistency reinforces Issue 1 and should be cited if the Petitioner seeks a redetermination.</w:t>
      </w:r>
    </w:p>
    <w:bookmarkEnd w:id="26"/>
    <w:bookmarkEnd w:id="27"/>
    <w:bookmarkStart w:id="33" w:name="X0c4c04a55a227405806766e801767bce97d64c4"/>
    <w:p>
      <w:pPr>
        <w:pStyle w:val="Heading3"/>
      </w:pPr>
      <w:r>
        <w:t xml:space="preserve">3.2 Specialty Occupation and Beneficiary Qualifications</w:t>
      </w:r>
    </w:p>
    <w:bookmarkStart w:id="28" w:name="Xc8a5a31385ab0d293d43c1f2407c3753042eb68"/>
    <w:p>
      <w:pPr>
        <w:pStyle w:val="Heading4"/>
      </w:pPr>
      <w:r>
        <w:t xml:space="preserve">Issue 2 — Field-of-study mismatch; credential evaluation does not bridge the gap (HIGH)</w:t>
      </w:r>
    </w:p>
    <w:p>
      <w:pPr>
        <w:pStyle w:val="FirstParagraph"/>
      </w:pPr>
      <w:r>
        <w:t xml:space="preserve">The Employer Support Letter (§3) sets the minimum educational requirement as a</w:t>
      </w:r>
      <w:r>
        <w:t xml:space="preserve"> </w:t>
      </w:r>
      <w:r>
        <w:t xml:space="preserve">“</w:t>
      </w:r>
      <w:r>
        <w:t xml:space="preserve">Bachelor’s degree or higher in</w:t>
      </w:r>
      <w:r>
        <w:t xml:space="preserve"> </w:t>
      </w:r>
      <w:r>
        <w:rPr>
          <w:b/>
          <w:bCs/>
        </w:rPr>
        <w:t xml:space="preserve">Computer Science, Machine Learning, Artificial Intelligence, or a closely related field</w:t>
      </w:r>
      <w:r>
        <w:t xml:space="preserve">.</w:t>
      </w:r>
      <w:r>
        <w:t xml:space="preserve">”</w:t>
      </w:r>
      <w:r>
        <w:t xml:space="preserve"> </w:t>
      </w:r>
      <w:r>
        <w:t xml:space="preserve">The Beneficiary holds a</w:t>
      </w:r>
      <w:r>
        <w:t xml:space="preserve"> </w:t>
      </w:r>
      <w:r>
        <w:rPr>
          <w:b/>
          <w:bCs/>
        </w:rPr>
        <w:t xml:space="preserve">Bachelor of Technology in Electronics and Communication Engineering</w:t>
      </w:r>
      <w:r>
        <w:t xml:space="preserve"> </w:t>
      </w:r>
      <w:r>
        <w:t xml:space="preserve">from JNTU Hyderabad.</w:t>
      </w:r>
    </w:p>
    <w:p>
      <w:pPr>
        <w:pStyle w:val="BodyText"/>
      </w:pPr>
      <w:r>
        <w:t xml:space="preserve">The Credential Evaluation (§5) concludes the B.Tech is equivalent to a</w:t>
      </w:r>
      <w:r>
        <w:t xml:space="preserve"> </w:t>
      </w:r>
      <w:r>
        <w:t xml:space="preserve">“</w:t>
      </w:r>
      <w:r>
        <w:t xml:space="preserve">Bachelor of Science (B.S.) in</w:t>
      </w:r>
      <w:r>
        <w:t xml:space="preserve"> </w:t>
      </w:r>
      <w:r>
        <w:rPr>
          <w:b/>
          <w:bCs/>
        </w:rPr>
        <w:t xml:space="preserve">Electronics and Communication Engineering</w:t>
      </w:r>
      <w:r>
        <w:t xml:space="preserve">”</w:t>
      </w:r>
      <w:r>
        <w:t xml:space="preserve"> </w:t>
      </w:r>
      <w:r>
        <w:t xml:space="preserve">— i.e., it establishes</w:t>
      </w:r>
      <w:r>
        <w:t xml:space="preserve"> </w:t>
      </w:r>
      <w:r>
        <w:rPr>
          <w:b/>
          <w:bCs/>
        </w:rPr>
        <w:t xml:space="preserve">degree-level</w:t>
      </w:r>
      <w:r>
        <w:t xml:space="preserve"> </w:t>
      </w:r>
      <w:r>
        <w:t xml:space="preserve">equivalency but expressly does</w:t>
      </w:r>
      <w:r>
        <w:t xml:space="preserve"> </w:t>
      </w:r>
      <w:r>
        <w:rPr>
          <w:b/>
          <w:bCs/>
        </w:rPr>
        <w:t xml:space="preserve">not</w:t>
      </w:r>
      <w:r>
        <w:t xml:space="preserve"> </w:t>
      </w:r>
      <w:r>
        <w:t xml:space="preserve">equate the field of study to CS/ML/AI. The evaluation is candid about this limitation: §7 states it</w:t>
      </w:r>
      <w:r>
        <w:t xml:space="preserve"> </w:t>
      </w:r>
      <w:r>
        <w:t xml:space="preserve">“</w:t>
      </w:r>
      <w:r>
        <w:t xml:space="preserve">does not opine on whether the applicant’s field of study satisfies the requirements of any particular position or petition.</w:t>
      </w:r>
      <w:r>
        <w:t xml:space="preserve">”</w:t>
      </w:r>
      <w:r>
        <w:t xml:space="preserve"> </w:t>
      </w:r>
      <w:r>
        <w:t xml:space="preserve">Moreover, the evaluation (§4) quantifies the computer-related coursework at only</w:t>
      </w:r>
      <w:r>
        <w:t xml:space="preserve"> </w:t>
      </w:r>
      <w:r>
        <w:rPr>
          <w:b/>
          <w:bCs/>
        </w:rPr>
        <w:t xml:space="preserve">~12 credit hours out of ~160 (~7.5%)</w:t>
      </w:r>
      <w:r>
        <w:t xml:space="preserve"> </w:t>
      </w:r>
      <w:r>
        <w:t xml:space="preserve">of the curriculum — C Programming (Sem. I), Advanced C Programming (Sem. II), Data Structures (Sem. IV), and Introduction to Artificial Intelligence (Sem. VII elective). The JNTU transcript confirms this narrow footprint; the balance of the program is core ECE (signals, communications, VLSI, DSP, electromagnetics, control systems).</w:t>
      </w:r>
    </w:p>
    <w:p>
      <w:pPr>
        <w:pStyle w:val="BodyText"/>
      </w:pPr>
      <w:r>
        <w:t xml:space="preserve">The Employer Support Letter (§4) attempts to bridge the gap by noting the curriculum</w:t>
      </w:r>
      <w:r>
        <w:t xml:space="preserve"> </w:t>
      </w:r>
      <w:r>
        <w:t xml:space="preserve">“</w:t>
      </w:r>
      <w:r>
        <w:t xml:space="preserve">included coursework in programming, data structures, and artificial intelligence, providing a strong technical foundation for machine learning engineering.</w:t>
      </w:r>
      <w:r>
        <w:t xml:space="preserve">”</w:t>
      </w:r>
      <w:r>
        <w:t xml:space="preserve"> </w:t>
      </w:r>
      <w:r>
        <w:t xml:space="preserve">Standing alone, this is a thin reed: 7.5% CS coursework is unlikely, by itself, to persuade USCIS that ECE is</w:t>
      </w:r>
      <w:r>
        <w:t xml:space="preserve"> </w:t>
      </w:r>
      <w:r>
        <w:t xml:space="preserve">“</w:t>
      </w:r>
      <w:r>
        <w:t xml:space="preserve">closely related</w:t>
      </w:r>
      <w:r>
        <w:t xml:space="preserve">”</w:t>
      </w:r>
      <w:r>
        <w:t xml:space="preserve"> </w:t>
      </w:r>
      <w:r>
        <w:t xml:space="preserve">to a Senior Machine Learning Engineer specialty. This is a classic RFE trigger on the</w:t>
      </w:r>
      <w:r>
        <w:t xml:space="preserve"> </w:t>
      </w:r>
      <w:r>
        <w:t xml:space="preserve">“</w:t>
      </w:r>
      <w:r>
        <w:t xml:space="preserve">related field</w:t>
      </w:r>
      <w:r>
        <w:t xml:space="preserve">”</w:t>
      </w:r>
      <w:r>
        <w:t xml:space="preserve"> </w:t>
      </w:r>
      <w:r>
        <w:t xml:space="preserve">/ beneficiary-qualification prong.</w:t>
      </w:r>
    </w:p>
    <w:p>
      <w:pPr>
        <w:pStyle w:val="BodyText"/>
      </w:pPr>
      <w:r>
        <w:rPr>
          <w:b/>
          <w:bCs/>
        </w:rPr>
        <w:t xml:space="preserve">Recommendation:</w:t>
      </w:r>
      <w:r>
        <w:t xml:space="preserve"> </w:t>
      </w:r>
      <w:r>
        <w:t xml:space="preserve">Strengthen the field-of-study nexus in one or more of the following ways: (a) obtain a supplemental expert opinion (preferably from a qualified professor or a NACES evaluator with verifiable credentials) that maps the ECE coursework — particularly probability &amp; stochastic processes (MT401), signals &amp; systems, linear algebra implicit in DSP/VLSI, information theory &amp; coding (EC705), and the AI elective — to the theoretical foundations of machine learning; (b) expand the employer letter’s analysis to articulate the mathematical/statistical overlap rather than relying solely on the three named CS courses; and/or (c) lean more heavily on the alternative qualification (Issue 7), ensuring the supporting experience is well documented (Issue 3).</w:t>
      </w:r>
    </w:p>
    <w:bookmarkEnd w:id="28"/>
    <w:bookmarkStart w:id="29" w:name="Xcb2261d11354a22354961561632496fb8d7c511"/>
    <w:p>
      <w:pPr>
        <w:pStyle w:val="Heading4"/>
      </w:pPr>
      <w:r>
        <w:t xml:space="preserve">Issue 6 — Required tools not corroborated by the documented experience letters (MEDIUM)</w:t>
      </w:r>
    </w:p>
    <w:p>
      <w:pPr>
        <w:pStyle w:val="FirstParagraph"/>
      </w:pPr>
      <w:r>
        <w:t xml:space="preserve">The Employer Support Letter (§3) requires demonstrated proficiency with</w:t>
      </w:r>
      <w:r>
        <w:t xml:space="preserve"> </w:t>
      </w:r>
      <w:r>
        <w:rPr>
          <w:b/>
          <w:bCs/>
        </w:rPr>
        <w:t xml:space="preserve">Python, TensorFlow, PyTorch, AWS SageMaker (or equivalent), NLP, and LLM fine-tuning</w:t>
      </w:r>
      <w:r>
        <w:t xml:space="preserve">. The documented experience letters do not corroborate the deep-learning/cloud-specific tools:</w:t>
      </w:r>
    </w:p>
    <w:p>
      <w:pPr>
        <w:pStyle w:val="Compact"/>
        <w:numPr>
          <w:ilvl w:val="0"/>
          <w:numId w:val="1004"/>
        </w:numPr>
      </w:pPr>
      <w:r>
        <w:rPr>
          <w:b/>
          <w:bCs/>
        </w:rPr>
        <w:t xml:space="preserve">NovaStar letter</w:t>
      </w:r>
      <w:r>
        <w:t xml:space="preserve"> </w:t>
      </w:r>
      <w:r>
        <w:t xml:space="preserve">(the primary documented ML role, Apr. 2017–Jul. 2020): references</w:t>
      </w:r>
      <w:r>
        <w:t xml:space="preserve"> </w:t>
      </w:r>
      <w:r>
        <w:rPr>
          <w:b/>
          <w:bCs/>
        </w:rPr>
        <w:t xml:space="preserve">Python, scikit-learn, Tableau, SQL, and A/B testing</w:t>
      </w:r>
      <w:r>
        <w:t xml:space="preserve"> </w:t>
      </w:r>
      <w:r>
        <w:t xml:space="preserve">only. It does</w:t>
      </w:r>
      <w:r>
        <w:t xml:space="preserve"> </w:t>
      </w:r>
      <w:r>
        <w:rPr>
          <w:b/>
          <w:bCs/>
        </w:rPr>
        <w:t xml:space="preserve">not</w:t>
      </w:r>
      <w:r>
        <w:t xml:space="preserve"> </w:t>
      </w:r>
      <w:r>
        <w:t xml:space="preserve">mention TensorFlow, PyTorch, deep learning, NLP, LLMs, or any cloud/ML-deployment platform.</w:t>
      </w:r>
    </w:p>
    <w:p>
      <w:pPr>
        <w:pStyle w:val="Compact"/>
        <w:numPr>
          <w:ilvl w:val="0"/>
          <w:numId w:val="1004"/>
        </w:numPr>
      </w:pPr>
      <w:r>
        <w:rPr>
          <w:b/>
          <w:bCs/>
        </w:rPr>
        <w:t xml:space="preserve">Kiran letter</w:t>
      </w:r>
      <w:r>
        <w:t xml:space="preserve"> </w:t>
      </w:r>
      <w:r>
        <w:t xml:space="preserve">(Jun. 2014–Dec. 2016): Java/Python software development and database work — no ML.</w:t>
      </w:r>
    </w:p>
    <w:p>
      <w:pPr>
        <w:pStyle w:val="Compact"/>
        <w:numPr>
          <w:ilvl w:val="0"/>
          <w:numId w:val="1004"/>
        </w:numPr>
      </w:pPr>
      <w:r>
        <w:t xml:space="preserve">The TensorFlow/PyTorch/AWS SageMaker/NLP/LLM experience appears to derive chiefly from the</w:t>
      </w:r>
      <w:r>
        <w:t xml:space="preserve"> </w:t>
      </w:r>
      <w:r>
        <w:rPr>
          <w:b/>
          <w:bCs/>
        </w:rPr>
        <w:t xml:space="preserve">undocumented independent-consulting period (Aug. 2020–Aug. 2023)</w:t>
      </w:r>
      <w:r>
        <w:t xml:space="preserve"> </w:t>
      </w:r>
      <w:r>
        <w:t xml:space="preserve">and the current Brightfield tenure (which has no separate experience letter).</w:t>
      </w:r>
    </w:p>
    <w:p>
      <w:pPr>
        <w:pStyle w:val="FirstParagraph"/>
      </w:pPr>
      <w:r>
        <w:rPr>
          <w:b/>
          <w:bCs/>
        </w:rPr>
        <w:t xml:space="preserve">Recommendation:</w:t>
      </w:r>
      <w:r>
        <w:t xml:space="preserve"> </w:t>
      </w:r>
      <w:r>
        <w:t xml:space="preserve">Supplement with evidence of the specific required tools — e.g., a detailed letter from the current Brightfield supervisor describing the Beneficiary’s hands-on use of TensorFlow/PyTorch/AWS SageMaker/NLP/LLM, project artifacts (with confidential information redacted), and documentation of the consulting-period tool use (see Issue 3).</w:t>
      </w:r>
    </w:p>
    <w:bookmarkEnd w:id="29"/>
    <w:bookmarkStart w:id="30" w:name="Xa464e95df65ef1412dbf677a6bb99ffb4b70ac9"/>
    <w:p>
      <w:pPr>
        <w:pStyle w:val="Heading4"/>
      </w:pPr>
      <w:r>
        <w:t xml:space="preserve">Issue 7 —</w:t>
      </w:r>
      <w:r>
        <w:t xml:space="preserve"> </w:t>
      </w:r>
      <w:r>
        <w:t xml:space="preserve">“</w:t>
      </w:r>
      <w:r>
        <w:t xml:space="preserve">Alternative qualification</w:t>
      </w:r>
      <w:r>
        <w:t xml:space="preserve">”</w:t>
      </w:r>
      <w:r>
        <w:t xml:space="preserve"> </w:t>
      </w:r>
      <w:r>
        <w:t xml:space="preserve">may dilute the specialty-occupation showing (MEDIUM)</w:t>
      </w:r>
    </w:p>
    <w:p>
      <w:pPr>
        <w:pStyle w:val="FirstParagraph"/>
      </w:pPr>
      <w:r>
        <w:t xml:space="preserve">The Employer Support Letter (§3) offers an alternative:</w:t>
      </w:r>
      <w:r>
        <w:t xml:space="preserve"> </w:t>
      </w:r>
      <w:r>
        <w:t xml:space="preserve">“</w:t>
      </w:r>
      <w:r>
        <w:t xml:space="preserve">a Bachelor’s degree in</w:t>
      </w:r>
      <w:r>
        <w:t xml:space="preserve"> </w:t>
      </w:r>
      <w:r>
        <w:rPr>
          <w:b/>
          <w:bCs/>
        </w:rPr>
        <w:t xml:space="preserve">any engineering discipline</w:t>
      </w:r>
      <w:r>
        <w:t xml:space="preserve"> </w:t>
      </w:r>
      <w:r>
        <w:t xml:space="preserve">combined with</w:t>
      </w:r>
      <w:r>
        <w:t xml:space="preserve"> </w:t>
      </w:r>
      <w:r>
        <w:rPr>
          <w:b/>
          <w:bCs/>
        </w:rPr>
        <w:t xml:space="preserve">5 years of progressive experience</w:t>
      </w:r>
      <w:r>
        <w:t xml:space="preserve"> </w:t>
      </w:r>
      <w:r>
        <w:t xml:space="preserve">in machine learning.</w:t>
      </w:r>
      <w:r>
        <w:t xml:space="preserve">”</w:t>
      </w:r>
      <w:r>
        <w:t xml:space="preserve"> </w:t>
      </w:r>
      <w:r>
        <w:t xml:space="preserve">While alternative qualifications are permissible, a broadly framed</w:t>
      </w:r>
      <w:r>
        <w:t xml:space="preserve"> </w:t>
      </w:r>
      <w:r>
        <w:t xml:space="preserve">“</w:t>
      </w:r>
      <w:r>
        <w:t xml:space="preserve">any engineering degree</w:t>
      </w:r>
      <w:r>
        <w:t xml:space="preserve">”</w:t>
      </w:r>
      <w:r>
        <w:t xml:space="preserve"> </w:t>
      </w:r>
      <w:r>
        <w:t xml:space="preserve">alternative can be read as evidence that the position does</w:t>
      </w:r>
      <w:r>
        <w:t xml:space="preserve"> </w:t>
      </w:r>
      <w:r>
        <w:rPr>
          <w:b/>
          <w:bCs/>
        </w:rPr>
        <w:t xml:space="preserve">not</w:t>
      </w:r>
      <w:r>
        <w:t xml:space="preserve"> </w:t>
      </w:r>
      <w:r>
        <w:t xml:space="preserve">in fact require a specific specialty, which undercuts the INA § 214(i)(1) specialty-occupation showing. USCIS has historically scrutinized such alternatives.</w:t>
      </w:r>
    </w:p>
    <w:p>
      <w:pPr>
        <w:pStyle w:val="BodyText"/>
      </w:pPr>
      <w:r>
        <w:t xml:space="preserve">The Beneficiary likely satisfies the alternative on its face (ECE is an engineering discipline, and his ML-specific experience — NovaStar ~3.25 yrs + consulting ~3 yrs + Brightfield ~1.6 yrs — exceeds 5 years), but the analysis depends heavily on the undocumented consulting period (Issue 3).</w:t>
      </w:r>
    </w:p>
    <w:p>
      <w:pPr>
        <w:pStyle w:val="BodyText"/>
      </w:pPr>
      <w:r>
        <w:rPr>
          <w:b/>
          <w:bCs/>
        </w:rPr>
        <w:t xml:space="preserve">Recommendation:</w:t>
      </w:r>
      <w:r>
        <w:t xml:space="preserve"> </w:t>
      </w:r>
      <w:r>
        <w:t xml:space="preserve">Narrow or carefully contextualize the alternative so it does not read as a generic escape hatch; ensure the 5-year progressive experience is independently documented; and make the primary (degree-based) path as strong as possible per Issue 2.</w:t>
      </w:r>
    </w:p>
    <w:bookmarkEnd w:id="30"/>
    <w:bookmarkStart w:id="31" w:name="X82c2b43029e2458d02b8fc0b7865fe7cc2b3e60"/>
    <w:p>
      <w:pPr>
        <w:pStyle w:val="Heading4"/>
      </w:pPr>
      <w:r>
        <w:t xml:space="preserve">Issue 18 — Organizational-chart structural ambiguity (LOW)</w:t>
      </w:r>
    </w:p>
    <w:p>
      <w:pPr>
        <w:pStyle w:val="FirstParagraph"/>
      </w:pPr>
      <w:r>
        <w:t xml:space="preserve">The org chart shows the</w:t>
      </w:r>
      <w:r>
        <w:t xml:space="preserve"> </w:t>
      </w:r>
      <w:r>
        <w:rPr>
          <w:b/>
          <w:bCs/>
        </w:rPr>
        <w:t xml:space="preserve">Vice President of Data Science as</w:t>
      </w:r>
      <w:r>
        <w:rPr>
          <w:b/>
          <w:bCs/>
        </w:rPr>
        <w:t xml:space="preserve"> </w:t>
      </w:r>
      <w:r>
        <w:rPr>
          <w:b/>
          <w:bCs/>
        </w:rPr>
        <w:t xml:space="preserve">“</w:t>
      </w:r>
      <w:r>
        <w:rPr>
          <w:b/>
          <w:bCs/>
        </w:rPr>
        <w:t xml:space="preserve">To Be Hired,</w:t>
      </w:r>
      <w:r>
        <w:rPr>
          <w:b/>
          <w:bCs/>
        </w:rPr>
        <w:t xml:space="preserve">”</w:t>
      </w:r>
      <w:r>
        <w:t xml:space="preserve"> </w:t>
      </w:r>
      <w:r>
        <w:t xml:space="preserve">with the Senior Machine Learning Engineer reporting</w:t>
      </w:r>
      <w:r>
        <w:t xml:space="preserve"> </w:t>
      </w:r>
      <w:r>
        <w:rPr>
          <w:b/>
          <w:bCs/>
        </w:rPr>
        <w:t xml:space="preserve">directly to the CTO on an interim basis</w:t>
      </w:r>
      <w:r>
        <w:t xml:space="preserve">. The petitioned</w:t>
      </w:r>
      <w:r>
        <w:t xml:space="preserve"> </w:t>
      </w:r>
      <w:r>
        <w:t xml:space="preserve">“</w:t>
      </w:r>
      <w:r>
        <w:t xml:space="preserve">senior</w:t>
      </w:r>
      <w:r>
        <w:t xml:space="preserve">”</w:t>
      </w:r>
      <w:r>
        <w:t xml:space="preserve"> </w:t>
      </w:r>
      <w:r>
        <w:t xml:space="preserve">position has only two direct reports (per the chart) and an unsettled management layer above it. This is not fatal, but it should be reconciled with (a) the employer letter’s</w:t>
      </w:r>
      <w:r>
        <w:t xml:space="preserve"> </w:t>
      </w:r>
      <w:r>
        <w:t xml:space="preserve">“</w:t>
      </w:r>
      <w:r>
        <w:t xml:space="preserve">team of 3</w:t>
      </w:r>
      <w:r>
        <w:t xml:space="preserve">”</w:t>
      </w:r>
      <w:r>
        <w:t xml:space="preserve"> </w:t>
      </w:r>
      <w:r>
        <w:t xml:space="preserve">(Issue 11) and (b) the supervisory/independent-judgment characterizations used to support both the specialty occupation and the wage level (Issue 1). A reviewer could question whether a role with two direct reports and no settled VP above it is genuinely</w:t>
      </w:r>
      <w:r>
        <w:t xml:space="preserve"> </w:t>
      </w:r>
      <w:r>
        <w:t xml:space="preserve">“</w:t>
      </w:r>
      <w:r>
        <w:t xml:space="preserve">senior</w:t>
      </w:r>
      <w:r>
        <w:t xml:space="preserve">”</w:t>
      </w:r>
      <w:r>
        <w:t xml:space="preserve"> </w:t>
      </w:r>
      <w:r>
        <w:t xml:space="preserve">and supervisory at Level 3, or conversely use the supervisory framing against the Level 2 wage.</w:t>
      </w:r>
    </w:p>
    <w:p>
      <w:pPr>
        <w:pStyle w:val="BodyText"/>
      </w:pPr>
      <w:r>
        <w:rPr>
          <w:b/>
          <w:bCs/>
        </w:rPr>
        <w:t xml:space="preserve">Recommendation:</w:t>
      </w:r>
      <w:r>
        <w:t xml:space="preserve"> </w:t>
      </w:r>
      <w:r>
        <w:t xml:space="preserve">Reconcile the org chart with the employer letter (team size) and decide deliberately whether to present the role as supervisory (supporting Level 3 and a higher wage) or non-supervisory (supporting Level 2 but weakening the</w:t>
      </w:r>
      <w:r>
        <w:t xml:space="preserve"> </w:t>
      </w:r>
      <w:r>
        <w:t xml:space="preserve">“</w:t>
      </w:r>
      <w:r>
        <w:t xml:space="preserve">senior</w:t>
      </w:r>
      <w:r>
        <w:t xml:space="preserve">”</w:t>
      </w:r>
      <w:r>
        <w:t xml:space="preserve"> </w:t>
      </w:r>
      <w:r>
        <w:t xml:space="preserve">framing). The current documents send mixed signals.</w:t>
      </w:r>
    </w:p>
    <w:bookmarkEnd w:id="31"/>
    <w:bookmarkStart w:id="32" w:name="X5c115d05e2159ce883626707810a18c2c233b8a"/>
    <w:p>
      <w:pPr>
        <w:pStyle w:val="Heading4"/>
      </w:pPr>
      <w:r>
        <w:t xml:space="preserve">Issue 19 — Current</w:t>
      </w:r>
      <w:r>
        <w:t xml:space="preserve"> </w:t>
      </w:r>
      <w:r>
        <w:t xml:space="preserve">“</w:t>
      </w:r>
      <w:r>
        <w:t xml:space="preserve">Data Scientist</w:t>
      </w:r>
      <w:r>
        <w:t xml:space="preserve">”</w:t>
      </w:r>
      <w:r>
        <w:t xml:space="preserve"> </w:t>
      </w:r>
      <w:r>
        <w:t xml:space="preserve">(OPT) vs. petitioned</w:t>
      </w:r>
      <w:r>
        <w:t xml:space="preserve"> </w:t>
      </w:r>
      <w:r>
        <w:t xml:space="preserve">“</w:t>
      </w:r>
      <w:r>
        <w:t xml:space="preserve">Senior ML Engineer</w:t>
      </w:r>
      <w:r>
        <w:t xml:space="preserve">”</w:t>
      </w:r>
      <w:r>
        <w:t xml:space="preserve"> </w:t>
      </w:r>
      <w:r>
        <w:t xml:space="preserve">role clarity (LOW)</w:t>
      </w:r>
    </w:p>
    <w:p>
      <w:pPr>
        <w:pStyle w:val="FirstParagraph"/>
      </w:pPr>
      <w:r>
        <w:t xml:space="preserve">The resume shows the Beneficiary has been a</w:t>
      </w:r>
      <w:r>
        <w:t xml:space="preserve"> </w:t>
      </w:r>
      <w:r>
        <w:rPr>
          <w:b/>
          <w:bCs/>
        </w:rPr>
        <w:t xml:space="preserve">“</w:t>
      </w:r>
      <w:r>
        <w:rPr>
          <w:b/>
          <w:bCs/>
        </w:rPr>
        <w:t xml:space="preserve">Data Scientist</w:t>
      </w:r>
      <w:r>
        <w:rPr>
          <w:b/>
          <w:bCs/>
        </w:rPr>
        <w:t xml:space="preserve">”</w:t>
      </w:r>
      <w:r>
        <w:rPr>
          <w:b/>
          <w:bCs/>
        </w:rPr>
        <w:t xml:space="preserve"> </w:t>
      </w:r>
      <w:r>
        <w:rPr>
          <w:b/>
          <w:bCs/>
        </w:rPr>
        <w:t xml:space="preserve">at Brightfield since September 2023</w:t>
      </w:r>
      <w:r>
        <w:t xml:space="preserve"> </w:t>
      </w:r>
      <w:r>
        <w:t xml:space="preserve">(the employer letter specifies September 5, 2023), while the H-1B position is</w:t>
      </w:r>
      <w:r>
        <w:t xml:space="preserve"> </w:t>
      </w:r>
      <w:r>
        <w:rPr>
          <w:b/>
          <w:bCs/>
        </w:rPr>
        <w:t xml:space="preserve">“</w:t>
      </w:r>
      <w:r>
        <w:rPr>
          <w:b/>
          <w:bCs/>
        </w:rPr>
        <w:t xml:space="preserve">Senior Machine Learning Engineer.</w:t>
      </w:r>
      <w:r>
        <w:rPr>
          <w:b/>
          <w:bCs/>
        </w:rPr>
        <w:t xml:space="preserve">”</w:t>
      </w:r>
      <w:r>
        <w:t xml:space="preserve"> </w:t>
      </w:r>
      <w:r>
        <w:t xml:space="preserve">The employer letter states the Beneficiary is on</w:t>
      </w:r>
      <w:r>
        <w:t xml:space="preserve"> </w:t>
      </w:r>
      <w:r>
        <w:rPr>
          <w:b/>
          <w:bCs/>
        </w:rPr>
        <w:t xml:space="preserve">F-1 OPT</w:t>
      </w:r>
      <w:r>
        <w:t xml:space="preserve"> </w:t>
      </w:r>
      <w:r>
        <w:t xml:space="preserve">and will transition to H-1B on October 1, 2025. The petition should clearly establish that the H-1B position is a</w:t>
      </w:r>
      <w:r>
        <w:t xml:space="preserve"> </w:t>
      </w:r>
      <w:r>
        <w:rPr>
          <w:b/>
          <w:bCs/>
        </w:rPr>
        <w:t xml:space="preserve">distinct, prospective</w:t>
      </w:r>
      <w:r>
        <w:t xml:space="preserve"> </w:t>
      </w:r>
      <w:r>
        <w:t xml:space="preserve">role (a promotion to a senior, supervisory position) and not merely a continuation of the current OPT duties under a new title. Blurring the two could invite questions about the bona fides of the new position and its requirements.</w:t>
      </w:r>
    </w:p>
    <w:p>
      <w:pPr>
        <w:pStyle w:val="BodyText"/>
      </w:pPr>
      <w:r>
        <w:rPr>
          <w:b/>
          <w:bCs/>
        </w:rPr>
        <w:t xml:space="preserve">Recommendation:</w:t>
      </w:r>
      <w:r>
        <w:t xml:space="preserve"> </w:t>
      </w:r>
      <w:r>
        <w:t xml:space="preserve">Add a short paragraph to the employer letter distinguishing the current OPT Data Scientist role from the petitioned Senior ML Engineer role (scope, supervisory authority, minimum requirements), and confirm the offer of the senior position is prospective.</w:t>
      </w:r>
    </w:p>
    <w:bookmarkEnd w:id="32"/>
    <w:bookmarkEnd w:id="33"/>
    <w:bookmarkStart w:id="40" w:name="data-integrity-inconsistencies"/>
    <w:p>
      <w:pPr>
        <w:pStyle w:val="Heading3"/>
      </w:pPr>
      <w:r>
        <w:t xml:space="preserve">3.3 Data-Integrity Inconsistencies</w:t>
      </w:r>
    </w:p>
    <w:bookmarkStart w:id="34" w:name="X4fbcc14c81a36e4186b542c706d632777967311"/>
    <w:p>
      <w:pPr>
        <w:pStyle w:val="Heading4"/>
      </w:pPr>
      <w:r>
        <w:t xml:space="preserve">Issue 8 — Employer/HR contact telephone numbers inconsistent across four documents (MEDIUM)</w:t>
      </w:r>
    </w:p>
    <w:p>
      <w:pPr>
        <w:pStyle w:val="FirstParagraph"/>
      </w:pPr>
      <w:r>
        <w:t xml:space="preserve">The telephone number for the Petitioner / Patricia Kwon (HR Director) is inconsistent across the package: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Telephone</w:t>
            </w:r>
          </w:p>
        </w:tc>
      </w:tr>
      <w:tr>
        <w:tc>
          <w:tcPr/>
          <w:p>
            <w:pPr>
              <w:pStyle w:val="Compact"/>
              <w:jc w:val="left"/>
            </w:pPr>
            <w:r>
              <w:t xml:space="preserve">Certified LCA (§C.4 / §D.4)</w:t>
            </w:r>
          </w:p>
        </w:tc>
        <w:tc>
          <w:tcPr/>
          <w:p>
            <w:pPr>
              <w:pStyle w:val="Compact"/>
              <w:jc w:val="left"/>
            </w:pPr>
            <w:r>
              <w:t xml:space="preserve">(512) 555-</w:t>
            </w:r>
            <w:r>
              <w:rPr>
                <w:b/>
                <w:bCs/>
              </w:rPr>
              <w:t xml:space="preserve">0142</w:t>
            </w:r>
          </w:p>
        </w:tc>
      </w:tr>
      <w:tr>
        <w:tc>
          <w:tcPr/>
          <w:p>
            <w:pPr>
              <w:pStyle w:val="Compact"/>
              <w:jc w:val="left"/>
            </w:pPr>
            <w:r>
              <w:t xml:space="preserve">Employer Support Letter (header &amp; §6)</w:t>
            </w:r>
          </w:p>
        </w:tc>
        <w:tc>
          <w:tcPr/>
          <w:p>
            <w:pPr>
              <w:pStyle w:val="Compact"/>
              <w:jc w:val="left"/>
            </w:pPr>
            <w:r>
              <w:t xml:space="preserve">(512) 555-</w:t>
            </w:r>
            <w:r>
              <w:rPr>
                <w:b/>
                <w:bCs/>
              </w:rPr>
              <w:t xml:space="preserve">0194</w:t>
            </w:r>
            <w:r>
              <w:t xml:space="preserve"> </w:t>
            </w:r>
            <w:r>
              <w:t xml:space="preserve">(fax 555-0197)</w:t>
            </w:r>
          </w:p>
        </w:tc>
      </w:tr>
      <w:tr>
        <w:tc>
          <w:tcPr/>
          <w:p>
            <w:pPr>
              <w:pStyle w:val="Compact"/>
              <w:jc w:val="left"/>
            </w:pPr>
            <w:r>
              <w:t xml:space="preserve">LCA Posting Notice (employer contact)</w:t>
            </w:r>
          </w:p>
        </w:tc>
        <w:tc>
          <w:tcPr/>
          <w:p>
            <w:pPr>
              <w:pStyle w:val="Compact"/>
              <w:jc w:val="left"/>
            </w:pPr>
            <w:r>
              <w:t xml:space="preserve">(512) 555-</w:t>
            </w:r>
            <w:r>
              <w:rPr>
                <w:b/>
                <w:bCs/>
              </w:rPr>
              <w:t xml:space="preserve">0174</w:t>
            </w:r>
          </w:p>
        </w:tc>
      </w:tr>
      <w:tr>
        <w:tc>
          <w:tcPr/>
          <w:p>
            <w:pPr>
              <w:pStyle w:val="Compact"/>
              <w:jc w:val="left"/>
            </w:pPr>
            <w:r>
              <w:t xml:space="preserve">Prevailing Wage Determination (§2)</w:t>
            </w:r>
          </w:p>
        </w:tc>
        <w:tc>
          <w:tcPr/>
          <w:p>
            <w:pPr>
              <w:pStyle w:val="Compact"/>
              <w:jc w:val="left"/>
            </w:pPr>
            <w:r>
              <w:t xml:space="preserve">(512) 555-</w:t>
            </w:r>
            <w:r>
              <w:rPr>
                <w:b/>
                <w:bCs/>
              </w:rPr>
              <w:t xml:space="preserve">0187</w:t>
            </w:r>
          </w:p>
        </w:tc>
      </w:tr>
    </w:tbl>
    <w:p>
      <w:pPr>
        <w:pStyle w:val="BodyText"/>
      </w:pPr>
      <w:r>
        <w:t xml:space="preserve">Four different numbers appear for the same employer/contact. This is sloppy and can raise authenticity/consistency concerns with an adjudicator.</w:t>
      </w:r>
    </w:p>
    <w:p>
      <w:pPr>
        <w:pStyle w:val="BodyText"/>
      </w:pPr>
      <w:r>
        <w:rPr>
          <w:b/>
          <w:bCs/>
        </w:rPr>
        <w:t xml:space="preserve">Recommendation:</w:t>
      </w:r>
      <w:r>
        <w:t xml:space="preserve"> </w:t>
      </w:r>
      <w:r>
        <w:t xml:space="preserve">Standardize the employer contact telephone number across all documents. Verify the correct number with the Petitioner and re-issue the affected documents (posting notice, employer letter) as needed.</w:t>
      </w:r>
    </w:p>
    <w:bookmarkEnd w:id="34"/>
    <w:bookmarkStart w:id="35" w:name="X2e63c19d001db11353ed0f4dd807c428eff315a"/>
    <w:p>
      <w:pPr>
        <w:pStyle w:val="Heading4"/>
      </w:pPr>
      <w:r>
        <w:t xml:space="preserve">Issue 22 — Posting notice lists the beneficiary’s personal phone as the employer contact (LOW)</w:t>
      </w:r>
    </w:p>
    <w:p>
      <w:pPr>
        <w:pStyle w:val="FirstParagraph"/>
      </w:pPr>
      <w:r>
        <w:t xml:space="preserve">The Posting Notice lists the employer contact telephone as</w:t>
      </w:r>
      <w:r>
        <w:t xml:space="preserve"> </w:t>
      </w:r>
      <w:r>
        <w:rPr>
          <w:b/>
          <w:bCs/>
        </w:rPr>
        <w:t xml:space="preserve">(512) 555-0174</w:t>
      </w:r>
      <w:r>
        <w:t xml:space="preserve">, which is the</w:t>
      </w:r>
      <w:r>
        <w:t xml:space="preserve"> </w:t>
      </w:r>
      <w:r>
        <w:rPr>
          <w:b/>
          <w:bCs/>
        </w:rPr>
        <w:t xml:space="preserve">Beneficiary’s personal mobile number</w:t>
      </w:r>
      <w:r>
        <w:t xml:space="preserve"> </w:t>
      </w:r>
      <w:r>
        <w:t xml:space="preserve">as shown on the resume. This is almost certainly a copy/paste error and is inappropriate for an official LCA posting that employees and DOL investigators may rely upon.</w:t>
      </w:r>
    </w:p>
    <w:p>
      <w:pPr>
        <w:pStyle w:val="BodyText"/>
      </w:pPr>
      <w:r>
        <w:rPr>
          <w:b/>
          <w:bCs/>
        </w:rPr>
        <w:t xml:space="preserve">Recommendation:</w:t>
      </w:r>
      <w:r>
        <w:t xml:space="preserve"> </w:t>
      </w:r>
      <w:r>
        <w:t xml:space="preserve">Correct the posting notice to reflect the Petitioner’s actual HR telephone number (see Issue 8) and re-post.</w:t>
      </w:r>
    </w:p>
    <w:bookmarkEnd w:id="35"/>
    <w:bookmarkStart w:id="36" w:name="Xba4fa28f1502fb6f311260bfdb9dc2cc1b8bd53"/>
    <w:p>
      <w:pPr>
        <w:pStyle w:val="Heading4"/>
      </w:pPr>
      <w:r>
        <w:t xml:space="preserve">Issue 9 — Kiran employment dates overstated on the resume (MEDIUM)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Kiran tenure</w:t>
            </w:r>
          </w:p>
        </w:tc>
      </w:tr>
      <w:tr>
        <w:tc>
          <w:tcPr/>
          <w:p>
            <w:pPr>
              <w:pStyle w:val="Compact"/>
              <w:jc w:val="left"/>
            </w:pPr>
            <w:r>
              <w:t xml:space="preserve">Resume</w:t>
            </w:r>
          </w:p>
        </w:tc>
        <w:tc>
          <w:tcPr/>
          <w:p>
            <w:pPr>
              <w:pStyle w:val="Compact"/>
              <w:jc w:val="left"/>
            </w:pPr>
            <w:r>
              <w:t xml:space="preserve">June 2014 –</w:t>
            </w:r>
            <w:r>
              <w:t xml:space="preserve"> </w:t>
            </w:r>
            <w:r>
              <w:rPr>
                <w:b/>
                <w:bCs/>
              </w:rPr>
              <w:t xml:space="preserve">March 2017</w:t>
            </w:r>
          </w:p>
        </w:tc>
      </w:tr>
      <w:tr>
        <w:tc>
          <w:tcPr/>
          <w:p>
            <w:pPr>
              <w:pStyle w:val="Compact"/>
              <w:jc w:val="left"/>
            </w:pPr>
            <w:r>
              <w:t xml:space="preserve">Kiran Experience Letter</w:t>
            </w:r>
          </w:p>
        </w:tc>
        <w:tc>
          <w:tcPr/>
          <w:p>
            <w:pPr>
              <w:pStyle w:val="Compact"/>
              <w:jc w:val="left"/>
            </w:pPr>
            <w:r>
              <w:t xml:space="preserve">June 16, 2014 –</w:t>
            </w:r>
            <w:r>
              <w:t xml:space="preserve"> </w:t>
            </w:r>
            <w:r>
              <w:rPr>
                <w:b/>
                <w:bCs/>
              </w:rPr>
              <w:t xml:space="preserve">December 9, 2016</w:t>
            </w:r>
          </w:p>
        </w:tc>
      </w:tr>
      <w:tr>
        <w:tc>
          <w:tcPr/>
          <w:p>
            <w:pPr>
              <w:pStyle w:val="Compact"/>
              <w:jc w:val="left"/>
            </w:pPr>
            <w:r>
              <w:t xml:space="preserve">Employer Support Letter (§4)</w:t>
            </w:r>
          </w:p>
        </w:tc>
        <w:tc>
          <w:tcPr/>
          <w:p>
            <w:pPr>
              <w:pStyle w:val="Compact"/>
              <w:jc w:val="left"/>
            </w:pPr>
            <w:r>
              <w:t xml:space="preserve">June 2014 –</w:t>
            </w:r>
            <w:r>
              <w:t xml:space="preserve"> </w:t>
            </w:r>
            <w:r>
              <w:rPr>
                <w:b/>
                <w:bCs/>
              </w:rPr>
              <w:t xml:space="preserve">December 2016</w:t>
            </w:r>
          </w:p>
        </w:tc>
      </w:tr>
    </w:tbl>
    <w:p>
      <w:pPr>
        <w:pStyle w:val="BodyText"/>
      </w:pPr>
      <w:r>
        <w:t xml:space="preserve">The resume extends the Kiran tenure by roughly three months beyond the date confirmed by the employer’s own experience letter. This also creates an</w:t>
      </w:r>
      <w:r>
        <w:t xml:space="preserve"> </w:t>
      </w:r>
      <w:r>
        <w:rPr>
          <w:b/>
          <w:bCs/>
        </w:rPr>
        <w:t xml:space="preserve">unexplained ~4-month gap</w:t>
      </w:r>
      <w:r>
        <w:t xml:space="preserve"> </w:t>
      </w:r>
      <w:r>
        <w:t xml:space="preserve">(December 2016 → April 2017) before the NovaStar employment began — a gap the resume obscures by listing Kiran through March 2017.</w:t>
      </w:r>
    </w:p>
    <w:p>
      <w:pPr>
        <w:pStyle w:val="BodyText"/>
      </w:pPr>
      <w:r>
        <w:rPr>
          <w:b/>
          <w:bCs/>
        </w:rPr>
        <w:t xml:space="preserve">Recommendation:</w:t>
      </w:r>
      <w:r>
        <w:t xml:space="preserve"> </w:t>
      </w:r>
      <w:r>
        <w:t xml:space="preserve">Correct the resume to match the experience letter (June 2014 – December 2016) and be prepared to address the December 2016–April 2017 gap (e.g., return to India, job search, travel) if raised.</w:t>
      </w:r>
    </w:p>
    <w:bookmarkEnd w:id="36"/>
    <w:bookmarkStart w:id="37" w:name="Xa86680bfcbd84293d981db02a3f2c538d683e53"/>
    <w:p>
      <w:pPr>
        <w:pStyle w:val="Heading4"/>
      </w:pPr>
      <w:r>
        <w:t xml:space="preserve">Issue 10 — NovaStar employment dates overstated on the resume (MEDIUM)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NovaStar tenure</w:t>
            </w:r>
          </w:p>
        </w:tc>
      </w:tr>
      <w:tr>
        <w:tc>
          <w:tcPr/>
          <w:p>
            <w:pPr>
              <w:pStyle w:val="Compact"/>
              <w:jc w:val="left"/>
            </w:pPr>
            <w:r>
              <w:t xml:space="preserve">Resume</w:t>
            </w:r>
          </w:p>
        </w:tc>
        <w:tc>
          <w:tcPr/>
          <w:p>
            <w:pPr>
              <w:pStyle w:val="Compact"/>
              <w:jc w:val="left"/>
            </w:pPr>
            <w:r>
              <w:t xml:space="preserve">April 2017 –</w:t>
            </w:r>
            <w:r>
              <w:t xml:space="preserve"> </w:t>
            </w:r>
            <w:r>
              <w:rPr>
                <w:b/>
                <w:bCs/>
              </w:rPr>
              <w:t xml:space="preserve">August 2020</w:t>
            </w:r>
          </w:p>
        </w:tc>
      </w:tr>
      <w:tr>
        <w:tc>
          <w:tcPr/>
          <w:p>
            <w:pPr>
              <w:pStyle w:val="Compact"/>
              <w:jc w:val="left"/>
            </w:pPr>
            <w:r>
              <w:t xml:space="preserve">NovaStar Experience Letter</w:t>
            </w:r>
          </w:p>
        </w:tc>
        <w:tc>
          <w:tcPr/>
          <w:p>
            <w:pPr>
              <w:pStyle w:val="Compact"/>
              <w:jc w:val="left"/>
            </w:pPr>
            <w:r>
              <w:t xml:space="preserve">April 2017 –</w:t>
            </w:r>
            <w:r>
              <w:t xml:space="preserve"> </w:t>
            </w:r>
            <w:r>
              <w:rPr>
                <w:b/>
                <w:bCs/>
              </w:rPr>
              <w:t xml:space="preserve">July 2020</w:t>
            </w:r>
          </w:p>
        </w:tc>
      </w:tr>
      <w:tr>
        <w:tc>
          <w:tcPr/>
          <w:p>
            <w:pPr>
              <w:pStyle w:val="Compact"/>
              <w:jc w:val="left"/>
            </w:pPr>
            <w:r>
              <w:t xml:space="preserve">Employer Support Letter (§4)</w:t>
            </w:r>
          </w:p>
        </w:tc>
        <w:tc>
          <w:tcPr/>
          <w:p>
            <w:pPr>
              <w:pStyle w:val="Compact"/>
              <w:jc w:val="left"/>
            </w:pPr>
            <w:r>
              <w:t xml:space="preserve">April 2017 –</w:t>
            </w:r>
            <w:r>
              <w:t xml:space="preserve"> </w:t>
            </w:r>
            <w:r>
              <w:rPr>
                <w:b/>
                <w:bCs/>
              </w:rPr>
              <w:t xml:space="preserve">July 2020</w:t>
            </w:r>
          </w:p>
        </w:tc>
      </w:tr>
    </w:tbl>
    <w:p>
      <w:pPr>
        <w:pStyle w:val="BodyText"/>
      </w:pPr>
      <w:r>
        <w:t xml:space="preserve">The resume extends the NovaStar tenure by one month beyond the confirmed end date.</w:t>
      </w:r>
    </w:p>
    <w:p>
      <w:pPr>
        <w:pStyle w:val="BodyText"/>
      </w:pPr>
      <w:r>
        <w:rPr>
          <w:b/>
          <w:bCs/>
        </w:rPr>
        <w:t xml:space="preserve">Recommendation:</w:t>
      </w:r>
      <w:r>
        <w:t xml:space="preserve"> </w:t>
      </w:r>
      <w:r>
        <w:t xml:space="preserve">Correct the resume to April 2017 – July 2020 to match the experience letter and employer letter.</w:t>
      </w:r>
    </w:p>
    <w:bookmarkEnd w:id="37"/>
    <w:bookmarkStart w:id="38" w:name="issue-11-team-size-inconsistency-medium"/>
    <w:p>
      <w:pPr>
        <w:pStyle w:val="Heading4"/>
      </w:pPr>
      <w:r>
        <w:t xml:space="preserve">Issue 11 — Team-size inconsistency (MEDIUM)</w:t>
      </w:r>
    </w:p>
    <w:p>
      <w:pPr>
        <w:pStyle w:val="FirstParagraph"/>
      </w:pPr>
      <w:r>
        <w:t xml:space="preserve">The Employer Support Letter (§2, Duty 4) states the Senior ML Engineer will lead</w:t>
      </w:r>
      <w:r>
        <w:t xml:space="preserve"> </w:t>
      </w:r>
      <w:r>
        <w:t xml:space="preserve">“</w:t>
      </w:r>
      <w:r>
        <w:t xml:space="preserve">a team of</w:t>
      </w:r>
      <w:r>
        <w:t xml:space="preserve"> </w:t>
      </w:r>
      <w:r>
        <w:rPr>
          <w:b/>
          <w:bCs/>
        </w:rPr>
        <w:t xml:space="preserve">3 junior data scientists</w:t>
      </w:r>
      <w:r>
        <w:t xml:space="preserve">.</w:t>
      </w:r>
      <w:r>
        <w:t xml:space="preserve">”</w:t>
      </w:r>
      <w:r>
        <w:t xml:space="preserve"> </w:t>
      </w:r>
      <w:r>
        <w:t xml:space="preserve">The Organizational Chart shows only</w:t>
      </w:r>
      <w:r>
        <w:t xml:space="preserve"> </w:t>
      </w:r>
      <w:r>
        <w:rPr>
          <w:b/>
          <w:bCs/>
        </w:rPr>
        <w:t xml:space="preserve">2 direct reports</w:t>
      </w:r>
      <w:r>
        <w:t xml:space="preserve"> </w:t>
      </w:r>
      <w:r>
        <w:t xml:space="preserve">(two Data Scientists). The discrepancy should be reconciled because the supervisory scope is relevant to both the specialty-occupation showing and the wage-level analysis (Issues 1, 18).</w:t>
      </w:r>
    </w:p>
    <w:p>
      <w:pPr>
        <w:pStyle w:val="BodyText"/>
      </w:pPr>
      <w:r>
        <w:rPr>
          <w:b/>
          <w:bCs/>
        </w:rPr>
        <w:t xml:space="preserve">Recommendation:</w:t>
      </w:r>
      <w:r>
        <w:t xml:space="preserve"> </w:t>
      </w:r>
      <w:r>
        <w:t xml:space="preserve">Reconcile the team size across the employer letter and org chart; if the correct number is two, amend the employer letter; if three, update the org chart.</w:t>
      </w:r>
    </w:p>
    <w:bookmarkEnd w:id="38"/>
    <w:bookmarkStart w:id="39" w:name="X03218d180b3f24b19ad06a378e9542730a5c315"/>
    <w:p>
      <w:pPr>
        <w:pStyle w:val="Heading4"/>
      </w:pPr>
      <w:r>
        <w:t xml:space="preserve">Issue 17 — Years-of-experience figure inconsistent (LOW)</w:t>
      </w:r>
    </w:p>
    <w:p>
      <w:pPr>
        <w:pStyle w:val="FirstParagraph"/>
      </w:pPr>
      <w:r>
        <w:t xml:space="preserve">The resume’s professional summary states</w:t>
      </w:r>
      <w:r>
        <w:t xml:space="preserve"> </w:t>
      </w:r>
      <w:r>
        <w:t xml:space="preserve">“</w:t>
      </w:r>
      <w:r>
        <w:rPr>
          <w:b/>
          <w:bCs/>
        </w:rPr>
        <w:t xml:space="preserve">7+ years</w:t>
      </w:r>
      <w:r>
        <w:t xml:space="preserve"> </w:t>
      </w:r>
      <w:r>
        <w:t xml:space="preserve">of experience,</w:t>
      </w:r>
      <w:r>
        <w:t xml:space="preserve">”</w:t>
      </w:r>
      <w:r>
        <w:t xml:space="preserve"> </w:t>
      </w:r>
      <w:r>
        <w:t xml:space="preserve">while the Employer Support Letter (§4) states</w:t>
      </w:r>
      <w:r>
        <w:t xml:space="preserve"> </w:t>
      </w:r>
      <w:r>
        <w:t xml:space="preserve">“</w:t>
      </w:r>
      <w:r>
        <w:t xml:space="preserve">over</w:t>
      </w:r>
      <w:r>
        <w:t xml:space="preserve"> </w:t>
      </w:r>
      <w:r>
        <w:rPr>
          <w:b/>
          <w:bCs/>
        </w:rPr>
        <w:t xml:space="preserve">8 years</w:t>
      </w:r>
      <w:r>
        <w:t xml:space="preserve"> </w:t>
      </w:r>
      <w:r>
        <w:t xml:space="preserve">of progressive experience.</w:t>
      </w:r>
      <w:r>
        <w:t xml:space="preserve">”</w:t>
      </w:r>
      <w:r>
        <w:t xml:space="preserve"> </w:t>
      </w:r>
      <w:r>
        <w:t xml:space="preserve">Both are approximate, but the inconsistency should be reconciled, particularly because the experience quantum is being relied upon to satisfy the position’s requirements.</w:t>
      </w:r>
    </w:p>
    <w:p>
      <w:pPr>
        <w:pStyle w:val="BodyText"/>
      </w:pPr>
      <w:r>
        <w:rPr>
          <w:b/>
          <w:bCs/>
        </w:rPr>
        <w:t xml:space="preserve">Recommendation:</w:t>
      </w:r>
      <w:r>
        <w:t xml:space="preserve"> </w:t>
      </w:r>
      <w:r>
        <w:t xml:space="preserve">Use a single, supportable figure (the documented total is roughly 10+ years of combined software/ML experience, or ~7–8 years of ML-specific experience) and apply it consistently.</w:t>
      </w:r>
    </w:p>
    <w:bookmarkEnd w:id="39"/>
    <w:bookmarkEnd w:id="40"/>
    <w:bookmarkStart w:id="46" w:name="documentation-gaps"/>
    <w:p>
      <w:pPr>
        <w:pStyle w:val="Heading3"/>
      </w:pPr>
      <w:r>
        <w:t xml:space="preserve">3.4 Documentation Gaps</w:t>
      </w:r>
    </w:p>
    <w:bookmarkStart w:id="41" w:name="X7da95b80881285655252e2e483178d3e0f199e7"/>
    <w:p>
      <w:pPr>
        <w:pStyle w:val="Heading4"/>
      </w:pPr>
      <w:r>
        <w:t xml:space="preserve">Issue 3 — Independent-consulting period (~3 years) is undocumented (HIGH)</w:t>
      </w:r>
    </w:p>
    <w:p>
      <w:pPr>
        <w:pStyle w:val="FirstParagraph"/>
      </w:pPr>
      <w:r>
        <w:t xml:space="preserve">The Beneficiary’s resume and the Employer Support Letter (§4) both recite an</w:t>
      </w:r>
      <w:r>
        <w:t xml:space="preserve"> </w:t>
      </w:r>
      <w:r>
        <w:rPr>
          <w:b/>
          <w:bCs/>
        </w:rPr>
        <w:t xml:space="preserve">“</w:t>
      </w:r>
      <w:r>
        <w:rPr>
          <w:b/>
          <w:bCs/>
        </w:rPr>
        <w:t xml:space="preserve">Independent Machine Learning Consultant</w:t>
      </w:r>
      <w:r>
        <w:rPr>
          <w:b/>
          <w:bCs/>
        </w:rPr>
        <w:t xml:space="preserve">”</w:t>
      </w:r>
      <w:r>
        <w:t xml:space="preserve"> </w:t>
      </w:r>
      <w:r>
        <w:t xml:space="preserve">period from</w:t>
      </w:r>
      <w:r>
        <w:t xml:space="preserve"> </w:t>
      </w:r>
      <w:r>
        <w:rPr>
          <w:b/>
          <w:bCs/>
        </w:rPr>
        <w:t xml:space="preserve">August 2020 to August 2023</w:t>
      </w:r>
      <w:r>
        <w:t xml:space="preserve"> </w:t>
      </w:r>
      <w:r>
        <w:t xml:space="preserve">(~3 years), during which he reportedly developed NLP pipelines, fine-tuned transformer models, and used TensorFlow/PyTorch/AWS SageMaker/LLM tooling.</w:t>
      </w:r>
      <w:r>
        <w:t xml:space="preserve"> </w:t>
      </w:r>
      <w:r>
        <w:rPr>
          <w:b/>
          <w:bCs/>
        </w:rPr>
        <w:t xml:space="preserve">No supporting documentation is included</w:t>
      </w:r>
      <w:r>
        <w:t xml:space="preserve"> </w:t>
      </w:r>
      <w:r>
        <w:t xml:space="preserve">— no client letters, no 1099s, no tax returns, no business registration, no statements of work.</w:t>
      </w:r>
    </w:p>
    <w:p>
      <w:pPr>
        <w:pStyle w:val="BodyText"/>
      </w:pPr>
      <w:r>
        <w:t xml:space="preserve">This period is load-bearing for the petition: it supplies a substantial portion of the</w:t>
      </w:r>
      <w:r>
        <w:t xml:space="preserve"> </w:t>
      </w:r>
      <w:r>
        <w:t xml:space="preserve">“</w:t>
      </w:r>
      <w:r>
        <w:t xml:space="preserve">progressive experience</w:t>
      </w:r>
      <w:r>
        <w:t xml:space="preserve">”</w:t>
      </w:r>
      <w:r>
        <w:t xml:space="preserve"> </w:t>
      </w:r>
      <w:r>
        <w:t xml:space="preserve">used to meet both the primary 3-year requirement and the alternative 5-year requirement, and it is the principal documented-by-resume source of the specific deep-learning/cloud tool proficiency the position requires (Issue 6). USCIS generally does not credit self-employment or independent-consulting experience without corroboration, and self-employment experience is scrutinized more heavily than W-2 employment.</w:t>
      </w:r>
    </w:p>
    <w:p>
      <w:pPr>
        <w:pStyle w:val="BodyText"/>
      </w:pPr>
      <w:r>
        <w:rPr>
          <w:b/>
          <w:bCs/>
        </w:rPr>
        <w:t xml:space="preserve">Recommendation:</w:t>
      </w:r>
      <w:r>
        <w:t xml:space="preserve"> </w:t>
      </w:r>
      <w:r>
        <w:t xml:space="preserve">Obtain and submit corroborating evidence of the consulting period: client engagement letters or letters from client principals describing the work and tools used; IRS transcripts / 1099s / Schedule C filings; business registration or LLC formation documents; and a detailed statement from the Beneficiary describing the engagements, clients, and deliverables. If the period cannot be adequately documented, recompute the experience quantum without it and confirm the Beneficiary still meets the requirement (he likely does on documented ML experience alone — NovaStar ~3.25 yrs + Brightfield ~1.6 yrs ≈ 4.85 yrs, which is short of the 5-year alternative but exceeds the 3-year primary requirement, assuming the degree/field issue is resolved).</w:t>
      </w:r>
    </w:p>
    <w:bookmarkEnd w:id="41"/>
    <w:bookmarkStart w:id="42" w:name="X606d73ca0fef25bb35f93312ed45635c044b4cf"/>
    <w:p>
      <w:pPr>
        <w:pStyle w:val="Heading4"/>
      </w:pPr>
      <w:r>
        <w:t xml:space="preserve">Issue 12 — Ability-to-pay asserted but not documented (MEDIUM)</w:t>
      </w:r>
    </w:p>
    <w:p>
      <w:pPr>
        <w:pStyle w:val="FirstParagraph"/>
      </w:pPr>
      <w:r>
        <w:t xml:space="preserve">The Employer Support Letter (§§1, 5) asserts Brightfield generated</w:t>
      </w:r>
      <w:r>
        <w:t xml:space="preserve"> </w:t>
      </w:r>
      <w:r>
        <w:rPr>
          <w:b/>
          <w:bCs/>
        </w:rPr>
        <w:t xml:space="preserve">$41.2 million</w:t>
      </w:r>
      <w:r>
        <w:t xml:space="preserve"> </w:t>
      </w:r>
      <w:r>
        <w:t xml:space="preserve">in FY2023 revenue and employs</w:t>
      </w:r>
      <w:r>
        <w:t xml:space="preserve"> </w:t>
      </w:r>
      <w:r>
        <w:rPr>
          <w:b/>
          <w:bCs/>
        </w:rPr>
        <w:t xml:space="preserve">187</w:t>
      </w:r>
      <w:r>
        <w:t xml:space="preserve"> </w:t>
      </w:r>
      <w:r>
        <w:t xml:space="preserve">full-time employees, and</w:t>
      </w:r>
      <w:r>
        <w:t xml:space="preserve"> </w:t>
      </w:r>
      <w:r>
        <w:t xml:space="preserve">“</w:t>
      </w:r>
      <w:r>
        <w:t xml:space="preserve">has the financial capacity to pay the proffered wage.</w:t>
      </w:r>
      <w:r>
        <w:t xml:space="preserve">”</w:t>
      </w:r>
      <w:r>
        <w:t xml:space="preserve"> </w:t>
      </w:r>
      <w:r>
        <w:t xml:space="preserve">The LCA (§C) corroborates the revenue ($41,200,000) and employee count (187). However,</w:t>
      </w:r>
      <w:r>
        <w:t xml:space="preserve"> </w:t>
      </w:r>
      <w:r>
        <w:rPr>
          <w:b/>
          <w:bCs/>
        </w:rPr>
        <w:t xml:space="preserve">no financial documentation</w:t>
      </w:r>
      <w:r>
        <w:t xml:space="preserve"> </w:t>
      </w:r>
      <w:r>
        <w:t xml:space="preserve">is included — no federal corporate tax returns, no audited or internal financial statements, no payroll records, and no evidence of net income or current assets.</w:t>
      </w:r>
    </w:p>
    <w:p>
      <w:pPr>
        <w:pStyle w:val="BodyText"/>
      </w:pPr>
      <w:r>
        <w:t xml:space="preserve">For a cap-subject petition with a future October 1, 2025 start date, USCIS evaluates ability to pay the proffered wage from the priority date (or petition filing) forward. While a company of this size paying a single $128,000 salary is generally a straightforward ability-to-pay showing, USCIS typically expects supporting financial evidence rather than a bare assertion.</w:t>
      </w:r>
    </w:p>
    <w:p>
      <w:pPr>
        <w:pStyle w:val="BodyText"/>
      </w:pPr>
      <w:r>
        <w:rPr>
          <w:b/>
          <w:bCs/>
        </w:rPr>
        <w:t xml:space="preserve">Recommendation:</w:t>
      </w:r>
      <w:r>
        <w:t xml:space="preserve"> </w:t>
      </w:r>
      <w:r>
        <w:t xml:space="preserve">Include the Petitioner’s most recent federal corporate tax return (with all schedules) and, if available, financial statements and/or payroll records evidencing payment of comparable salaries. Given 187 employees and $41.2M revenue, the showing should be easy to make — but it must be made with documents, not assertions.</w:t>
      </w:r>
    </w:p>
    <w:bookmarkEnd w:id="42"/>
    <w:bookmarkStart w:id="43" w:name="X0efda37f4eab1181987b13bb6075bec1652c6a9"/>
    <w:p>
      <w:pPr>
        <w:pStyle w:val="Heading4"/>
      </w:pPr>
      <w:r>
        <w:t xml:space="preserve">Issue 13 — Beneficiary identity and current-status documents missing (MEDIUM)</w:t>
      </w:r>
    </w:p>
    <w:p>
      <w:pPr>
        <w:pStyle w:val="FirstParagraph"/>
      </w:pPr>
      <w:r>
        <w:t xml:space="preserve">The Employer Support Letter states the Beneficiary</w:t>
      </w:r>
      <w:r>
        <w:t xml:space="preserve"> </w:t>
      </w:r>
      <w:r>
        <w:t xml:space="preserve">“</w:t>
      </w:r>
      <w:r>
        <w:t xml:space="preserve">is currently maintaining valid</w:t>
      </w:r>
      <w:r>
        <w:t xml:space="preserve"> </w:t>
      </w:r>
      <w:r>
        <w:rPr>
          <w:b/>
          <w:bCs/>
        </w:rPr>
        <w:t xml:space="preserve">F-1 Optional Practical Training (OPT)</w:t>
      </w:r>
      <w:r>
        <w:t xml:space="preserve"> </w:t>
      </w:r>
      <w:r>
        <w:t xml:space="preserve">status and will transition to H-1B nonimmigrant status effective October 1, 2025.</w:t>
      </w:r>
      <w:r>
        <w:t xml:space="preserve">”</w:t>
      </w:r>
      <w:r>
        <w:t xml:space="preserve"> </w:t>
      </w:r>
      <w:r>
        <w:t xml:space="preserve">The package contains</w:t>
      </w:r>
      <w:r>
        <w:t xml:space="preserve"> </w:t>
      </w:r>
      <w:r>
        <w:rPr>
          <w:b/>
          <w:bCs/>
        </w:rPr>
        <w:t xml:space="preserve">no evidence of identity or current status</w:t>
      </w:r>
      <w:r>
        <w:t xml:space="preserve">: no passport copy, no Form I-94, no F-1 visa, no current I-20, and no EAD (Employment Authorization Document). Without these, the Beneficiary’s identity, lawful status, and OPT validity (including any cap-gap coverage between OPT expiration and October 1) cannot be verified.</w:t>
      </w:r>
    </w:p>
    <w:p>
      <w:pPr>
        <w:pStyle w:val="BodyText"/>
      </w:pPr>
      <w:r>
        <w:rPr>
          <w:b/>
          <w:bCs/>
        </w:rPr>
        <w:t xml:space="preserve">Recommendation:</w:t>
      </w:r>
      <w:r>
        <w:t xml:space="preserve"> </w:t>
      </w:r>
      <w:r>
        <w:t xml:space="preserve">Include copies of the Beneficiary’s passport biographic page, most recent visa, Form I-94, current I-20 (with OPT endorsement and travel signature), and EAD card (both sides). Confirm OPT validity dates and cap-gap eligibility; if OPT expires before October 1, 2025, ensure cap-gap extension formalities are addressed.</w:t>
      </w:r>
    </w:p>
    <w:bookmarkEnd w:id="43"/>
    <w:bookmarkStart w:id="44" w:name="X8b53ca02639aca79fea993ecb6ee4c49acf16a6"/>
    <w:p>
      <w:pPr>
        <w:pStyle w:val="Heading4"/>
      </w:pPr>
      <w:r>
        <w:t xml:space="preserve">Issue 15 — B.Tech degree certificate not included as a standalone document (LOW)</w:t>
      </w:r>
    </w:p>
    <w:p>
      <w:pPr>
        <w:pStyle w:val="FirstParagraph"/>
      </w:pPr>
      <w:r>
        <w:t xml:space="preserve">The Credential Evaluation (§2) states it reviewed the</w:t>
      </w:r>
      <w:r>
        <w:t xml:space="preserve"> </w:t>
      </w:r>
      <w:r>
        <w:t xml:space="preserve">“</w:t>
      </w:r>
      <w:r>
        <w:t xml:space="preserve">Original B.Tech degree certificate (Diploma)</w:t>
      </w:r>
      <w:r>
        <w:t xml:space="preserve">”</w:t>
      </w:r>
      <w:r>
        <w:t xml:space="preserve"> </w:t>
      </w:r>
      <w:r>
        <w:t xml:space="preserve">and</w:t>
      </w:r>
      <w:r>
        <w:t xml:space="preserve"> </w:t>
      </w:r>
      <w:r>
        <w:t xml:space="preserve">“</w:t>
      </w:r>
      <w:r>
        <w:t xml:space="preserve">Official academic transcripts.</w:t>
      </w:r>
      <w:r>
        <w:t xml:space="preserve">”</w:t>
      </w:r>
      <w:r>
        <w:t xml:space="preserve"> </w:t>
      </w:r>
      <w:r>
        <w:t xml:space="preserve">The transcript is in the package; the</w:t>
      </w:r>
      <w:r>
        <w:t xml:space="preserve"> </w:t>
      </w:r>
      <w:r>
        <w:rPr>
          <w:b/>
          <w:bCs/>
        </w:rPr>
        <w:t xml:space="preserve">degree certificate itself is not</w:t>
      </w:r>
      <w:r>
        <w:t xml:space="preserve">. USCIS expects the actual degree certificate (with the JNTU registrar’s seal and signature) in addition to the transcript and evaluation.</w:t>
      </w:r>
    </w:p>
    <w:p>
      <w:pPr>
        <w:pStyle w:val="BodyText"/>
      </w:pPr>
      <w:r>
        <w:rPr>
          <w:b/>
          <w:bCs/>
        </w:rPr>
        <w:t xml:space="preserve">Recommendation:</w:t>
      </w:r>
      <w:r>
        <w:t xml:space="preserve"> </w:t>
      </w:r>
      <w:r>
        <w:t xml:space="preserve">Include a clear copy of the B.Tech degree certificate.</w:t>
      </w:r>
    </w:p>
    <w:bookmarkEnd w:id="44"/>
    <w:bookmarkStart w:id="45" w:name="X7c50ca3a278cfde404825263d55d0854e667559"/>
    <w:p>
      <w:pPr>
        <w:pStyle w:val="Heading4"/>
      </w:pPr>
      <w:r>
        <w:t xml:space="preserve">Issue 16 — Form I-129 not present in the reviewed package (LOW)</w:t>
      </w:r>
    </w:p>
    <w:p>
      <w:pPr>
        <w:pStyle w:val="FirstParagraph"/>
      </w:pPr>
      <w:r>
        <w:t xml:space="preserve">The petition form itself (Form I-129 and the H Classification Supplement) is not among the reviewed documents. This may simply reflect that this review covered the supporting evidentiary package, but it is noted for completeness so that the form is confirmed present, signed, and consistent with the support letter (petitioner name/FEIN, beneficiary DOB, SOC code, wage, worksite, period of employment) before filing.</w:t>
      </w:r>
    </w:p>
    <w:p>
      <w:pPr>
        <w:pStyle w:val="BodyText"/>
      </w:pPr>
      <w:r>
        <w:rPr>
          <w:b/>
          <w:bCs/>
        </w:rPr>
        <w:t xml:space="preserve">Recommendation:</w:t>
      </w:r>
      <w:r>
        <w:t xml:space="preserve"> </w:t>
      </w:r>
      <w:r>
        <w:t xml:space="preserve">Confirm Form I-129 is completed, signed, and cross-checked against the support letter and LCA for consistency on all data fields.</w:t>
      </w:r>
    </w:p>
    <w:bookmarkEnd w:id="45"/>
    <w:bookmarkEnd w:id="46"/>
    <w:bookmarkStart w:id="49" w:name="credential-evaluation-concerns"/>
    <w:p>
      <w:pPr>
        <w:pStyle w:val="Heading3"/>
      </w:pPr>
      <w:r>
        <w:t xml:space="preserve">3.5 Credential-Evaluation Concerns</w:t>
      </w:r>
    </w:p>
    <w:bookmarkStart w:id="47" w:name="Xc342d2f20936ff7cfc72ddfb057bdf06e37d3b8"/>
    <w:p>
      <w:pPr>
        <w:pStyle w:val="Heading4"/>
      </w:pPr>
      <w:r>
        <w:t xml:space="preserve">Issue 4 — Credential evaluator’s Ph.D. from</w:t>
      </w:r>
      <w:r>
        <w:t xml:space="preserve"> </w:t>
      </w:r>
      <w:r>
        <w:t xml:space="preserve">“</w:t>
      </w:r>
      <w:r>
        <w:t xml:space="preserve">Halford University</w:t>
      </w:r>
      <w:r>
        <w:t xml:space="preserve">”</w:t>
      </w:r>
      <w:r>
        <w:t xml:space="preserve"> </w:t>
      </w:r>
      <w:r>
        <w:t xml:space="preserve">(unaccredited) (HIGH)</w:t>
      </w:r>
    </w:p>
    <w:p>
      <w:pPr>
        <w:pStyle w:val="FirstParagraph"/>
      </w:pPr>
      <w:r>
        <w:t xml:space="preserve">The Credential Evaluation is signed by</w:t>
      </w:r>
      <w:r>
        <w:t xml:space="preserve"> </w:t>
      </w:r>
      <w:r>
        <w:rPr>
          <w:b/>
          <w:bCs/>
        </w:rPr>
        <w:t xml:space="preserve">Dr. Linda Farnsworth, Ph.D., Senior Credential Analyst</w:t>
      </w:r>
      <w:r>
        <w:t xml:space="preserve">, whose credential line reads</w:t>
      </w:r>
      <w:r>
        <w:t xml:space="preserve"> </w:t>
      </w:r>
      <w:r>
        <w:t xml:space="preserve">“</w:t>
      </w:r>
      <w:r>
        <w:rPr>
          <w:b/>
          <w:bCs/>
        </w:rPr>
        <w:t xml:space="preserve">Ph.D., Education — Halford University</w:t>
      </w:r>
      <w:r>
        <w:t xml:space="preserve">.</w:t>
      </w:r>
      <w:r>
        <w:t xml:space="preserve">”</w:t>
      </w:r>
      <w:r>
        <w:t xml:space="preserve"> </w:t>
      </w:r>
      <w:r>
        <w:t xml:space="preserve">Halford University is not a recognized, regionally or nationally accredited institution in the United States and is widely identified as an unaccredited</w:t>
      </w:r>
      <w:r>
        <w:t xml:space="preserve"> </w:t>
      </w:r>
      <w:r>
        <w:t xml:space="preserve">“</w:t>
      </w:r>
      <w:r>
        <w:t xml:space="preserve">diploma-mill</w:t>
      </w:r>
      <w:r>
        <w:t xml:space="preserve">”</w:t>
      </w:r>
      <w:r>
        <w:t xml:space="preserve">-type entity. An evaluator whose own terminal credential is from an unaccredited institution is vulnerable to challenge on the credibility and weight of the opinion — particularly in a petition where the evaluation is doing heavy lifting on the field-of-study question (Issue 2).</w:t>
      </w:r>
    </w:p>
    <w:p>
      <w:pPr>
        <w:pStyle w:val="BodyText"/>
      </w:pPr>
      <w:r>
        <w:rPr>
          <w:b/>
          <w:bCs/>
        </w:rPr>
        <w:t xml:space="preserve">Recommendation:</w:t>
      </w:r>
      <w:r>
        <w:t xml:space="preserve"> </w:t>
      </w:r>
      <w:r>
        <w:t xml:space="preserve">Replace or supplement the evaluation with one prepared by an evaluator (or a qualified university professor) holding verifiable, accredited credentials. At minimum, be prepared to defend the evaluation’s weight; preferably, obtain a second evaluation or a detailed expert opinion from a credentialed academic (see Issue 2).</w:t>
      </w:r>
    </w:p>
    <w:bookmarkEnd w:id="47"/>
    <w:bookmarkStart w:id="48" w:name="X1098fc8d85e33680d242a4598139a81b792655c"/>
    <w:p>
      <w:pPr>
        <w:pStyle w:val="Heading4"/>
      </w:pPr>
      <w:r>
        <w:t xml:space="preserve">Issue 20 — Credit-hour total reflects theory credits only (LOW)</w:t>
      </w:r>
    </w:p>
    <w:p>
      <w:pPr>
        <w:pStyle w:val="FirstParagraph"/>
      </w:pPr>
      <w:r>
        <w:t xml:space="preserve">The Credential Evaluation (§4) describes the program as</w:t>
      </w:r>
      <w:r>
        <w:t xml:space="preserve"> </w:t>
      </w:r>
      <w:r>
        <w:t xml:space="preserve">“</w:t>
      </w:r>
      <w:r>
        <w:t xml:space="preserve">approximately</w:t>
      </w:r>
      <w:r>
        <w:t xml:space="preserve"> </w:t>
      </w:r>
      <w:r>
        <w:rPr>
          <w:b/>
          <w:bCs/>
        </w:rPr>
        <w:t xml:space="preserve">160 credit hours</w:t>
      </w:r>
      <w:r>
        <w:t xml:space="preserve"> </w:t>
      </w:r>
      <w:r>
        <w:t xml:space="preserve">across eight semesters.</w:t>
      </w:r>
      <w:r>
        <w:t xml:space="preserve">”</w:t>
      </w:r>
      <w:r>
        <w:t xml:space="preserve"> </w:t>
      </w:r>
      <w:r>
        <w:t xml:space="preserve">The JNTU transcript summary shows</w:t>
      </w:r>
      <w:r>
        <w:t xml:space="preserve"> </w:t>
      </w:r>
      <w:r>
        <w:rPr>
          <w:b/>
          <w:bCs/>
        </w:rPr>
        <w:t xml:space="preserve">184 total credits</w:t>
      </w:r>
      <w:r>
        <w:t xml:space="preserve"> </w:t>
      </w:r>
      <w:r>
        <w:t xml:space="preserve">(including laboratory credits) and</w:t>
      </w:r>
      <w:r>
        <w:t xml:space="preserve"> </w:t>
      </w:r>
      <w:r>
        <w:t xml:space="preserve">“</w:t>
      </w:r>
      <w:r>
        <w:t xml:space="preserve">Total Theory Credit Hours: 160 (approximately).</w:t>
      </w:r>
      <w:r>
        <w:t xml:space="preserve">”</w:t>
      </w:r>
      <w:r>
        <w:t xml:space="preserve"> </w:t>
      </w:r>
      <w:r>
        <w:t xml:space="preserve">The evaluation’s</w:t>
      </w:r>
      <w:r>
        <w:t xml:space="preserve"> </w:t>
      </w:r>
      <w:r>
        <w:t xml:space="preserve">“</w:t>
      </w:r>
      <w:r>
        <w:t xml:space="preserve">160</w:t>
      </w:r>
      <w:r>
        <w:t xml:space="preserve">”</w:t>
      </w:r>
      <w:r>
        <w:t xml:space="preserve"> </w:t>
      </w:r>
      <w:r>
        <w:t xml:space="preserve">thus reflects the theory load only and omits the ~24 laboratory credits. This is a minor characterization difference and does not affect the degree-level equivalency conclusion, but it should be noted so the figures are not misstated in the employer letter or petition form.</w:t>
      </w:r>
    </w:p>
    <w:p>
      <w:pPr>
        <w:pStyle w:val="BodyText"/>
      </w:pPr>
      <w:r>
        <w:rPr>
          <w:b/>
          <w:bCs/>
        </w:rPr>
        <w:t xml:space="preserve">Recommendation:</w:t>
      </w:r>
      <w:r>
        <w:t xml:space="preserve"> </w:t>
      </w:r>
      <w:r>
        <w:t xml:space="preserve">If credit hours are cited in the petition, use the transcript’s figures (184 total / ~160 theory) accurately and consistently.</w:t>
      </w:r>
    </w:p>
    <w:p>
      <w:r>
        <w:pict>
          <v:rect style="width:0;height:1.5pt" o:hralign="center" o:hrstd="t" o:hr="t"/>
        </w:pict>
      </w:r>
    </w:p>
    <w:bookmarkEnd w:id="48"/>
    <w:bookmarkEnd w:id="49"/>
    <w:bookmarkEnd w:id="50"/>
    <w:bookmarkStart w:id="51" w:name="X8502bb26fb65913ecd0f9ee08a1fe8c98e17827"/>
    <w:p>
      <w:pPr>
        <w:pStyle w:val="Heading2"/>
      </w:pPr>
      <w:r>
        <w:t xml:space="preserve">4. Items That Cross-Reference Correctly (No Action Required)</w:t>
      </w:r>
    </w:p>
    <w:p>
      <w:pPr>
        <w:pStyle w:val="FirstParagraph"/>
      </w:pPr>
      <w:r>
        <w:t xml:space="preserve">For completeness, the following core elements are consistent across all documents and require no correction:</w:t>
      </w:r>
    </w:p>
    <w:p>
      <w:pPr>
        <w:pStyle w:val="Compact"/>
        <w:numPr>
          <w:ilvl w:val="0"/>
          <w:numId w:val="1005"/>
        </w:numPr>
      </w:pPr>
      <w:r>
        <w:rPr>
          <w:b/>
          <w:bCs/>
        </w:rPr>
        <w:t xml:space="preserve">Petitioner identity, FEIN, NAICS, address, employee count, revenue, and year founded</w:t>
      </w:r>
      <w:r>
        <w:t xml:space="preserve"> </w:t>
      </w:r>
      <w:r>
        <w:t xml:space="preserve">— consistent across the LCA, Employer Support Letter, PWD, Posting Notice, and Org Chart.</w:t>
      </w:r>
    </w:p>
    <w:p>
      <w:pPr>
        <w:pStyle w:val="Compact"/>
        <w:numPr>
          <w:ilvl w:val="0"/>
          <w:numId w:val="1005"/>
        </w:numPr>
      </w:pPr>
      <w:r>
        <w:rPr>
          <w:b/>
          <w:bCs/>
        </w:rPr>
        <w:t xml:space="preserve">Beneficiary name and date of birth</w:t>
      </w:r>
      <w:r>
        <w:t xml:space="preserve"> </w:t>
      </w:r>
      <w:r>
        <w:t xml:space="preserve">(Rajesh Venkataraman; March 14, 1992) — consistent across the resume, Employer Support Letter, Credential Evaluation, and JNTU Transcript.</w:t>
      </w:r>
    </w:p>
    <w:p>
      <w:pPr>
        <w:pStyle w:val="Compact"/>
        <w:numPr>
          <w:ilvl w:val="0"/>
          <w:numId w:val="1005"/>
        </w:numPr>
      </w:pPr>
      <w:r>
        <w:rPr>
          <w:b/>
          <w:bCs/>
        </w:rPr>
        <w:t xml:space="preserve">Position title, SOC code (15-2051), worksite address, employment period (Oct. 1, 2025 – Sept. 30, 2028), and offered wage ($128,000)</w:t>
      </w:r>
      <w:r>
        <w:t xml:space="preserve"> </w:t>
      </w:r>
      <w:r>
        <w:t xml:space="preserve">— consistent across the LCA, Employer Support Letter, PWD, Posting Notice, and Org Chart.</w:t>
      </w:r>
    </w:p>
    <w:p>
      <w:pPr>
        <w:pStyle w:val="Compact"/>
        <w:numPr>
          <w:ilvl w:val="0"/>
          <w:numId w:val="1005"/>
        </w:numPr>
      </w:pPr>
      <w:r>
        <w:rPr>
          <w:b/>
          <w:bCs/>
        </w:rPr>
        <w:t xml:space="preserve">Prevailing wage figure ($113,734), wage level (Level 2), PWD case number (P-300-25012-183456), and PWD validity (Jan. 15, 2025 – Jan. 14, 2026)</w:t>
      </w:r>
      <w:r>
        <w:t xml:space="preserve"> </w:t>
      </w:r>
      <w:r>
        <w:t xml:space="preserve">— consistent across the LCA, Employer Support Letter, PWD, and Posting Notice. The LCA was certified (Mar. 10, 2025) within the PWD validity period and within 180 days of filing.</w:t>
      </w:r>
    </w:p>
    <w:p>
      <w:pPr>
        <w:pStyle w:val="Compact"/>
        <w:numPr>
          <w:ilvl w:val="0"/>
          <w:numId w:val="1005"/>
        </w:numPr>
      </w:pPr>
      <w:r>
        <w:rPr>
          <w:b/>
          <w:bCs/>
        </w:rPr>
        <w:t xml:space="preserve">Attorney of record</w:t>
      </w:r>
      <w:r>
        <w:t xml:space="preserve"> </w:t>
      </w:r>
      <w:r>
        <w:t xml:space="preserve">(Daniel Okafor, Holloway Sterne LLP) — consistent across the LCA, Employer Support Letter, PWD, and Credential Evaluation.</w:t>
      </w:r>
    </w:p>
    <w:p>
      <w:pPr>
        <w:pStyle w:val="Compact"/>
        <w:numPr>
          <w:ilvl w:val="0"/>
          <w:numId w:val="1005"/>
        </w:numPr>
      </w:pPr>
      <w:r>
        <w:rPr>
          <w:b/>
          <w:bCs/>
        </w:rPr>
        <w:t xml:space="preserve">Degree, institution, and dates</w:t>
      </w:r>
      <w:r>
        <w:t xml:space="preserve"> </w:t>
      </w:r>
      <w:r>
        <w:t xml:space="preserve">(B.Tech, ECE, JNTU Hyderabad, Aug. 2010 – May 2014) — consistent across the resume, Employer Support Letter, Credential Evaluation, and JNTU Transcript.</w:t>
      </w:r>
    </w:p>
    <w:p>
      <w:r>
        <w:pict>
          <v:rect style="width:0;height:1.5pt" o:hralign="center" o:hrstd="t" o:hr="t"/>
        </w:pict>
      </w:r>
    </w:p>
    <w:bookmarkEnd w:id="51"/>
    <w:bookmarkStart w:id="52" w:name="X4b9e86759b821f4946adf34b4445c36bfac4700"/>
    <w:p>
      <w:pPr>
        <w:pStyle w:val="Heading2"/>
      </w:pPr>
      <w:r>
        <w:t xml:space="preserve">5. Recommended Action Items (Pre-Filing Checklist)</w:t>
      </w:r>
    </w:p>
    <w:p>
      <w:pPr>
        <w:pStyle w:val="FirstParagraph"/>
      </w:pPr>
      <w:r>
        <w:rPr>
          <w:b/>
          <w:bCs/>
        </w:rPr>
        <w:t xml:space="preserve">High priority (resolve before filing):</w:t>
      </w:r>
    </w:p>
    <w:p>
      <w:pPr>
        <w:pStyle w:val="Compact"/>
        <w:numPr>
          <w:ilvl w:val="0"/>
          <w:numId w:val="1006"/>
        </w:numPr>
      </w:pPr>
      <w:r>
        <w:rPr>
          <w:b/>
          <w:bCs/>
        </w:rPr>
        <w:t xml:space="preserve">Wage level (Issue 1):</w:t>
      </w:r>
      <w:r>
        <w:t xml:space="preserve"> </w:t>
      </w:r>
      <w:r>
        <w:t xml:space="preserve">Decide between (a) correcting to Level 3 and raising the offered wage to ≥ $137,946 with a new PWD/LCA, or (b) re-characterizing the position as genuinely Level 2 (removing supervisory/independent-judgment/</w:t>
      </w:r>
      <w:r>
        <w:t xml:space="preserve">“</w:t>
      </w:r>
      <w:r>
        <w:t xml:space="preserve">senior</w:t>
      </w:r>
      <w:r>
        <w:t xml:space="preserve">”</w:t>
      </w:r>
      <w:r>
        <w:t xml:space="preserve"> </w:t>
      </w:r>
      <w:r>
        <w:t xml:space="preserve">framing) — and reconcile that choice with the specialty-occupation strategy.</w:t>
      </w:r>
    </w:p>
    <w:p>
      <w:pPr>
        <w:pStyle w:val="Compact"/>
        <w:numPr>
          <w:ilvl w:val="0"/>
          <w:numId w:val="1006"/>
        </w:numPr>
      </w:pPr>
      <w:r>
        <w:rPr>
          <w:b/>
          <w:bCs/>
        </w:rPr>
        <w:t xml:space="preserve">Field of study (Issue 2):</w:t>
      </w:r>
      <w:r>
        <w:t xml:space="preserve"> </w:t>
      </w:r>
      <w:r>
        <w:t xml:space="preserve">Obtain a supplemental expert opinion / revised evaluation mapping ECE coursework to ML foundations; strengthen the employer letter’s related-field analysis.</w:t>
      </w:r>
    </w:p>
    <w:p>
      <w:pPr>
        <w:pStyle w:val="Compact"/>
        <w:numPr>
          <w:ilvl w:val="0"/>
          <w:numId w:val="1006"/>
        </w:numPr>
      </w:pPr>
      <w:r>
        <w:rPr>
          <w:b/>
          <w:bCs/>
        </w:rPr>
        <w:t xml:space="preserve">Consulting-period documentation (Issue 3):</w:t>
      </w:r>
      <w:r>
        <w:t xml:space="preserve"> </w:t>
      </w:r>
      <w:r>
        <w:t xml:space="preserve">Collect client letters, 1099s/tax transcripts, and a detailed Beneficiary statement; recompute the experience quantum with and without this period.</w:t>
      </w:r>
    </w:p>
    <w:p>
      <w:pPr>
        <w:pStyle w:val="Compact"/>
        <w:numPr>
          <w:ilvl w:val="0"/>
          <w:numId w:val="1006"/>
        </w:numPr>
      </w:pPr>
      <w:r>
        <w:rPr>
          <w:b/>
          <w:bCs/>
        </w:rPr>
        <w:t xml:space="preserve">Evaluator credentials (Issue 4):</w:t>
      </w:r>
      <w:r>
        <w:t xml:space="preserve"> </w:t>
      </w:r>
      <w:r>
        <w:t xml:space="preserve">Replace or supplement the Westbridge evaluation with one from an evaluator holding verifiable accredited credentials.</w:t>
      </w:r>
    </w:p>
    <w:p>
      <w:pPr>
        <w:pStyle w:val="Compact"/>
        <w:numPr>
          <w:ilvl w:val="0"/>
          <w:numId w:val="1006"/>
        </w:numPr>
      </w:pPr>
      <w:r>
        <w:rPr>
          <w:b/>
          <w:bCs/>
        </w:rPr>
        <w:t xml:space="preserve">LCA posting (Issues 5, 14, 22):</w:t>
      </w:r>
      <w:r>
        <w:t xml:space="preserve"> </w:t>
      </w:r>
      <w:r>
        <w:t xml:space="preserve">Re-post for a full 10 business days in two documented conspicuous locations; correct the employer contact phone number on the posting notice; retain dated evidence in the Public Access File.</w:t>
      </w:r>
    </w:p>
    <w:p>
      <w:pPr>
        <w:pStyle w:val="FirstParagraph"/>
      </w:pPr>
      <w:r>
        <w:rPr>
          <w:b/>
          <w:bCs/>
        </w:rPr>
        <w:t xml:space="preserve">Medium priority:</w:t>
      </w:r>
    </w:p>
    <w:p>
      <w:pPr>
        <w:pStyle w:val="Compact"/>
        <w:numPr>
          <w:ilvl w:val="0"/>
          <w:numId w:val="1007"/>
        </w:numPr>
      </w:pPr>
      <w:r>
        <w:t xml:space="preserve">Corroborate the specific required tools (TensorFlow/PyTorch/AWS/NLP/LLM) with a current-supervisor letter and consulting-period evidence (Issue 6).</w:t>
      </w:r>
    </w:p>
    <w:p>
      <w:pPr>
        <w:pStyle w:val="Compact"/>
        <w:numPr>
          <w:ilvl w:val="0"/>
          <w:numId w:val="1007"/>
        </w:numPr>
      </w:pPr>
      <w:r>
        <w:t xml:space="preserve">Narrow/contextualize the</w:t>
      </w:r>
      <w:r>
        <w:t xml:space="preserve"> </w:t>
      </w:r>
      <w:r>
        <w:t xml:space="preserve">“</w:t>
      </w:r>
      <w:r>
        <w:t xml:space="preserve">any engineering degree</w:t>
      </w:r>
      <w:r>
        <w:t xml:space="preserve">”</w:t>
      </w:r>
      <w:r>
        <w:t xml:space="preserve"> </w:t>
      </w:r>
      <w:r>
        <w:t xml:space="preserve">alternative (Issue 7).</w:t>
      </w:r>
    </w:p>
    <w:p>
      <w:pPr>
        <w:pStyle w:val="Compact"/>
        <w:numPr>
          <w:ilvl w:val="0"/>
          <w:numId w:val="1007"/>
        </w:numPr>
      </w:pPr>
      <w:r>
        <w:t xml:space="preserve">Standardize the employer telephone number across all documents (Issue 8).</w:t>
      </w:r>
    </w:p>
    <w:p>
      <w:pPr>
        <w:pStyle w:val="Compact"/>
        <w:numPr>
          <w:ilvl w:val="0"/>
          <w:numId w:val="1007"/>
        </w:numPr>
      </w:pPr>
      <w:r>
        <w:t xml:space="preserve">Correct the resume’s Kiran and NovaStar end dates to match the experience letters; prepare to address the Dec. 2016–Apr. 2017 gap (Issues 9, 10).</w:t>
      </w:r>
    </w:p>
    <w:p>
      <w:pPr>
        <w:pStyle w:val="Compact"/>
        <w:numPr>
          <w:ilvl w:val="0"/>
          <w:numId w:val="1007"/>
        </w:numPr>
      </w:pPr>
      <w:r>
        <w:t xml:space="preserve">Reconcile the team size (3 vs. 2) between the employer letter and org chart (Issue 11).</w:t>
      </w:r>
    </w:p>
    <w:p>
      <w:pPr>
        <w:pStyle w:val="Compact"/>
        <w:numPr>
          <w:ilvl w:val="0"/>
          <w:numId w:val="1007"/>
        </w:numPr>
      </w:pPr>
      <w:r>
        <w:t xml:space="preserve">Add ability-to-pay financial documentation (tax return / financials / payroll) (Issue 12).</w:t>
      </w:r>
    </w:p>
    <w:p>
      <w:pPr>
        <w:pStyle w:val="Compact"/>
        <w:numPr>
          <w:ilvl w:val="0"/>
          <w:numId w:val="1007"/>
        </w:numPr>
      </w:pPr>
      <w:r>
        <w:t xml:space="preserve">Add beneficiary identity and status evidence (passport, I-94, I-20, EAD); verify OPT/cap-gap (Issue 13).</w:t>
      </w:r>
    </w:p>
    <w:p>
      <w:pPr>
        <w:pStyle w:val="FirstParagraph"/>
      </w:pPr>
      <w:r>
        <w:rPr>
          <w:b/>
          <w:bCs/>
        </w:rPr>
        <w:t xml:space="preserve">Low priority:</w:t>
      </w:r>
    </w:p>
    <w:p>
      <w:pPr>
        <w:pStyle w:val="Compact"/>
        <w:numPr>
          <w:ilvl w:val="0"/>
          <w:numId w:val="1008"/>
        </w:numPr>
      </w:pPr>
      <w:r>
        <w:t xml:space="preserve">Include the B.Tech degree certificate (Issue 15).</w:t>
      </w:r>
    </w:p>
    <w:p>
      <w:pPr>
        <w:pStyle w:val="Compact"/>
        <w:numPr>
          <w:ilvl w:val="0"/>
          <w:numId w:val="1008"/>
        </w:numPr>
      </w:pPr>
      <w:r>
        <w:t xml:space="preserve">Confirm Form I-129 is present and data-consistent with the support letter and LCA (Issue 16).</w:t>
      </w:r>
    </w:p>
    <w:p>
      <w:pPr>
        <w:pStyle w:val="Compact"/>
        <w:numPr>
          <w:ilvl w:val="0"/>
          <w:numId w:val="1008"/>
        </w:numPr>
      </w:pPr>
      <w:r>
        <w:t xml:space="preserve">Reconcile the years-of-experience figure (Issue 17).</w:t>
      </w:r>
    </w:p>
    <w:p>
      <w:pPr>
        <w:pStyle w:val="Compact"/>
        <w:numPr>
          <w:ilvl w:val="0"/>
          <w:numId w:val="1008"/>
        </w:numPr>
      </w:pPr>
      <w:r>
        <w:t xml:space="preserve">Reconcile org-chart structure and current-vs-petitioned role framing (Issues 18, 19).</w:t>
      </w:r>
    </w:p>
    <w:p>
      <w:pPr>
        <w:pStyle w:val="Compact"/>
        <w:numPr>
          <w:ilvl w:val="0"/>
          <w:numId w:val="1008"/>
        </w:numPr>
      </w:pPr>
      <w:r>
        <w:t xml:space="preserve">Use transcript credit-hour figures accurately (Issue 20); cite the PWD internal inconsistency if seeking redetermination (Issue 21).</w:t>
      </w:r>
    </w:p>
    <w:p>
      <w:r>
        <w:pict>
          <v:rect style="width:0;height:1.5pt" o:hralign="center" o:hrstd="t" o:hr="t"/>
        </w:pict>
      </w:r>
    </w:p>
    <w:bookmarkEnd w:id="52"/>
    <w:bookmarkStart w:id="53" w:name="conclusion"/>
    <w:p>
      <w:pPr>
        <w:pStyle w:val="Heading2"/>
      </w:pPr>
      <w:r>
        <w:t xml:space="preserve">6. Conclusion</w:t>
      </w:r>
    </w:p>
    <w:p>
      <w:pPr>
        <w:pStyle w:val="FirstParagraph"/>
      </w:pPr>
      <w:r>
        <w:t xml:space="preserve">The petition package is substantially complete and internally consistent on its core data elements, but it is</w:t>
      </w:r>
      <w:r>
        <w:t xml:space="preserve"> </w:t>
      </w:r>
      <w:r>
        <w:rPr>
          <w:b/>
          <w:bCs/>
        </w:rPr>
        <w:t xml:space="preserve">not yet filing-ready</w:t>
      </w:r>
      <w:r>
        <w:t xml:space="preserve">. The two issues that warrant the most immediate attention are (1) the</w:t>
      </w:r>
      <w:r>
        <w:t xml:space="preserve"> </w:t>
      </w:r>
      <w:r>
        <w:rPr>
          <w:b/>
          <w:bCs/>
        </w:rPr>
        <w:t xml:space="preserve">prevailing-wage-level / offered-wage mismatch</w:t>
      </w:r>
      <w:r>
        <w:t xml:space="preserve">, which creates a real LCA compliance exposure if the position is properly Level 3, and (2) the</w:t>
      </w:r>
      <w:r>
        <w:t xml:space="preserve"> </w:t>
      </w:r>
      <w:r>
        <w:rPr>
          <w:b/>
          <w:bCs/>
        </w:rPr>
        <w:t xml:space="preserve">field-of-study and experience-documentation gaps</w:t>
      </w:r>
      <w:r>
        <w:t xml:space="preserve"> </w:t>
      </w:r>
      <w:r>
        <w:t xml:space="preserve">that underpin the Beneficiary’s qualification for a Senior Machine Learning Engineer specialty occupation. The credential-evaluator credibility concern (Issue 4) compounds the field-of-study risk and should be addressed in tandem. The data-integrity inconsistencies (telephone numbers, employment dates, team size) are individually minor but collectively create an impression of carelessness that an adjudicator may notice; they should be cleaned up before submission. With the High-priority items resolved and the Medium-priority documentation supplemented, the petition should be supportable.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2026-06-29T00:27:37Z</dcterms:created>
  <dcterms:modified xsi:type="dcterms:W3CDTF">2026-06-29T00:27:37Z</dcterms:modified>
</cp:coreProperties>
</file>

<file path=docProps/custom.xml><?xml version="1.0" encoding="utf-8"?>
<Properties xmlns="http://schemas.openxmlformats.org/officeDocument/2006/custom-properties" xmlns:vt="http://schemas.openxmlformats.org/officeDocument/2006/docPropsVTypes"/>
</file>