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66" w:name="key-terms-extraction-memorandum"/>
    <w:p>
      <w:pPr>
        <w:pStyle w:val="Heading1"/>
      </w:pPr>
      <w:r>
        <w:t xml:space="preserve">KEY-TERMS EXTRACTION MEMORANDUM</w:t>
      </w:r>
    </w:p>
    <w:p>
      <w:pPr>
        <w:pStyle w:val="FirstParagraph"/>
      </w:pPr>
      <w:r>
        <w:rPr>
          <w:b/>
          <w:bCs/>
        </w:rPr>
        <w:t xml:space="preserve">To:</w:t>
      </w:r>
      <w:r>
        <w:t xml:space="preserve"> </w:t>
      </w:r>
      <w:r>
        <w:t xml:space="preserve">Board of Directors, Whitmore Analytics Inc.</w:t>
      </w:r>
    </w:p>
    <w:p>
      <w:pPr>
        <w:pStyle w:val="BodyText"/>
      </w:pPr>
      <w:r>
        <w:rPr>
          <w:b/>
          <w:bCs/>
        </w:rPr>
        <w:t xml:space="preserve">From:</w:t>
      </w:r>
      <w:r>
        <w:t xml:space="preserve"> </w:t>
      </w:r>
      <w:r>
        <w:t xml:space="preserve">Ferndale Hale &amp; Seward LLP — Daniel Cortez, Partner; Priya Venkatesh, Partner</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Proposed PredictIQ Technology License — Kessler-Brandt Industrial GmbH (</w:t>
      </w:r>
      <w:r>
        <w:t xml:space="preserve">“</w:t>
      </w:r>
      <w:r>
        <w:t xml:space="preserve">KBI</w:t>
      </w:r>
      <w:r>
        <w:t xml:space="preserve">”</w:t>
      </w:r>
      <w:r>
        <w:t xml:space="preserve">) — Key-Term Extraction, Risk Flags, and Negotiation Recommendations</w:t>
      </w:r>
    </w:p>
    <w:p>
      <w:pPr>
        <w:pStyle w:val="BodyText"/>
      </w:pPr>
      <w:r>
        <w:rPr>
          <w:b/>
          <w:bCs/>
        </w:rPr>
        <w:t xml:space="preserve">Source documents:</w:t>
      </w:r>
      <w:r>
        <w:t xml:space="preserve"> </w:t>
      </w:r>
      <w:r>
        <w:t xml:space="preserve">(i) Non-Binding Term Sheet — Technology License Agreement,</w:t>
      </w:r>
      <w:r>
        <w:t xml:space="preserve"> </w:t>
      </w:r>
      <w:r>
        <w:t xml:space="preserve">“</w:t>
      </w:r>
      <w:r>
        <w:t xml:space="preserve">PredictIQ Platform License and Related Services,</w:t>
      </w:r>
      <w:r>
        <w:t xml:space="preserve">”</w:t>
      </w:r>
      <w:r>
        <w:t xml:space="preserve"> </w:t>
      </w:r>
      <w:r>
        <w:t xml:space="preserve">dated May 29, 2025 (prepared by Bergström Hecht Rechtsanwälte for KBI); (ii) Side Letter re: Most-Favored-Customer Pricing Terms, dated May 29, 2025 (Annika Solberg, KBI); (iii) Whitmore internal email thread of June 3, 2025 (T. Kendrick / S. Yin / R. Malhotra).</w:t>
      </w:r>
    </w:p>
    <w:p>
      <w:pPr>
        <w:pStyle w:val="BodyText"/>
      </w:pPr>
      <w:r>
        <w:rPr>
          <w:b/>
          <w:bCs/>
        </w:rPr>
        <w:t xml:space="preserve">Prepared for:</w:t>
      </w:r>
      <w:r>
        <w:t xml:space="preserve"> </w:t>
      </w:r>
      <w:r>
        <w:t xml:space="preserve">Whitmore Analytics Inc. Board of Directors — June 18, 2025 meeting</w:t>
      </w:r>
    </w:p>
    <w:p>
      <w:r>
        <w:pict>
          <v:rect style="width:0;height:1.5pt" o:hralign="center" o:hrstd="t" o:hr="t"/>
        </w:pict>
      </w:r>
    </w:p>
    <w:bookmarkStart w:id="21" w:name="i.-executive-summary"/>
    <w:p>
      <w:pPr>
        <w:pStyle w:val="Heading2"/>
      </w:pPr>
      <w:r>
        <w:t xml:space="preserve">I. Executive Summary</w:t>
      </w:r>
    </w:p>
    <w:p>
      <w:pPr>
        <w:pStyle w:val="FirstParagraph"/>
      </w:pPr>
      <w:r>
        <w:rPr>
          <w:b/>
          <w:bCs/>
        </w:rPr>
        <w:t xml:space="preserve">The opportunity.</w:t>
      </w:r>
      <w:r>
        <w:t xml:space="preserve"> </w:t>
      </w:r>
      <w:r>
        <w:t xml:space="preserve">KBI — a €8.2B German industrial conglomerate operating 43 manufacturing facilities across 12 European countries — proposes to license Whitmore’s PredictIQ platform as the predictive-maintenance backbone of its</w:t>
      </w:r>
      <w:r>
        <w:t xml:space="preserve"> </w:t>
      </w:r>
      <w:r>
        <w:t xml:space="preserve">“</w:t>
      </w:r>
      <w:r>
        <w:t xml:space="preserve">SmartFactory 2030</w:t>
      </w:r>
      <w:r>
        <w:t xml:space="preserve">”</w:t>
      </w:r>
      <w:r>
        <w:t xml:space="preserve"> </w:t>
      </w:r>
      <w:r>
        <w:t xml:space="preserve">initiative (target: 40% reduction in unplanned downtime). The term sheet contemplates a perpetual, non-exclusive license plus a recurring SaaS subscription, on-premises edge deployment, and a paid 18-month implementation across all 43 sites.</w:t>
      </w:r>
    </w:p>
    <w:p>
      <w:pPr>
        <w:pStyle w:val="BodyText"/>
      </w:pPr>
      <w:r>
        <w:rPr>
          <w:b/>
          <w:bCs/>
        </w:rPr>
        <w:t xml:space="preserve">Economics.</w:t>
      </w:r>
      <w:r>
        <w:t xml:space="preserve"> </w:t>
      </w:r>
      <w:r>
        <w:t xml:space="preserve">First-year committed revenue of approximately</w:t>
      </w:r>
      <w:r>
        <w:t xml:space="preserve"> </w:t>
      </w:r>
      <w:r>
        <w:rPr>
          <w:b/>
          <w:bCs/>
        </w:rPr>
        <w:t xml:space="preserve">$9.6 million</w:t>
      </w:r>
      <w:r>
        <w:t xml:space="preserve"> </w:t>
      </w:r>
      <w:r>
        <w:t xml:space="preserve">(license $4.2M + SaaS $2.85M + implementation $1.75M + maintenance $0.756M), equal to roughly</w:t>
      </w:r>
      <w:r>
        <w:t xml:space="preserve"> </w:t>
      </w:r>
      <w:r>
        <w:rPr>
          <w:b/>
          <w:bCs/>
        </w:rPr>
        <w:t xml:space="preserve">20% of Whitmore’s FY 2024 revenue ($47.3M)</w:t>
      </w:r>
      <w:r>
        <w:t xml:space="preserve">. The recurring SaaS component ($2.85M/yr) would be Whitmore’s largest SaaS contract by a factor of three. Approximate</w:t>
      </w:r>
      <w:r>
        <w:t xml:space="preserve"> </w:t>
      </w:r>
      <w:r>
        <w:rPr>
          <w:b/>
          <w:bCs/>
        </w:rPr>
        <w:t xml:space="preserve">five-year contracted value ≈ $24.5M</w:t>
      </w:r>
      <w:r>
        <w:t xml:space="preserve">, with perpetual-license and recurring-revenue tail beyond Year 5. This is Whitmore’s largest single licensing deal to date and the reference account that validates PredictIQ in European heavy manufacturing — a centerpiece for any Series C process.</w:t>
      </w:r>
    </w:p>
    <w:p>
      <w:pPr>
        <w:pStyle w:val="BodyText"/>
      </w:pPr>
      <w:r>
        <w:rPr>
          <w:b/>
          <w:bCs/>
        </w:rPr>
        <w:t xml:space="preserve">Recommendation.</w:t>
      </w:r>
      <w:r>
        <w:t xml:space="preserve"> </w:t>
      </w:r>
      <w:r>
        <w:rPr>
          <w:b/>
          <w:bCs/>
        </w:rPr>
        <w:t xml:space="preserve">Proceed with the transaction, but do not execute the definitive agreement on the terms as drafted.</w:t>
      </w:r>
      <w:r>
        <w:t xml:space="preserve"> </w:t>
      </w:r>
      <w:r>
        <w:t xml:space="preserve">The commercial prize is real and strategically important; however, several provisions as currently framed would materially impair Whitmore’s core IP, its go-to-market freedom, and its product-improvement flywheel. We recommend the Board approve a negotiation framework that (a) treats three issues as</w:t>
      </w:r>
      <w:r>
        <w:t xml:space="preserve"> </w:t>
      </w:r>
      <w:r>
        <w:rPr>
          <w:b/>
          <w:bCs/>
        </w:rPr>
        <w:t xml:space="preserve">dealbreakers requiring fundamental restructuring</w:t>
      </w:r>
      <w:r>
        <w:t xml:space="preserve">, (b) resolves a second tier of</w:t>
      </w:r>
      <w:r>
        <w:t xml:space="preserve"> </w:t>
      </w:r>
      <w:r>
        <w:rPr>
          <w:b/>
          <w:bCs/>
        </w:rPr>
        <w:t xml:space="preserve">high-severity items</w:t>
      </w:r>
      <w:r>
        <w:t xml:space="preserve"> </w:t>
      </w:r>
      <w:r>
        <w:t xml:space="preserve">before signing, and (c) accepts the remaining commercial terms subject to the adjustments below.</w:t>
      </w:r>
    </w:p>
    <w:p>
      <w:pPr>
        <w:pStyle w:val="BodyText"/>
      </w:pPr>
      <w:r>
        <w:rPr>
          <w:b/>
          <w:bCs/>
        </w:rPr>
        <w:t xml:space="preserve">Three dealbreaker-level issues (Critical):</w:t>
      </w:r>
    </w:p>
    <w:p>
      <w:pPr>
        <w:pStyle w:val="Compact"/>
        <w:numPr>
          <w:ilvl w:val="0"/>
          <w:numId w:val="1001"/>
        </w:numPr>
      </w:pPr>
      <w:r>
        <w:rPr>
          <w:b/>
          <w:bCs/>
        </w:rPr>
        <w:t xml:space="preserve">Exclusivity / Non-Compete (Term Sheet §12).</w:t>
      </w:r>
      <w:r>
        <w:t xml:space="preserve"> </w:t>
      </w:r>
      <w:r>
        <w:t xml:space="preserve">A 3-year exclusivity with an open-ended</w:t>
      </w:r>
      <w:r>
        <w:t xml:space="preserve"> </w:t>
      </w:r>
      <w:r>
        <w:t xml:space="preserve">“</w:t>
      </w:r>
      <w:r>
        <w:t xml:space="preserve">30% revenue</w:t>
      </w:r>
      <w:r>
        <w:t xml:space="preserve">”</w:t>
      </w:r>
      <w:r>
        <w:t xml:space="preserve"> </w:t>
      </w:r>
      <w:r>
        <w:t xml:space="preserve">competitor definition would lock Whitmore out of a large swath of the European industrial market — including at least three active late-stage prospects representing ~$4–5M in potential recurring SaaS revenue — while KBI retains a 5-year expansion right. The open-ended definition also creates an unworkable affirmative monitoring obligation.</w:t>
      </w:r>
    </w:p>
    <w:p>
      <w:pPr>
        <w:pStyle w:val="Compact"/>
        <w:numPr>
          <w:ilvl w:val="0"/>
          <w:numId w:val="1001"/>
        </w:numPr>
      </w:pPr>
      <w:r>
        <w:rPr>
          <w:b/>
          <w:bCs/>
        </w:rPr>
        <w:t xml:space="preserve">Data-Training Restriction + Output-Data Ownership (§4.2–4.3).</w:t>
      </w:r>
      <w:r>
        <w:t xml:space="preserve"> </w:t>
      </w:r>
      <w:r>
        <w:t xml:space="preserve">A blanket prohibition on using KBI data — even anonymized/aggregated — to improve PredictIQ’s general models, combined with KBI’s claim of sole ownership of</w:t>
      </w:r>
      <w:r>
        <w:t xml:space="preserve"> </w:t>
      </w:r>
      <w:r>
        <w:t xml:space="preserve">“</w:t>
      </w:r>
      <w:r>
        <w:t xml:space="preserve">Output Data</w:t>
      </w:r>
      <w:r>
        <w:t xml:space="preserve">”</w:t>
      </w:r>
      <w:r>
        <w:t xml:space="preserve"> </w:t>
      </w:r>
      <w:r>
        <w:t xml:space="preserve">including model weights, parameters, and training artifacts, would deprive PredictIQ of its most valuable training input and could transfer ownership of model state developed in the ordinary course of service. This strikes at the core of Whitmore’s product and valuation.</w:t>
      </w:r>
    </w:p>
    <w:p>
      <w:pPr>
        <w:pStyle w:val="Compact"/>
        <w:numPr>
          <w:ilvl w:val="0"/>
          <w:numId w:val="1001"/>
        </w:numPr>
      </w:pPr>
      <w:r>
        <w:rPr>
          <w:b/>
          <w:bCs/>
        </w:rPr>
        <w:t xml:space="preserve">Most-Favored-Customer (MFC) Side Letter.</w:t>
      </w:r>
      <w:r>
        <w:t xml:space="preserve"> </w:t>
      </w:r>
      <w:r>
        <w:t xml:space="preserve">An aggressive, perpetual, no-sunset, no-carve-out MFC with retroactive price-matching and audit rights — expressly conditioned as a prerequisite to the deal — would commoditize Whitmore’s pricing globally and expose it to perpetual retroactive rebates.</w:t>
      </w:r>
    </w:p>
    <w:p>
      <w:pPr>
        <w:pStyle w:val="FirstParagraph"/>
      </w:pPr>
      <w:r>
        <w:rPr>
          <w:b/>
          <w:bCs/>
        </w:rPr>
        <w:t xml:space="preserve">High-severity items</w:t>
      </w:r>
      <w:r>
        <w:t xml:space="preserve"> </w:t>
      </w:r>
      <w:r>
        <w:t xml:space="preserve">(uncapped IP indemnification, performance-warranty penalties, source-code escrow release triggers, perpetual post-termination wind-down license, and German governing law) are summarized in Section IV and detailed in Section V.</w:t>
      </w:r>
    </w:p>
    <w:p>
      <w:pPr>
        <w:pStyle w:val="BodyText"/>
      </w:pPr>
      <w:r>
        <w:rPr>
          <w:b/>
          <w:bCs/>
        </w:rPr>
        <w:t xml:space="preserve">Timeline pressure.</w:t>
      </w:r>
      <w:r>
        <w:t xml:space="preserve"> </w:t>
      </w:r>
      <w:r>
        <w:t xml:space="preserve">KBI requests a written response by</w:t>
      </w:r>
      <w:r>
        <w:t xml:space="preserve"> </w:t>
      </w:r>
      <w:r>
        <w:rPr>
          <w:b/>
          <w:bCs/>
        </w:rPr>
        <w:t xml:space="preserve">June 23, 2025</w:t>
      </w:r>
      <w:r>
        <w:t xml:space="preserve">; the Board meets</w:t>
      </w:r>
      <w:r>
        <w:t xml:space="preserve"> </w:t>
      </w:r>
      <w:r>
        <w:rPr>
          <w:b/>
          <w:bCs/>
        </w:rPr>
        <w:t xml:space="preserve">June 18</w:t>
      </w:r>
      <w:r>
        <w:t xml:space="preserve">; targeted definitive execution is</w:t>
      </w:r>
      <w:r>
        <w:t xml:space="preserve"> </w:t>
      </w:r>
      <w:r>
        <w:rPr>
          <w:b/>
          <w:bCs/>
        </w:rPr>
        <w:t xml:space="preserve">August 15, 2025</w:t>
      </w:r>
      <w:r>
        <w:t xml:space="preserve">; Phase 1 implementation is scheduled to start</w:t>
      </w:r>
      <w:r>
        <w:t xml:space="preserve"> </w:t>
      </w:r>
      <w:r>
        <w:rPr>
          <w:b/>
          <w:bCs/>
        </w:rPr>
        <w:t xml:space="preserve">September 15, 2025</w:t>
      </w:r>
      <w:r>
        <w:t xml:space="preserve">. KBI has expressly tied its adherence to this timeline (including the September 15 start) to acceptance of the MFC provision. The runway is short; we recommend the Board approve the negotiation framework on June 18 so a substantive counter-proposal can be delivered before the deadline.</w:t>
      </w:r>
    </w:p>
    <w:p>
      <w:r>
        <w:pict>
          <v:rect style="width:0;height:1.5pt" o:hralign="center" o:hrstd="t" o:hr="t"/>
        </w:pict>
      </w:r>
    </w:p>
    <w:bookmarkEnd w:id="21"/>
    <w:bookmarkStart w:id="42" w:name="ii.-key-term-extraction"/>
    <w:p>
      <w:pPr>
        <w:pStyle w:val="Heading2"/>
      </w:pPr>
      <w:r>
        <w:t xml:space="preserve">II. Key-Term Extraction</w:t>
      </w:r>
    </w:p>
    <w:p>
      <w:pPr>
        <w:pStyle w:val="FirstParagraph"/>
      </w:pPr>
      <w:r>
        <w:t xml:space="preserve">The following extracts the principal commercial and legal terms of the Term Sheet and MFC Side Letter as drafted. Section references are to the Term Sheet unless noted.</w:t>
      </w:r>
    </w:p>
    <w:bookmarkStart w:id="22" w:name="a.-parties-and-advisors"/>
    <w:p>
      <w:pPr>
        <w:pStyle w:val="Heading3"/>
      </w:pPr>
      <w:r>
        <w:t xml:space="preserve">A. Parties and Advisors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Party / Person</w:t>
            </w:r>
          </w:p>
        </w:tc>
      </w:tr>
      <w:tr>
        <w:tc>
          <w:tcPr/>
          <w:p>
            <w:pPr>
              <w:pStyle w:val="Compact"/>
              <w:jc w:val="left"/>
            </w:pPr>
            <w:r>
              <w:t xml:space="preserve">Licensor</w:t>
            </w:r>
          </w:p>
        </w:tc>
        <w:tc>
          <w:tcPr/>
          <w:p>
            <w:pPr>
              <w:pStyle w:val="Compact"/>
              <w:jc w:val="left"/>
            </w:pPr>
            <w:r>
              <w:t xml:space="preserve">Whitmore Analytics Inc. (Delaware); Seattle, WA. CEO: Rajesh Malhotra; GC: Sarah Yin</w:t>
            </w:r>
          </w:p>
        </w:tc>
      </w:tr>
      <w:tr>
        <w:tc>
          <w:tcPr/>
          <w:p>
            <w:pPr>
              <w:pStyle w:val="Compact"/>
              <w:jc w:val="left"/>
            </w:pPr>
            <w:r>
              <w:t xml:space="preserve">Licensee</w:t>
            </w:r>
          </w:p>
        </w:tc>
        <w:tc>
          <w:tcPr/>
          <w:p>
            <w:pPr>
              <w:pStyle w:val="Compact"/>
              <w:jc w:val="left"/>
            </w:pPr>
            <w:r>
              <w:t xml:space="preserve">Kessler-Brandt Industrial GmbH (German GmbH); Munich, HRB 247891. CTO: Dr. Markus Fiedler; VP Digital Transformation: Annika Solberg</w:t>
            </w:r>
          </w:p>
        </w:tc>
      </w:tr>
      <w:tr>
        <w:tc>
          <w:tcPr/>
          <w:p>
            <w:pPr>
              <w:pStyle w:val="Compact"/>
              <w:jc w:val="left"/>
            </w:pPr>
            <w:r>
              <w:t xml:space="preserve">KBI counsel</w:t>
            </w:r>
          </w:p>
        </w:tc>
        <w:tc>
          <w:tcPr/>
          <w:p>
            <w:pPr>
              <w:pStyle w:val="Compact"/>
              <w:jc w:val="left"/>
            </w:pPr>
            <w:r>
              <w:t xml:space="preserve">Bergström Hecht Rechtsanwälte (Munich) — Dr. Luisa Trautmann</w:t>
            </w:r>
          </w:p>
        </w:tc>
      </w:tr>
      <w:tr>
        <w:tc>
          <w:tcPr/>
          <w:p>
            <w:pPr>
              <w:pStyle w:val="Compact"/>
              <w:jc w:val="left"/>
            </w:pPr>
            <w:r>
              <w:t xml:space="preserve">Whitmore counsel</w:t>
            </w:r>
          </w:p>
        </w:tc>
        <w:tc>
          <w:tcPr/>
          <w:p>
            <w:pPr>
              <w:pStyle w:val="Compact"/>
              <w:jc w:val="left"/>
            </w:pPr>
            <w:r>
              <w:t xml:space="preserve">Ferndale Hale &amp; Seward LLP (this firm)</w:t>
            </w:r>
          </w:p>
        </w:tc>
      </w:tr>
    </w:tbl>
    <w:bookmarkEnd w:id="22"/>
    <w:bookmarkStart w:id="23" w:name="b.-licensed-technology-and-purpose"/>
    <w:p>
      <w:pPr>
        <w:pStyle w:val="Heading3"/>
      </w:pPr>
      <w:r>
        <w:t xml:space="preserve">B. Licensed Technology and Purpose</w:t>
      </w:r>
    </w:p>
    <w:p>
      <w:pPr>
        <w:pStyle w:val="Compact"/>
        <w:numPr>
          <w:ilvl w:val="0"/>
          <w:numId w:val="1002"/>
        </w:numPr>
      </w:pPr>
      <w:r>
        <w:rPr>
          <w:b/>
          <w:bCs/>
        </w:rPr>
        <w:t xml:space="preserve">Technology:</w:t>
      </w:r>
      <w:r>
        <w:t xml:space="preserve"> </w:t>
      </w:r>
      <w:r>
        <w:t xml:space="preserve">PredictIQ — cloud-native SaaS platform combining IoT sensor integration with proprietary ML algorithms for predictive maintenance in heavy manufacturing. Components: (a) cloud-hosted analytics engine (SaaS); (b) on-premises edge-computing modules; (c) RESTful API layer; (d) IoT integration layer (OPC UA, MQTT, Modbus, proprietary).</w:t>
      </w:r>
    </w:p>
    <w:p>
      <w:pPr>
        <w:pStyle w:val="Compact"/>
        <w:numPr>
          <w:ilvl w:val="0"/>
          <w:numId w:val="1002"/>
        </w:numPr>
      </w:pPr>
      <w:r>
        <w:rPr>
          <w:b/>
          <w:bCs/>
        </w:rPr>
        <w:t xml:space="preserve">Protected IP:</w:t>
      </w:r>
      <w:r>
        <w:t xml:space="preserve"> </w:t>
      </w:r>
      <w:r>
        <w:t xml:space="preserve">14 issued U.S. utility patents; 3 pending PCT applications.</w:t>
      </w:r>
    </w:p>
    <w:p>
      <w:pPr>
        <w:pStyle w:val="Compact"/>
        <w:numPr>
          <w:ilvl w:val="0"/>
          <w:numId w:val="1002"/>
        </w:numPr>
      </w:pPr>
      <w:r>
        <w:rPr>
          <w:b/>
          <w:bCs/>
        </w:rPr>
        <w:t xml:space="preserve">Purpose:</w:t>
      </w:r>
      <w:r>
        <w:t xml:space="preserve"> </w:t>
      </w:r>
      <w:r>
        <w:t xml:space="preserve">Integrate PredictIQ into KBI’s</w:t>
      </w:r>
      <w:r>
        <w:t xml:space="preserve"> </w:t>
      </w:r>
      <w:r>
        <w:t xml:space="preserve">“</w:t>
      </w:r>
      <w:r>
        <w:t xml:space="preserve">SmartFactory 2030</w:t>
      </w:r>
      <w:r>
        <w:t xml:space="preserve">”</w:t>
      </w:r>
      <w:r>
        <w:t xml:space="preserve"> </w:t>
      </w:r>
      <w:r>
        <w:t xml:space="preserve">initiative; target 40% reduction in unplanned downtime across European operations.</w:t>
      </w:r>
    </w:p>
    <w:bookmarkEnd w:id="23"/>
    <w:bookmarkStart w:id="24" w:name="X1f72862574bbd00d2abf1e701accaa174420b38"/>
    <w:p>
      <w:pPr>
        <w:pStyle w:val="Heading3"/>
      </w:pPr>
      <w:r>
        <w:t xml:space="preserve">C. Transaction Structure and Deployment Scope</w:t>
      </w:r>
    </w:p>
    <w:p>
      <w:pPr>
        <w:pStyle w:val="Compact"/>
        <w:numPr>
          <w:ilvl w:val="0"/>
          <w:numId w:val="1003"/>
        </w:numPr>
      </w:pPr>
      <w:r>
        <w:t xml:space="preserve">Perpetual, non-exclusive technology license; 18-month implementation phase followed by ongoing production use; SaaS subscription for the cloud analytics engine; on-premises deployment license for edge modules.</w:t>
      </w:r>
    </w:p>
    <w:p>
      <w:pPr>
        <w:pStyle w:val="Compact"/>
        <w:numPr>
          <w:ilvl w:val="0"/>
          <w:numId w:val="1003"/>
        </w:numPr>
      </w:pPr>
      <w:r>
        <w:rPr>
          <w:b/>
          <w:bCs/>
        </w:rPr>
        <w:t xml:space="preserve">Deployment scope:</w:t>
      </w:r>
      <w:r>
        <w:t xml:space="preserve"> </w:t>
      </w:r>
      <w:r>
        <w:t xml:space="preserve">up to 43 facilities across 12 European countries.</w:t>
      </w:r>
    </w:p>
    <w:p>
      <w:pPr>
        <w:pStyle w:val="Compact"/>
        <w:numPr>
          <w:ilvl w:val="0"/>
          <w:numId w:val="1003"/>
        </w:numPr>
      </w:pPr>
      <w:r>
        <w:rPr>
          <w:b/>
          <w:bCs/>
        </w:rPr>
        <w:t xml:space="preserve">Expansion right (§2 / §5.7):</w:t>
      </w:r>
      <w:r>
        <w:t xml:space="preserve"> </w:t>
      </w:r>
      <w:r>
        <w:t xml:space="preserve">for 5 years post-execution, KBI may deploy PredictIQ at any newly acquired facility at the same per-facility commercial terms, pro rata on 43 facilities, with no additional license fee.</w:t>
      </w:r>
    </w:p>
    <w:bookmarkEnd w:id="24"/>
    <w:bookmarkStart w:id="25" w:name="d.-key-dates-and-milestones"/>
    <w:p>
      <w:pPr>
        <w:pStyle w:val="Heading3"/>
      </w:pPr>
      <w:r>
        <w:t xml:space="preserve">D. Key Dates and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Term sheet / side letter dated</w:t>
            </w:r>
          </w:p>
        </w:tc>
        <w:tc>
          <w:tcPr/>
          <w:p>
            <w:pPr>
              <w:pStyle w:val="Compact"/>
              <w:jc w:val="left"/>
            </w:pPr>
            <w:r>
              <w:t xml:space="preserve">May 29, 2025</w:t>
            </w:r>
          </w:p>
        </w:tc>
      </w:tr>
      <w:tr>
        <w:tc>
          <w:tcPr/>
          <w:p>
            <w:pPr>
              <w:pStyle w:val="Compact"/>
              <w:jc w:val="left"/>
            </w:pPr>
            <w:r>
              <w:t xml:space="preserve">Whitmore response requested by</w:t>
            </w:r>
          </w:p>
        </w:tc>
        <w:tc>
          <w:tcPr/>
          <w:p>
            <w:pPr>
              <w:pStyle w:val="Compact"/>
              <w:jc w:val="left"/>
            </w:pPr>
            <w:r>
              <w:t xml:space="preserve">June 23, 2025</w:t>
            </w:r>
          </w:p>
        </w:tc>
      </w:tr>
      <w:tr>
        <w:tc>
          <w:tcPr/>
          <w:p>
            <w:pPr>
              <w:pStyle w:val="Compact"/>
              <w:jc w:val="left"/>
            </w:pPr>
            <w:r>
              <w:t xml:space="preserve">Binding no-shop expires (§16.2)</w:t>
            </w:r>
          </w:p>
        </w:tc>
        <w:tc>
          <w:tcPr/>
          <w:p>
            <w:pPr>
              <w:pStyle w:val="Compact"/>
              <w:jc w:val="left"/>
            </w:pPr>
            <w:r>
              <w:t xml:space="preserve">July 28, 2025 (60 days from term sheet)</w:t>
            </w:r>
          </w:p>
        </w:tc>
      </w:tr>
      <w:tr>
        <w:tc>
          <w:tcPr/>
          <w:p>
            <w:pPr>
              <w:pStyle w:val="Compact"/>
              <w:jc w:val="left"/>
            </w:pPr>
            <w:r>
              <w:t xml:space="preserve">Targeted definitive agreement execution</w:t>
            </w:r>
          </w:p>
        </w:tc>
        <w:tc>
          <w:tcPr/>
          <w:p>
            <w:pPr>
              <w:pStyle w:val="Compact"/>
              <w:jc w:val="left"/>
            </w:pPr>
            <w:r>
              <w:t xml:space="preserve">August 15, 2025</w:t>
            </w:r>
          </w:p>
        </w:tc>
      </w:tr>
      <w:tr>
        <w:tc>
          <w:tcPr/>
          <w:p>
            <w:pPr>
              <w:pStyle w:val="Compact"/>
              <w:jc w:val="left"/>
            </w:pPr>
            <w:r>
              <w:t xml:space="preserve">Phase 1 implementation start</w:t>
            </w:r>
          </w:p>
        </w:tc>
        <w:tc>
          <w:tcPr/>
          <w:p>
            <w:pPr>
              <w:pStyle w:val="Compact"/>
              <w:jc w:val="left"/>
            </w:pPr>
            <w:r>
              <w:t xml:space="preserve">September 15, 2025</w:t>
            </w:r>
          </w:p>
        </w:tc>
      </w:tr>
      <w:tr>
        <w:tc>
          <w:tcPr/>
          <w:p>
            <w:pPr>
              <w:pStyle w:val="Compact"/>
              <w:jc w:val="left"/>
            </w:pPr>
            <w:r>
              <w:t xml:space="preserve">Phase 1 completion target (10 pilot sites)</w:t>
            </w:r>
          </w:p>
        </w:tc>
        <w:tc>
          <w:tcPr/>
          <w:p>
            <w:pPr>
              <w:pStyle w:val="Compact"/>
              <w:jc w:val="left"/>
            </w:pPr>
            <w:r>
              <w:t xml:space="preserve">March 15, 2026</w:t>
            </w:r>
          </w:p>
        </w:tc>
      </w:tr>
      <w:tr>
        <w:tc>
          <w:tcPr/>
          <w:p>
            <w:pPr>
              <w:pStyle w:val="Compact"/>
              <w:jc w:val="left"/>
            </w:pPr>
            <w:r>
              <w:t xml:space="preserve">Phase 2 go-live target (remaining 33 sites)</w:t>
            </w:r>
          </w:p>
        </w:tc>
        <w:tc>
          <w:tcPr/>
          <w:p>
            <w:pPr>
              <w:pStyle w:val="Compact"/>
              <w:jc w:val="left"/>
            </w:pPr>
            <w:r>
              <w:t xml:space="preserve">March 15, 2027</w:t>
            </w:r>
          </w:p>
        </w:tc>
      </w:tr>
    </w:tbl>
    <w:bookmarkEnd w:id="25"/>
    <w:bookmarkStart w:id="26" w:name="e.-license-grant-2"/>
    <w:p>
      <w:pPr>
        <w:pStyle w:val="Heading3"/>
      </w:pPr>
      <w:r>
        <w:t xml:space="preserve">E. License Grant (§2)</w:t>
      </w:r>
    </w:p>
    <w:p>
      <w:pPr>
        <w:pStyle w:val="Compact"/>
        <w:numPr>
          <w:ilvl w:val="0"/>
          <w:numId w:val="1004"/>
        </w:numPr>
      </w:pPr>
      <w:r>
        <w:rPr>
          <w:b/>
          <w:bCs/>
        </w:rPr>
        <w:t xml:space="preserve">Grant:</w:t>
      </w:r>
      <w:r>
        <w:t xml:space="preserve"> </w:t>
      </w:r>
      <w:r>
        <w:t xml:space="preserve">perpetual, non-exclusive, worldwide license to use, execute, display, and operate PredictIQ (software, algorithms, documentation, APIs, edge modules) for KBI’s manufacturing operations.</w:t>
      </w:r>
    </w:p>
    <w:p>
      <w:pPr>
        <w:pStyle w:val="Compact"/>
        <w:numPr>
          <w:ilvl w:val="0"/>
          <w:numId w:val="1004"/>
        </w:numPr>
      </w:pPr>
      <w:r>
        <w:rPr>
          <w:b/>
          <w:bCs/>
        </w:rPr>
        <w:t xml:space="preserve">Authorized users:</w:t>
      </w:r>
      <w:r>
        <w:t xml:space="preserve"> </w:t>
      </w:r>
      <w:r>
        <w:t xml:space="preserve">KBI employees, contractors, and agents at/for KBI facilities, subject to confidentiality.</w:t>
      </w:r>
    </w:p>
    <w:p>
      <w:pPr>
        <w:pStyle w:val="Compact"/>
        <w:numPr>
          <w:ilvl w:val="0"/>
          <w:numId w:val="1004"/>
        </w:numPr>
      </w:pPr>
      <w:r>
        <w:rPr>
          <w:b/>
          <w:bCs/>
        </w:rPr>
        <w:t xml:space="preserve">Sublicensing:</w:t>
      </w:r>
      <w:r>
        <w:t xml:space="preserve"> </w:t>
      </w:r>
      <w:r>
        <w:t xml:space="preserve">no sublicensing to third parties, except controlled affiliates and on-site subcontractors.</w:t>
      </w:r>
    </w:p>
    <w:p>
      <w:pPr>
        <w:pStyle w:val="Compact"/>
        <w:numPr>
          <w:ilvl w:val="0"/>
          <w:numId w:val="1004"/>
        </w:numPr>
      </w:pPr>
      <w:r>
        <w:rPr>
          <w:b/>
          <w:bCs/>
        </w:rPr>
        <w:t xml:space="preserve">Derivative works:</w:t>
      </w:r>
      <w:r>
        <w:t xml:space="preserve"> </w:t>
      </w:r>
      <w:r>
        <w:t xml:space="preserve">KBI may create derivative works from the API layer for MES/SCADA integration;</w:t>
      </w:r>
      <w:r>
        <w:t xml:space="preserve"> </w:t>
      </w:r>
      <w:r>
        <w:rPr>
          <w:b/>
          <w:bCs/>
        </w:rPr>
        <w:t xml:space="preserve">any such derivative works are jointly owned</w:t>
      </w:r>
      <w:r>
        <w:t xml:space="preserve"> </w:t>
      </w:r>
      <w:r>
        <w:t xml:space="preserve">by KBI and Whitmore, each with unrestricted right to use, modify, sublicense, and exploit without consent or accounting.</w:t>
      </w:r>
    </w:p>
    <w:p>
      <w:pPr>
        <w:pStyle w:val="Compact"/>
        <w:numPr>
          <w:ilvl w:val="0"/>
          <w:numId w:val="1004"/>
        </w:numPr>
      </w:pPr>
      <w:r>
        <w:rPr>
          <w:b/>
          <w:bCs/>
        </w:rPr>
        <w:t xml:space="preserve">Restrictions:</w:t>
      </w:r>
      <w:r>
        <w:t xml:space="preserve"> </w:t>
      </w:r>
      <w:r>
        <w:t xml:space="preserve">no reverse engineering/decompilation (except as permitted by law); no use for third-party benefit; no removal of proprietary notices.</w:t>
      </w:r>
    </w:p>
    <w:bookmarkEnd w:id="26"/>
    <w:bookmarkStart w:id="27" w:name="f.-intellectual-property-3"/>
    <w:p>
      <w:pPr>
        <w:pStyle w:val="Heading3"/>
      </w:pPr>
      <w:r>
        <w:t xml:space="preserve">F. Intellectual Property (§3)</w:t>
      </w:r>
    </w:p>
    <w:p>
      <w:pPr>
        <w:pStyle w:val="Compact"/>
        <w:numPr>
          <w:ilvl w:val="0"/>
          <w:numId w:val="1005"/>
        </w:numPr>
      </w:pPr>
      <w:r>
        <w:rPr>
          <w:b/>
          <w:bCs/>
        </w:rPr>
        <w:t xml:space="preserve">§3.1 Whitmore IP:</w:t>
      </w:r>
      <w:r>
        <w:t xml:space="preserve"> </w:t>
      </w:r>
      <w:r>
        <w:t xml:space="preserve">Whitmore retains all IP in PredictIQ (software, algorithms, models, source/object code, patents, trade secrets).</w:t>
      </w:r>
    </w:p>
    <w:p>
      <w:pPr>
        <w:pStyle w:val="Compact"/>
        <w:numPr>
          <w:ilvl w:val="0"/>
          <w:numId w:val="1005"/>
        </w:numPr>
      </w:pPr>
      <w:r>
        <w:rPr>
          <w:b/>
          <w:bCs/>
        </w:rPr>
        <w:t xml:space="preserve">§3.2 KBI IP:</w:t>
      </w:r>
      <w:r>
        <w:t xml:space="preserve"> </w:t>
      </w:r>
      <w:r>
        <w:t xml:space="preserve">KBI retains IP in its systems, data, and know-how (MES, SCADA, operational data).</w:t>
      </w:r>
    </w:p>
    <w:p>
      <w:pPr>
        <w:pStyle w:val="Compact"/>
        <w:numPr>
          <w:ilvl w:val="0"/>
          <w:numId w:val="1005"/>
        </w:numPr>
      </w:pPr>
      <w:r>
        <w:rPr>
          <w:b/>
          <w:bCs/>
        </w:rPr>
        <w:t xml:space="preserve">§3.3 Derivative works:</w:t>
      </w:r>
      <w:r>
        <w:t xml:space="preserve"> </w:t>
      </w:r>
      <w:r>
        <w:t xml:space="preserve">jointly owned (per §2).</w:t>
      </w:r>
    </w:p>
    <w:p>
      <w:pPr>
        <w:pStyle w:val="Compact"/>
        <w:numPr>
          <w:ilvl w:val="0"/>
          <w:numId w:val="1005"/>
        </w:numPr>
      </w:pPr>
      <w:r>
        <w:rPr>
          <w:b/>
          <w:bCs/>
        </w:rPr>
        <w:t xml:space="preserve">§3.4 Feedback:</w:t>
      </w:r>
      <w:r>
        <w:t xml:space="preserve"> </w:t>
      </w:r>
      <w:r>
        <w:t xml:space="preserve">all feedback/suggestions/enhancement requests become</w:t>
      </w:r>
      <w:r>
        <w:t xml:space="preserve"> </w:t>
      </w:r>
      <w:r>
        <w:rPr>
          <w:b/>
          <w:bCs/>
        </w:rPr>
        <w:t xml:space="preserve">sole and exclusive property of Whitmore</w:t>
      </w:r>
      <w:r>
        <w:t xml:space="preserve">; KBI assigns all rights; Whitmore may exploit without restriction.</w:t>
      </w:r>
    </w:p>
    <w:p>
      <w:pPr>
        <w:pStyle w:val="Compact"/>
        <w:numPr>
          <w:ilvl w:val="0"/>
          <w:numId w:val="1005"/>
        </w:numPr>
      </w:pPr>
      <w:r>
        <w:rPr>
          <w:b/>
          <w:bCs/>
        </w:rPr>
        <w:t xml:space="preserve">§3.5 KBI-Inspired Improvements:</w:t>
      </w:r>
      <w:r>
        <w:t xml:space="preserve"> </w:t>
      </w:r>
      <w:r>
        <w:t xml:space="preserve">Whitmore grants KBI a perpetual, irrevocable, royalty-free, non-exclusive license to use improvements derived from KBI data/processes/use.</w:t>
      </w:r>
    </w:p>
    <w:bookmarkEnd w:id="27"/>
    <w:bookmarkStart w:id="28" w:name="g.-data-rights-4"/>
    <w:p>
      <w:pPr>
        <w:pStyle w:val="Heading3"/>
      </w:pPr>
      <w:r>
        <w:t xml:space="preserve">G. Data Rights (§4)</w:t>
      </w:r>
    </w:p>
    <w:p>
      <w:pPr>
        <w:pStyle w:val="Compact"/>
        <w:numPr>
          <w:ilvl w:val="0"/>
          <w:numId w:val="1006"/>
        </w:numPr>
      </w:pPr>
      <w:r>
        <w:rPr>
          <w:b/>
          <w:bCs/>
        </w:rPr>
        <w:t xml:space="preserve">§4.1 KBI Data:</w:t>
      </w:r>
      <w:r>
        <w:t xml:space="preserve"> </w:t>
      </w:r>
      <w:r>
        <w:t xml:space="preserve">all data input into or processed by PredictIQ; KBI retains all rights.</w:t>
      </w:r>
    </w:p>
    <w:p>
      <w:pPr>
        <w:pStyle w:val="Compact"/>
        <w:numPr>
          <w:ilvl w:val="0"/>
          <w:numId w:val="1006"/>
        </w:numPr>
      </w:pPr>
      <w:r>
        <w:rPr>
          <w:b/>
          <w:bCs/>
        </w:rPr>
        <w:t xml:space="preserve">§4.2 Output Data:</w:t>
      </w:r>
      <w:r>
        <w:t xml:space="preserve"> </w:t>
      </w:r>
      <w:r>
        <w:t xml:space="preserve">all outputs —</w:t>
      </w:r>
      <w:r>
        <w:t xml:space="preserve"> </w:t>
      </w:r>
      <w:r>
        <w:rPr>
          <w:b/>
          <w:bCs/>
        </w:rPr>
        <w:t xml:space="preserve">including model weights, parameters, training artifacts, feature-importance rankings, and model-configuration data derived from KBI Data</w:t>
      </w:r>
      <w:r>
        <w:t xml:space="preserve"> </w:t>
      </w:r>
      <w:r>
        <w:t xml:space="preserve">— are</w:t>
      </w:r>
      <w:r>
        <w:t xml:space="preserve"> </w:t>
      </w:r>
      <w:r>
        <w:rPr>
          <w:b/>
          <w:bCs/>
        </w:rPr>
        <w:t xml:space="preserve">sole and exclusive property of KBI</w:t>
      </w:r>
      <w:r>
        <w:t xml:space="preserve">.</w:t>
      </w:r>
    </w:p>
    <w:p>
      <w:pPr>
        <w:pStyle w:val="Compact"/>
        <w:numPr>
          <w:ilvl w:val="0"/>
          <w:numId w:val="1006"/>
        </w:numPr>
      </w:pPr>
      <w:r>
        <w:rPr>
          <w:b/>
          <w:bCs/>
        </w:rPr>
        <w:t xml:space="preserve">§4.3 Use restrictions:</w:t>
      </w:r>
      <w:r>
        <w:t xml:space="preserve"> </w:t>
      </w:r>
      <w:r>
        <w:t xml:space="preserve">Whitmore may not use KBI Data (or derived data) for any purpose other than performing its obligations — expressly</w:t>
      </w:r>
      <w:r>
        <w:t xml:space="preserve"> </w:t>
      </w:r>
      <w:r>
        <w:rPr>
          <w:b/>
          <w:bCs/>
        </w:rPr>
        <w:t xml:space="preserve">including</w:t>
      </w:r>
      <w:r>
        <w:t xml:space="preserve"> </w:t>
      </w:r>
      <w:r>
        <w:t xml:space="preserve">(a) training/tuning/improving general-purpose ML models; (b) developing/improving third-party products; (c) creating anonymized/aggregated/de-identified datasets.</w:t>
      </w:r>
      <w:r>
        <w:t xml:space="preserve"> </w:t>
      </w:r>
      <w:r>
        <w:rPr>
          <w:b/>
          <w:bCs/>
        </w:rPr>
        <w:t xml:space="preserve">No anonymized/aggregated use to train general models without KBI’s prior written consent, which may be withheld in KBI’s sole discretion.</w:t>
      </w:r>
    </w:p>
    <w:p>
      <w:pPr>
        <w:pStyle w:val="Compact"/>
        <w:numPr>
          <w:ilvl w:val="0"/>
          <w:numId w:val="1006"/>
        </w:numPr>
      </w:pPr>
      <w:r>
        <w:rPr>
          <w:b/>
          <w:bCs/>
        </w:rPr>
        <w:t xml:space="preserve">§4.4 Return/deletion:</w:t>
      </w:r>
      <w:r>
        <w:t xml:space="preserve"> </w:t>
      </w:r>
      <w:r>
        <w:t xml:space="preserve">at KBI’s election upon termination, with written certification.</w:t>
      </w:r>
    </w:p>
    <w:p>
      <w:pPr>
        <w:pStyle w:val="Compact"/>
        <w:numPr>
          <w:ilvl w:val="0"/>
          <w:numId w:val="1006"/>
        </w:numPr>
      </w:pPr>
      <w:r>
        <w:rPr>
          <w:b/>
          <w:bCs/>
        </w:rPr>
        <w:t xml:space="preserve">§4.5 Compliance:</w:t>
      </w:r>
      <w:r>
        <w:t xml:space="preserve"> </w:t>
      </w:r>
      <w:r>
        <w:t xml:space="preserve">both parties comply with GDPR and applicable German data-protection law.</w:t>
      </w:r>
    </w:p>
    <w:bookmarkEnd w:id="28"/>
    <w:bookmarkStart w:id="29" w:name="h.-fees-and-economics-5"/>
    <w:p>
      <w:pPr>
        <w:pStyle w:val="Heading3"/>
      </w:pPr>
      <w:r>
        <w:t xml:space="preserve">H. Fees and Economics (§5)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Timing / Notes</w:t>
            </w:r>
          </w:p>
        </w:tc>
      </w:tr>
      <w:tr>
        <w:tc>
          <w:tcPr/>
          <w:p>
            <w:pPr>
              <w:pStyle w:val="Compact"/>
              <w:jc w:val="left"/>
            </w:pPr>
            <w:r>
              <w:t xml:space="preserve">Initial License Fee</w:t>
            </w:r>
          </w:p>
        </w:tc>
        <w:tc>
          <w:tcPr/>
          <w:p>
            <w:pPr>
              <w:pStyle w:val="Compact"/>
              <w:jc w:val="left"/>
            </w:pPr>
            <w:r>
              <w:t xml:space="preserve">$4,200,000</w:t>
            </w:r>
          </w:p>
        </w:tc>
        <w:tc>
          <w:tcPr/>
          <w:p>
            <w:pPr>
              <w:pStyle w:val="Compact"/>
              <w:jc w:val="left"/>
            </w:pPr>
            <w:r>
              <w:t xml:space="preserve">30% ($1.26M) at execution; 40% ($1.68M) at Phase 1 completion (target 3/15/26); 30% ($1.26M) at Phase 2 go-live (target 3/15/27)</w:t>
            </w:r>
          </w:p>
        </w:tc>
      </w:tr>
      <w:tr>
        <w:tc>
          <w:tcPr/>
          <w:p>
            <w:pPr>
              <w:pStyle w:val="Compact"/>
              <w:jc w:val="left"/>
            </w:pPr>
            <w:r>
              <w:t xml:space="preserve">Annual SaaS Subscription</w:t>
            </w:r>
          </w:p>
        </w:tc>
        <w:tc>
          <w:tcPr/>
          <w:p>
            <w:pPr>
              <w:pStyle w:val="Compact"/>
              <w:jc w:val="left"/>
            </w:pPr>
            <w:r>
              <w:t xml:space="preserve">$2,850,000/yr (Yrs 1–3)</w:t>
            </w:r>
          </w:p>
        </w:tc>
        <w:tc>
          <w:tcPr/>
          <w:p>
            <w:pPr>
              <w:pStyle w:val="Compact"/>
              <w:jc w:val="left"/>
            </w:pPr>
            <w:r>
              <w:t xml:space="preserve">Quarterly in advance ($712,500/qtr). +3%/yr from Yr 4 (Yr 4 $2,935,500; Yr 5 $3,023,565)</w:t>
            </w:r>
          </w:p>
        </w:tc>
      </w:tr>
      <w:tr>
        <w:tc>
          <w:tcPr/>
          <w:p>
            <w:pPr>
              <w:pStyle w:val="Compact"/>
              <w:jc w:val="left"/>
            </w:pPr>
            <w:r>
              <w:t xml:space="preserve">Implementation Services</w:t>
            </w:r>
          </w:p>
        </w:tc>
        <w:tc>
          <w:tcPr/>
          <w:p>
            <w:pPr>
              <w:pStyle w:val="Compact"/>
              <w:jc w:val="left"/>
            </w:pPr>
            <w:r>
              <w:t xml:space="preserve">$1,750,000</w:t>
            </w:r>
          </w:p>
        </w:tc>
        <w:tc>
          <w:tcPr/>
          <w:p>
            <w:pPr>
              <w:pStyle w:val="Compact"/>
              <w:jc w:val="left"/>
            </w:pPr>
            <w:r>
              <w:t xml:space="preserve">Equal monthly installments over 18 months (~$97,222/mo)</w:t>
            </w:r>
          </w:p>
        </w:tc>
      </w:tr>
      <w:tr>
        <w:tc>
          <w:tcPr/>
          <w:p>
            <w:pPr>
              <w:pStyle w:val="Compact"/>
              <w:jc w:val="left"/>
            </w:pPr>
            <w:r>
              <w:t xml:space="preserve">Annual Maintenance &amp; Support</w:t>
            </w:r>
          </w:p>
        </w:tc>
        <w:tc>
          <w:tcPr/>
          <w:p>
            <w:pPr>
              <w:pStyle w:val="Compact"/>
              <w:jc w:val="left"/>
            </w:pPr>
            <w:r>
              <w:t xml:space="preserve">$756,000/yr (Yr 1)</w:t>
            </w:r>
          </w:p>
        </w:tc>
        <w:tc>
          <w:tcPr/>
          <w:p>
            <w:pPr>
              <w:pStyle w:val="Compact"/>
              <w:jc w:val="left"/>
            </w:pPr>
            <w:r>
              <w:t xml:space="preserve">18% of Initial License Fee; +4%/yr from Yr 2 (Yr 2 $786,240; Yr 3 $817,690). Annually in advance</w:t>
            </w:r>
          </w:p>
        </w:tc>
      </w:tr>
      <w:tr>
        <w:tc>
          <w:tcPr/>
          <w:p>
            <w:pPr>
              <w:pStyle w:val="Compact"/>
              <w:jc w:val="left"/>
            </w:pPr>
            <w:r>
              <w:t xml:space="preserve">Currency / terms</w:t>
            </w:r>
          </w:p>
        </w:tc>
        <w:tc>
          <w:tcPr/>
          <w:p>
            <w:pPr>
              <w:pStyle w:val="Compact"/>
              <w:jc w:val="left"/>
            </w:pPr>
            <w:r>
              <w:t xml:space="preserve">USD; net 30</w:t>
            </w:r>
          </w:p>
        </w:tc>
        <w:tc>
          <w:tcPr/>
          <w:p>
            <w:pPr>
              <w:pStyle w:val="Compact"/>
              <w:jc w:val="left"/>
            </w:pPr>
            <w:r>
              <w:t xml:space="preserve">Late interest 1.5%/mo or max permitted by law</w:t>
            </w:r>
          </w:p>
        </w:tc>
      </w:tr>
      <w:tr>
        <w:tc>
          <w:tcPr/>
          <w:p>
            <w:pPr>
              <w:pStyle w:val="Compact"/>
              <w:jc w:val="left"/>
            </w:pPr>
            <w:r>
              <w:t xml:space="preserve">Taxes</w:t>
            </w:r>
          </w:p>
        </w:tc>
        <w:tc>
          <w:tcPr/>
          <w:p>
            <w:pPr>
              <w:pStyle w:val="Compact"/>
              <w:jc w:val="left"/>
            </w:pPr>
            <w:r>
              <w:t xml:space="preserve">Exclusive of taxes</w:t>
            </w:r>
          </w:p>
        </w:tc>
        <w:tc>
          <w:tcPr/>
          <w:p>
            <w:pPr>
              <w:pStyle w:val="Compact"/>
              <w:jc w:val="left"/>
            </w:pPr>
            <w:r>
              <w:t xml:space="preserve">KBI bears sales/use/VAT and similar (excl. Whitmore income tax)</w:t>
            </w:r>
          </w:p>
        </w:tc>
      </w:tr>
      <w:tr>
        <w:tc>
          <w:tcPr/>
          <w:p>
            <w:pPr>
              <w:pStyle w:val="Compact"/>
              <w:jc w:val="left"/>
            </w:pPr>
            <w:r>
              <w:t xml:space="preserve">Expansion pricing</w:t>
            </w:r>
          </w:p>
        </w:tc>
        <w:tc>
          <w:tcPr/>
          <w:p>
            <w:pPr>
              <w:pStyle w:val="Compact"/>
              <w:jc w:val="left"/>
            </w:pPr>
            <w:r>
              <w:t xml:space="preserve">Same per-facility terms</w:t>
            </w:r>
          </w:p>
        </w:tc>
        <w:tc>
          <w:tcPr/>
          <w:p>
            <w:pPr>
              <w:pStyle w:val="Compact"/>
              <w:jc w:val="left"/>
            </w:pPr>
            <w:r>
              <w:t xml:space="preserve">No additional license fee; pro rata on 43 facilities</w:t>
            </w:r>
          </w:p>
        </w:tc>
      </w:tr>
    </w:tbl>
    <w:p>
      <w:pPr>
        <w:pStyle w:val="BodyText"/>
      </w:pPr>
      <w:r>
        <w:rPr>
          <w:b/>
          <w:bCs/>
        </w:rPr>
        <w:t xml:space="preserve">First-year committed revenue (per KBI’s side letter methodology):</w:t>
      </w:r>
      <w:r>
        <w:t xml:space="preserve"> </w:t>
      </w:r>
      <w:r>
        <w:t xml:space="preserve">$4.2M + $2.85M + $1.75M + $0.756M = **</w:t>
      </w:r>
      <w:r>
        <w:rPr>
          <w:vertAlign w:val="subscript"/>
        </w:rPr>
        <w:t xml:space="preserve">$9.56M** (</w:t>
      </w:r>
      <w:r>
        <w:t xml:space="preserve">$9.6M; ~20% of FY 2024 revenue).</w:t>
      </w:r>
    </w:p>
    <w:p>
      <w:pPr>
        <w:pStyle w:val="BodyText"/>
      </w:pPr>
      <w:r>
        <w:rPr>
          <w:b/>
          <w:bCs/>
        </w:rPr>
        <w:t xml:space="preserve">Approximate five-year contracted value:</w:t>
      </w:r>
      <w:r>
        <w:t xml:space="preserve"> </w:t>
      </w:r>
      <w:r>
        <w:t xml:space="preserve">License $4.20M + SaaS $14.51M + Implementation $1.75M + Maintenance $4.09M =</w:t>
      </w:r>
      <w:r>
        <w:t xml:space="preserve"> </w:t>
      </w:r>
      <w:r>
        <w:rPr>
          <w:b/>
          <w:bCs/>
        </w:rPr>
        <w:t xml:space="preserve">~$24.55M</w:t>
      </w:r>
      <w:r>
        <w:t xml:space="preserve">, plus perpetual-license and recurring tail beyond Year 5.</w:t>
      </w:r>
    </w:p>
    <w:bookmarkEnd w:id="29"/>
    <w:bookmarkStart w:id="30" w:name="i.-implementation-services-6"/>
    <w:p>
      <w:pPr>
        <w:pStyle w:val="Heading3"/>
      </w:pPr>
      <w:r>
        <w:t xml:space="preserve">I. Implementation Services (§6)</w:t>
      </w:r>
    </w:p>
    <w:p>
      <w:pPr>
        <w:pStyle w:val="Compact"/>
        <w:numPr>
          <w:ilvl w:val="0"/>
          <w:numId w:val="1007"/>
        </w:numPr>
      </w:pPr>
      <w:r>
        <w:rPr>
          <w:b/>
          <w:bCs/>
        </w:rPr>
        <w:t xml:space="preserve">Scope (§6.1):</w:t>
      </w:r>
      <w:r>
        <w:t xml:space="preserve"> </w:t>
      </w:r>
      <w:r>
        <w:t xml:space="preserve">on-site edge deployment at each facility; SCADA/MES integration; IoT data-ingestion configuration; model calibration/initial training on KBI historical data; end-user training; per-facility UAT.</w:t>
      </w:r>
    </w:p>
    <w:p>
      <w:pPr>
        <w:pStyle w:val="Compact"/>
        <w:numPr>
          <w:ilvl w:val="0"/>
          <w:numId w:val="1007"/>
        </w:numPr>
      </w:pPr>
      <w:r>
        <w:rPr>
          <w:b/>
          <w:bCs/>
        </w:rPr>
        <w:t xml:space="preserve">Phases (§6.2):</w:t>
      </w:r>
      <w:r>
        <w:t xml:space="preserve"> </w:t>
      </w:r>
      <w:r>
        <w:t xml:space="preserve">Phase 1 (months 1–6) — 10 pilot facilities, start 9/15/25, complete 3/15/26; Phase 2 (months 7–18) — remaining 33 facilities, complete 3/15/27.</w:t>
      </w:r>
    </w:p>
    <w:p>
      <w:pPr>
        <w:pStyle w:val="Compact"/>
        <w:numPr>
          <w:ilvl w:val="0"/>
          <w:numId w:val="1007"/>
        </w:numPr>
      </w:pPr>
      <w:r>
        <w:rPr>
          <w:b/>
          <w:bCs/>
        </w:rPr>
        <w:t xml:space="preserve">KBI responsibilities (§6.3):</w:t>
      </w:r>
      <w:r>
        <w:t xml:space="preserve"> </w:t>
      </w:r>
      <w:r>
        <w:t xml:space="preserve">reasonable access; designated project manager; SCADA/MES operational and meeting Whitmore’s published minimum system requirements.</w:t>
      </w:r>
    </w:p>
    <w:p>
      <w:pPr>
        <w:pStyle w:val="Compact"/>
        <w:numPr>
          <w:ilvl w:val="0"/>
          <w:numId w:val="1007"/>
        </w:numPr>
      </w:pPr>
      <w:r>
        <w:rPr>
          <w:b/>
          <w:bCs/>
        </w:rPr>
        <w:t xml:space="preserve">Change orders (§6.4):</w:t>
      </w:r>
      <w:r>
        <w:t xml:space="preserve"> </w:t>
      </w:r>
      <w:r>
        <w:t xml:space="preserve">written, signed, fees agreed before work.</w:t>
      </w:r>
    </w:p>
    <w:p>
      <w:pPr>
        <w:pStyle w:val="Compact"/>
        <w:numPr>
          <w:ilvl w:val="0"/>
          <w:numId w:val="1007"/>
        </w:numPr>
      </w:pPr>
      <w:r>
        <w:rPr>
          <w:b/>
          <w:bCs/>
        </w:rPr>
        <w:t xml:space="preserve">Acceptance (§6.5):</w:t>
      </w:r>
      <w:r>
        <w:t xml:space="preserve"> </w:t>
      </w:r>
      <w:r>
        <w:t xml:space="preserve">30-day UAT per facility;</w:t>
      </w:r>
      <w:r>
        <w:t xml:space="preserve"> </w:t>
      </w:r>
      <w:r>
        <w:rPr>
          <w:b/>
          <w:bCs/>
        </w:rPr>
        <w:t xml:space="preserve">deemed accepted</w:t>
      </w:r>
      <w:r>
        <w:t xml:space="preserve"> </w:t>
      </w:r>
      <w:r>
        <w:t xml:space="preserve">if KBI gives no written notice of material non-conformance within the UAT period.</w:t>
      </w:r>
    </w:p>
    <w:bookmarkEnd w:id="30"/>
    <w:bookmarkStart w:id="31" w:name="j.-maintenance-and-support-slas-7"/>
    <w:p>
      <w:pPr>
        <w:pStyle w:val="Heading3"/>
      </w:pPr>
      <w:r>
        <w:t xml:space="preserve">J. Maintenance and Support / SLAs (§7)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Response Time</w:t>
            </w:r>
          </w:p>
        </w:tc>
        <w:tc>
          <w:tcPr/>
          <w:p>
            <w:pPr>
              <w:pStyle w:val="Compact"/>
              <w:jc w:val="left"/>
            </w:pPr>
            <w:r>
              <w:t xml:space="preserve">Resolution Target</w:t>
            </w:r>
          </w:p>
        </w:tc>
      </w:tr>
      <w:tr>
        <w:tc>
          <w:tcPr/>
          <w:p>
            <w:pPr>
              <w:pStyle w:val="Compact"/>
              <w:jc w:val="left"/>
            </w:pPr>
            <w:r>
              <w:t xml:space="preserve">Critical (system down)</w:t>
            </w:r>
          </w:p>
        </w:tc>
        <w:tc>
          <w:tcPr/>
          <w:p>
            <w:pPr>
              <w:pStyle w:val="Compact"/>
              <w:jc w:val="left"/>
            </w:pPr>
            <w:r>
              <w:t xml:space="preserve">4 hours</w:t>
            </w:r>
          </w:p>
        </w:tc>
        <w:tc>
          <w:tcPr/>
          <w:p>
            <w:pPr>
              <w:pStyle w:val="Compact"/>
              <w:jc w:val="left"/>
            </w:pPr>
            <w:r>
              <w:t xml:space="preserve">24 hours</w:t>
            </w:r>
          </w:p>
        </w:tc>
      </w:tr>
      <w:tr>
        <w:tc>
          <w:tcPr/>
          <w:p>
            <w:pPr>
              <w:pStyle w:val="Compact"/>
              <w:jc w:val="left"/>
            </w:pPr>
            <w:r>
              <w:t xml:space="preserve">High</w:t>
            </w:r>
          </w:p>
        </w:tc>
        <w:tc>
          <w:tcPr/>
          <w:p>
            <w:pPr>
              <w:pStyle w:val="Compact"/>
              <w:jc w:val="left"/>
            </w:pPr>
            <w:r>
              <w:t xml:space="preserve">8 hours</w:t>
            </w:r>
          </w:p>
        </w:tc>
        <w:tc>
          <w:tcPr/>
          <w:p>
            <w:pPr>
              <w:pStyle w:val="Compact"/>
              <w:jc w:val="left"/>
            </w:pPr>
            <w:r>
              <w:t xml:space="preserve">72 hours</w:t>
            </w:r>
          </w:p>
        </w:tc>
      </w:tr>
      <w:tr>
        <w:tc>
          <w:tcPr/>
          <w:p>
            <w:pPr>
              <w:pStyle w:val="Compact"/>
              <w:jc w:val="left"/>
            </w:pPr>
            <w:r>
              <w:t xml:space="preserve">Medium / Low</w:t>
            </w:r>
          </w:p>
        </w:tc>
        <w:tc>
          <w:tcPr/>
          <w:p>
            <w:pPr>
              <w:pStyle w:val="Compact"/>
              <w:jc w:val="left"/>
            </w:pPr>
            <w:r>
              <w:t xml:space="preserve">2 business days</w:t>
            </w:r>
          </w:p>
        </w:tc>
        <w:tc>
          <w:tcPr/>
          <w:p>
            <w:pPr>
              <w:pStyle w:val="Compact"/>
              <w:jc w:val="left"/>
            </w:pPr>
            <w:r>
              <w:t xml:space="preserve">As reasonably practicable</w:t>
            </w:r>
          </w:p>
        </w:tc>
      </w:tr>
    </w:tbl>
    <w:p>
      <w:pPr>
        <w:pStyle w:val="Compact"/>
        <w:numPr>
          <w:ilvl w:val="0"/>
          <w:numId w:val="1008"/>
        </w:numPr>
      </w:pPr>
      <w:r>
        <w:t xml:space="preserve">Standard is</w:t>
      </w:r>
      <w:r>
        <w:t xml:space="preserve"> </w:t>
      </w:r>
      <w:r>
        <w:rPr>
          <w:b/>
          <w:bCs/>
        </w:rPr>
        <w:t xml:space="preserve">“</w:t>
      </w:r>
      <w:r>
        <w:rPr>
          <w:b/>
          <w:bCs/>
        </w:rPr>
        <w:t xml:space="preserve">commercially reasonable efforts</w:t>
      </w:r>
      <w:r>
        <w:rPr>
          <w:b/>
          <w:bCs/>
        </w:rPr>
        <w:t xml:space="preserve">”</w:t>
      </w:r>
      <w:r>
        <w:t xml:space="preserve"> </w:t>
      </w:r>
      <w:r>
        <w:t xml:space="preserve">(soft targets, not hard commitments; no service credits for SLA misses).</w:t>
      </w:r>
    </w:p>
    <w:p>
      <w:pPr>
        <w:pStyle w:val="Compact"/>
        <w:numPr>
          <w:ilvl w:val="0"/>
          <w:numId w:val="1008"/>
        </w:numPr>
      </w:pPr>
      <w:r>
        <w:t xml:space="preserve">Fee: $756,000/yr, +4%/yr; commences at Phase 1 go-live; continues for the license term.</w:t>
      </w:r>
    </w:p>
    <w:p>
      <w:pPr>
        <w:pStyle w:val="Compact"/>
        <w:numPr>
          <w:ilvl w:val="0"/>
          <w:numId w:val="1008"/>
        </w:numPr>
      </w:pPr>
      <w:r>
        <w:rPr>
          <w:b/>
          <w:bCs/>
        </w:rPr>
        <w:t xml:space="preserve">Suspension (§7.5):</w:t>
      </w:r>
      <w:r>
        <w:t xml:space="preserve"> </w:t>
      </w:r>
      <w:r>
        <w:t xml:space="preserve">Whitmore may suspend support for non-payment on 30 days’ notice.</w:t>
      </w:r>
    </w:p>
    <w:bookmarkEnd w:id="31"/>
    <w:bookmarkStart w:id="32" w:name="k.-warranties-and-performance-metrics-8"/>
    <w:p>
      <w:pPr>
        <w:pStyle w:val="Heading3"/>
      </w:pPr>
      <w:r>
        <w:t xml:space="preserve">K. Warranties and Performance Metrics (§8)</w:t>
      </w:r>
    </w:p>
    <w:p>
      <w:pPr>
        <w:pStyle w:val="Compact"/>
        <w:numPr>
          <w:ilvl w:val="0"/>
          <w:numId w:val="1009"/>
        </w:numPr>
      </w:pPr>
      <w:r>
        <w:rPr>
          <w:b/>
          <w:bCs/>
        </w:rPr>
        <w:t xml:space="preserve">Conformance warranty (§8.1):</w:t>
      </w:r>
      <w:r>
        <w:t xml:space="preserve"> </w:t>
      </w:r>
      <w:r>
        <w:t xml:space="preserve">PredictIQ performs materially per Documentation for 24 months from each facility’s go-live.</w:t>
      </w:r>
    </w:p>
    <w:p>
      <w:pPr>
        <w:pStyle w:val="Compact"/>
        <w:numPr>
          <w:ilvl w:val="0"/>
          <w:numId w:val="1009"/>
        </w:numPr>
      </w:pPr>
      <w:r>
        <w:rPr>
          <w:b/>
          <w:bCs/>
        </w:rPr>
        <w:t xml:space="preserve">Performance warranty (§8.2):</w:t>
      </w:r>
      <w:r>
        <w:t xml:space="preserve"> </w:t>
      </w:r>
      <w:r>
        <w:rPr>
          <w:b/>
          <w:bCs/>
        </w:rPr>
        <w:t xml:space="preserve">≥92% prediction accuracy</w:t>
      </w:r>
      <w:r>
        <w:t xml:space="preserve"> </w:t>
      </w:r>
      <w:r>
        <w:t xml:space="preserve">on a rolling 90-day basis across all deployed facilities.</w:t>
      </w:r>
      <w:r>
        <w:t xml:space="preserve"> </w:t>
      </w:r>
      <w:r>
        <w:t xml:space="preserve">“</w:t>
      </w:r>
      <w:r>
        <w:t xml:space="preserve">Prediction accuracy</w:t>
      </w:r>
      <w:r>
        <w:t xml:space="preserve">”</w:t>
      </w:r>
      <w:r>
        <w:t xml:space="preserve"> </w:t>
      </w:r>
      <w:r>
        <w:t xml:space="preserve">= % of equipment-failure events correctly predicted ≥48 hours in advance, measured against actual failures in KBI’s maintenance logs.</w:t>
      </w:r>
    </w:p>
    <w:p>
      <w:pPr>
        <w:pStyle w:val="Compact"/>
        <w:numPr>
          <w:ilvl w:val="0"/>
          <w:numId w:val="1009"/>
        </w:numPr>
      </w:pPr>
      <w:r>
        <w:rPr>
          <w:b/>
          <w:bCs/>
        </w:rPr>
        <w:t xml:space="preserve">Performance remedies (§8.3):</w:t>
      </w:r>
      <w:r>
        <w:t xml:space="preserve"> </w:t>
      </w:r>
      <w:r>
        <w:t xml:space="preserve">(a) credit = 5% of quarterly SaaS fee per percentage point below 92% (</w:t>
      </w:r>
      <w:r>
        <w:rPr>
          <w:b/>
          <w:bCs/>
        </w:rPr>
        <w:t xml:space="preserve">$35,625 per point</w:t>
      </w:r>
      <w:r>
        <w:t xml:space="preserve">); (b) if accuracy &lt;85% for two consecutive quarters, KBI may terminate for cause (§13).</w:t>
      </w:r>
    </w:p>
    <w:p>
      <w:pPr>
        <w:pStyle w:val="Compact"/>
        <w:numPr>
          <w:ilvl w:val="0"/>
          <w:numId w:val="1009"/>
        </w:numPr>
      </w:pPr>
      <w:r>
        <w:rPr>
          <w:b/>
          <w:bCs/>
        </w:rPr>
        <w:t xml:space="preserve">IP warranty (§8.4):</w:t>
      </w:r>
      <w:r>
        <w:t xml:space="preserve"> </w:t>
      </w:r>
      <w:r>
        <w:t xml:space="preserve">Whitmore owns/is authorized licensee; no third-party infringement</w:t>
      </w:r>
      <w:r>
        <w:t xml:space="preserve"> </w:t>
      </w:r>
      <w:r>
        <w:rPr>
          <w:b/>
          <w:bCs/>
        </w:rPr>
        <w:t xml:space="preserve">to Whitmore’s knowledge</w:t>
      </w:r>
      <w:r>
        <w:t xml:space="preserve">; full right to grant the licenses.</w:t>
      </w:r>
    </w:p>
    <w:p>
      <w:pPr>
        <w:pStyle w:val="Compact"/>
        <w:numPr>
          <w:ilvl w:val="0"/>
          <w:numId w:val="1009"/>
        </w:numPr>
      </w:pPr>
      <w:r>
        <w:rPr>
          <w:b/>
          <w:bCs/>
        </w:rPr>
        <w:t xml:space="preserve">Disclaimer (§8.5):</w:t>
      </w:r>
      <w:r>
        <w:t xml:space="preserve"> </w:t>
      </w:r>
      <w:r>
        <w:t xml:space="preserve">all other warranties disclaimed (merchantability, fitness, non-infringement).</w:t>
      </w:r>
    </w:p>
    <w:bookmarkEnd w:id="32"/>
    <w:bookmarkStart w:id="33" w:name="l.-indemnification-9"/>
    <w:p>
      <w:pPr>
        <w:pStyle w:val="Heading3"/>
      </w:pPr>
      <w:r>
        <w:t xml:space="preserve">L. Indemnification (§9)</w:t>
      </w:r>
    </w:p>
    <w:p>
      <w:pPr>
        <w:pStyle w:val="Compact"/>
        <w:numPr>
          <w:ilvl w:val="0"/>
          <w:numId w:val="1010"/>
        </w:numPr>
      </w:pPr>
      <w:r>
        <w:rPr>
          <w:b/>
          <w:bCs/>
        </w:rPr>
        <w:t xml:space="preserve">§9.1 IP indemnity (Whitmore → KBI):</w:t>
      </w:r>
      <w:r>
        <w:t xml:space="preserve"> </w:t>
      </w:r>
      <w:r>
        <w:t xml:space="preserve">defend/indemnify KBI from third-party IP-infringement claims arising from authorized use.</w:t>
      </w:r>
      <w:r>
        <w:t xml:space="preserve"> </w:t>
      </w:r>
      <w:r>
        <w:rPr>
          <w:b/>
          <w:bCs/>
        </w:rPr>
        <w:t xml:space="preserve">Expressly NOT subject to any limitation of liability or cap — uncapped.</w:t>
      </w:r>
    </w:p>
    <w:p>
      <w:pPr>
        <w:pStyle w:val="Compact"/>
        <w:numPr>
          <w:ilvl w:val="0"/>
          <w:numId w:val="1010"/>
        </w:numPr>
      </w:pPr>
      <w:r>
        <w:rPr>
          <w:b/>
          <w:bCs/>
        </w:rPr>
        <w:t xml:space="preserve">§9.2 Infringement remedies:</w:t>
      </w:r>
      <w:r>
        <w:t xml:space="preserve"> </w:t>
      </w:r>
      <w:r>
        <w:t xml:space="preserve">at Whitmore’s sole option/expense — procure right to continue; modify to non-infringing; or replace with non-infringing equivalent.</w:t>
      </w:r>
    </w:p>
    <w:p>
      <w:pPr>
        <w:pStyle w:val="Compact"/>
        <w:numPr>
          <w:ilvl w:val="0"/>
          <w:numId w:val="1010"/>
        </w:numPr>
      </w:pPr>
      <w:r>
        <w:rPr>
          <w:b/>
          <w:bCs/>
        </w:rPr>
        <w:t xml:space="preserve">§9.3 KBI indemnity (KBI → Whitmore):</w:t>
      </w:r>
      <w:r>
        <w:t xml:space="preserve"> </w:t>
      </w:r>
      <w:r>
        <w:t xml:space="preserve">for unauthorized use, and for KBI Data/proprietary systems (to the extent not arising from PredictIQ itself).</w:t>
      </w:r>
    </w:p>
    <w:p>
      <w:pPr>
        <w:pStyle w:val="Compact"/>
        <w:numPr>
          <w:ilvl w:val="0"/>
          <w:numId w:val="1010"/>
        </w:numPr>
      </w:pPr>
      <w:r>
        <w:rPr>
          <w:b/>
          <w:bCs/>
        </w:rPr>
        <w:t xml:space="preserve">§9.4 Procedures:</w:t>
      </w:r>
      <w:r>
        <w:t xml:space="preserve"> </w:t>
      </w:r>
      <w:r>
        <w:t xml:space="preserve">prompt notice; indemnifying party has sole control of defense/settlement; reasonable cooperation at indemnifying party’s expense.</w:t>
      </w:r>
    </w:p>
    <w:bookmarkEnd w:id="33"/>
    <w:bookmarkStart w:id="34" w:name="m.-limitation-of-liability-10"/>
    <w:p>
      <w:pPr>
        <w:pStyle w:val="Heading3"/>
      </w:pPr>
      <w:r>
        <w:t xml:space="preserve">M. Limitation of Liability (§10)</w:t>
      </w:r>
    </w:p>
    <w:p>
      <w:pPr>
        <w:pStyle w:val="Compact"/>
        <w:numPr>
          <w:ilvl w:val="0"/>
          <w:numId w:val="1011"/>
        </w:numPr>
      </w:pPr>
      <w:r>
        <w:rPr>
          <w:b/>
          <w:bCs/>
        </w:rPr>
        <w:t xml:space="preserve">General cap (§10.1):</w:t>
      </w:r>
      <w:r>
        <w:t xml:space="preserve"> </w:t>
      </w:r>
      <w:r>
        <w:t xml:space="preserve">the greater of (I)</w:t>
      </w:r>
      <w:r>
        <w:t xml:space="preserve"> </w:t>
      </w:r>
      <w:r>
        <w:rPr>
          <w:b/>
          <w:bCs/>
        </w:rPr>
        <w:t xml:space="preserve">2× total fees paid/payable by KBI in the 12 months preceding the event</w:t>
      </w:r>
      <w:r>
        <w:t xml:space="preserve">, or (II)</w:t>
      </w:r>
      <w:r>
        <w:t xml:space="preserve"> </w:t>
      </w:r>
      <w:r>
        <w:rPr>
          <w:b/>
          <w:bCs/>
        </w:rPr>
        <w:t xml:space="preserve">$15,000,000</w:t>
      </w:r>
      <w:r>
        <w:t xml:space="preserve">.</w:t>
      </w:r>
    </w:p>
    <w:p>
      <w:pPr>
        <w:pStyle w:val="Compact"/>
        <w:numPr>
          <w:ilvl w:val="0"/>
          <w:numId w:val="1011"/>
        </w:numPr>
      </w:pPr>
      <w:r>
        <w:rPr>
          <w:b/>
          <w:bCs/>
        </w:rPr>
        <w:t xml:space="preserve">Consequential damages (§10.2):</w:t>
      </w:r>
      <w:r>
        <w:t xml:space="preserve"> </w:t>
      </w:r>
      <w:r>
        <w:t xml:space="preserve">excluded (indirect, incidental, special, consequential, punitive; lost profits, data, goodwill, business interruption).</w:t>
      </w:r>
    </w:p>
    <w:p>
      <w:pPr>
        <w:pStyle w:val="Compact"/>
        <w:numPr>
          <w:ilvl w:val="0"/>
          <w:numId w:val="1011"/>
        </w:numPr>
      </w:pPr>
      <w:r>
        <w:rPr>
          <w:b/>
          <w:bCs/>
        </w:rPr>
        <w:t xml:space="preserve">Exceptions — caps do not apply to (§10.3):</w:t>
      </w:r>
      <w:r>
        <w:t xml:space="preserve"> </w:t>
      </w:r>
      <w:r>
        <w:t xml:space="preserve">(A) Whitmore’s IP indemnification (§9.1); (B) either party’s breach of confidentiality (§15); (C) willful misconduct or fraud.</w:t>
      </w:r>
    </w:p>
    <w:bookmarkEnd w:id="34"/>
    <w:bookmarkStart w:id="35" w:name="n.-source-code-escrow-11"/>
    <w:p>
      <w:pPr>
        <w:pStyle w:val="Heading3"/>
      </w:pPr>
      <w:r>
        <w:t xml:space="preserve">N. Source Code Escrow (§11)</w:t>
      </w:r>
    </w:p>
    <w:p>
      <w:pPr>
        <w:pStyle w:val="Compact"/>
        <w:numPr>
          <w:ilvl w:val="0"/>
          <w:numId w:val="1012"/>
        </w:numPr>
      </w:pPr>
      <w:r>
        <w:rPr>
          <w:b/>
          <w:bCs/>
        </w:rPr>
        <w:t xml:space="preserve">Deposit (§11.1):</w:t>
      </w:r>
      <w:r>
        <w:t xml:space="preserve"> </w:t>
      </w:r>
      <w:r>
        <w:t xml:space="preserve">within 60 days of execution, with Meridian Escrow Services LLC (San Jose, CA) — complete source code, build tools/compilers/scripts, technical documentation; updated at least annually and on each major release.</w:t>
      </w:r>
    </w:p>
    <w:p>
      <w:pPr>
        <w:pStyle w:val="Compact"/>
        <w:numPr>
          <w:ilvl w:val="0"/>
          <w:numId w:val="1012"/>
        </w:numPr>
      </w:pPr>
      <w:r>
        <w:rPr>
          <w:b/>
          <w:bCs/>
        </w:rPr>
        <w:t xml:space="preserve">Release conditions (§11.2):</w:t>
      </w:r>
      <w:r>
        <w:t xml:space="preserve"> </w:t>
      </w:r>
      <w:r>
        <w:t xml:space="preserve">(a) Whitmore insolvency/bankruptcy; (b)</w:t>
      </w:r>
      <w:r>
        <w:t xml:space="preserve"> </w:t>
      </w:r>
      <w:r>
        <w:rPr>
          <w:b/>
          <w:bCs/>
        </w:rPr>
        <w:t xml:space="preserve">material breach uncured for 60 days</w:t>
      </w:r>
      <w:r>
        <w:t xml:space="preserve"> </w:t>
      </w:r>
      <w:r>
        <w:t xml:space="preserve">following written notice; (c) cessation of business; (d) failure to provide maintenance/support for 90 consecutive days.</w:t>
      </w:r>
    </w:p>
    <w:p>
      <w:pPr>
        <w:pStyle w:val="Compact"/>
        <w:numPr>
          <w:ilvl w:val="0"/>
          <w:numId w:val="1012"/>
        </w:numPr>
      </w:pPr>
      <w:r>
        <w:rPr>
          <w:b/>
          <w:bCs/>
        </w:rPr>
        <w:t xml:space="preserve">Post-release license (§11.3):</w:t>
      </w:r>
      <w:r>
        <w:t xml:space="preserve"> </w:t>
      </w:r>
      <w:r>
        <w:t xml:space="preserve">KBI receives a</w:t>
      </w:r>
      <w:r>
        <w:t xml:space="preserve"> </w:t>
      </w:r>
      <w:r>
        <w:rPr>
          <w:b/>
          <w:bCs/>
        </w:rPr>
        <w:t xml:space="preserve">perpetual, irrevocable, fully paid-up, royalty-free license</w:t>
      </w:r>
      <w:r>
        <w:t xml:space="preserve"> </w:t>
      </w:r>
      <w:r>
        <w:t xml:space="preserve">to use, modify, compile, and deploy the source code for its internal manufacturing operations.</w:t>
      </w:r>
    </w:p>
    <w:p>
      <w:pPr>
        <w:pStyle w:val="Compact"/>
        <w:numPr>
          <w:ilvl w:val="0"/>
          <w:numId w:val="1012"/>
        </w:numPr>
      </w:pPr>
      <w:r>
        <w:t xml:space="preserve">Escrow fees split equally; KBI may request verification once per calendar year.</w:t>
      </w:r>
    </w:p>
    <w:bookmarkEnd w:id="35"/>
    <w:bookmarkStart w:id="36" w:name="o.-exclusivity-non-compete-12"/>
    <w:p>
      <w:pPr>
        <w:pStyle w:val="Heading3"/>
      </w:pPr>
      <w:r>
        <w:t xml:space="preserve">O. Exclusivity / Non-Compete (§12)</w:t>
      </w:r>
    </w:p>
    <w:p>
      <w:pPr>
        <w:pStyle w:val="Compact"/>
        <w:numPr>
          <w:ilvl w:val="0"/>
          <w:numId w:val="1013"/>
        </w:numPr>
      </w:pPr>
      <w:r>
        <w:rPr>
          <w:b/>
          <w:bCs/>
        </w:rPr>
        <w:t xml:space="preserve">Period (§12.1):</w:t>
      </w:r>
      <w:r>
        <w:t xml:space="preserve"> </w:t>
      </w:r>
      <w:r>
        <w:t xml:space="preserve">effective date through the</w:t>
      </w:r>
      <w:r>
        <w:t xml:space="preserve"> </w:t>
      </w:r>
      <w:r>
        <w:rPr>
          <w:b/>
          <w:bCs/>
        </w:rPr>
        <w:t xml:space="preserve">3rd anniversary</w:t>
      </w:r>
      <w:r>
        <w:t xml:space="preserve">; Whitmore shall not license/sublicense/sell/make available PredictIQ (or any substantially similar predictive-maintenance technology) to any</w:t>
      </w:r>
      <w:r>
        <w:t xml:space="preserve"> </w:t>
      </w:r>
      <w:r>
        <w:rPr>
          <w:b/>
          <w:bCs/>
        </w:rPr>
        <w:t xml:space="preserve">Direct Competitor</w:t>
      </w:r>
      <w:r>
        <w:t xml:space="preserve"> </w:t>
      </w:r>
      <w:r>
        <w:t xml:space="preserve">of KBI in European automotive and heavy-machinery manufacturing.</w:t>
      </w:r>
    </w:p>
    <w:p>
      <w:pPr>
        <w:pStyle w:val="Compact"/>
        <w:numPr>
          <w:ilvl w:val="0"/>
          <w:numId w:val="1013"/>
        </w:numPr>
      </w:pPr>
      <w:r>
        <w:rPr>
          <w:b/>
          <w:bCs/>
        </w:rPr>
        <w:t xml:space="preserve">Direct Competitor (§12.2):</w:t>
      </w:r>
      <w:r>
        <w:t xml:space="preserve"> </w:t>
      </w:r>
      <w:r>
        <w:t xml:space="preserve">(a) the 12 entities named in Exhibit B;</w:t>
      </w:r>
      <w:r>
        <w:t xml:space="preserve"> </w:t>
      </w:r>
      <w:r>
        <w:rPr>
          <w:b/>
          <w:bCs/>
        </w:rPr>
        <w:t xml:space="preserve">and (b) any entity deriving &gt;30% of annual revenue</w:t>
      </w:r>
      <w:r>
        <w:t xml:space="preserve"> </w:t>
      </w:r>
      <w:r>
        <w:t xml:space="preserve">from manufacture of automotive vehicles/components, heavy machinery, or heavy industrial equipment in the EEA + UK + Switzerland.</w:t>
      </w:r>
    </w:p>
    <w:p>
      <w:pPr>
        <w:pStyle w:val="Compact"/>
        <w:numPr>
          <w:ilvl w:val="0"/>
          <w:numId w:val="1013"/>
        </w:numPr>
      </w:pPr>
      <w:r>
        <w:rPr>
          <w:b/>
          <w:bCs/>
        </w:rPr>
        <w:t xml:space="preserve">Scope (§12.3):</w:t>
      </w:r>
      <w:r>
        <w:t xml:space="preserve"> </w:t>
      </w:r>
      <w:r>
        <w:t xml:space="preserve">applies to PredictIQ and any successor/replacement with substantially similar functionality.</w:t>
      </w:r>
    </w:p>
    <w:p>
      <w:pPr>
        <w:pStyle w:val="Compact"/>
        <w:numPr>
          <w:ilvl w:val="0"/>
          <w:numId w:val="1013"/>
        </w:numPr>
      </w:pPr>
      <w:r>
        <w:rPr>
          <w:b/>
          <w:bCs/>
        </w:rPr>
        <w:t xml:space="preserve">Survival (§12.4):</w:t>
      </w:r>
      <w:r>
        <w:t xml:space="preserve"> </w:t>
      </w:r>
      <w:r>
        <w:t xml:space="preserve">survives termination; runs for the remainder of the Exclusivity Period.</w:t>
      </w:r>
    </w:p>
    <w:p>
      <w:pPr>
        <w:pStyle w:val="Compact"/>
        <w:numPr>
          <w:ilvl w:val="0"/>
          <w:numId w:val="1013"/>
        </w:numPr>
      </w:pPr>
      <w:r>
        <w:rPr>
          <w:b/>
          <w:bCs/>
        </w:rPr>
        <w:t xml:space="preserve">Remedies (§12.5):</w:t>
      </w:r>
      <w:r>
        <w:t xml:space="preserve"> </w:t>
      </w:r>
      <w:r>
        <w:t xml:space="preserve">injunctive relief plus other remedies;</w:t>
      </w:r>
      <w:r>
        <w:t xml:space="preserve"> </w:t>
      </w:r>
      <w:r>
        <w:rPr>
          <w:b/>
          <w:bCs/>
        </w:rPr>
        <w:t xml:space="preserve">KBI need not show irreparable harm or post a bond.</w:t>
      </w:r>
    </w:p>
    <w:bookmarkEnd w:id="36"/>
    <w:bookmarkStart w:id="37" w:name="p.-term-and-termination-13"/>
    <w:p>
      <w:pPr>
        <w:pStyle w:val="Heading3"/>
      </w:pPr>
      <w:r>
        <w:t xml:space="preserve">P. Term and Termination (§13)</w:t>
      </w:r>
    </w:p>
    <w:p>
      <w:pPr>
        <w:pStyle w:val="Compact"/>
        <w:numPr>
          <w:ilvl w:val="0"/>
          <w:numId w:val="1014"/>
        </w:numPr>
      </w:pPr>
      <w:r>
        <w:rPr>
          <w:b/>
          <w:bCs/>
        </w:rPr>
        <w:t xml:space="preserve">Term (§13.1):</w:t>
      </w:r>
      <w:r>
        <w:t xml:space="preserve"> </w:t>
      </w:r>
      <w:r>
        <w:t xml:space="preserve">perpetual, subject to termination.</w:t>
      </w:r>
    </w:p>
    <w:p>
      <w:pPr>
        <w:pStyle w:val="Compact"/>
        <w:numPr>
          <w:ilvl w:val="0"/>
          <w:numId w:val="1014"/>
        </w:numPr>
      </w:pPr>
      <w:r>
        <w:rPr>
          <w:b/>
          <w:bCs/>
        </w:rPr>
        <w:t xml:space="preserve">For cause (§13.2):</w:t>
      </w:r>
      <w:r>
        <w:t xml:space="preserve"> </w:t>
      </w:r>
      <w:r>
        <w:t xml:space="preserve">90 days’ notice; material breach; 60-day cure.</w:t>
      </w:r>
    </w:p>
    <w:p>
      <w:pPr>
        <w:pStyle w:val="Compact"/>
        <w:numPr>
          <w:ilvl w:val="0"/>
          <w:numId w:val="1014"/>
        </w:numPr>
      </w:pPr>
      <w:r>
        <w:rPr>
          <w:b/>
          <w:bCs/>
        </w:rPr>
        <w:t xml:space="preserve">KBI convenience (§13.3):</w:t>
      </w:r>
      <w:r>
        <w:t xml:space="preserve"> </w:t>
      </w:r>
      <w:r>
        <w:t xml:space="preserve">12 months’ prior notice,</w:t>
      </w:r>
      <w:r>
        <w:t xml:space="preserve"> </w:t>
      </w:r>
      <w:r>
        <w:rPr>
          <w:b/>
          <w:bCs/>
        </w:rPr>
        <w:t xml:space="preserve">not earlier than the 3rd anniversary</w:t>
      </w:r>
      <w:r>
        <w:t xml:space="preserve">.</w:t>
      </w:r>
    </w:p>
    <w:p>
      <w:pPr>
        <w:pStyle w:val="Compact"/>
        <w:numPr>
          <w:ilvl w:val="0"/>
          <w:numId w:val="1014"/>
        </w:numPr>
      </w:pPr>
      <w:r>
        <w:rPr>
          <w:b/>
          <w:bCs/>
        </w:rPr>
        <w:t xml:space="preserve">Performance failure (§13.4):</w:t>
      </w:r>
      <w:r>
        <w:t xml:space="preserve"> </w:t>
      </w:r>
      <w:r>
        <w:t xml:space="preserve">if accuracy &lt;85% for two consecutive quarters, 30 days’ notice.</w:t>
      </w:r>
    </w:p>
    <w:p>
      <w:pPr>
        <w:pStyle w:val="Compact"/>
        <w:numPr>
          <w:ilvl w:val="0"/>
          <w:numId w:val="1014"/>
        </w:numPr>
      </w:pPr>
      <w:r>
        <w:rPr>
          <w:b/>
          <w:bCs/>
        </w:rPr>
        <w:t xml:space="preserve">Wind-down license (§13.5):</w:t>
      </w:r>
      <w:r>
        <w:t xml:space="preserve"> </w:t>
      </w:r>
      <w:r>
        <w:t xml:space="preserve">upon termination/expiration</w:t>
      </w:r>
      <w:r>
        <w:t xml:space="preserve"> </w:t>
      </w:r>
      <w:r>
        <w:rPr>
          <w:b/>
          <w:bCs/>
        </w:rPr>
        <w:t xml:space="preserve">for any reason (including KBI convenience)</w:t>
      </w:r>
      <w:r>
        <w:t xml:space="preserve">, KBI retains a</w:t>
      </w:r>
      <w:r>
        <w:t xml:space="preserve"> </w:t>
      </w:r>
      <w:r>
        <w:rPr>
          <w:b/>
          <w:bCs/>
        </w:rPr>
        <w:t xml:space="preserve">perpetual, non-exclusive, irrevocable license</w:t>
      </w:r>
      <w:r>
        <w:t xml:space="preserve"> </w:t>
      </w:r>
      <w:r>
        <w:t xml:space="preserve">to continue using the version deployed as of the termination date, subject to KBI’s continued payment of the Annual Maintenance &amp; Support Fee (§5.4).</w:t>
      </w:r>
    </w:p>
    <w:p>
      <w:pPr>
        <w:pStyle w:val="Compact"/>
        <w:numPr>
          <w:ilvl w:val="0"/>
          <w:numId w:val="1014"/>
        </w:numPr>
      </w:pPr>
      <w:r>
        <w:rPr>
          <w:b/>
          <w:bCs/>
        </w:rPr>
        <w:t xml:space="preserve">Effects (§13.6):</w:t>
      </w:r>
      <w:r>
        <w:t xml:space="preserve"> </w:t>
      </w:r>
      <w:r>
        <w:t xml:space="preserve">new SaaS features/updates/deployments cease; outstanding fees immediately due; confidential information returned/destroyed (subject to wind-down license); §§3, 4, 9, 10, 11, 12, 15, 16 survive.</w:t>
      </w:r>
    </w:p>
    <w:p>
      <w:pPr>
        <w:pStyle w:val="Compact"/>
        <w:numPr>
          <w:ilvl w:val="0"/>
          <w:numId w:val="1014"/>
        </w:numPr>
      </w:pPr>
      <w:r>
        <w:rPr>
          <w:b/>
          <w:bCs/>
        </w:rPr>
        <w:t xml:space="preserve">No refunds (§13.7):</w:t>
      </w:r>
      <w:r>
        <w:t xml:space="preserve"> </w:t>
      </w:r>
      <w:r>
        <w:t xml:space="preserve">fees paid are non-refundable.</w:t>
      </w:r>
    </w:p>
    <w:bookmarkEnd w:id="37"/>
    <w:bookmarkStart w:id="38" w:name="Xc4b77882682a5082a503df51c0eeff5ce339473"/>
    <w:p>
      <w:pPr>
        <w:pStyle w:val="Heading3"/>
      </w:pPr>
      <w:r>
        <w:t xml:space="preserve">Q. Governing Law and Dispute Resolution (§14)</w:t>
      </w:r>
    </w:p>
    <w:p>
      <w:pPr>
        <w:pStyle w:val="Compact"/>
        <w:numPr>
          <w:ilvl w:val="0"/>
          <w:numId w:val="1015"/>
        </w:numPr>
      </w:pPr>
      <w:r>
        <w:rPr>
          <w:b/>
          <w:bCs/>
        </w:rPr>
        <w:t xml:space="preserve">Governing law (§14.1):</w:t>
      </w:r>
      <w:r>
        <w:t xml:space="preserve"> </w:t>
      </w:r>
      <w:r>
        <w:t xml:space="preserve">Germany, without regard to conflicts of law.</w:t>
      </w:r>
    </w:p>
    <w:p>
      <w:pPr>
        <w:pStyle w:val="Compact"/>
        <w:numPr>
          <w:ilvl w:val="0"/>
          <w:numId w:val="1015"/>
        </w:numPr>
      </w:pPr>
      <w:r>
        <w:rPr>
          <w:b/>
          <w:bCs/>
        </w:rPr>
        <w:t xml:space="preserve">Arbitration (§14.2):</w:t>
      </w:r>
      <w:r>
        <w:t xml:space="preserve"> </w:t>
      </w:r>
      <w:r>
        <w:t xml:space="preserve">ICC Rules; three arbitrators; seat Zurich; English language.</w:t>
      </w:r>
    </w:p>
    <w:p>
      <w:pPr>
        <w:pStyle w:val="Compact"/>
        <w:numPr>
          <w:ilvl w:val="0"/>
          <w:numId w:val="1015"/>
        </w:numPr>
      </w:pPr>
      <w:r>
        <w:rPr>
          <w:b/>
          <w:bCs/>
        </w:rPr>
        <w:t xml:space="preserve">Interim measures (§14.3):</w:t>
      </w:r>
      <w:r>
        <w:t xml:space="preserve"> </w:t>
      </w:r>
      <w:r>
        <w:t xml:space="preserve">either party may seek interim/injunctive relief from courts for IP, confidentiality, or status-quo preservation.</w:t>
      </w:r>
    </w:p>
    <w:p>
      <w:pPr>
        <w:pStyle w:val="Compact"/>
        <w:numPr>
          <w:ilvl w:val="0"/>
          <w:numId w:val="1015"/>
        </w:numPr>
      </w:pPr>
      <w:r>
        <w:rPr>
          <w:b/>
          <w:bCs/>
        </w:rPr>
        <w:t xml:space="preserve">Costs (§14.4):</w:t>
      </w:r>
      <w:r>
        <w:t xml:space="preserve"> </w:t>
      </w:r>
      <w:r>
        <w:t xml:space="preserve">each party bears its own costs/fees; arbitration costs allocated by the tribunal.</w:t>
      </w:r>
    </w:p>
    <w:bookmarkEnd w:id="38"/>
    <w:bookmarkStart w:id="39" w:name="r.-confidentiality-15"/>
    <w:p>
      <w:pPr>
        <w:pStyle w:val="Heading3"/>
      </w:pPr>
      <w:r>
        <w:t xml:space="preserve">R. Confidentiality (§15)</w:t>
      </w:r>
    </w:p>
    <w:p>
      <w:pPr>
        <w:pStyle w:val="Compact"/>
        <w:numPr>
          <w:ilvl w:val="0"/>
          <w:numId w:val="1016"/>
        </w:numPr>
      </w:pPr>
      <w:r>
        <w:t xml:space="preserve">Mutual; standard exceptions (public, prior known, independently developed, rightfully received from third party).</w:t>
      </w:r>
    </w:p>
    <w:p>
      <w:pPr>
        <w:pStyle w:val="Compact"/>
        <w:numPr>
          <w:ilvl w:val="0"/>
          <w:numId w:val="1016"/>
        </w:numPr>
      </w:pPr>
      <w:r>
        <w:t xml:space="preserve">Permitted disclosures to advisors/accountants/counsel and as required by law.</w:t>
      </w:r>
    </w:p>
    <w:p>
      <w:pPr>
        <w:pStyle w:val="Compact"/>
        <w:numPr>
          <w:ilvl w:val="0"/>
          <w:numId w:val="1016"/>
        </w:numPr>
      </w:pPr>
      <w:r>
        <w:rPr>
          <w:b/>
          <w:bCs/>
        </w:rPr>
        <w:t xml:space="preserve">Survival: 5 years</w:t>
      </w:r>
      <w:r>
        <w:t xml:space="preserve"> </w:t>
      </w:r>
      <w:r>
        <w:t xml:space="preserve">post-termination; return/destroy subject to archival copies and the wind-down license.</w:t>
      </w:r>
    </w:p>
    <w:bookmarkEnd w:id="39"/>
    <w:bookmarkStart w:id="40" w:name="s.-miscellaneous-16"/>
    <w:p>
      <w:pPr>
        <w:pStyle w:val="Heading3"/>
      </w:pPr>
      <w:r>
        <w:t xml:space="preserve">S. Miscellaneous (§16)</w:t>
      </w:r>
    </w:p>
    <w:p>
      <w:pPr>
        <w:pStyle w:val="Compact"/>
        <w:numPr>
          <w:ilvl w:val="0"/>
          <w:numId w:val="1017"/>
        </w:numPr>
      </w:pPr>
      <w:r>
        <w:rPr>
          <w:b/>
          <w:bCs/>
        </w:rPr>
        <w:t xml:space="preserve">Non-binding (§16.1):</w:t>
      </w:r>
      <w:r>
        <w:t xml:space="preserve"> </w:t>
      </w:r>
      <w:r>
        <w:t xml:space="preserve">except §§15 and 16, which are binding.</w:t>
      </w:r>
    </w:p>
    <w:p>
      <w:pPr>
        <w:pStyle w:val="Compact"/>
        <w:numPr>
          <w:ilvl w:val="0"/>
          <w:numId w:val="1017"/>
        </w:numPr>
      </w:pPr>
      <w:r>
        <w:rPr>
          <w:b/>
          <w:bCs/>
        </w:rPr>
        <w:t xml:space="preserve">No-shop (§16.2):</w:t>
      </w:r>
      <w:r>
        <w:t xml:space="preserve"> </w:t>
      </w:r>
      <w:r>
        <w:t xml:space="preserve">60 days from the term sheet (through July 28, 2025) — Whitmore negotiates exclusively with KBI.</w:t>
      </w:r>
    </w:p>
    <w:p>
      <w:pPr>
        <w:pStyle w:val="Compact"/>
        <w:numPr>
          <w:ilvl w:val="0"/>
          <w:numId w:val="1017"/>
        </w:numPr>
      </w:pPr>
      <w:r>
        <w:rPr>
          <w:b/>
          <w:bCs/>
        </w:rPr>
        <w:t xml:space="preserve">Entire understanding (§16.3):</w:t>
      </w:r>
      <w:r>
        <w:t xml:space="preserve"> </w:t>
      </w:r>
      <w:r>
        <w:t xml:space="preserve">term sheet + MFC side letter.</w:t>
      </w:r>
    </w:p>
    <w:p>
      <w:pPr>
        <w:pStyle w:val="Compact"/>
        <w:numPr>
          <w:ilvl w:val="0"/>
          <w:numId w:val="1017"/>
        </w:numPr>
      </w:pPr>
      <w:r>
        <w:rPr>
          <w:b/>
          <w:bCs/>
        </w:rPr>
        <w:t xml:space="preserve">Expenses (§16.4):</w:t>
      </w:r>
      <w:r>
        <w:t xml:space="preserve"> </w:t>
      </w:r>
      <w:r>
        <w:t xml:space="preserve">each party bears its own.</w:t>
      </w:r>
    </w:p>
    <w:p>
      <w:pPr>
        <w:pStyle w:val="Compact"/>
        <w:numPr>
          <w:ilvl w:val="0"/>
          <w:numId w:val="1017"/>
        </w:numPr>
      </w:pPr>
      <w:r>
        <w:rPr>
          <w:b/>
          <w:bCs/>
        </w:rPr>
        <w:t xml:space="preserve">Assignment (§16.6):</w:t>
      </w:r>
      <w:r>
        <w:t xml:space="preserve"> </w:t>
      </w:r>
      <w:r>
        <w:t xml:space="preserve">no assignment without consent,</w:t>
      </w:r>
      <w:r>
        <w:t xml:space="preserve"> </w:t>
      </w:r>
      <w:r>
        <w:rPr>
          <w:b/>
          <w:bCs/>
        </w:rPr>
        <w:t xml:space="preserve">except KBI may assign to an affiliate or in connection with a merger, acquisition, or sale of substantially all assets.</w:t>
      </w:r>
    </w:p>
    <w:p>
      <w:pPr>
        <w:pStyle w:val="Compact"/>
        <w:numPr>
          <w:ilvl w:val="0"/>
          <w:numId w:val="1017"/>
        </w:numPr>
      </w:pPr>
      <w:r>
        <w:rPr>
          <w:b/>
          <w:bCs/>
        </w:rPr>
        <w:t xml:space="preserve">Response deadline (§16.7):</w:t>
      </w:r>
      <w:r>
        <w:t xml:space="preserve"> </w:t>
      </w:r>
      <w:r>
        <w:t xml:space="preserve">June 23, 2025.</w:t>
      </w:r>
    </w:p>
    <w:bookmarkEnd w:id="40"/>
    <w:bookmarkStart w:id="41" w:name="t.-mfc-side-letter-may-29-2025"/>
    <w:p>
      <w:pPr>
        <w:pStyle w:val="Heading3"/>
      </w:pPr>
      <w:r>
        <w:t xml:space="preserve">T. MFC Side Letter (May 29, 2025)</w:t>
      </w:r>
    </w:p>
    <w:p>
      <w:pPr>
        <w:pStyle w:val="Compact"/>
        <w:numPr>
          <w:ilvl w:val="0"/>
          <w:numId w:val="1018"/>
        </w:numPr>
      </w:pPr>
      <w:r>
        <w:rPr>
          <w:b/>
          <w:bCs/>
        </w:rPr>
        <w:t xml:space="preserve">Condition precedent:</w:t>
      </w:r>
      <w:r>
        <w:t xml:space="preserve"> </w:t>
      </w:r>
      <w:r>
        <w:t xml:space="preserve">KBI’s willingness to proceed is</w:t>
      </w:r>
      <w:r>
        <w:t xml:space="preserve"> </w:t>
      </w:r>
      <w:r>
        <w:rPr>
          <w:b/>
          <w:bCs/>
        </w:rPr>
        <w:t xml:space="preserve">expressly conditioned</w:t>
      </w:r>
      <w:r>
        <w:t xml:space="preserve"> </w:t>
      </w:r>
      <w:r>
        <w:t xml:space="preserve">on Whitmore’s acceptance of the MFC provision; KBI’s adherence to the timeline (including the September 15 Phase 1 start) is contingent on acceptance by June 23, 2025. Non-binding in itself but a</w:t>
      </w:r>
      <w:r>
        <w:t xml:space="preserve"> </w:t>
      </w:r>
      <w:r>
        <w:t xml:space="preserve">“</w:t>
      </w:r>
      <w:r>
        <w:t xml:space="preserve">material element</w:t>
      </w:r>
      <w:r>
        <w:t xml:space="preserve">”</w:t>
      </w:r>
      <w:r>
        <w:t xml:space="preserve"> </w:t>
      </w:r>
      <w:r>
        <w:t xml:space="preserve">of the proposal.</w:t>
      </w:r>
    </w:p>
    <w:p>
      <w:pPr>
        <w:pStyle w:val="Compact"/>
        <w:numPr>
          <w:ilvl w:val="0"/>
          <w:numId w:val="1018"/>
        </w:numPr>
      </w:pPr>
      <w:r>
        <w:rPr>
          <w:b/>
          <w:bCs/>
        </w:rPr>
        <w:t xml:space="preserve">MFC commitment (§2(a)):</w:t>
      </w:r>
      <w:r>
        <w:t xml:space="preserve"> </w:t>
      </w:r>
      <w:r>
        <w:t xml:space="preserve">if, during the term</w:t>
      </w:r>
      <w:r>
        <w:t xml:space="preserve"> </w:t>
      </w:r>
      <w:r>
        <w:rPr>
          <w:b/>
          <w:bCs/>
        </w:rPr>
        <w:t xml:space="preserve">or thereafter for so long as KBI retains any license rights (including the post-termination wind-down license)</w:t>
      </w:r>
      <w:r>
        <w:t xml:space="preserve">, Whitmore grants any</w:t>
      </w:r>
      <w:r>
        <w:t xml:space="preserve"> </w:t>
      </w:r>
      <w:r>
        <w:t xml:space="preserve">“</w:t>
      </w:r>
      <w:r>
        <w:t xml:space="preserve">Subsequent Licensee</w:t>
      </w:r>
      <w:r>
        <w:t xml:space="preserve">”</w:t>
      </w:r>
      <w:r>
        <w:t xml:space="preserve"> </w:t>
      </w:r>
      <w:r>
        <w:t xml:space="preserve">a lower</w:t>
      </w:r>
      <w:r>
        <w:t xml:space="preserve"> </w:t>
      </w:r>
      <w:r>
        <w:rPr>
          <w:b/>
          <w:bCs/>
        </w:rPr>
        <w:t xml:space="preserve">effective per-facility price</w:t>
      </w:r>
      <w:r>
        <w:t xml:space="preserve"> </w:t>
      </w:r>
      <w:r>
        <w:t xml:space="preserve">for PredictIQ (or any successor/derivative/substantially similar technology), Whitmore must notify KBI within 30 days and</w:t>
      </w:r>
      <w:r>
        <w:t xml:space="preserve"> </w:t>
      </w:r>
      <w:r>
        <w:rPr>
          <w:b/>
          <w:bCs/>
        </w:rPr>
        <w:t xml:space="preserve">retroactively adjust KBI’s pricing to match</w:t>
      </w:r>
      <w:r>
        <w:t xml:space="preserve">, effective as of the date the more favorable terms were first offered to the Subsequent Licensee.</w:t>
      </w:r>
    </w:p>
    <w:p>
      <w:pPr>
        <w:pStyle w:val="Compact"/>
        <w:numPr>
          <w:ilvl w:val="0"/>
          <w:numId w:val="1018"/>
        </w:numPr>
      </w:pPr>
      <w:r>
        <w:rPr>
          <w:b/>
          <w:bCs/>
        </w:rPr>
        <w:t xml:space="preserve">Effective per-facility price (§2(b)):</w:t>
      </w:r>
      <w:r>
        <w:t xml:space="preserve"> </w:t>
      </w:r>
      <w:r>
        <w:t xml:space="preserve">total annual fees (license, subscription, maintenance, implementation/professional services — one-time or recurring) ÷ number of facilities deployed or authorized.</w:t>
      </w:r>
    </w:p>
    <w:p>
      <w:pPr>
        <w:pStyle w:val="Compact"/>
        <w:numPr>
          <w:ilvl w:val="0"/>
          <w:numId w:val="1018"/>
        </w:numPr>
      </w:pPr>
      <w:r>
        <w:rPr>
          <w:b/>
          <w:bCs/>
        </w:rPr>
        <w:t xml:space="preserve">Retroactive credit (§2(c)):</w:t>
      </w:r>
      <w:r>
        <w:t xml:space="preserve"> </w:t>
      </w:r>
      <w:r>
        <w:t xml:space="preserve">aggregate overpayment from the retroactive date through adjustment, credited against KBI’s next payments.</w:t>
      </w:r>
    </w:p>
    <w:p>
      <w:pPr>
        <w:pStyle w:val="Compact"/>
        <w:numPr>
          <w:ilvl w:val="0"/>
          <w:numId w:val="1018"/>
        </w:numPr>
      </w:pPr>
      <w:r>
        <w:rPr>
          <w:b/>
          <w:bCs/>
        </w:rPr>
        <w:t xml:space="preserve">Audit right (§2(d)):</w:t>
      </w:r>
      <w:r>
        <w:t xml:space="preserve"> </w:t>
      </w:r>
      <w:r>
        <w:t xml:space="preserve">once per calendar year, independent auditor at KBI’s expense</w:t>
      </w:r>
      <w:r>
        <w:t xml:space="preserve"> </w:t>
      </w:r>
      <w:r>
        <w:rPr>
          <w:b/>
          <w:bCs/>
        </w:rPr>
        <w:t xml:space="preserve">unless</w:t>
      </w:r>
      <w:r>
        <w:t xml:space="preserve"> </w:t>
      </w:r>
      <w:r>
        <w:t xml:space="preserve">the audit reveals a ≥5% discrepancy (then at Whitmore’s expense); Whitmore must maintain complete records.</w:t>
      </w:r>
    </w:p>
    <w:p>
      <w:pPr>
        <w:pStyle w:val="Compact"/>
        <w:numPr>
          <w:ilvl w:val="0"/>
          <w:numId w:val="1018"/>
        </w:numPr>
      </w:pPr>
      <w:r>
        <w:rPr>
          <w:b/>
          <w:bCs/>
        </w:rPr>
        <w:t xml:space="preserve">Incorporation (§4):</w:t>
      </w:r>
      <w:r>
        <w:t xml:space="preserve"> </w:t>
      </w:r>
      <w:r>
        <w:t xml:space="preserve">to be incorporated verbatim (or substantially similar) into the definitive agreement.</w:t>
      </w:r>
    </w:p>
    <w:p>
      <w:pPr>
        <w:pStyle w:val="Compact"/>
        <w:numPr>
          <w:ilvl w:val="0"/>
          <w:numId w:val="1018"/>
        </w:numPr>
      </w:pPr>
      <w:r>
        <w:rPr>
          <w:b/>
          <w:bCs/>
        </w:rPr>
        <w:t xml:space="preserve">Governing law (§6):</w:t>
      </w:r>
      <w:r>
        <w:t xml:space="preserve"> </w:t>
      </w:r>
      <w:r>
        <w:t xml:space="preserve">Germany.</w:t>
      </w:r>
    </w:p>
    <w:p>
      <w:r>
        <w:pict>
          <v:rect style="width:0;height:1.5pt" o:hralign="center" o:hrstd="t" o:hr="t"/>
        </w:pict>
      </w:r>
    </w:p>
    <w:bookmarkEnd w:id="41"/>
    <w:bookmarkEnd w:id="42"/>
    <w:bookmarkStart w:id="43" w:name="iii.-risk-register-summary"/>
    <w:p>
      <w:pPr>
        <w:pStyle w:val="Heading2"/>
      </w:pPr>
      <w:r>
        <w:t xml:space="preserve">III. Risk Register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Issue (short)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§12 Exclusivity / Non-Compete</w:t>
            </w:r>
          </w:p>
        </w:tc>
        <w:tc>
          <w:tcPr/>
          <w:p>
            <w:pPr>
              <w:pStyle w:val="Compact"/>
              <w:jc w:val="left"/>
            </w:pPr>
            <w:r>
              <w:t xml:space="preserve">3-yr lockout; open-ended 30% revenue definition; unworkable monitoring; pipeline at risk</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§4.2–4.3 Data Training + Output Data</w:t>
            </w:r>
          </w:p>
        </w:tc>
        <w:tc>
          <w:tcPr/>
          <w:p>
            <w:pPr>
              <w:pStyle w:val="Compact"/>
              <w:jc w:val="left"/>
            </w:pPr>
            <w:r>
              <w:t xml:space="preserve">Blanket ban on anonymized/aggregated model training; KBI owns model weights/artifacts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MFC Side Letter</w:t>
            </w:r>
          </w:p>
        </w:tc>
        <w:tc>
          <w:tcPr/>
          <w:p>
            <w:pPr>
              <w:pStyle w:val="Compact"/>
              <w:jc w:val="left"/>
            </w:pPr>
            <w:r>
              <w:t xml:space="preserve">Perpetual, no-sunset, no-carve-out MFC; retroactive matching; audit; conditions the deal</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§9.1 IP Indemnification</w:t>
            </w:r>
          </w:p>
        </w:tc>
        <w:tc>
          <w:tcPr/>
          <w:p>
            <w:pPr>
              <w:pStyle w:val="Compact"/>
              <w:jc w:val="left"/>
            </w:pPr>
            <w:r>
              <w:t xml:space="preserve">Uncapped IP indemnity in a complex ML/AI patent landscape</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§8.2–8.3 Performance Warranty</w:t>
            </w:r>
          </w:p>
        </w:tc>
        <w:tc>
          <w:tcPr/>
          <w:p>
            <w:pPr>
              <w:pStyle w:val="Compact"/>
              <w:jc w:val="left"/>
            </w:pPr>
            <w:r>
              <w:t xml:space="preserve">92% accuracy warranty with financial penalties; KBI-controlled measurement</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§11 Source Code Escrow</w:t>
            </w:r>
          </w:p>
        </w:tc>
        <w:tc>
          <w:tcPr/>
          <w:p>
            <w:pPr>
              <w:pStyle w:val="Compact"/>
              <w:jc w:val="left"/>
            </w:pPr>
            <w:r>
              <w:t xml:space="preserve">60-day material-breach release trigger; perpetual royalty-free post-release license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§13.5 Wind-Down License</w:t>
            </w:r>
          </w:p>
        </w:tc>
        <w:tc>
          <w:tcPr/>
          <w:p>
            <w:pPr>
              <w:pStyle w:val="Compact"/>
              <w:jc w:val="left"/>
            </w:pPr>
            <w:r>
              <w:t xml:space="preserve">Perpetual, irrevocable use right on termination for any reason (incl. convenience)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§14.1 Governing Law</w:t>
            </w:r>
          </w:p>
        </w:tc>
        <w:tc>
          <w:tcPr/>
          <w:p>
            <w:pPr>
              <w:pStyle w:val="Compact"/>
              <w:jc w:val="left"/>
            </w:pPr>
            <w:r>
              <w:t xml:space="preserve">German law; mandatory-liability and standard-terms rules; penalty-clause risk</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§2 / §3.3 Derivative Works</w:t>
            </w:r>
          </w:p>
        </w:tc>
        <w:tc>
          <w:tcPr/>
          <w:p>
            <w:pPr>
              <w:pStyle w:val="Compact"/>
              <w:jc w:val="left"/>
            </w:pPr>
            <w:r>
              <w:t xml:space="preserve">Joint ownership of API-layer derivatives; apparent conflict with §3.4/§3.5</w:t>
            </w:r>
          </w:p>
        </w:tc>
        <w:tc>
          <w:tcPr/>
          <w:p>
            <w:pPr>
              <w:pStyle w:val="Compact"/>
              <w:jc w:val="left"/>
            </w:pPr>
            <w:r>
              <w:rPr>
                <w:b/>
                <w:bCs/>
              </w:rPr>
              <w:t xml:space="preserve">Medium-High</w:t>
            </w:r>
          </w:p>
        </w:tc>
      </w:tr>
      <w:tr>
        <w:tc>
          <w:tcPr/>
          <w:p>
            <w:pPr>
              <w:pStyle w:val="Compact"/>
              <w:jc w:val="left"/>
            </w:pPr>
            <w:r>
              <w:t xml:space="preserve">10</w:t>
            </w:r>
          </w:p>
        </w:tc>
        <w:tc>
          <w:tcPr/>
          <w:p>
            <w:pPr>
              <w:pStyle w:val="Compact"/>
              <w:jc w:val="left"/>
            </w:pPr>
            <w:r>
              <w:t xml:space="preserve">§5.1 / §5.3 Payment Structure</w:t>
            </w:r>
          </w:p>
        </w:tc>
        <w:tc>
          <w:tcPr/>
          <w:p>
            <w:pPr>
              <w:pStyle w:val="Compact"/>
              <w:jc w:val="left"/>
            </w:pPr>
            <w:r>
              <w:t xml:space="preserve">Cash-flow mismatch first 6 months (~$0.7–1.2M shortfall); ASC 606 questions</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§10 Limitation of Liability</w:t>
            </w:r>
          </w:p>
        </w:tc>
        <w:tc>
          <w:tcPr/>
          <w:p>
            <w:pPr>
              <w:pStyle w:val="Compact"/>
              <w:jc w:val="left"/>
            </w:pPr>
            <w:r>
              <w:t xml:space="preserve">$15M super-cap high vs. deal; uncapped exceptions; asymmetry</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§16.6 Assignment</w:t>
            </w:r>
          </w:p>
        </w:tc>
        <w:tc>
          <w:tcPr/>
          <w:p>
            <w:pPr>
              <w:pStyle w:val="Compact"/>
              <w:jc w:val="left"/>
            </w:pPr>
            <w:r>
              <w:t xml:space="preserve">One-way assignment right (KBI only) to affiliates / on M&amp;A</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§7.2 SLAs</w:t>
            </w:r>
          </w:p>
        </w:tc>
        <w:tc>
          <w:tcPr/>
          <w:p>
            <w:pPr>
              <w:pStyle w:val="Compact"/>
              <w:jc w:val="left"/>
            </w:pPr>
            <w:r>
              <w:t xml:space="preserve">Soft</w:t>
            </w:r>
            <w:r>
              <w:t xml:space="preserve"> </w:t>
            </w:r>
            <w:r>
              <w:t xml:space="preserve">“</w:t>
            </w:r>
            <w:r>
              <w:t xml:space="preserve">commercially reasonable efforts</w:t>
            </w:r>
            <w:r>
              <w:t xml:space="preserve">”</w:t>
            </w:r>
            <w:r>
              <w:t xml:space="preserve"> </w:t>
            </w:r>
            <w:r>
              <w:t xml:space="preserve">targets; no credits (low risk, but note)</w:t>
            </w:r>
          </w:p>
        </w:tc>
        <w:tc>
          <w:tcPr/>
          <w:p>
            <w:pPr>
              <w:pStyle w:val="Compact"/>
              <w:jc w:val="left"/>
            </w:pPr>
            <w:r>
              <w:rPr>
                <w:b/>
                <w:bCs/>
              </w:rPr>
              <w:t xml:space="preserve">Low-Medium</w:t>
            </w:r>
          </w:p>
        </w:tc>
      </w:tr>
      <w:tr>
        <w:tc>
          <w:tcPr/>
          <w:p>
            <w:pPr>
              <w:pStyle w:val="Compact"/>
              <w:jc w:val="left"/>
            </w:pPr>
            <w:r>
              <w:t xml:space="preserve">14</w:t>
            </w:r>
          </w:p>
        </w:tc>
        <w:tc>
          <w:tcPr/>
          <w:p>
            <w:pPr>
              <w:pStyle w:val="Compact"/>
              <w:jc w:val="left"/>
            </w:pPr>
            <w:r>
              <w:t xml:space="preserve">§6.5 Acceptance</w:t>
            </w:r>
          </w:p>
        </w:tc>
        <w:tc>
          <w:tcPr/>
          <w:p>
            <w:pPr>
              <w:pStyle w:val="Compact"/>
              <w:jc w:val="left"/>
            </w:pPr>
            <w:r>
              <w:t xml:space="preserve">Deemed acceptance on 30-day silence;</w:t>
            </w:r>
            <w:r>
              <w:t xml:space="preserve"> </w:t>
            </w:r>
            <w:r>
              <w:t xml:space="preserve">“</w:t>
            </w:r>
            <w:r>
              <w:t xml:space="preserve">material non-conformance</w:t>
            </w:r>
            <w:r>
              <w:t xml:space="preserve">”</w:t>
            </w:r>
            <w:r>
              <w:t xml:space="preserve"> </w:t>
            </w:r>
            <w:r>
              <w:t xml:space="preserve">undefined</w:t>
            </w:r>
          </w:p>
        </w:tc>
        <w:tc>
          <w:tcPr/>
          <w:p>
            <w:pPr>
              <w:pStyle w:val="Compact"/>
              <w:jc w:val="left"/>
            </w:pPr>
            <w:r>
              <w:rPr>
                <w:b/>
                <w:bCs/>
              </w:rPr>
              <w:t xml:space="preserve">Low-Medium</w:t>
            </w:r>
          </w:p>
        </w:tc>
      </w:tr>
      <w:tr>
        <w:tc>
          <w:tcPr/>
          <w:p>
            <w:pPr>
              <w:pStyle w:val="Compact"/>
              <w:jc w:val="left"/>
            </w:pPr>
            <w:r>
              <w:t xml:space="preserve">15</w:t>
            </w:r>
          </w:p>
        </w:tc>
        <w:tc>
          <w:tcPr/>
          <w:p>
            <w:pPr>
              <w:pStyle w:val="Compact"/>
              <w:jc w:val="left"/>
            </w:pPr>
            <w:r>
              <w:t xml:space="preserve">§5.5 / §5.6 Currency &amp; Taxes</w:t>
            </w:r>
          </w:p>
        </w:tc>
        <w:tc>
          <w:tcPr/>
          <w:p>
            <w:pPr>
              <w:pStyle w:val="Compact"/>
              <w:jc w:val="left"/>
            </w:pPr>
            <w:r>
              <w:t xml:space="preserve">1.5%/mo late interest (penalty-clause risk under German law); EU VAT mechanics</w:t>
            </w:r>
          </w:p>
        </w:tc>
        <w:tc>
          <w:tcPr/>
          <w:p>
            <w:pPr>
              <w:pStyle w:val="Compact"/>
              <w:jc w:val="left"/>
            </w:pPr>
            <w:r>
              <w:rPr>
                <w:b/>
                <w:bCs/>
              </w:rPr>
              <w:t xml:space="preserve">Low</w:t>
            </w:r>
          </w:p>
        </w:tc>
      </w:tr>
      <w:tr>
        <w:tc>
          <w:tcPr/>
          <w:p>
            <w:pPr>
              <w:pStyle w:val="Compact"/>
              <w:jc w:val="left"/>
            </w:pPr>
            <w:r>
              <w:t xml:space="preserve">16</w:t>
            </w:r>
          </w:p>
        </w:tc>
        <w:tc>
          <w:tcPr/>
          <w:p>
            <w:pPr>
              <w:pStyle w:val="Compact"/>
              <w:jc w:val="left"/>
            </w:pPr>
            <w:r>
              <w:t xml:space="preserve">§16.1 / §16.2 Binding TS terms</w:t>
            </w:r>
          </w:p>
        </w:tc>
        <w:tc>
          <w:tcPr/>
          <w:p>
            <w:pPr>
              <w:pStyle w:val="Compact"/>
              <w:jc w:val="left"/>
            </w:pPr>
            <w:r>
              <w:t xml:space="preserve">Binding 60-day no-shop (through 7/28/25); comply</w:t>
            </w:r>
          </w:p>
        </w:tc>
        <w:tc>
          <w:tcPr/>
          <w:p>
            <w:pPr>
              <w:pStyle w:val="Compact"/>
              <w:jc w:val="left"/>
            </w:pPr>
            <w:r>
              <w:rPr>
                <w:b/>
                <w:bCs/>
              </w:rPr>
              <w:t xml:space="preserve">Low</w:t>
            </w:r>
          </w:p>
        </w:tc>
      </w:tr>
    </w:tbl>
    <w:p>
      <w:r>
        <w:pict>
          <v:rect style="width:0;height:1.5pt" o:hralign="center" o:hrstd="t" o:hr="t"/>
        </w:pict>
      </w:r>
    </w:p>
    <w:bookmarkEnd w:id="43"/>
    <w:bookmarkStart w:id="60" w:name="Xdbfedd33fbccf6bb26505535f7d5584366143b7"/>
    <w:p>
      <w:pPr>
        <w:pStyle w:val="Heading2"/>
      </w:pPr>
      <w:r>
        <w:t xml:space="preserve">IV. Risk Flags and Negotiation Recommendations</w:t>
      </w:r>
    </w:p>
    <w:p>
      <w:pPr>
        <w:pStyle w:val="FirstParagraph"/>
      </w:pPr>
      <w:r>
        <w:t xml:space="preserve">Each item below states the</w:t>
      </w:r>
      <w:r>
        <w:t xml:space="preserve"> </w:t>
      </w:r>
      <w:r>
        <w:rPr>
          <w:b/>
          <w:bCs/>
        </w:rPr>
        <w:t xml:space="preserve">Issue</w:t>
      </w:r>
      <w:r>
        <w:t xml:space="preserve">,</w:t>
      </w:r>
      <w:r>
        <w:t xml:space="preserve"> </w:t>
      </w:r>
      <w:r>
        <w:rPr>
          <w:b/>
          <w:bCs/>
        </w:rPr>
        <w:t xml:space="preserve">Why it matters (risk)</w:t>
      </w:r>
      <w:r>
        <w:t xml:space="preserve">, and our</w:t>
      </w:r>
      <w:r>
        <w:t xml:space="preserve"> </w:t>
      </w:r>
      <w:r>
        <w:rPr>
          <w:b/>
          <w:bCs/>
        </w:rPr>
        <w:t xml:space="preserve">Recommendation / proposed counter-term.</w:t>
      </w:r>
      <w:r>
        <w:t xml:space="preserve"> </w:t>
      </w:r>
      <w:r>
        <w:t xml:space="preserve">Items 1–3 are dealbreakers as drafted.</w:t>
      </w:r>
    </w:p>
    <w:bookmarkStart w:id="44" w:name="exclusivity-non-compete-12-critical"/>
    <w:p>
      <w:pPr>
        <w:pStyle w:val="Heading3"/>
      </w:pPr>
      <w:r>
        <w:t xml:space="preserve">1. Exclusivity / Non-Compete — §12 [CRITICAL]</w:t>
      </w:r>
    </w:p>
    <w:p>
      <w:pPr>
        <w:pStyle w:val="FirstParagraph"/>
      </w:pPr>
      <w:r>
        <w:rPr>
          <w:b/>
          <w:bCs/>
        </w:rPr>
        <w:t xml:space="preserve">Issue.</w:t>
      </w:r>
      <w:r>
        <w:t xml:space="preserve"> </w:t>
      </w:r>
      <w:r>
        <w:t xml:space="preserve">A 3-year exclusivity barring Whitmore from licensing PredictIQ (or any</w:t>
      </w:r>
      <w:r>
        <w:t xml:space="preserve"> </w:t>
      </w:r>
      <w:r>
        <w:t xml:space="preserve">“</w:t>
      </w:r>
      <w:r>
        <w:t xml:space="preserve">substantially similar</w:t>
      </w:r>
      <w:r>
        <w:t xml:space="preserve">”</w:t>
      </w:r>
      <w:r>
        <w:t xml:space="preserve"> </w:t>
      </w:r>
      <w:r>
        <w:t xml:space="preserve">predictive-maintenance technology) to any</w:t>
      </w:r>
      <w:r>
        <w:t xml:space="preserve"> </w:t>
      </w:r>
      <w:r>
        <w:t xml:space="preserve">“</w:t>
      </w:r>
      <w:r>
        <w:t xml:space="preserve">Direct Competitor</w:t>
      </w:r>
      <w:r>
        <w:t xml:space="preserve">”</w:t>
      </w:r>
      <w:r>
        <w:t xml:space="preserve"> </w:t>
      </w:r>
      <w:r>
        <w:t xml:space="preserve">of KBI in European automotive and heavy-machinery manufacturing.</w:t>
      </w:r>
      <w:r>
        <w:t xml:space="preserve"> </w:t>
      </w:r>
      <w:r>
        <w:t xml:space="preserve">“</w:t>
      </w:r>
      <w:r>
        <w:t xml:space="preserve">Direct Competitor</w:t>
      </w:r>
      <w:r>
        <w:t xml:space="preserve">”</w:t>
      </w:r>
      <w:r>
        <w:t xml:space="preserve"> </w:t>
      </w:r>
      <w:r>
        <w:t xml:space="preserve">is defined as the 12 named Exhibit B entities</w:t>
      </w:r>
      <w:r>
        <w:t xml:space="preserve"> </w:t>
      </w:r>
      <w:r>
        <w:rPr>
          <w:b/>
          <w:bCs/>
        </w:rPr>
        <w:t xml:space="preserve">plus any entity deriving &gt;30% of annual revenue</w:t>
      </w:r>
      <w:r>
        <w:t xml:space="preserve"> </w:t>
      </w:r>
      <w:r>
        <w:t xml:space="preserve">from the relevant manufacturing in the EEA + UK + Switzerland. The obligation survives termination and is enforceable by injunction without a bond or a showing of irreparable harm.</w:t>
      </w:r>
    </w:p>
    <w:p>
      <w:pPr>
        <w:pStyle w:val="BodyText"/>
      </w:pPr>
      <w:r>
        <w:rPr>
          <w:b/>
          <w:bCs/>
        </w:rPr>
        <w:t xml:space="preserve">Why it matters.</w:t>
      </w:r>
      <w:r>
        <w:t xml:space="preserve"> </w:t>
      </w:r>
      <w:r>
        <w:t xml:space="preserve">(a) The open-ended 30% revenue definition is estimated to capture</w:t>
      </w:r>
      <w:r>
        <w:t xml:space="preserve"> </w:t>
      </w:r>
      <w:r>
        <w:rPr>
          <w:b/>
          <w:bCs/>
        </w:rPr>
        <w:t xml:space="preserve">25–30 additional companies</w:t>
      </w:r>
      <w:r>
        <w:t xml:space="preserve"> </w:t>
      </w:r>
      <w:r>
        <w:t xml:space="preserve">beyond the 12 named, including active prospects. Whitmore currently has</w:t>
      </w:r>
      <w:r>
        <w:t xml:space="preserve"> </w:t>
      </w:r>
      <w:r>
        <w:rPr>
          <w:b/>
          <w:bCs/>
        </w:rPr>
        <w:t xml:space="preserve">three late-stage European prospects</w:t>
      </w:r>
      <w:r>
        <w:t xml:space="preserve"> </w:t>
      </w:r>
      <w:r>
        <w:t xml:space="preserve">representing</w:t>
      </w:r>
      <w:r>
        <w:t xml:space="preserve"> </w:t>
      </w:r>
      <w:r>
        <w:rPr>
          <w:b/>
          <w:bCs/>
        </w:rPr>
        <w:t xml:space="preserve">~$4–5M in potential recurring SaaS revenue</w:t>
      </w:r>
      <w:r>
        <w:t xml:space="preserve"> </w:t>
      </w:r>
      <w:r>
        <w:t xml:space="preserve">that would be foreclosed. Against $47.3M FY 2024 revenue, a 3-year lockout of a major market segment could stunt growth and damage the Series C narrative. (b) The definition creates an</w:t>
      </w:r>
      <w:r>
        <w:t xml:space="preserve"> </w:t>
      </w:r>
      <w:r>
        <w:rPr>
          <w:b/>
          <w:bCs/>
        </w:rPr>
        <w:t xml:space="preserve">affirmative monitoring obligation</w:t>
      </w:r>
      <w:r>
        <w:t xml:space="preserve">: before engaging any European prospect, Whitmore would need to determine whether that entity derives &gt;30% of revenue from the covered sectors — practically impossible for privately held companies, subsidiaries of diversified conglomerates, or entities that do not disaggregate revenue. This creates perpetual</w:t>
      </w:r>
      <w:r>
        <w:t xml:space="preserve"> </w:t>
      </w:r>
      <w:r>
        <w:rPr>
          <w:b/>
          <w:bCs/>
        </w:rPr>
        <w:t xml:space="preserve">inadvertent-breach risk</w:t>
      </w:r>
      <w:r>
        <w:t xml:space="preserve"> </w:t>
      </w:r>
      <w:r>
        <w:t xml:space="preserve">with termination-for-cause and liquidated-damages exposure. (c)</w:t>
      </w:r>
      <w:r>
        <w:t xml:space="preserve"> </w:t>
      </w:r>
      <w:r>
        <w:rPr>
          <w:b/>
          <w:bCs/>
        </w:rPr>
        <w:t xml:space="preserve">Asymmetry:</w:t>
      </w:r>
      <w:r>
        <w:t xml:space="preserve"> </w:t>
      </w:r>
      <w:r>
        <w:t xml:space="preserve">KBI locks in favorable economics for up to</w:t>
      </w:r>
      <w:r>
        <w:t xml:space="preserve"> </w:t>
      </w:r>
      <w:r>
        <w:rPr>
          <w:b/>
          <w:bCs/>
        </w:rPr>
        <w:t xml:space="preserve">5 years</w:t>
      </w:r>
      <w:r>
        <w:t xml:space="preserve"> </w:t>
      </w:r>
      <w:r>
        <w:t xml:space="preserve">(expansion right) while Whitmore is locked</w:t>
      </w:r>
      <w:r>
        <w:t xml:space="preserve"> </w:t>
      </w:r>
      <w:r>
        <w:rPr>
          <w:b/>
          <w:bCs/>
        </w:rPr>
        <w:t xml:space="preserve">out</w:t>
      </w:r>
      <w:r>
        <w:t xml:space="preserve"> </w:t>
      </w:r>
      <w:r>
        <w:t xml:space="preserve">for 3 years. (d)</w:t>
      </w:r>
      <w:r>
        <w:t xml:space="preserve"> </w:t>
      </w:r>
      <w:r>
        <w:t xml:space="preserve">“</w:t>
      </w:r>
      <w:r>
        <w:t xml:space="preserve">Substantially similar</w:t>
      </w:r>
      <w:r>
        <w:t xml:space="preserve">”</w:t>
      </w:r>
      <w:r>
        <w:t xml:space="preserve"> </w:t>
      </w:r>
      <w:r>
        <w:t xml:space="preserve">successor/replacement language extends the restriction to future products.</w:t>
      </w:r>
    </w:p>
    <w:p>
      <w:pPr>
        <w:pStyle w:val="BodyText"/>
      </w:pPr>
      <w:r>
        <w:rPr>
          <w:b/>
          <w:bCs/>
        </w:rPr>
        <w:t xml:space="preserve">Recommendation.</w:t>
      </w:r>
      <w:r>
        <w:t xml:space="preserve"> </w:t>
      </w:r>
      <w:r>
        <w:t xml:space="preserve">Treat as a dealbreaker requiring fundamental narrowing:</w:t>
      </w:r>
    </w:p>
    <w:p>
      <w:pPr>
        <w:pStyle w:val="Compact"/>
        <w:numPr>
          <w:ilvl w:val="0"/>
          <w:numId w:val="1019"/>
        </w:numPr>
      </w:pPr>
      <w:r>
        <w:rPr>
          <w:b/>
          <w:bCs/>
        </w:rPr>
        <w:t xml:space="preserve">Strike the open-ended 30% revenue definition (§12.2(b)) entirely.</w:t>
      </w:r>
      <w:r>
        <w:t xml:space="preserve"> </w:t>
      </w:r>
      <w:r>
        <w:t xml:space="preserve">Limit</w:t>
      </w:r>
      <w:r>
        <w:t xml:space="preserve"> </w:t>
      </w:r>
      <w:r>
        <w:t xml:space="preserve">“</w:t>
      </w:r>
      <w:r>
        <w:t xml:space="preserve">Direct Competitor</w:t>
      </w:r>
      <w:r>
        <w:t xml:space="preserve">”</w:t>
      </w:r>
      <w:r>
        <w:t xml:space="preserve"> </w:t>
      </w:r>
      <w:r>
        <w:t xml:space="preserve">to a negotiated, fixed named-entity list.</w:t>
      </w:r>
    </w:p>
    <w:p>
      <w:pPr>
        <w:pStyle w:val="Compact"/>
        <w:numPr>
          <w:ilvl w:val="0"/>
          <w:numId w:val="1019"/>
        </w:numPr>
      </w:pPr>
      <w:r>
        <w:rPr>
          <w:b/>
          <w:bCs/>
        </w:rPr>
        <w:t xml:space="preserve">Shorten the period</w:t>
      </w:r>
      <w:r>
        <w:t xml:space="preserve"> </w:t>
      </w:r>
      <w:r>
        <w:t xml:space="preserve">to</w:t>
      </w:r>
      <w:r>
        <w:t xml:space="preserve"> </w:t>
      </w:r>
      <w:r>
        <w:rPr>
          <w:b/>
          <w:bCs/>
        </w:rPr>
        <w:t xml:space="preserve">18 months</w:t>
      </w:r>
      <w:r>
        <w:t xml:space="preserve"> </w:t>
      </w:r>
      <w:r>
        <w:t xml:space="preserve">(per CEO guidance), running from execution.</w:t>
      </w:r>
    </w:p>
    <w:p>
      <w:pPr>
        <w:pStyle w:val="Compact"/>
        <w:numPr>
          <w:ilvl w:val="0"/>
          <w:numId w:val="1019"/>
        </w:numPr>
      </w:pPr>
      <w:r>
        <w:rPr>
          <w:b/>
          <w:bCs/>
        </w:rPr>
        <w:t xml:space="preserve">Carve out</w:t>
      </w:r>
      <w:r>
        <w:t xml:space="preserve"> </w:t>
      </w:r>
      <w:r>
        <w:t xml:space="preserve">(i) prospects already in Whitmore’s pipeline as of a defined cut-off date (e.g., the term-sheet date), with a confidential list exchanged under NDA; (ii) any entity not on the agreed named list; (iii) successor products that are materially different from PredictIQ.</w:t>
      </w:r>
    </w:p>
    <w:p>
      <w:pPr>
        <w:pStyle w:val="Compact"/>
        <w:numPr>
          <w:ilvl w:val="0"/>
          <w:numId w:val="1019"/>
        </w:numPr>
      </w:pPr>
      <w:r>
        <w:rPr>
          <w:b/>
          <w:bCs/>
        </w:rPr>
        <w:t xml:space="preserve">Narrow</w:t>
      </w:r>
      <w:r>
        <w:rPr>
          <w:b/>
          <w:bCs/>
        </w:rPr>
        <w:t xml:space="preserve"> </w:t>
      </w:r>
      <w:r>
        <w:rPr>
          <w:b/>
          <w:bCs/>
        </w:rPr>
        <w:t xml:space="preserve">“</w:t>
      </w:r>
      <w:r>
        <w:rPr>
          <w:b/>
          <w:bCs/>
        </w:rPr>
        <w:t xml:space="preserve">substantially similar</w:t>
      </w:r>
      <w:r>
        <w:rPr>
          <w:b/>
          <w:bCs/>
        </w:rPr>
        <w:t xml:space="preserve">”</w:t>
      </w:r>
      <w:r>
        <w:t xml:space="preserve"> </w:t>
      </w:r>
      <w:r>
        <w:t xml:space="preserve">to the PredictIQ platform specifically (not the broader category of predictive-maintenance technology).</w:t>
      </w:r>
    </w:p>
    <w:p>
      <w:pPr>
        <w:pStyle w:val="Compact"/>
        <w:numPr>
          <w:ilvl w:val="0"/>
          <w:numId w:val="1019"/>
        </w:numPr>
      </w:pPr>
      <w:r>
        <w:rPr>
          <w:b/>
          <w:bCs/>
        </w:rPr>
        <w:t xml:space="preserve">Remedies:</w:t>
      </w:r>
      <w:r>
        <w:t xml:space="preserve"> </w:t>
      </w:r>
      <w:r>
        <w:t xml:space="preserve">require KBI to demonstrate irreparable harm and post a bond for injunctive relief; cap any liquidated damages; remove survival-on-termination (or limit survival to the balance of a shortened period only for material, willful breach).</w:t>
      </w:r>
    </w:p>
    <w:p>
      <w:pPr>
        <w:pStyle w:val="Compact"/>
        <w:numPr>
          <w:ilvl w:val="0"/>
          <w:numId w:val="1019"/>
        </w:numPr>
      </w:pPr>
      <w:r>
        <w:t xml:space="preserve">Consider whether any exclusivity is warranted at all given the deal’s size, or whether a narrower</w:t>
      </w:r>
      <w:r>
        <w:t xml:space="preserve"> </w:t>
      </w:r>
      <w:r>
        <w:t xml:space="preserve">“</w:t>
      </w:r>
      <w:r>
        <w:t xml:space="preserve">most-favored</w:t>
      </w:r>
      <w:r>
        <w:t xml:space="preserve">”</w:t>
      </w:r>
      <w:r>
        <w:t xml:space="preserve"> </w:t>
      </w:r>
      <w:r>
        <w:t xml:space="preserve">deployment right for KBI is a sufficient concession.</w:t>
      </w:r>
    </w:p>
    <w:bookmarkEnd w:id="44"/>
    <w:bookmarkStart w:id="45" w:name="X4319d444f1b6e680feeff970e579a405800fa70"/>
    <w:p>
      <w:pPr>
        <w:pStyle w:val="Heading3"/>
      </w:pPr>
      <w:r>
        <w:t xml:space="preserve">2. Data-Training Restriction + Output-Data Ownership — §4.2, §4.3 [CRITICAL]</w:t>
      </w:r>
    </w:p>
    <w:p>
      <w:pPr>
        <w:pStyle w:val="FirstParagraph"/>
      </w:pPr>
      <w:r>
        <w:rPr>
          <w:b/>
          <w:bCs/>
        </w:rPr>
        <w:t xml:space="preserve">Issue.</w:t>
      </w:r>
      <w:r>
        <w:t xml:space="preserve"> </w:t>
      </w:r>
      <w:r>
        <w:t xml:space="preserve">§4.3 prohibits Whitmore from using KBI Data —</w:t>
      </w:r>
      <w:r>
        <w:t xml:space="preserve"> </w:t>
      </w:r>
      <w:r>
        <w:rPr>
          <w:b/>
          <w:bCs/>
        </w:rPr>
        <w:t xml:space="preserve">even in anonymized or aggregated form</w:t>
      </w:r>
      <w:r>
        <w:t xml:space="preserve"> </w:t>
      </w:r>
      <w:r>
        <w:t xml:space="preserve">— to train, tune, or improve PredictIQ’s general-purpose ML models without KBI’s prior written consent, which KBI may withhold in its sole discretion. Separately, §4.2 defines</w:t>
      </w:r>
      <w:r>
        <w:t xml:space="preserve"> </w:t>
      </w:r>
      <w:r>
        <w:t xml:space="preserve">“</w:t>
      </w:r>
      <w:r>
        <w:t xml:space="preserve">Output Data</w:t>
      </w:r>
      <w:r>
        <w:t xml:space="preserve">”</w:t>
      </w:r>
      <w:r>
        <w:t xml:space="preserve"> </w:t>
      </w:r>
      <w:r>
        <w:t xml:space="preserve">to include</w:t>
      </w:r>
      <w:r>
        <w:t xml:space="preserve"> </w:t>
      </w:r>
      <w:r>
        <w:rPr>
          <w:b/>
          <w:bCs/>
        </w:rPr>
        <w:t xml:space="preserve">model weights, parameters, training artifacts, feature-importance rankings, and model-configuration data derived from KBI Data</w:t>
      </w:r>
      <w:r>
        <w:t xml:space="preserve">, and makes all Output Data the</w:t>
      </w:r>
      <w:r>
        <w:t xml:space="preserve"> </w:t>
      </w:r>
      <w:r>
        <w:rPr>
          <w:b/>
          <w:bCs/>
        </w:rPr>
        <w:t xml:space="preserve">sole and exclusive property of KBI</w:t>
      </w:r>
      <w:r>
        <w:t xml:space="preserve">.</w:t>
      </w:r>
    </w:p>
    <w:p>
      <w:pPr>
        <w:pStyle w:val="BodyText"/>
      </w:pPr>
      <w:r>
        <w:rPr>
          <w:b/>
          <w:bCs/>
        </w:rPr>
        <w:t xml:space="preserve">Why it matters.</w:t>
      </w:r>
      <w:r>
        <w:t xml:space="preserve"> </w:t>
      </w:r>
      <w:r>
        <w:t xml:space="preserve">PredictIQ’s competitive advantage depends on continuous model improvement through exposure to diverse, real-world operational data. KBI — 43 facilities across 12 countries and diverse manufacturing environments — would be Whitmore’s largest and most geographically/operationally diverse deployment; its data is uniquely valuable and irreplaceable in the current customer base. A blanket ban on anonymized/aggregated use would</w:t>
      </w:r>
      <w:r>
        <w:t xml:space="preserve"> </w:t>
      </w:r>
      <w:r>
        <w:rPr>
          <w:b/>
          <w:bCs/>
        </w:rPr>
        <w:t xml:space="preserve">degrade the product for all customers</w:t>
      </w:r>
      <w:r>
        <w:t xml:space="preserve"> </w:t>
      </w:r>
      <w:r>
        <w:t xml:space="preserve">and is an outlier vs. industry-standard SaaS/ML terms. Worse, the interaction of §4.2 and §4.3 could mean that model state shaped by KBI data in the ordinary course of providing services</w:t>
      </w:r>
      <w:r>
        <w:t xml:space="preserve"> </w:t>
      </w:r>
      <w:r>
        <w:rPr>
          <w:b/>
          <w:bCs/>
        </w:rPr>
        <w:t xml:space="preserve">becomes KBI’s property</w:t>
      </w:r>
      <w:r>
        <w:t xml:space="preserve"> </w:t>
      </w:r>
      <w:r>
        <w:t xml:space="preserve">— i.e., every customer interaction makes PredictIQ</w:t>
      </w:r>
      <w:r>
        <w:t xml:space="preserve"> </w:t>
      </w:r>
      <w:r>
        <w:t xml:space="preserve">“</w:t>
      </w:r>
      <w:r>
        <w:t xml:space="preserve">less ours.</w:t>
      </w:r>
      <w:r>
        <w:t xml:space="preserve">”</w:t>
      </w:r>
      <w:r>
        <w:t xml:space="preserve"> </w:t>
      </w:r>
      <w:r>
        <w:t xml:space="preserve">This is a fundamental threat to Whitmore’s product roadmap and to the IP/valuation thesis on which any Series C would rest.</w:t>
      </w:r>
    </w:p>
    <w:p>
      <w:pPr>
        <w:pStyle w:val="BodyText"/>
      </w:pPr>
      <w:r>
        <w:rPr>
          <w:b/>
          <w:bCs/>
        </w:rPr>
        <w:t xml:space="preserve">Recommendation.</w:t>
      </w:r>
      <w:r>
        <w:t xml:space="preserve"> </w:t>
      </w:r>
      <w:r>
        <w:t xml:space="preserve">Treat as a dealbreaker; the CEO has stated anonymized/aggregated model-improvement use is non-negotiable:</w:t>
      </w:r>
    </w:p>
    <w:p>
      <w:pPr>
        <w:pStyle w:val="Compact"/>
        <w:numPr>
          <w:ilvl w:val="0"/>
          <w:numId w:val="1020"/>
        </w:numPr>
      </w:pPr>
      <w:r>
        <w:rPr>
          <w:b/>
          <w:bCs/>
        </w:rPr>
        <w:t xml:space="preserve">Carve out</w:t>
      </w:r>
      <w:r>
        <w:t xml:space="preserve"> </w:t>
      </w:r>
      <w:r>
        <w:t xml:space="preserve">an express right for Whitmore to use</w:t>
      </w:r>
      <w:r>
        <w:t xml:space="preserve"> </w:t>
      </w:r>
      <w:r>
        <w:rPr>
          <w:b/>
          <w:bCs/>
        </w:rPr>
        <w:t xml:space="preserve">anonymized and aggregated</w:t>
      </w:r>
      <w:r>
        <w:t xml:space="preserve"> </w:t>
      </w:r>
      <w:r>
        <w:t xml:space="preserve">KBI Data to train and improve PredictIQ’s general ML models, subject to: (i) industry-standard anonymization/pseudonymization techniques; (ii) a</w:t>
      </w:r>
      <w:r>
        <w:t xml:space="preserve"> </w:t>
      </w:r>
      <w:r>
        <w:rPr>
          <w:b/>
          <w:bCs/>
        </w:rPr>
        <w:t xml:space="preserve">minimum aggregation pool size</w:t>
      </w:r>
      <w:r>
        <w:t xml:space="preserve"> </w:t>
      </w:r>
      <w:r>
        <w:t xml:space="preserve">so individual KBI data cannot be reverse-identified; (iii) contractual commitments and (iv) optional</w:t>
      </w:r>
      <w:r>
        <w:t xml:space="preserve"> </w:t>
      </w:r>
      <w:r>
        <w:rPr>
          <w:b/>
          <w:bCs/>
        </w:rPr>
        <w:t xml:space="preserve">third-party verification</w:t>
      </w:r>
      <w:r>
        <w:t xml:space="preserve"> </w:t>
      </w:r>
      <w:r>
        <w:t xml:space="preserve">of the anonymization process at KBI’s request.</w:t>
      </w:r>
    </w:p>
    <w:p>
      <w:pPr>
        <w:pStyle w:val="Compact"/>
        <w:numPr>
          <w:ilvl w:val="0"/>
          <w:numId w:val="1020"/>
        </w:numPr>
      </w:pPr>
      <w:r>
        <w:rPr>
          <w:b/>
          <w:bCs/>
        </w:rPr>
        <w:t xml:space="preserve">Restructure §4.2 Output Data:</w:t>
      </w:r>
      <w:r>
        <w:t xml:space="preserve"> </w:t>
      </w:r>
      <w:r>
        <w:t xml:space="preserve">KBI should own its</w:t>
      </w:r>
      <w:r>
        <w:t xml:space="preserve"> </w:t>
      </w:r>
      <w:r>
        <w:rPr>
          <w:b/>
          <w:bCs/>
        </w:rPr>
        <w:t xml:space="preserve">raw KBI Data</w:t>
      </w:r>
      <w:r>
        <w:t xml:space="preserve"> </w:t>
      </w:r>
      <w:r>
        <w:t xml:space="preserve">and</w:t>
      </w:r>
      <w:r>
        <w:t xml:space="preserve"> </w:t>
      </w:r>
      <w:r>
        <w:rPr>
          <w:b/>
          <w:bCs/>
        </w:rPr>
        <w:t xml:space="preserve">business-facing outputs</w:t>
      </w:r>
      <w:r>
        <w:t xml:space="preserve"> </w:t>
      </w:r>
      <w:r>
        <w:t xml:space="preserve">(reports, predictions, alerts, dashboards).</w:t>
      </w:r>
      <w:r>
        <w:t xml:space="preserve"> </w:t>
      </w:r>
      <w:r>
        <w:rPr>
          <w:b/>
          <w:bCs/>
        </w:rPr>
        <w:t xml:space="preserve">Exclude from</w:t>
      </w:r>
      <w:r>
        <w:rPr>
          <w:b/>
          <w:bCs/>
        </w:rPr>
        <w:t xml:space="preserve"> </w:t>
      </w:r>
      <w:r>
        <w:rPr>
          <w:b/>
          <w:bCs/>
        </w:rPr>
        <w:t xml:space="preserve">“</w:t>
      </w:r>
      <w:r>
        <w:rPr>
          <w:b/>
          <w:bCs/>
        </w:rPr>
        <w:t xml:space="preserve">Output Data</w:t>
      </w:r>
      <w:r>
        <w:rPr>
          <w:b/>
          <w:bCs/>
        </w:rPr>
        <w:t xml:space="preserve">”</w:t>
      </w:r>
      <w:r>
        <w:t xml:space="preserve"> </w:t>
      </w:r>
      <w:r>
        <w:t xml:space="preserve">— and reserve to Whitmore — all</w:t>
      </w:r>
      <w:r>
        <w:t xml:space="preserve"> </w:t>
      </w:r>
      <w:r>
        <w:rPr>
          <w:b/>
          <w:bCs/>
        </w:rPr>
        <w:t xml:space="preserve">model weights, parameters, training artifacts, feature-importance rankings, and model-configuration data</w:t>
      </w:r>
      <w:r>
        <w:t xml:space="preserve"> </w:t>
      </w:r>
      <w:r>
        <w:t xml:space="preserve">that result from processing data in the ordinary course of providing services. Whitmore’s models and model improvements remain Whitmore’s IP.</w:t>
      </w:r>
    </w:p>
    <w:p>
      <w:pPr>
        <w:pStyle w:val="Compact"/>
        <w:numPr>
          <w:ilvl w:val="0"/>
          <w:numId w:val="1020"/>
        </w:numPr>
      </w:pPr>
      <w:r>
        <w:t xml:space="preserve">Preserve KBI’s right to return/deletion of its raw KBI Data on termination (§4.4), consistent with GDPR.</w:t>
      </w:r>
    </w:p>
    <w:p>
      <w:pPr>
        <w:pStyle w:val="Compact"/>
        <w:numPr>
          <w:ilvl w:val="0"/>
          <w:numId w:val="1020"/>
        </w:numPr>
      </w:pPr>
      <w:r>
        <w:t xml:space="preserve">Align §3.5 (KBI-Inspired Improvements) so that the KBI license to use such improvements is</w:t>
      </w:r>
      <w:r>
        <w:t xml:space="preserve"> </w:t>
      </w:r>
      <w:r>
        <w:rPr>
          <w:b/>
          <w:bCs/>
        </w:rPr>
        <w:t xml:space="preserve">non-exclusive</w:t>
      </w:r>
      <w:r>
        <w:t xml:space="preserve"> </w:t>
      </w:r>
      <w:r>
        <w:t xml:space="preserve">and limited to KBI’s own manufacturing operations, and does not extend to or constrain Whitmore’s general product.</w:t>
      </w:r>
    </w:p>
    <w:bookmarkEnd w:id="45"/>
    <w:bookmarkStart w:id="46" w:name="X15cafeddf1c8eb986bcaa5d9ddf3ee692229695"/>
    <w:p>
      <w:pPr>
        <w:pStyle w:val="Heading3"/>
      </w:pPr>
      <w:r>
        <w:t xml:space="preserve">3. Most-Favored-Customer Side Letter [CRITICAL]</w:t>
      </w:r>
    </w:p>
    <w:p>
      <w:pPr>
        <w:pStyle w:val="FirstParagraph"/>
      </w:pPr>
      <w:r>
        <w:rPr>
          <w:b/>
          <w:bCs/>
        </w:rPr>
        <w:t xml:space="preserve">Issue.</w:t>
      </w:r>
      <w:r>
        <w:t xml:space="preserve"> </w:t>
      </w:r>
      <w:r>
        <w:t xml:space="preserve">A perpetual MFC: if Whitmore grants any Subsequent Licensee a lower effective per-facility price for PredictIQ (or any successor/derivative/substantially similar technology) — during the term</w:t>
      </w:r>
      <w:r>
        <w:t xml:space="preserve"> </w:t>
      </w:r>
      <w:r>
        <w:rPr>
          <w:b/>
          <w:bCs/>
        </w:rPr>
        <w:t xml:space="preserve">or thereafter for so long as KBI retains any license rights (including the wind-down license)</w:t>
      </w:r>
      <w:r>
        <w:t xml:space="preserve"> </w:t>
      </w:r>
      <w:r>
        <w:t xml:space="preserve">— Whitmore must notify KBI within 30 days and</w:t>
      </w:r>
      <w:r>
        <w:t xml:space="preserve"> </w:t>
      </w:r>
      <w:r>
        <w:rPr>
          <w:b/>
          <w:bCs/>
        </w:rPr>
        <w:t xml:space="preserve">retroactively adjust KBI’s pricing to match</w:t>
      </w:r>
      <w:r>
        <w:t xml:space="preserve">, effective as of the date the better terms were first offered, with a credit for the aggregate overpayment. The</w:t>
      </w:r>
      <w:r>
        <w:t xml:space="preserve"> </w:t>
      </w:r>
      <w:r>
        <w:t xml:space="preserve">“</w:t>
      </w:r>
      <w:r>
        <w:t xml:space="preserve">effective per-facility price</w:t>
      </w:r>
      <w:r>
        <w:t xml:space="preserve">”</w:t>
      </w:r>
      <w:r>
        <w:t xml:space="preserve"> </w:t>
      </w:r>
      <w:r>
        <w:t xml:space="preserve">sweeps in</w:t>
      </w:r>
      <w:r>
        <w:t xml:space="preserve"> </w:t>
      </w:r>
      <w:r>
        <w:rPr>
          <w:b/>
          <w:bCs/>
        </w:rPr>
        <w:t xml:space="preserve">all</w:t>
      </w:r>
      <w:r>
        <w:t xml:space="preserve"> </w:t>
      </w:r>
      <w:r>
        <w:t xml:space="preserve">fee types (license, subscription, maintenance, implementation/professional services) divided by facility count. KBI has an annual audit right (at Whitmore’s expense if a ≥5% discrepancy is found). Acceptance is a</w:t>
      </w:r>
      <w:r>
        <w:t xml:space="preserve"> </w:t>
      </w:r>
      <w:r>
        <w:rPr>
          <w:b/>
          <w:bCs/>
        </w:rPr>
        <w:t xml:space="preserve">condition precedent</w:t>
      </w:r>
      <w:r>
        <w:t xml:space="preserve"> </w:t>
      </w:r>
      <w:r>
        <w:t xml:space="preserve">to the deal and to KBI’s adherence to the timeline.</w:t>
      </w:r>
    </w:p>
    <w:p>
      <w:pPr>
        <w:pStyle w:val="BodyText"/>
      </w:pPr>
      <w:r>
        <w:rPr>
          <w:b/>
          <w:bCs/>
        </w:rPr>
        <w:t xml:space="preserve">Why it matters.</w:t>
      </w:r>
      <w:r>
        <w:t xml:space="preserve"> </w:t>
      </w:r>
      <w:r>
        <w:t xml:space="preserve">This is, in the GC’s words,</w:t>
      </w:r>
      <w:r>
        <w:t xml:space="preserve"> </w:t>
      </w:r>
      <w:r>
        <w:t xml:space="preserve">“</w:t>
      </w:r>
      <w:r>
        <w:t xml:space="preserve">the most aggressive MFC clause</w:t>
      </w:r>
      <w:r>
        <w:t xml:space="preserve">”</w:t>
      </w:r>
      <w:r>
        <w:t xml:space="preserve"> </w:t>
      </w:r>
      <w:r>
        <w:t xml:space="preserve">she has seen. It has</w:t>
      </w:r>
      <w:r>
        <w:t xml:space="preserve"> </w:t>
      </w:r>
      <w:r>
        <w:rPr>
          <w:b/>
          <w:bCs/>
        </w:rPr>
        <w:t xml:space="preserve">no sunset, no carve-outs, and no de minimis threshold</w:t>
      </w:r>
      <w:r>
        <w:t xml:space="preserve">; it survives termination via the wind-down license (potentially indefinitely); the all-in fee numerator combined with a facility-count denominator invites apples-to-oranges comparisons that could be gamed by licensees with different structures; and the retroactive-credit mechanic creates open-ended rebate exposure and accounting complexity. It would commoditize Whitmore’s pricing and constrain commercial flexibility across its entire customer base. Because KBI conditions the deal on it, outright rejection is commercially difficult — but acceptance as drafted is not advisable.</w:t>
      </w:r>
    </w:p>
    <w:p>
      <w:pPr>
        <w:pStyle w:val="BodyText"/>
      </w:pPr>
      <w:r>
        <w:rPr>
          <w:b/>
          <w:bCs/>
        </w:rPr>
        <w:t xml:space="preserve">Recommendation.</w:t>
      </w:r>
      <w:r>
        <w:t xml:space="preserve"> </w:t>
      </w:r>
      <w:r>
        <w:t xml:space="preserve">Negotiate a materially narrowed MFC as the price of the deal:</w:t>
      </w:r>
    </w:p>
    <w:p>
      <w:pPr>
        <w:pStyle w:val="Compact"/>
        <w:numPr>
          <w:ilvl w:val="0"/>
          <w:numId w:val="1021"/>
        </w:numPr>
      </w:pPr>
      <w:r>
        <w:rPr>
          <w:b/>
          <w:bCs/>
        </w:rPr>
        <w:t xml:space="preserve">Add a sunset</w:t>
      </w:r>
      <w:r>
        <w:t xml:space="preserve"> </w:t>
      </w:r>
      <w:r>
        <w:t xml:space="preserve">(e.g., 3 years from execution) and tie survival to the active term only (not the wind-down license).</w:t>
      </w:r>
    </w:p>
    <w:p>
      <w:pPr>
        <w:pStyle w:val="Compact"/>
        <w:numPr>
          <w:ilvl w:val="0"/>
          <w:numId w:val="1021"/>
        </w:numPr>
      </w:pPr>
      <w:r>
        <w:rPr>
          <w:b/>
          <w:bCs/>
        </w:rPr>
        <w:t xml:space="preserve">Add carve-outs:</w:t>
      </w:r>
      <w:r>
        <w:t xml:space="preserve"> </w:t>
      </w:r>
      <w:r>
        <w:t xml:space="preserve">different geographies; different product editions/modules; promotional, time-limited, or below-cost discounts; government/academic/non-profit; pre-existing customers and renewals; deals below a de minimis ACV threshold; different deployment models (e.g., pure-SaaS vs. on-prem); and any deal disclosed to and approved by KBI.</w:t>
      </w:r>
    </w:p>
    <w:p>
      <w:pPr>
        <w:pStyle w:val="Compact"/>
        <w:numPr>
          <w:ilvl w:val="0"/>
          <w:numId w:val="1021"/>
        </w:numPr>
      </w:pPr>
      <w:r>
        <w:rPr>
          <w:b/>
          <w:bCs/>
        </w:rPr>
        <w:t xml:space="preserve">Narrow</w:t>
      </w:r>
      <w:r>
        <w:rPr>
          <w:b/>
          <w:bCs/>
        </w:rPr>
        <w:t xml:space="preserve"> </w:t>
      </w:r>
      <w:r>
        <w:rPr>
          <w:b/>
          <w:bCs/>
        </w:rPr>
        <w:t xml:space="preserve">“</w:t>
      </w:r>
      <w:r>
        <w:rPr>
          <w:b/>
          <w:bCs/>
        </w:rPr>
        <w:t xml:space="preserve">Subsequent Licensee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substantially similar technology</w:t>
      </w:r>
      <w:r>
        <w:rPr>
          <w:b/>
          <w:bCs/>
        </w:rPr>
        <w:t xml:space="preserve">”</w:t>
      </w:r>
      <w:r>
        <w:t xml:space="preserve"> </w:t>
      </w:r>
      <w:r>
        <w:t xml:space="preserve">to PredictIQ licenses of comparable scope.</w:t>
      </w:r>
    </w:p>
    <w:p>
      <w:pPr>
        <w:pStyle w:val="Compact"/>
        <w:numPr>
          <w:ilvl w:val="0"/>
          <w:numId w:val="1021"/>
        </w:numPr>
      </w:pPr>
      <w:r>
        <w:rPr>
          <w:b/>
          <w:bCs/>
        </w:rPr>
        <w:t xml:space="preserve">Cap the retroactive look-back</w:t>
      </w:r>
      <w:r>
        <w:t xml:space="preserve"> </w:t>
      </w:r>
      <w:r>
        <w:t xml:space="preserve">(e.g., 12 months) and limit credits to prospective adjustments plus a capped true-up.</w:t>
      </w:r>
    </w:p>
    <w:p>
      <w:pPr>
        <w:pStyle w:val="Compact"/>
        <w:numPr>
          <w:ilvl w:val="0"/>
          <w:numId w:val="1021"/>
        </w:numPr>
      </w:pPr>
      <w:r>
        <w:rPr>
          <w:b/>
          <w:bCs/>
        </w:rPr>
        <w:t xml:space="preserve">Limit audit scope/frequency</w:t>
      </w:r>
      <w:r>
        <w:t xml:space="preserve"> </w:t>
      </w:r>
      <w:r>
        <w:t xml:space="preserve">(already annual) and add confidentiality and a damages floor for frivolous audits; require the auditor to use an agreed methodology.</w:t>
      </w:r>
    </w:p>
    <w:p>
      <w:pPr>
        <w:pStyle w:val="Compact"/>
        <w:numPr>
          <w:ilvl w:val="0"/>
          <w:numId w:val="1021"/>
        </w:numPr>
      </w:pPr>
      <w:r>
        <w:t xml:space="preserve">Consider making the MFC</w:t>
      </w:r>
      <w:r>
        <w:t xml:space="preserve"> </w:t>
      </w:r>
      <w:r>
        <w:rPr>
          <w:b/>
          <w:bCs/>
        </w:rPr>
        <w:t xml:space="preserve">mutual</w:t>
      </w:r>
      <w:r>
        <w:t xml:space="preserve"> </w:t>
      </w:r>
      <w:r>
        <w:t xml:space="preserve">or conditioning it on KBI meeting volume/term commitments.</w:t>
      </w:r>
    </w:p>
    <w:p>
      <w:pPr>
        <w:pStyle w:val="Compact"/>
        <w:numPr>
          <w:ilvl w:val="0"/>
          <w:numId w:val="1021"/>
        </w:numPr>
      </w:pPr>
      <w:r>
        <w:rPr>
          <w:b/>
          <w:bCs/>
        </w:rPr>
        <w:t xml:space="preserve">Diligence note:</w:t>
      </w:r>
      <w:r>
        <w:t xml:space="preserve"> </w:t>
      </w:r>
      <w:r>
        <w:t xml:space="preserve">the GC’s email references a retroactive look-back</w:t>
      </w:r>
      <w:r>
        <w:t xml:space="preserve"> </w:t>
      </w:r>
      <w:r>
        <w:t xml:space="preserve">“</w:t>
      </w:r>
      <w:r>
        <w:t xml:space="preserve">to any pricing concessions Whitmore has offered to other customers since January 1, 2024.</w:t>
      </w:r>
      <w:r>
        <w:t xml:space="preserve">”</w:t>
      </w:r>
      <w:r>
        <w:t xml:space="preserve"> </w:t>
      </w:r>
      <w:r>
        <w:t xml:space="preserve">That date does</w:t>
      </w:r>
      <w:r>
        <w:t xml:space="preserve"> </w:t>
      </w:r>
      <w:r>
        <w:rPr>
          <w:b/>
          <w:bCs/>
        </w:rPr>
        <w:t xml:space="preserve">not</w:t>
      </w:r>
      <w:r>
        <w:t xml:space="preserve"> </w:t>
      </w:r>
      <w:r>
        <w:t xml:space="preserve">appear in the side-letter text as provided. Confirm with KBI whether a pre-execution look-back is intended; if so, resist it.</w:t>
      </w:r>
    </w:p>
    <w:bookmarkEnd w:id="46"/>
    <w:bookmarkStart w:id="47" w:name="uncapped-ip-indemnification-9.1-high"/>
    <w:p>
      <w:pPr>
        <w:pStyle w:val="Heading3"/>
      </w:pPr>
      <w:r>
        <w:t xml:space="preserve">4. Uncapped IP Indemnification — §9.1 [HIGH]</w:t>
      </w:r>
    </w:p>
    <w:p>
      <w:pPr>
        <w:pStyle w:val="FirstParagraph"/>
      </w:pPr>
      <w:r>
        <w:rPr>
          <w:b/>
          <w:bCs/>
        </w:rPr>
        <w:t xml:space="preserve">Issue.</w:t>
      </w:r>
      <w:r>
        <w:t xml:space="preserve"> </w:t>
      </w:r>
      <w:r>
        <w:t xml:space="preserve">Whitmore’s IP indemnity to KBI is</w:t>
      </w:r>
      <w:r>
        <w:t xml:space="preserve"> </w:t>
      </w:r>
      <w:r>
        <w:rPr>
          <w:b/>
          <w:bCs/>
        </w:rPr>
        <w:t xml:space="preserve">expressly excluded from the limitation-of-liability cap</w:t>
      </w:r>
      <w:r>
        <w:t xml:space="preserve"> </w:t>
      </w:r>
      <w:r>
        <w:t xml:space="preserve">— i.e., uncapped — for any third-party claim that KBI’s authorized use of PredictIQ infringes IP.</w:t>
      </w:r>
    </w:p>
    <w:p>
      <w:pPr>
        <w:pStyle w:val="BodyText"/>
      </w:pPr>
      <w:r>
        <w:rPr>
          <w:b/>
          <w:bCs/>
        </w:rPr>
        <w:t xml:space="preserve">Why it matters.</w:t>
      </w:r>
      <w:r>
        <w:t xml:space="preserve"> </w:t>
      </w:r>
      <w:r>
        <w:t xml:space="preserve">The ML/AI patent landscape is dense and uncertain; even with 14 issued patents and 3 pending applications, third-party infringement assertions are a real and potentially catastrophic exposure. An uncapped indemnity, combined with Whitmore’s obligation to procure/modify/replace (§9.2), creates open-ended cost and product-disruption risk disproportionate to the deal economics.</w:t>
      </w:r>
    </w:p>
    <w:p>
      <w:pPr>
        <w:pStyle w:val="BodyText"/>
      </w:pPr>
      <w:r>
        <w:rPr>
          <w:b/>
          <w:bCs/>
        </w:rPr>
        <w:t xml:space="preserve">Recommendation.</w:t>
      </w:r>
    </w:p>
    <w:p>
      <w:pPr>
        <w:pStyle w:val="Compact"/>
        <w:numPr>
          <w:ilvl w:val="0"/>
          <w:numId w:val="1022"/>
        </w:numPr>
      </w:pPr>
      <w:r>
        <w:rPr>
          <w:b/>
          <w:bCs/>
        </w:rPr>
        <w:t xml:space="preserve">Cap the IP indemnity</w:t>
      </w:r>
      <w:r>
        <w:t xml:space="preserve"> </w:t>
      </w:r>
      <w:r>
        <w:t xml:space="preserve">at a meaningful multiple of fees (e.g., the $15M super-cap, or 2×–3× trailing-12-month fees) or tie it to available</w:t>
      </w:r>
      <w:r>
        <w:t xml:space="preserve"> </w:t>
      </w:r>
      <w:r>
        <w:rPr>
          <w:b/>
          <w:bCs/>
        </w:rPr>
        <w:t xml:space="preserve">IP-infringement insurance</w:t>
      </w:r>
      <w:r>
        <w:t xml:space="preserve"> </w:t>
      </w:r>
      <w:r>
        <w:t xml:space="preserve">limits (and obtain such insurance).</w:t>
      </w:r>
    </w:p>
    <w:p>
      <w:pPr>
        <w:pStyle w:val="Compact"/>
        <w:numPr>
          <w:ilvl w:val="0"/>
          <w:numId w:val="1022"/>
        </w:numPr>
      </w:pPr>
      <w:r>
        <w:t xml:space="preserve">Add</w:t>
      </w:r>
      <w:r>
        <w:t xml:space="preserve"> </w:t>
      </w:r>
      <w:r>
        <w:rPr>
          <w:b/>
          <w:bCs/>
        </w:rPr>
        <w:t xml:space="preserve">exclusions</w:t>
      </w:r>
      <w:r>
        <w:t xml:space="preserve"> </w:t>
      </w:r>
      <w:r>
        <w:t xml:space="preserve">where infringement arises from KBI’s unauthorized modifications, derivative works, combinations with third-party systems, or use outside the Documentation.</w:t>
      </w:r>
    </w:p>
    <w:p>
      <w:pPr>
        <w:pStyle w:val="Compact"/>
        <w:numPr>
          <w:ilvl w:val="0"/>
          <w:numId w:val="1022"/>
        </w:numPr>
      </w:pPr>
      <w:r>
        <w:t xml:space="preserve">Preserve Whitmore’s sole control of defense/settlement (§9.4) and add a requirement that KBI not settle without Whitmore’s consent.</w:t>
      </w:r>
    </w:p>
    <w:p>
      <w:pPr>
        <w:pStyle w:val="Compact"/>
        <w:numPr>
          <w:ilvl w:val="0"/>
          <w:numId w:val="1022"/>
        </w:numPr>
      </w:pPr>
      <w:r>
        <w:t xml:space="preserve">Retain the</w:t>
      </w:r>
      <w:r>
        <w:t xml:space="preserve"> </w:t>
      </w:r>
      <w:r>
        <w:t xml:space="preserve">“</w:t>
      </w:r>
      <w:r>
        <w:t xml:space="preserve">to Whitmore’s knowledge</w:t>
      </w:r>
      <w:r>
        <w:t xml:space="preserve">”</w:t>
      </w:r>
      <w:r>
        <w:t xml:space="preserve"> </w:t>
      </w:r>
      <w:r>
        <w:t xml:space="preserve">qualifier in the IP warranty (§8.4(b)) and ensure the indemnity tracks that knowledge qualifier.</w:t>
      </w:r>
    </w:p>
    <w:bookmarkEnd w:id="47"/>
    <w:bookmarkStart w:id="48" w:name="Xe03b97ea42590b0abea33bee26c34e67078d6ba"/>
    <w:p>
      <w:pPr>
        <w:pStyle w:val="Heading3"/>
      </w:pPr>
      <w:r>
        <w:t xml:space="preserve">5. Performance Warranty with Financial Penalties — §8.2, §8.3 [HIGH]</w:t>
      </w:r>
    </w:p>
    <w:p>
      <w:pPr>
        <w:pStyle w:val="FirstParagraph"/>
      </w:pPr>
      <w:r>
        <w:rPr>
          <w:b/>
          <w:bCs/>
        </w:rPr>
        <w:t xml:space="preserve">Issue.</w:t>
      </w:r>
      <w:r>
        <w:t xml:space="preserve"> </w:t>
      </w:r>
      <w:r>
        <w:t xml:space="preserve">A hard</w:t>
      </w:r>
      <w:r>
        <w:t xml:space="preserve"> </w:t>
      </w:r>
      <w:r>
        <w:rPr>
          <w:b/>
          <w:bCs/>
        </w:rPr>
        <w:t xml:space="preserve">92% prediction-accuracy warranty</w:t>
      </w:r>
      <w:r>
        <w:t xml:space="preserve"> </w:t>
      </w:r>
      <w:r>
        <w:t xml:space="preserve">on a rolling 90-day basis across all deployed facilities, with a credit of</w:t>
      </w:r>
      <w:r>
        <w:t xml:space="preserve"> </w:t>
      </w:r>
      <w:r>
        <w:rPr>
          <w:b/>
          <w:bCs/>
        </w:rPr>
        <w:t xml:space="preserve">$35,625 per percentage point</w:t>
      </w:r>
      <w:r>
        <w:t xml:space="preserve"> </w:t>
      </w:r>
      <w:r>
        <w:t xml:space="preserve">below 92% per quarter, and a termination-for-cause right if accuracy falls below 85% for two consecutive quarters. Accuracy is measured against</w:t>
      </w:r>
      <w:r>
        <w:t xml:space="preserve"> </w:t>
      </w:r>
      <w:r>
        <w:rPr>
          <w:b/>
          <w:bCs/>
        </w:rPr>
        <w:t xml:space="preserve">KBI’s maintenance logs</w:t>
      </w:r>
      <w:r>
        <w:t xml:space="preserve">.</w:t>
      </w:r>
    </w:p>
    <w:p>
      <w:pPr>
        <w:pStyle w:val="BodyText"/>
      </w:pPr>
      <w:r>
        <w:rPr>
          <w:b/>
          <w:bCs/>
        </w:rPr>
        <w:t xml:space="preserve">Why it matters.</w:t>
      </w:r>
      <w:r>
        <w:t xml:space="preserve"> </w:t>
      </w:r>
      <w:r>
        <w:t xml:space="preserve">Prediction accuracy in predictive maintenance is highly sensitive to</w:t>
      </w:r>
      <w:r>
        <w:t xml:space="preserve"> </w:t>
      </w:r>
      <w:r>
        <w:rPr>
          <w:b/>
          <w:bCs/>
        </w:rPr>
        <w:t xml:space="preserve">data quality, sensor calibration, environmental variables, and proper operational use</w:t>
      </w:r>
      <w:r>
        <w:t xml:space="preserve"> </w:t>
      </w:r>
      <w:r>
        <w:t xml:space="preserve">— many of which are outside Whitmore’s control and inside KBI’s. A hard 92% metric measured against KBI-controlled logs creates both financial-penalty and termination exposure driven by factors Whitmore does not manage. The</w:t>
      </w:r>
      <w:r>
        <w:t xml:space="preserve"> </w:t>
      </w:r>
      <w:r>
        <w:t xml:space="preserve">“</w:t>
      </w:r>
      <w:r>
        <w:t xml:space="preserve">≥48 hours in advance</w:t>
      </w:r>
      <w:r>
        <w:t xml:space="preserve">”</w:t>
      </w:r>
      <w:r>
        <w:t xml:space="preserve"> </w:t>
      </w:r>
      <w:r>
        <w:t xml:space="preserve">and</w:t>
      </w:r>
      <w:r>
        <w:t xml:space="preserve"> </w:t>
      </w:r>
      <w:r>
        <w:t xml:space="preserve">“</w:t>
      </w:r>
      <w:r>
        <w:t xml:space="preserve">correctly predicted</w:t>
      </w:r>
      <w:r>
        <w:t xml:space="preserve">”</w:t>
      </w:r>
      <w:r>
        <w:t xml:space="preserve"> </w:t>
      </w:r>
      <w:r>
        <w:t xml:space="preserve">definitions, and the measurement methodology, need scrutiny.</w:t>
      </w:r>
    </w:p>
    <w:p>
      <w:pPr>
        <w:pStyle w:val="BodyText"/>
      </w:pPr>
      <w:r>
        <w:rPr>
          <w:b/>
          <w:bCs/>
        </w:rPr>
        <w:t xml:space="preserve">Recommendation.</w:t>
      </w:r>
    </w:p>
    <w:p>
      <w:pPr>
        <w:pStyle w:val="Compact"/>
        <w:numPr>
          <w:ilvl w:val="0"/>
          <w:numId w:val="1023"/>
        </w:numPr>
      </w:pPr>
      <w:r>
        <w:t xml:space="preserve">Add</w:t>
      </w:r>
      <w:r>
        <w:t xml:space="preserve"> </w:t>
      </w:r>
      <w:r>
        <w:rPr>
          <w:b/>
          <w:bCs/>
        </w:rPr>
        <w:t xml:space="preserve">conditions precedent</w:t>
      </w:r>
      <w:r>
        <w:t xml:space="preserve"> </w:t>
      </w:r>
      <w:r>
        <w:t xml:space="preserve">tying the warranty to KBI’s compliance with system requirements (§6.3), data-quality standards, sensor maintenance/calibration, and proper use per Documentation.</w:t>
      </w:r>
    </w:p>
    <w:p>
      <w:pPr>
        <w:pStyle w:val="Compact"/>
        <w:numPr>
          <w:ilvl w:val="0"/>
          <w:numId w:val="1023"/>
        </w:numPr>
      </w:pPr>
      <w:r>
        <w:t xml:space="preserve">Define the</w:t>
      </w:r>
      <w:r>
        <w:t xml:space="preserve"> </w:t>
      </w:r>
      <w:r>
        <w:rPr>
          <w:b/>
          <w:bCs/>
        </w:rPr>
        <w:t xml:space="preserve">measurement methodology neutrally</w:t>
      </w:r>
      <w:r>
        <w:t xml:space="preserve"> </w:t>
      </w:r>
      <w:r>
        <w:t xml:space="preserve">— an agreed test protocol and/or independent verification, rather than reliance solely on KBI’s maintenance logs.</w:t>
      </w:r>
    </w:p>
    <w:p>
      <w:pPr>
        <w:pStyle w:val="Compact"/>
        <w:numPr>
          <w:ilvl w:val="0"/>
          <w:numId w:val="1023"/>
        </w:numPr>
      </w:pPr>
      <w:r>
        <w:t xml:space="preserve">Add a</w:t>
      </w:r>
      <w:r>
        <w:t xml:space="preserve"> </w:t>
      </w:r>
      <w:r>
        <w:rPr>
          <w:b/>
          <w:bCs/>
        </w:rPr>
        <w:t xml:space="preserve">grace/cure period</w:t>
      </w:r>
      <w:r>
        <w:t xml:space="preserve"> </w:t>
      </w:r>
      <w:r>
        <w:t xml:space="preserve">before credits accrue, and</w:t>
      </w:r>
      <w:r>
        <w:t xml:space="preserve"> </w:t>
      </w:r>
      <w:r>
        <w:rPr>
          <w:b/>
          <w:bCs/>
        </w:rPr>
        <w:t xml:space="preserve">cap aggregate credits</w:t>
      </w:r>
      <w:r>
        <w:t xml:space="preserve"> </w:t>
      </w:r>
      <w:r>
        <w:t xml:space="preserve">per year.</w:t>
      </w:r>
    </w:p>
    <w:p>
      <w:pPr>
        <w:pStyle w:val="Compact"/>
        <w:numPr>
          <w:ilvl w:val="0"/>
          <w:numId w:val="1023"/>
        </w:numPr>
      </w:pPr>
      <w:r>
        <w:rPr>
          <w:b/>
          <w:bCs/>
        </w:rPr>
        <w:t xml:space="preserve">Carve out</w:t>
      </w:r>
      <w:r>
        <w:t xml:space="preserve"> </w:t>
      </w:r>
      <w:r>
        <w:t xml:space="preserve">factors outside Whitmore’s control (force majeure, KBI system/sensor failures, network issues, changes to KBI’s environment).</w:t>
      </w:r>
    </w:p>
    <w:p>
      <w:pPr>
        <w:pStyle w:val="Compact"/>
        <w:numPr>
          <w:ilvl w:val="0"/>
          <w:numId w:val="1023"/>
        </w:numPr>
      </w:pPr>
      <w:r>
        <w:t xml:space="preserve">Consider a</w:t>
      </w:r>
      <w:r>
        <w:t xml:space="preserve"> </w:t>
      </w:r>
      <w:r>
        <w:rPr>
          <w:b/>
          <w:bCs/>
        </w:rPr>
        <w:t xml:space="preserve">“</w:t>
      </w:r>
      <w:r>
        <w:rPr>
          <w:b/>
          <w:bCs/>
        </w:rPr>
        <w:t xml:space="preserve">commercially reasonable efforts</w:t>
      </w:r>
      <w:r>
        <w:rPr>
          <w:b/>
          <w:bCs/>
        </w:rPr>
        <w:t xml:space="preserve">”</w:t>
      </w:r>
      <w:r>
        <w:t xml:space="preserve"> </w:t>
      </w:r>
      <w:r>
        <w:t xml:space="preserve">standard or a</w:t>
      </w:r>
      <w:r>
        <w:t xml:space="preserve"> </w:t>
      </w:r>
      <w:r>
        <w:rPr>
          <w:b/>
          <w:bCs/>
        </w:rPr>
        <w:t xml:space="preserve">tiered</w:t>
      </w:r>
      <w:r>
        <w:t xml:space="preserve"> </w:t>
      </w:r>
      <w:r>
        <w:t xml:space="preserve">approach (e.g., target 92% with credits only below a lower threshold) rather than a hard 92% warranty, and raise/lower the termination trigger (e.g., &lt;80% sustained over a longer period) with a cure right.</w:t>
      </w:r>
    </w:p>
    <w:bookmarkEnd w:id="48"/>
    <w:bookmarkStart w:id="49" w:name="X2f23a2bf88f8733964ba301cc9d16f5fcd25db6"/>
    <w:p>
      <w:pPr>
        <w:pStyle w:val="Heading3"/>
      </w:pPr>
      <w:r>
        <w:t xml:space="preserve">6. Source Code Escrow Release Triggers — §11 [HIGH]</w:t>
      </w:r>
    </w:p>
    <w:p>
      <w:pPr>
        <w:pStyle w:val="FirstParagraph"/>
      </w:pPr>
      <w:r>
        <w:rPr>
          <w:b/>
          <w:bCs/>
        </w:rPr>
        <w:t xml:space="preserve">Issue.</w:t>
      </w:r>
      <w:r>
        <w:t xml:space="preserve"> </w:t>
      </w:r>
      <w:r>
        <w:t xml:space="preserve">Escrow release on (b) a</w:t>
      </w:r>
      <w:r>
        <w:t xml:space="preserve"> </w:t>
      </w:r>
      <w:r>
        <w:rPr>
          <w:b/>
          <w:bCs/>
        </w:rPr>
        <w:t xml:space="preserve">material breach uncured for 60 days</w:t>
      </w:r>
      <w:r>
        <w:t xml:space="preserve"> </w:t>
      </w:r>
      <w:r>
        <w:t xml:space="preserve">following written notice, and (d) failure to provide support for 90 consecutive days. On release, KBI obtains a</w:t>
      </w:r>
      <w:r>
        <w:t xml:space="preserve"> </w:t>
      </w:r>
      <w:r>
        <w:rPr>
          <w:b/>
          <w:bCs/>
        </w:rPr>
        <w:t xml:space="preserve">perpetual, irrevocable, fully paid-up, royalty-free license</w:t>
      </w:r>
      <w:r>
        <w:t xml:space="preserve"> </w:t>
      </w:r>
      <w:r>
        <w:t xml:space="preserve">to use, modify, compile, and deploy the source code for its internal manufacturing operations.</w:t>
      </w:r>
    </w:p>
    <w:p>
      <w:pPr>
        <w:pStyle w:val="BodyText"/>
      </w:pPr>
      <w:r>
        <w:rPr>
          <w:b/>
          <w:bCs/>
        </w:rPr>
        <w:t xml:space="preserve">Why it matters.</w:t>
      </w:r>
      <w:r>
        <w:t xml:space="preserve"> </w:t>
      </w:r>
      <w:r>
        <w:t xml:space="preserve">The 60-day material-breach trigger is short and, read alongside the 60-day cure period in §13.2, creates ambiguity about when release can occur; a disputed breach could trigger release of Whitmore’s crown-jewel source code. The perpetual royalty-free post-release license is broad — it grants KBI rights to modify and deploy Whitmore’s source code, a significant IP exposure beyond a simple continuity right.</w:t>
      </w:r>
    </w:p>
    <w:p>
      <w:pPr>
        <w:pStyle w:val="BodyText"/>
      </w:pPr>
      <w:r>
        <w:rPr>
          <w:b/>
          <w:bCs/>
        </w:rPr>
        <w:t xml:space="preserve">Recommendation.</w:t>
      </w:r>
    </w:p>
    <w:p>
      <w:pPr>
        <w:pStyle w:val="Compact"/>
        <w:numPr>
          <w:ilvl w:val="0"/>
          <w:numId w:val="1024"/>
        </w:numPr>
      </w:pPr>
      <w:r>
        <w:rPr>
          <w:b/>
          <w:bCs/>
        </w:rPr>
        <w:t xml:space="preserve">Align and lengthen cure periods:</w:t>
      </w:r>
      <w:r>
        <w:t xml:space="preserve"> </w:t>
      </w:r>
      <w:r>
        <w:t xml:space="preserve">ensure the escrow</w:t>
      </w:r>
      <w:r>
        <w:t xml:space="preserve"> </w:t>
      </w:r>
      <w:r>
        <w:t xml:space="preserve">“</w:t>
      </w:r>
      <w:r>
        <w:t xml:space="preserve">material breach</w:t>
      </w:r>
      <w:r>
        <w:t xml:space="preserve">”</w:t>
      </w:r>
      <w:r>
        <w:t xml:space="preserve"> </w:t>
      </w:r>
      <w:r>
        <w:t xml:space="preserve">trigger requires the same (or a longer) cure period as the termination-for-cause provision, and add a</w:t>
      </w:r>
      <w:r>
        <w:t xml:space="preserve"> </w:t>
      </w:r>
      <w:r>
        <w:rPr>
          <w:b/>
          <w:bCs/>
        </w:rPr>
        <w:t xml:space="preserve">good-faith-dispute carve-out</w:t>
      </w:r>
      <w:r>
        <w:t xml:space="preserve"> </w:t>
      </w:r>
      <w:r>
        <w:t xml:space="preserve">so contested breaches do not trigger release.</w:t>
      </w:r>
    </w:p>
    <w:p>
      <w:pPr>
        <w:pStyle w:val="Compact"/>
        <w:numPr>
          <w:ilvl w:val="0"/>
          <w:numId w:val="1024"/>
        </w:numPr>
      </w:pPr>
      <w:r>
        <w:rPr>
          <w:b/>
          <w:bCs/>
        </w:rPr>
        <w:t xml:space="preserve">Narrow the post-release license</w:t>
      </w:r>
      <w:r>
        <w:t xml:space="preserve"> </w:t>
      </w:r>
      <w:r>
        <w:t xml:space="preserve">to</w:t>
      </w:r>
      <w:r>
        <w:t xml:space="preserve"> </w:t>
      </w:r>
      <w:r>
        <w:rPr>
          <w:b/>
          <w:bCs/>
        </w:rPr>
        <w:t xml:space="preserve">internal continuity use only</w:t>
      </w:r>
      <w:r>
        <w:t xml:space="preserve"> </w:t>
      </w:r>
      <w:r>
        <w:t xml:space="preserve">of the then-deployed configuration — no right to modify, enhance, or deploy beyond maintaining existing operations; no reverse engineering of Whitmore’s broader IP; confidentiality obligations survive; and KBI must return/destroy upon cure of the triggering event.</w:t>
      </w:r>
    </w:p>
    <w:p>
      <w:pPr>
        <w:pStyle w:val="Compact"/>
        <w:numPr>
          <w:ilvl w:val="0"/>
          <w:numId w:val="1024"/>
        </w:numPr>
      </w:pPr>
      <w:r>
        <w:t xml:space="preserve">Exclude from the escrow deposit any Whitmore proprietary algorithms, modules, or code not strictly necessary to operate KBI’s deployed configuration.</w:t>
      </w:r>
    </w:p>
    <w:p>
      <w:pPr>
        <w:pStyle w:val="Compact"/>
        <w:numPr>
          <w:ilvl w:val="0"/>
          <w:numId w:val="1024"/>
        </w:numPr>
      </w:pPr>
      <w:r>
        <w:t xml:space="preserve">Confirm the support-failure trigger (90 days) requires prior written notice and an opportunity to cure.</w:t>
      </w:r>
    </w:p>
    <w:bookmarkEnd w:id="49"/>
    <w:bookmarkStart w:id="50" w:name="X22173cf4c92003ed3f5c5826450fc54271a67de"/>
    <w:p>
      <w:pPr>
        <w:pStyle w:val="Heading3"/>
      </w:pPr>
      <w:r>
        <w:t xml:space="preserve">7. Post-Termination Wind-Down License — §13.5 [HIGH]</w:t>
      </w:r>
    </w:p>
    <w:p>
      <w:pPr>
        <w:pStyle w:val="FirstParagraph"/>
      </w:pPr>
      <w:r>
        <w:rPr>
          <w:b/>
          <w:bCs/>
        </w:rPr>
        <w:t xml:space="preserve">Issue.</w:t>
      </w:r>
      <w:r>
        <w:t xml:space="preserve"> </w:t>
      </w:r>
      <w:r>
        <w:t xml:space="preserve">On termination or expiration</w:t>
      </w:r>
      <w:r>
        <w:t xml:space="preserve"> </w:t>
      </w:r>
      <w:r>
        <w:rPr>
          <w:b/>
          <w:bCs/>
        </w:rPr>
        <w:t xml:space="preserve">for any reason — including KBI’s convenience</w:t>
      </w:r>
      <w:r>
        <w:t xml:space="preserve"> </w:t>
      </w:r>
      <w:r>
        <w:t xml:space="preserve">— KBI retains a</w:t>
      </w:r>
      <w:r>
        <w:t xml:space="preserve"> </w:t>
      </w:r>
      <w:r>
        <w:rPr>
          <w:b/>
          <w:bCs/>
        </w:rPr>
        <w:t xml:space="preserve">perpetual, non-exclusive, irrevocable license</w:t>
      </w:r>
      <w:r>
        <w:t xml:space="preserve"> </w:t>
      </w:r>
      <w:r>
        <w:t xml:space="preserve">to continue using the version of PredictIQ deployed as of the termination date, subject only to continued payment of the Annual Maintenance &amp; Support Fee.</w:t>
      </w:r>
    </w:p>
    <w:p>
      <w:pPr>
        <w:pStyle w:val="BodyText"/>
      </w:pPr>
      <w:r>
        <w:rPr>
          <w:b/>
          <w:bCs/>
        </w:rPr>
        <w:t xml:space="preserve">Why it matters.</w:t>
      </w:r>
      <w:r>
        <w:t xml:space="preserve"> </w:t>
      </w:r>
      <w:r>
        <w:t xml:space="preserve">A</w:t>
      </w:r>
      <w:r>
        <w:t xml:space="preserve"> </w:t>
      </w:r>
      <w:r>
        <w:rPr>
          <w:b/>
          <w:bCs/>
        </w:rPr>
        <w:t xml:space="preserve">perpetual</w:t>
      </w:r>
      <w:r>
        <w:t xml:space="preserve"> </w:t>
      </w:r>
      <w:r>
        <w:t xml:space="preserve">wind-down license (not a time-limited transition right) — available even when KBI terminates for its own convenience after Year 3 — effectively converts a subscription relationship into a perpetual license for a customer who can walk away on 12 months’ notice. Combined with no refunds (§13.7) and the escrow post-release license (§11.3), this stacks multiple perpetual-use rights in KBI’s favor.</w:t>
      </w:r>
      <w:r>
        <w:t xml:space="preserve"> </w:t>
      </w:r>
      <w:r>
        <w:rPr>
          <w:i/>
          <w:iCs/>
        </w:rPr>
        <w:t xml:space="preserve">(Diligence note: the GC’s email references a</w:t>
      </w:r>
      <w:r>
        <w:rPr>
          <w:i/>
          <w:iCs/>
        </w:rPr>
        <w:t xml:space="preserve"> </w:t>
      </w:r>
      <w:r>
        <w:rPr>
          <w:i/>
          <w:iCs/>
        </w:rPr>
        <w:t xml:space="preserve">“</w:t>
      </w:r>
      <w:r>
        <w:rPr>
          <w:i/>
          <w:iCs/>
        </w:rPr>
        <w:t xml:space="preserve">24-month wind-down license at reduced fees,</w:t>
      </w:r>
      <w:r>
        <w:rPr>
          <w:i/>
          <w:iCs/>
        </w:rPr>
        <w:t xml:space="preserve">”</w:t>
      </w:r>
      <w:r>
        <w:rPr>
          <w:i/>
          <w:iCs/>
        </w:rPr>
        <w:t xml:space="preserve"> </w:t>
      </w:r>
      <w:r>
        <w:rPr>
          <w:i/>
          <w:iCs/>
        </w:rPr>
        <w:t xml:space="preserve">but the Term Sheet as drafted provides a</w:t>
      </w:r>
      <w:r>
        <w:rPr>
          <w:i/>
          <w:iCs/>
        </w:rPr>
        <w:t xml:space="preserve"> </w:t>
      </w:r>
      <w:r>
        <w:rPr>
          <w:b/>
          <w:bCs/>
          <w:i/>
          <w:iCs/>
        </w:rPr>
        <w:t xml:space="preserve">perpetual</w:t>
      </w:r>
      <w:r>
        <w:rPr>
          <w:i/>
          <w:iCs/>
        </w:rPr>
        <w:t xml:space="preserve"> </w:t>
      </w:r>
      <w:r>
        <w:rPr>
          <w:i/>
          <w:iCs/>
        </w:rPr>
        <w:t xml:space="preserve">license at the</w:t>
      </w:r>
      <w:r>
        <w:rPr>
          <w:i/>
          <w:iCs/>
        </w:rPr>
        <w:t xml:space="preserve"> </w:t>
      </w:r>
      <w:r>
        <w:rPr>
          <w:b/>
          <w:bCs/>
          <w:i/>
          <w:iCs/>
        </w:rPr>
        <w:t xml:space="preserve">full</w:t>
      </w:r>
      <w:r>
        <w:rPr>
          <w:i/>
          <w:iCs/>
        </w:rPr>
        <w:t xml:space="preserve"> </w:t>
      </w:r>
      <w:r>
        <w:rPr>
          <w:i/>
          <w:iCs/>
        </w:rPr>
        <w:t xml:space="preserve">maintenance fee — more favorable to KBI and more concerning for Whitmore. Confirm the intended term.)</w:t>
      </w:r>
    </w:p>
    <w:p>
      <w:pPr>
        <w:pStyle w:val="BodyText"/>
      </w:pPr>
      <w:r>
        <w:rPr>
          <w:b/>
          <w:bCs/>
        </w:rPr>
        <w:t xml:space="preserve">Recommendation.</w:t>
      </w:r>
    </w:p>
    <w:p>
      <w:pPr>
        <w:pStyle w:val="Compact"/>
        <w:numPr>
          <w:ilvl w:val="0"/>
          <w:numId w:val="1025"/>
        </w:numPr>
      </w:pPr>
      <w:r>
        <w:rPr>
          <w:b/>
          <w:bCs/>
        </w:rPr>
        <w:t xml:space="preserve">Convert to a time-limited transition license</w:t>
      </w:r>
      <w:r>
        <w:t xml:space="preserve"> </w:t>
      </w:r>
      <w:r>
        <w:t xml:space="preserve">(e.g., 12–24 months) for migration/transition purposes only — not perpetual use.</w:t>
      </w:r>
    </w:p>
    <w:p>
      <w:pPr>
        <w:pStyle w:val="Compact"/>
        <w:numPr>
          <w:ilvl w:val="0"/>
          <w:numId w:val="1025"/>
        </w:numPr>
      </w:pPr>
      <w:r>
        <w:rPr>
          <w:b/>
          <w:bCs/>
        </w:rPr>
        <w:t xml:space="preserve">Restrict use</w:t>
      </w:r>
      <w:r>
        <w:t xml:space="preserve"> </w:t>
      </w:r>
      <w:r>
        <w:t xml:space="preserve">to maintaining existing operations during the transition (no enhancements, no new deployments, no modifications).</w:t>
      </w:r>
    </w:p>
    <w:p>
      <w:pPr>
        <w:pStyle w:val="Compact"/>
        <w:numPr>
          <w:ilvl w:val="0"/>
          <w:numId w:val="1025"/>
        </w:numPr>
      </w:pPr>
      <w:r>
        <w:rPr>
          <w:b/>
          <w:bCs/>
        </w:rPr>
        <w:t xml:space="preserve">Tie to continued compliance</w:t>
      </w:r>
      <w:r>
        <w:t xml:space="preserve"> </w:t>
      </w:r>
      <w:r>
        <w:t xml:space="preserve">and full maintenance-fee payment; suspend on non-payment.</w:t>
      </w:r>
    </w:p>
    <w:p>
      <w:pPr>
        <w:pStyle w:val="Compact"/>
        <w:numPr>
          <w:ilvl w:val="0"/>
          <w:numId w:val="1025"/>
        </w:numPr>
      </w:pPr>
      <w:r>
        <w:rPr>
          <w:b/>
          <w:bCs/>
        </w:rPr>
        <w:t xml:space="preserve">Exclude convenience termination</w:t>
      </w:r>
      <w:r>
        <w:t xml:space="preserve"> </w:t>
      </w:r>
      <w:r>
        <w:t xml:space="preserve">from any wind-down right (or require a wind-down fee / buyout if KBI wants perpetual use after a convenience termination).</w:t>
      </w:r>
    </w:p>
    <w:p>
      <w:pPr>
        <w:pStyle w:val="Compact"/>
        <w:numPr>
          <w:ilvl w:val="0"/>
          <w:numId w:val="1025"/>
        </w:numPr>
      </w:pPr>
      <w:r>
        <w:t xml:space="preserve">If a perpetual-use right is ultimately required, limit it to the exact deployed configuration with no modification rights and no access to new features.</w:t>
      </w:r>
    </w:p>
    <w:bookmarkEnd w:id="50"/>
    <w:bookmarkStart w:id="51" w:name="german-governing-law-14.1-high"/>
    <w:p>
      <w:pPr>
        <w:pStyle w:val="Heading3"/>
      </w:pPr>
      <w:r>
        <w:t xml:space="preserve">8. German Governing Law — §14.1 [HIGH]</w:t>
      </w:r>
    </w:p>
    <w:p>
      <w:pPr>
        <w:pStyle w:val="FirstParagraph"/>
      </w:pPr>
      <w:r>
        <w:rPr>
          <w:b/>
          <w:bCs/>
        </w:rPr>
        <w:t xml:space="preserve">Issue.</w:t>
      </w:r>
      <w:r>
        <w:t xml:space="preserve"> </w:t>
      </w:r>
      <w:r>
        <w:t xml:space="preserve">German substantive law (no conflicts of law), with ICC arbitration seated in Zurich.</w:t>
      </w:r>
    </w:p>
    <w:p>
      <w:pPr>
        <w:pStyle w:val="BodyText"/>
      </w:pPr>
      <w:r>
        <w:rPr>
          <w:b/>
          <w:bCs/>
        </w:rPr>
        <w:t xml:space="preserve">Why it matters.</w:t>
      </w:r>
      <w:r>
        <w:t xml:space="preserve"> </w:t>
      </w:r>
      <w:r>
        <w:t xml:space="preserve">German law imposes</w:t>
      </w:r>
      <w:r>
        <w:t xml:space="preserve"> </w:t>
      </w:r>
      <w:r>
        <w:rPr>
          <w:b/>
          <w:bCs/>
        </w:rPr>
        <w:t xml:space="preserve">mandatory liability rules</w:t>
      </w:r>
      <w:r>
        <w:t xml:space="preserve"> </w:t>
      </w:r>
      <w:r>
        <w:t xml:space="preserve">and subjects standard-form terms (AGB) to strict</w:t>
      </w:r>
      <w:r>
        <w:t xml:space="preserve"> </w:t>
      </w:r>
      <w:r>
        <w:rPr>
          <w:b/>
          <w:bCs/>
        </w:rPr>
        <w:t xml:space="preserve">content control</w:t>
      </w:r>
      <w:r>
        <w:t xml:space="preserve"> </w:t>
      </w:r>
      <w:r>
        <w:t xml:space="preserve">(e.g., §§305–310 BGB): certain liability exclusions — particularly for gross negligence, willful misconduct, and defects — are void or subject to reduction, and</w:t>
      </w:r>
      <w:r>
        <w:t xml:space="preserve"> </w:t>
      </w:r>
      <w:r>
        <w:rPr>
          <w:b/>
          <w:bCs/>
        </w:rPr>
        <w:t xml:space="preserve">liquidated-damages/penalty clauses (Vertragsstrafen)</w:t>
      </w:r>
      <w:r>
        <w:t xml:space="preserve"> </w:t>
      </w:r>
      <w:r>
        <w:t xml:space="preserve">and high late-payment interest may be reduced as unreasonable. The uncapped IP indemnity (§9.1) and the performance-warranty penalties (§8.3) sit in tension with these rules, creating both enforceability risk for Whitmore’s protections and unexpected exposure. The CEO has flagged liability exposure under German law and asked for specialist advice.</w:t>
      </w:r>
    </w:p>
    <w:p>
      <w:pPr>
        <w:pStyle w:val="BodyText"/>
      </w:pPr>
      <w:r>
        <w:rPr>
          <w:b/>
          <w:bCs/>
        </w:rPr>
        <w:t xml:space="preserve">Recommendation.</w:t>
      </w:r>
    </w:p>
    <w:p>
      <w:pPr>
        <w:pStyle w:val="Compact"/>
        <w:numPr>
          <w:ilvl w:val="0"/>
          <w:numId w:val="1026"/>
        </w:numPr>
      </w:pPr>
      <w:r>
        <w:rPr>
          <w:b/>
          <w:bCs/>
        </w:rPr>
        <w:t xml:space="preserve">Push for Washington State law</w:t>
      </w:r>
      <w:r>
        <w:t xml:space="preserve"> </w:t>
      </w:r>
      <w:r>
        <w:t xml:space="preserve">(Whitmore’s domicile) or a</w:t>
      </w:r>
      <w:r>
        <w:t xml:space="preserve"> </w:t>
      </w:r>
      <w:r>
        <w:rPr>
          <w:b/>
          <w:bCs/>
        </w:rPr>
        <w:t xml:space="preserve">neutral jurisdiction</w:t>
      </w:r>
      <w:r>
        <w:t xml:space="preserve"> </w:t>
      </w:r>
      <w:r>
        <w:t xml:space="preserve">(England or Switzerland). If German law is retained, the arbitration seat (Zurich) is acceptable but the substantive-law issues remain.</w:t>
      </w:r>
    </w:p>
    <w:p>
      <w:pPr>
        <w:pStyle w:val="Compact"/>
        <w:numPr>
          <w:ilvl w:val="0"/>
          <w:numId w:val="1026"/>
        </w:numPr>
      </w:pPr>
      <w:r>
        <w:rPr>
          <w:b/>
          <w:bCs/>
        </w:rPr>
        <w:t xml:space="preserve">Obtain specialist German-law advice</w:t>
      </w:r>
      <w:r>
        <w:t xml:space="preserve"> </w:t>
      </w:r>
      <w:r>
        <w:t xml:space="preserve">on: (i) enforceability of the liability caps and consequential-damages exclusion; (ii) the uncapped indemnity and performance-penalty provisions; (iii) the 1.5%/month late-interest clause (§5.5); and (iv) AGB content-control implications given that the Term Sheet is KBI’s pre-formulated paper.</w:t>
      </w:r>
    </w:p>
    <w:p>
      <w:pPr>
        <w:pStyle w:val="Compact"/>
        <w:numPr>
          <w:ilvl w:val="0"/>
          <w:numId w:val="1026"/>
        </w:numPr>
      </w:pPr>
      <w:r>
        <w:t xml:space="preserve">Ensure the arbitration clause (3 arbitrators, ICC, Zurich, English) is preserved regardless of governing law.</w:t>
      </w:r>
    </w:p>
    <w:bookmarkEnd w:id="51"/>
    <w:bookmarkStart w:id="52" w:name="Xc95fb6713eae907085892f232b1355e40d9e0ad"/>
    <w:p>
      <w:pPr>
        <w:pStyle w:val="Heading3"/>
      </w:pPr>
      <w:r>
        <w:t xml:space="preserve">9. Derivative Works — Joint Ownership and Internal Contradiction — §2, §3.3, §3.4, §3.5 [MEDIUM-HIGH]</w:t>
      </w:r>
    </w:p>
    <w:p>
      <w:pPr>
        <w:pStyle w:val="FirstParagraph"/>
      </w:pPr>
      <w:r>
        <w:rPr>
          <w:b/>
          <w:bCs/>
        </w:rPr>
        <w:t xml:space="preserve">Issue.</w:t>
      </w:r>
      <w:r>
        <w:t xml:space="preserve"> </w:t>
      </w:r>
      <w:r>
        <w:t xml:space="preserve">API-layer derivative works are</w:t>
      </w:r>
      <w:r>
        <w:t xml:space="preserve"> </w:t>
      </w:r>
      <w:r>
        <w:rPr>
          <w:b/>
          <w:bCs/>
        </w:rPr>
        <w:t xml:space="preserve">jointly owned</w:t>
      </w:r>
      <w:r>
        <w:t xml:space="preserve">, with each party free to use, modify, sublicense, and exploit without consent or accounting. The GC has flagged an apparent</w:t>
      </w:r>
      <w:r>
        <w:t xml:space="preserve"> </w:t>
      </w:r>
      <w:r>
        <w:rPr>
          <w:b/>
          <w:bCs/>
        </w:rPr>
        <w:t xml:space="preserve">internal contradiction</w:t>
      </w:r>
      <w:r>
        <w:t xml:space="preserve">: §3.4 makes all feedback Whitmore’s sole property, while §3.5 grants KBI a perpetual license to</w:t>
      </w:r>
      <w:r>
        <w:t xml:space="preserve"> </w:t>
      </w:r>
      <w:r>
        <w:t xml:space="preserve">“</w:t>
      </w:r>
      <w:r>
        <w:t xml:space="preserve">KBI-Inspired Improvements</w:t>
      </w:r>
      <w:r>
        <w:t xml:space="preserve">”</w:t>
      </w:r>
      <w:r>
        <w:t xml:space="preserve"> </w:t>
      </w:r>
      <w:r>
        <w:t xml:space="preserve">— provisions that can overlap with derivative works that would otherwise remain Whitmore’s IP.</w:t>
      </w:r>
    </w:p>
    <w:p>
      <w:pPr>
        <w:pStyle w:val="BodyText"/>
      </w:pPr>
      <w:r>
        <w:rPr>
          <w:b/>
          <w:bCs/>
        </w:rPr>
        <w:t xml:space="preserve">Why it matters.</w:t>
      </w:r>
      <w:r>
        <w:t xml:space="preserve"> </w:t>
      </w:r>
      <w:r>
        <w:t xml:space="preserve">Joint ownership is operationally messy and unusual; it could allow KBI (or its affiliates/contractors) to commercialize integration code or to use Whitmore API-layer improvements broadly, and it complicates Whitmore’s ability to control its own product roadmap. The §3.4/§3.5 overlap creates ambiguity about who owns what.</w:t>
      </w:r>
    </w:p>
    <w:p>
      <w:pPr>
        <w:pStyle w:val="BodyText"/>
      </w:pPr>
      <w:r>
        <w:rPr>
          <w:b/>
          <w:bCs/>
        </w:rPr>
        <w:t xml:space="preserve">Recommendation.</w:t>
      </w:r>
    </w:p>
    <w:p>
      <w:pPr>
        <w:pStyle w:val="Compact"/>
        <w:numPr>
          <w:ilvl w:val="0"/>
          <w:numId w:val="1027"/>
        </w:numPr>
      </w:pPr>
      <w:r>
        <w:rPr>
          <w:b/>
          <w:bCs/>
        </w:rPr>
        <w:t xml:space="preserve">Replace joint ownership</w:t>
      </w:r>
      <w:r>
        <w:t xml:space="preserve"> </w:t>
      </w:r>
      <w:r>
        <w:t xml:space="preserve">with a cleaner structure: KBI owns its own integration/derivative code (limited to internal use for MES/SCADA integration); Whitmore retains all rights in PredictIQ and its APIs; and Whitmore receives a license to use KBI’s integration code to improve its product.</w:t>
      </w:r>
    </w:p>
    <w:p>
      <w:pPr>
        <w:pStyle w:val="Compact"/>
        <w:numPr>
          <w:ilvl w:val="0"/>
          <w:numId w:val="1027"/>
        </w:numPr>
      </w:pPr>
      <w:r>
        <w:rPr>
          <w:b/>
          <w:bCs/>
        </w:rPr>
        <w:t xml:space="preserve">Reconcile §3.4 and §3.5</w:t>
      </w:r>
      <w:r>
        <w:t xml:space="preserve"> </w:t>
      </w:r>
      <w:r>
        <w:t xml:space="preserve">to eliminate overlap: clarify that feedback (§3.4) is Whitmore’s; that KBI-Inspired Improvements (§3.5) are Whitmore’s IP with a</w:t>
      </w:r>
      <w:r>
        <w:t xml:space="preserve"> </w:t>
      </w:r>
      <w:r>
        <w:rPr>
          <w:b/>
          <w:bCs/>
        </w:rPr>
        <w:t xml:space="preserve">non-exclusive, internal-use</w:t>
      </w:r>
      <w:r>
        <w:t xml:space="preserve"> </w:t>
      </w:r>
      <w:r>
        <w:t xml:space="preserve">license back to KBI; and that nothing transfers Whitmore’s general product IP to KBI.</w:t>
      </w:r>
    </w:p>
    <w:p>
      <w:pPr>
        <w:pStyle w:val="Compact"/>
        <w:numPr>
          <w:ilvl w:val="0"/>
          <w:numId w:val="1027"/>
        </w:numPr>
      </w:pPr>
      <w:r>
        <w:t xml:space="preserve">Limit KBI’s derivative-works and improvement rights to its own manufacturing operations (no sublicensing outside controlled affiliates/subcontractors already covered).</w:t>
      </w:r>
    </w:p>
    <w:bookmarkEnd w:id="52"/>
    <w:bookmarkStart w:id="53" w:name="X1a7f2200a68df868a37e1b3829e64a26a2ed1aa"/>
    <w:p>
      <w:pPr>
        <w:pStyle w:val="Heading3"/>
      </w:pPr>
      <w:r>
        <w:t xml:space="preserve">10. Implementation Payment Structure / Cash-Flow Mismatch — §5.1, §5.3 [MEDIUM]</w:t>
      </w:r>
    </w:p>
    <w:p>
      <w:pPr>
        <w:pStyle w:val="FirstParagraph"/>
      </w:pPr>
      <w:r>
        <w:rPr>
          <w:b/>
          <w:bCs/>
        </w:rPr>
        <w:t xml:space="preserve">Issue.</w:t>
      </w:r>
      <w:r>
        <w:t xml:space="preserve"> </w:t>
      </w:r>
      <w:r>
        <w:t xml:space="preserve">License fee split 30/40/30, with the 40% ($1.68M) milestone not due until Phase 1 completion (~month 6); implementation fees paid linearly over 18 months (~$97,222/mo). First-6-month inflows ≈</w:t>
      </w:r>
      <w:r>
        <w:t xml:space="preserve"> </w:t>
      </w:r>
      <w:r>
        <w:rPr>
          <w:b/>
          <w:bCs/>
        </w:rPr>
        <w:t xml:space="preserve">$1.84M</w:t>
      </w:r>
      <w:r>
        <w:t xml:space="preserve"> </w:t>
      </w:r>
      <w:r>
        <w:t xml:space="preserve">(signing $1.26M + 6 × $97,222) against estimated implementation costs of</w:t>
      </w:r>
      <w:r>
        <w:t xml:space="preserve"> </w:t>
      </w:r>
      <w:r>
        <w:rPr>
          <w:b/>
          <w:bCs/>
        </w:rPr>
        <w:t xml:space="preserve">$2.5–3.0M</w:t>
      </w:r>
      <w:r>
        <w:t xml:space="preserve"> </w:t>
      </w:r>
      <w:r>
        <w:t xml:space="preserve">— a potential</w:t>
      </w:r>
      <w:r>
        <w:t xml:space="preserve"> </w:t>
      </w:r>
      <w:r>
        <w:rPr>
          <w:b/>
          <w:bCs/>
        </w:rPr>
        <w:t xml:space="preserve">$0.7–1.2M cash shortfall</w:t>
      </w:r>
      <w:r>
        <w:t xml:space="preserve"> </w:t>
      </w:r>
      <w:r>
        <w:t xml:space="preserve">before the Phase 1 milestone.</w:t>
      </w:r>
    </w:p>
    <w:p>
      <w:pPr>
        <w:pStyle w:val="BodyText"/>
      </w:pPr>
      <w:r>
        <w:rPr>
          <w:b/>
          <w:bCs/>
        </w:rPr>
        <w:t xml:space="preserve">Why it matters.</w:t>
      </w:r>
      <w:r>
        <w:t xml:space="preserve"> </w:t>
      </w:r>
      <w:r>
        <w:t xml:space="preserve">Funding a customer’s implementation out of operating reserves is operationally and strategically undesirable, especially ahead of a potential Series C. The linear-vs.-milestone structure also raises</w:t>
      </w:r>
      <w:r>
        <w:t xml:space="preserve"> </w:t>
      </w:r>
      <w:r>
        <w:rPr>
          <w:b/>
          <w:bCs/>
        </w:rPr>
        <w:t xml:space="preserve">ASC 606 revenue-recognition</w:t>
      </w:r>
      <w:r>
        <w:t xml:space="preserve"> </w:t>
      </w:r>
      <w:r>
        <w:t xml:space="preserve">questions (flagged for Lakeshore Accounting Group LLP).</w:t>
      </w:r>
    </w:p>
    <w:p>
      <w:pPr>
        <w:pStyle w:val="BodyText"/>
      </w:pPr>
      <w:r>
        <w:rPr>
          <w:b/>
          <w:bCs/>
        </w:rPr>
        <w:t xml:space="preserve">Recommendation.</w:t>
      </w:r>
    </w:p>
    <w:p>
      <w:pPr>
        <w:pStyle w:val="Compact"/>
        <w:numPr>
          <w:ilvl w:val="0"/>
          <w:numId w:val="1028"/>
        </w:numPr>
      </w:pPr>
      <w:r>
        <w:rPr>
          <w:b/>
          <w:bCs/>
        </w:rPr>
        <w:t xml:space="preserve">Restructure the license split to 40/30/30</w:t>
      </w:r>
      <w:r>
        <w:t xml:space="preserve"> </w:t>
      </w:r>
      <w:r>
        <w:t xml:space="preserve">(per CEO): $1.68M at signing, $1.26M at Phase 1 completion, $1.26M at Phase 2 go-live — front-loading cash to match the cost profile.</w:t>
      </w:r>
    </w:p>
    <w:p>
      <w:pPr>
        <w:pStyle w:val="Compact"/>
        <w:numPr>
          <w:ilvl w:val="0"/>
          <w:numId w:val="1028"/>
        </w:numPr>
      </w:pPr>
      <w:r>
        <w:rPr>
          <w:b/>
          <w:bCs/>
        </w:rPr>
        <w:t xml:space="preserve">Front-load implementation fees</w:t>
      </w:r>
      <w:r>
        <w:t xml:space="preserve"> </w:t>
      </w:r>
      <w:r>
        <w:t xml:space="preserve">(e.g., ~40% in the first 6 months) rather than linear monthly.</w:t>
      </w:r>
    </w:p>
    <w:p>
      <w:pPr>
        <w:pStyle w:val="Compact"/>
        <w:numPr>
          <w:ilvl w:val="0"/>
          <w:numId w:val="1028"/>
        </w:numPr>
      </w:pPr>
      <w:r>
        <w:rPr>
          <w:b/>
          <w:bCs/>
        </w:rPr>
        <w:t xml:space="preserve">Break implementation into a separate Statement of Work</w:t>
      </w:r>
      <w:r>
        <w:t xml:space="preserve"> </w:t>
      </w:r>
      <w:r>
        <w:t xml:space="preserve">with milestone-based payments (GC suggestion) — better cash matching and cleaner ASC 606 treatment.</w:t>
      </w:r>
    </w:p>
    <w:p>
      <w:pPr>
        <w:pStyle w:val="Compact"/>
        <w:numPr>
          <w:ilvl w:val="0"/>
          <w:numId w:val="1028"/>
        </w:numPr>
      </w:pPr>
      <w:r>
        <w:t xml:space="preserve">Engage Lakeshore Accounting Group LLP early on revenue-recognition treatment.</w:t>
      </w:r>
    </w:p>
    <w:bookmarkEnd w:id="53"/>
    <w:bookmarkStart w:id="54" w:name="limitation-of-liability-10-medium"/>
    <w:p>
      <w:pPr>
        <w:pStyle w:val="Heading3"/>
      </w:pPr>
      <w:r>
        <w:t xml:space="preserve">11. Limitation of Liability — §10 [MEDIUM]</w:t>
      </w:r>
    </w:p>
    <w:p>
      <w:pPr>
        <w:pStyle w:val="FirstParagraph"/>
      </w:pPr>
      <w:r>
        <w:rPr>
          <w:b/>
          <w:bCs/>
        </w:rPr>
        <w:t xml:space="preserve">Issue.</w:t>
      </w:r>
      <w:r>
        <w:t xml:space="preserve"> </w:t>
      </w:r>
      <w:r>
        <w:t xml:space="preserve">General cap is the greater of 2× trailing-12-month fees</w:t>
      </w:r>
      <w:r>
        <w:t xml:space="preserve"> </w:t>
      </w:r>
      <w:r>
        <w:rPr>
          <w:b/>
          <w:bCs/>
        </w:rPr>
        <w:t xml:space="preserve">or $15,000,000</w:t>
      </w:r>
      <w:r>
        <w:t xml:space="preserve">. Consequential damages are excluded (favorable), but the cap does not apply to the uncapped IP indemnity (§9.1), confidentiality breaches, or willful misconduct/fraud.</w:t>
      </w:r>
    </w:p>
    <w:p>
      <w:pPr>
        <w:pStyle w:val="BodyText"/>
      </w:pPr>
      <w:r>
        <w:rPr>
          <w:b/>
          <w:bCs/>
        </w:rPr>
        <w:t xml:space="preserve">Why it matters.</w:t>
      </w:r>
      <w:r>
        <w:t xml:space="preserve"> </w:t>
      </w:r>
      <w:r>
        <w:t xml:space="preserve">The $15M super-cap is high relative to near-term deal size (and the 2× trailing-fees prong grows over time). The uncapped IP indemnity sits outside the cap (see Item 4). The structure is largely mutual but the exceptions skew toward Whitmore exposure.</w:t>
      </w:r>
    </w:p>
    <w:p>
      <w:pPr>
        <w:pStyle w:val="BodyText"/>
      </w:pPr>
      <w:r>
        <w:rPr>
          <w:b/>
          <w:bCs/>
        </w:rPr>
        <w:t xml:space="preserve">Recommendation.</w:t>
      </w:r>
    </w:p>
    <w:p>
      <w:pPr>
        <w:pStyle w:val="Compact"/>
        <w:numPr>
          <w:ilvl w:val="0"/>
          <w:numId w:val="1029"/>
        </w:numPr>
      </w:pPr>
      <w:r>
        <w:t xml:space="preserve">Consider</w:t>
      </w:r>
      <w:r>
        <w:t xml:space="preserve"> </w:t>
      </w:r>
      <w:r>
        <w:rPr>
          <w:b/>
          <w:bCs/>
        </w:rPr>
        <w:t xml:space="preserve">lowering the super-cap</w:t>
      </w:r>
      <w:r>
        <w:t xml:space="preserve"> </w:t>
      </w:r>
      <w:r>
        <w:t xml:space="preserve">or tying it more tightly to fees (e.g., 2× trailing-12-month fees with a lower fixed alternative).</w:t>
      </w:r>
    </w:p>
    <w:p>
      <w:pPr>
        <w:pStyle w:val="Compact"/>
        <w:numPr>
          <w:ilvl w:val="0"/>
          <w:numId w:val="1029"/>
        </w:numPr>
      </w:pPr>
      <w:r>
        <w:t xml:space="preserve">Confirm the cap applies</w:t>
      </w:r>
      <w:r>
        <w:t xml:space="preserve"> </w:t>
      </w:r>
      <w:r>
        <w:rPr>
          <w:b/>
          <w:bCs/>
        </w:rPr>
        <w:t xml:space="preserve">mutually</w:t>
      </w:r>
      <w:r>
        <w:t xml:space="preserve">, including to KBI’s indemnity obligations (§9.3).</w:t>
      </w:r>
    </w:p>
    <w:p>
      <w:pPr>
        <w:pStyle w:val="Compact"/>
        <w:numPr>
          <w:ilvl w:val="0"/>
          <w:numId w:val="1029"/>
        </w:numPr>
      </w:pPr>
      <w:r>
        <w:t xml:space="preserve">Resolve the uncapped IP indemnity per Item 4 so the cap is meaningful.</w:t>
      </w:r>
    </w:p>
    <w:bookmarkEnd w:id="54"/>
    <w:bookmarkStart w:id="55" w:name="assignment-16.6-medium"/>
    <w:p>
      <w:pPr>
        <w:pStyle w:val="Heading3"/>
      </w:pPr>
      <w:r>
        <w:t xml:space="preserve">12. Assignment — §16.6 [MEDIUM]</w:t>
      </w:r>
    </w:p>
    <w:p>
      <w:pPr>
        <w:pStyle w:val="FirstParagraph"/>
      </w:pPr>
      <w:r>
        <w:rPr>
          <w:b/>
          <w:bCs/>
        </w:rPr>
        <w:t xml:space="preserve">Issue.</w:t>
      </w:r>
      <w:r>
        <w:t xml:space="preserve"> </w:t>
      </w:r>
      <w:r>
        <w:t xml:space="preserve">No assignment without consent,</w:t>
      </w:r>
      <w:r>
        <w:t xml:space="preserve"> </w:t>
      </w:r>
      <w:r>
        <w:rPr>
          <w:b/>
          <w:bCs/>
        </w:rPr>
        <w:t xml:space="preserve">except KBI</w:t>
      </w:r>
      <w:r>
        <w:t xml:space="preserve"> </w:t>
      </w:r>
      <w:r>
        <w:t xml:space="preserve">may assign to an affiliate or in connection with a merger, acquisition, or sale of substantially all assets. Whitmore has no equivalent right.</w:t>
      </w:r>
    </w:p>
    <w:p>
      <w:pPr>
        <w:pStyle w:val="BodyText"/>
      </w:pPr>
      <w:r>
        <w:rPr>
          <w:b/>
          <w:bCs/>
        </w:rPr>
        <w:t xml:space="preserve">Why it matters.</w:t>
      </w:r>
      <w:r>
        <w:t xml:space="preserve"> </w:t>
      </w:r>
      <w:r>
        <w:t xml:space="preserve">One-way assignment flexibility favors KBI and could transfer the agreement (and the MFC/exclusivity benefits) to a successor or affiliate without Whitmore’s consent. Given Whitmore’s potential Series C and future M&amp;A, reciprocal flexibility matters.</w:t>
      </w:r>
    </w:p>
    <w:p>
      <w:pPr>
        <w:pStyle w:val="BodyText"/>
      </w:pPr>
      <w:r>
        <w:rPr>
          <w:b/>
          <w:bCs/>
        </w:rPr>
        <w:t xml:space="preserve">Recommendation.</w:t>
      </w:r>
      <w:r>
        <w:t xml:space="preserve"> </w:t>
      </w:r>
      <w:r>
        <w:t xml:space="preserve">Make the assignment right</w:t>
      </w:r>
      <w:r>
        <w:t xml:space="preserve"> </w:t>
      </w:r>
      <w:r>
        <w:rPr>
          <w:b/>
          <w:bCs/>
        </w:rPr>
        <w:t xml:space="preserve">reciprocal</w:t>
      </w:r>
      <w:r>
        <w:t xml:space="preserve"> </w:t>
      </w:r>
      <w:r>
        <w:t xml:space="preserve">(Whitmore may assign to affiliates / on a change of control), or at minimum require</w:t>
      </w:r>
      <w:r>
        <w:t xml:space="preserve"> </w:t>
      </w:r>
      <w:r>
        <w:rPr>
          <w:b/>
          <w:bCs/>
        </w:rPr>
        <w:t xml:space="preserve">notice</w:t>
      </w:r>
      <w:r>
        <w:t xml:space="preserve"> </w:t>
      </w:r>
      <w:r>
        <w:t xml:space="preserve">for KBI’s affiliate/M&amp;A assignments and require the assignee to assume all obligations in writing. Consider change-of-control implications for the MFC and exclusivity provisions.</w:t>
      </w:r>
    </w:p>
    <w:bookmarkEnd w:id="55"/>
    <w:bookmarkStart w:id="56" w:name="slas-7.2-low-medium"/>
    <w:p>
      <w:pPr>
        <w:pStyle w:val="Heading3"/>
      </w:pPr>
      <w:r>
        <w:t xml:space="preserve">13. SLAs — §7.2 [LOW-MEDIUM]</w:t>
      </w:r>
    </w:p>
    <w:p>
      <w:pPr>
        <w:pStyle w:val="FirstParagraph"/>
      </w:pPr>
      <w:r>
        <w:rPr>
          <w:b/>
          <w:bCs/>
        </w:rPr>
        <w:t xml:space="preserve">Issue.</w:t>
      </w:r>
      <w:r>
        <w:t xml:space="preserve"> </w:t>
      </w:r>
      <w:r>
        <w:t xml:space="preserve">SLAs are</w:t>
      </w:r>
      <w:r>
        <w:t xml:space="preserve"> </w:t>
      </w:r>
      <w:r>
        <w:t xml:space="preserve">“</w:t>
      </w:r>
      <w:r>
        <w:t xml:space="preserve">commercially reasonable efforts</w:t>
      </w:r>
      <w:r>
        <w:t xml:space="preserve">”</w:t>
      </w:r>
      <w:r>
        <w:t xml:space="preserve"> </w:t>
      </w:r>
      <w:r>
        <w:t xml:space="preserve">targets, not hard commitments; no service credits for SLA misses.</w:t>
      </w:r>
    </w:p>
    <w:p>
      <w:pPr>
        <w:pStyle w:val="BodyText"/>
      </w:pPr>
      <w:r>
        <w:rPr>
          <w:b/>
          <w:bCs/>
        </w:rPr>
        <w:t xml:space="preserve">Why it matters.</w:t>
      </w:r>
      <w:r>
        <w:t xml:space="preserve"> </w:t>
      </w:r>
      <w:r>
        <w:t xml:space="preserve">Low risk as drafted (soft standard favors Whitmore), but KBI may seek to harden SLAs in the definitive agreement.</w:t>
      </w:r>
    </w:p>
    <w:p>
      <w:pPr>
        <w:pStyle w:val="BodyText"/>
      </w:pPr>
      <w:r>
        <w:rPr>
          <w:b/>
          <w:bCs/>
        </w:rPr>
        <w:t xml:space="preserve">Recommendation.</w:t>
      </w:r>
      <w:r>
        <w:t xml:space="preserve"> </w:t>
      </w:r>
      <w:r>
        <w:t xml:space="preserve">If KBI seeks hard SLAs, add</w:t>
      </w:r>
      <w:r>
        <w:t xml:space="preserve"> </w:t>
      </w:r>
      <w:r>
        <w:rPr>
          <w:b/>
          <w:bCs/>
        </w:rPr>
        <w:t xml:space="preserve">exclusions</w:t>
      </w:r>
      <w:r>
        <w:t xml:space="preserve"> </w:t>
      </w:r>
      <w:r>
        <w:t xml:space="preserve">for KBI-caused issues, force majeure, and scheduled maintenance, and cap any service credits. Preserve the suspension-for-non-payment right (§7.5).</w:t>
      </w:r>
    </w:p>
    <w:bookmarkEnd w:id="56"/>
    <w:bookmarkStart w:id="57" w:name="acceptance-6.5-low-medium"/>
    <w:p>
      <w:pPr>
        <w:pStyle w:val="Heading3"/>
      </w:pPr>
      <w:r>
        <w:t xml:space="preserve">14. Acceptance — §6.5 [LOW-MEDIUM]</w:t>
      </w:r>
    </w:p>
    <w:p>
      <w:pPr>
        <w:pStyle w:val="FirstParagraph"/>
      </w:pPr>
      <w:r>
        <w:rPr>
          <w:b/>
          <w:bCs/>
        </w:rPr>
        <w:t xml:space="preserve">Issue.</w:t>
      </w:r>
      <w:r>
        <w:t xml:space="preserve"> </w:t>
      </w:r>
      <w:r>
        <w:t xml:space="preserve">30-day UAT with</w:t>
      </w:r>
      <w:r>
        <w:t xml:space="preserve"> </w:t>
      </w:r>
      <w:r>
        <w:rPr>
          <w:b/>
          <w:bCs/>
        </w:rPr>
        <w:t xml:space="preserve">deemed acceptance</w:t>
      </w:r>
      <w:r>
        <w:t xml:space="preserve"> </w:t>
      </w:r>
      <w:r>
        <w:t xml:space="preserve">on silence;</w:t>
      </w:r>
      <w:r>
        <w:t xml:space="preserve"> </w:t>
      </w:r>
      <w:r>
        <w:t xml:space="preserve">“</w:t>
      </w:r>
      <w:r>
        <w:t xml:space="preserve">material non-conformance</w:t>
      </w:r>
      <w:r>
        <w:t xml:space="preserve">”</w:t>
      </w:r>
      <w:r>
        <w:t xml:space="preserve"> </w:t>
      </w:r>
      <w:r>
        <w:t xml:space="preserve">is undefined.</w:t>
      </w:r>
    </w:p>
    <w:p>
      <w:pPr>
        <w:pStyle w:val="BodyText"/>
      </w:pPr>
      <w:r>
        <w:rPr>
          <w:b/>
          <w:bCs/>
        </w:rPr>
        <w:t xml:space="preserve">Why it matters.</w:t>
      </w:r>
      <w:r>
        <w:t xml:space="preserve"> </w:t>
      </w:r>
      <w:r>
        <w:t xml:space="preserve">Deemed acceptance is generally acceptable, but an undefined</w:t>
      </w:r>
      <w:r>
        <w:t xml:space="preserve"> </w:t>
      </w:r>
      <w:r>
        <w:t xml:space="preserve">“</w:t>
      </w:r>
      <w:r>
        <w:t xml:space="preserve">material non-conformance</w:t>
      </w:r>
      <w:r>
        <w:t xml:space="preserve">”</w:t>
      </w:r>
      <w:r>
        <w:t xml:space="preserve"> </w:t>
      </w:r>
      <w:r>
        <w:t xml:space="preserve">could let KBI string out acceptance or reject on minor issues.</w:t>
      </w:r>
    </w:p>
    <w:p>
      <w:pPr>
        <w:pStyle w:val="BodyText"/>
      </w:pPr>
      <w:r>
        <w:rPr>
          <w:b/>
          <w:bCs/>
        </w:rPr>
        <w:t xml:space="preserve">Recommendation.</w:t>
      </w:r>
      <w:r>
        <w:t xml:space="preserve"> </w:t>
      </w:r>
      <w:r>
        <w:t xml:space="preserve">Define</w:t>
      </w:r>
      <w:r>
        <w:t xml:space="preserve"> </w:t>
      </w:r>
      <w:r>
        <w:t xml:space="preserve">“</w:t>
      </w:r>
      <w:r>
        <w:t xml:space="preserve">material non-conformance</w:t>
      </w:r>
      <w:r>
        <w:t xml:space="preserve">”</w:t>
      </w:r>
      <w:r>
        <w:t xml:space="preserve"> </w:t>
      </w:r>
      <w:r>
        <w:t xml:space="preserve">against the Documentation/acceptance criteria; add that acceptance may not be unreasonably withheld or delayed; cap the UAT extension period.</w:t>
      </w:r>
    </w:p>
    <w:bookmarkEnd w:id="57"/>
    <w:bookmarkStart w:id="58" w:name="X2174f95dff06180c58eee66d5c08c87ffff31e7"/>
    <w:p>
      <w:pPr>
        <w:pStyle w:val="Heading3"/>
      </w:pPr>
      <w:r>
        <w:t xml:space="preserve">15. Currency, Late Interest, and Taxes — §5.5, §5.6 [LOW]</w:t>
      </w:r>
    </w:p>
    <w:p>
      <w:pPr>
        <w:pStyle w:val="FirstParagraph"/>
      </w:pPr>
      <w:r>
        <w:rPr>
          <w:b/>
          <w:bCs/>
        </w:rPr>
        <w:t xml:space="preserve">Issue.</w:t>
      </w:r>
      <w:r>
        <w:t xml:space="preserve"> </w:t>
      </w:r>
      <w:r>
        <w:t xml:space="preserve">USD; net 30; late interest 1.5%/month; KBI bears sales/use/VAT (excl. Whitmore income tax).</w:t>
      </w:r>
    </w:p>
    <w:p>
      <w:pPr>
        <w:pStyle w:val="BodyText"/>
      </w:pPr>
      <w:r>
        <w:rPr>
          <w:b/>
          <w:bCs/>
        </w:rPr>
        <w:t xml:space="preserve">Why it matters.</w:t>
      </w:r>
      <w:r>
        <w:t xml:space="preserve"> </w:t>
      </w:r>
      <w:r>
        <w:t xml:space="preserve">Generally favorable, but the 1.5%/month late-interest rate may be challenged as an unenforceable penalty under German law, and EU VAT registration/mechanics may create Whitmore compliance obligations.</w:t>
      </w:r>
    </w:p>
    <w:p>
      <w:pPr>
        <w:pStyle w:val="BodyText"/>
      </w:pPr>
      <w:r>
        <w:rPr>
          <w:b/>
          <w:bCs/>
        </w:rPr>
        <w:t xml:space="preserve">Recommendation.</w:t>
      </w:r>
      <w:r>
        <w:t xml:space="preserve"> </w:t>
      </w:r>
      <w:r>
        <w:t xml:space="preserve">Confirm late-interest enforceability with German-law counsel (tie to a statutory rate + small margin if needed). Confirm VAT treatment and whether Whitmore must register in the EU; structure invoicing to shift VAT compliance to KBI where possible.</w:t>
      </w:r>
    </w:p>
    <w:bookmarkEnd w:id="58"/>
    <w:bookmarkStart w:id="59" w:name="Xb47b54ca66f1c03c1a30238f90495fe06ac2bae"/>
    <w:p>
      <w:pPr>
        <w:pStyle w:val="Heading3"/>
      </w:pPr>
      <w:r>
        <w:t xml:space="preserve">16. Binding Term-Sheet Provisions — §16.1, §16.2 [LOW]</w:t>
      </w:r>
    </w:p>
    <w:p>
      <w:pPr>
        <w:pStyle w:val="FirstParagraph"/>
      </w:pPr>
      <w:r>
        <w:rPr>
          <w:b/>
          <w:bCs/>
        </w:rPr>
        <w:t xml:space="preserve">Issue.</w:t>
      </w:r>
      <w:r>
        <w:t xml:space="preserve"> </w:t>
      </w:r>
      <w:r>
        <w:t xml:space="preserve">§§15 (confidentiality) and 16 (miscellaneous) are</w:t>
      </w:r>
      <w:r>
        <w:t xml:space="preserve"> </w:t>
      </w:r>
      <w:r>
        <w:rPr>
          <w:b/>
          <w:bCs/>
        </w:rPr>
        <w:t xml:space="preserve">binding</w:t>
      </w:r>
      <w:r>
        <w:t xml:space="preserve">; the 60-day no-shop (through July 28, 2025) is binding.</w:t>
      </w:r>
    </w:p>
    <w:p>
      <w:pPr>
        <w:pStyle w:val="BodyText"/>
      </w:pPr>
      <w:r>
        <w:rPr>
          <w:b/>
          <w:bCs/>
        </w:rPr>
        <w:t xml:space="preserve">Why it matters.</w:t>
      </w:r>
      <w:r>
        <w:t xml:space="preserve"> </w:t>
      </w:r>
      <w:r>
        <w:t xml:space="preserve">Whitmore must comply with the no-shop through July 28, 2025 — relatively short and acceptable, but a live obligation.</w:t>
      </w:r>
    </w:p>
    <w:p>
      <w:pPr>
        <w:pStyle w:val="BodyText"/>
      </w:pPr>
      <w:r>
        <w:rPr>
          <w:b/>
          <w:bCs/>
        </w:rPr>
        <w:t xml:space="preserve">Recommendation.</w:t>
      </w:r>
      <w:r>
        <w:t xml:space="preserve"> </w:t>
      </w:r>
      <w:r>
        <w:t xml:space="preserve">Ensure Whitmore honors the no-shop (no solicitation/entertainment of third-party European industrial proposals during the window). Note that the no-shop does not restrict Whitmore’s internal evaluation or preparation of a counter-proposal.</w:t>
      </w:r>
    </w:p>
    <w:p>
      <w:r>
        <w:pict>
          <v:rect style="width:0;height:1.5pt" o:hralign="center" o:hrstd="t" o:hr="t"/>
        </w:pict>
      </w:r>
    </w:p>
    <w:bookmarkEnd w:id="59"/>
    <w:bookmarkEnd w:id="60"/>
    <w:bookmarkStart w:id="61" w:name="Xbebd60fc66ca8c93bc2235a058fc678ed8791ac"/>
    <w:p>
      <w:pPr>
        <w:pStyle w:val="Heading2"/>
      </w:pPr>
      <w:r>
        <w:t xml:space="preserve">V. Recommended Negotiation Posture and Red Lines</w:t>
      </w:r>
    </w:p>
    <w:p>
      <w:pPr>
        <w:pStyle w:val="FirstParagraph"/>
      </w:pPr>
      <w:r>
        <w:rPr>
          <w:b/>
          <w:bCs/>
        </w:rPr>
        <w:t xml:space="preserve">Strategic frame (per CEO).</w:t>
      </w:r>
      <w:r>
        <w:t xml:space="preserve"> </w:t>
      </w:r>
      <w:r>
        <w:t xml:space="preserve">This is Whitmore’s most significant commercial opportunity since founding (~$9.6M first-year; ~20% of FY 2024 revenue; largest SaaS contract by 3×; Series C centerpiece). Whitmore should pursue aggressively — but</w:t>
      </w:r>
      <w:r>
        <w:t xml:space="preserve"> </w:t>
      </w:r>
      <w:r>
        <w:rPr>
          <w:b/>
          <w:bCs/>
        </w:rPr>
        <w:t xml:space="preserve">will not sign a deal that compromises its core IP or its model-improvement flywheel.</w:t>
      </w:r>
      <w:r>
        <w:t xml:space="preserve"> </w:t>
      </w:r>
      <w:r>
        <w:t xml:space="preserve">Any term that undermines the algorithms or continuous data-driven improvement is a dealbreaker, not a negotiation point.</w:t>
      </w:r>
    </w:p>
    <w:p>
      <w:pPr>
        <w:pStyle w:val="BodyText"/>
      </w:pPr>
      <w:r>
        <w:rPr>
          <w:b/>
          <w:bCs/>
        </w:rPr>
        <w:t xml:space="preserve">Red lines (do not accept as drafted):</w:t>
      </w:r>
    </w:p>
    <w:p>
      <w:pPr>
        <w:pStyle w:val="Compact"/>
        <w:numPr>
          <w:ilvl w:val="0"/>
          <w:numId w:val="1030"/>
        </w:numPr>
      </w:pPr>
      <w:r>
        <w:rPr>
          <w:b/>
          <w:bCs/>
        </w:rPr>
        <w:t xml:space="preserve">Exclusivity:</w:t>
      </w:r>
      <w:r>
        <w:t xml:space="preserve"> </w:t>
      </w:r>
      <w:r>
        <w:t xml:space="preserve">no open-ended 30% revenue definition; at most a narrow named-entity list for ≤18 months, with pipeline carve-outs and narrowed remedies.</w:t>
      </w:r>
    </w:p>
    <w:p>
      <w:pPr>
        <w:pStyle w:val="Compact"/>
        <w:numPr>
          <w:ilvl w:val="0"/>
          <w:numId w:val="1030"/>
        </w:numPr>
      </w:pPr>
      <w:r>
        <w:rPr>
          <w:b/>
          <w:bCs/>
        </w:rPr>
        <w:t xml:space="preserve">Data training:</w:t>
      </w:r>
      <w:r>
        <w:t xml:space="preserve"> </w:t>
      </w:r>
      <w:r>
        <w:t xml:space="preserve">Whitmore must retain the right to use</w:t>
      </w:r>
      <w:r>
        <w:t xml:space="preserve"> </w:t>
      </w:r>
      <w:r>
        <w:rPr>
          <w:b/>
          <w:bCs/>
        </w:rPr>
        <w:t xml:space="preserve">anonymized, aggregated</w:t>
      </w:r>
      <w:r>
        <w:t xml:space="preserve"> </w:t>
      </w:r>
      <w:r>
        <w:t xml:space="preserve">KBI Data for model improvement (with strong anonymization standards and verification).</w:t>
      </w:r>
    </w:p>
    <w:p>
      <w:pPr>
        <w:pStyle w:val="Compact"/>
        <w:numPr>
          <w:ilvl w:val="0"/>
          <w:numId w:val="1030"/>
        </w:numPr>
      </w:pPr>
      <w:r>
        <w:rPr>
          <w:b/>
          <w:bCs/>
        </w:rPr>
        <w:t xml:space="preserve">Output Data:</w:t>
      </w:r>
      <w:r>
        <w:t xml:space="preserve"> </w:t>
      </w:r>
      <w:r>
        <w:t xml:space="preserve">model weights, parameters, and training artifacts generated in the ordinary course</w:t>
      </w:r>
      <w:r>
        <w:t xml:space="preserve"> </w:t>
      </w:r>
      <w:r>
        <w:rPr>
          <w:b/>
          <w:bCs/>
        </w:rPr>
        <w:t xml:space="preserve">cannot belong to KBI</w:t>
      </w:r>
      <w:r>
        <w:t xml:space="preserve"> </w:t>
      </w:r>
      <w:r>
        <w:t xml:space="preserve">— strike or fundamentally restructure §4.2.</w:t>
      </w:r>
    </w:p>
    <w:p>
      <w:pPr>
        <w:pStyle w:val="Compact"/>
        <w:numPr>
          <w:ilvl w:val="0"/>
          <w:numId w:val="1030"/>
        </w:numPr>
      </w:pPr>
      <w:r>
        <w:rPr>
          <w:b/>
          <w:bCs/>
        </w:rPr>
        <w:t xml:space="preserve">MFC:</w:t>
      </w:r>
      <w:r>
        <w:t xml:space="preserve"> </w:t>
      </w:r>
      <w:r>
        <w:t xml:space="preserve">no perpetual, no-sunset, no-carve-out MFC; require sunset, carve-outs, capped look-back, and narrowed scope.</w:t>
      </w:r>
    </w:p>
    <w:p>
      <w:pPr>
        <w:pStyle w:val="FirstParagraph"/>
      </w:pPr>
      <w:r>
        <w:rPr>
          <w:b/>
          <w:bCs/>
        </w:rPr>
        <w:t xml:space="preserve">High-priority fixes before signing:</w:t>
      </w:r>
      <w:r>
        <w:t xml:space="preserve"> </w:t>
      </w:r>
      <w:r>
        <w:t xml:space="preserve">cap the IP indemnity (Item 4); restructure the performance warranty (Item 5); fix escrow triggers and the post-release license (Item 6); convert the wind-down license from perpetual to time-limited (Item 7); resolve governing law / obtain German-law advice (Item 8); fix derivative-works ownership and the §3.4/§3.5 contradiction (Item 9); and restructure payments to 40/30/30 with front-loaded implementation (Item 10).</w:t>
      </w:r>
    </w:p>
    <w:p>
      <w:pPr>
        <w:pStyle w:val="BodyText"/>
      </w:pPr>
      <w:r>
        <w:rPr>
          <w:b/>
          <w:bCs/>
        </w:rPr>
        <w:t xml:space="preserve">Acceptable / low-risk as drafted (subject to minor adjustment):</w:t>
      </w:r>
      <w:r>
        <w:t xml:space="preserve"> </w:t>
      </w:r>
      <w:r>
        <w:t xml:space="preserve">confidentiality (§15), escrow mechanics (other than triggers), SLA soft standard (§7.2), deemed acceptance (§6.5, with definition), currency/tax framework (§5.5–5.6), and the 60-day no-shop (§16.2).</w:t>
      </w:r>
    </w:p>
    <w:p>
      <w:r>
        <w:pict>
          <v:rect style="width:0;height:1.5pt" o:hralign="center" o:hrstd="t" o:hr="t"/>
        </w:pict>
      </w:r>
    </w:p>
    <w:bookmarkEnd w:id="61"/>
    <w:bookmarkStart w:id="62" w:name="vi.-process-timeline-and-next-steps"/>
    <w:p>
      <w:pPr>
        <w:pStyle w:val="Heading2"/>
      </w:pPr>
      <w:r>
        <w:t xml:space="preserve">VI. Process,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June 16, 2025</w:t>
            </w:r>
          </w:p>
        </w:tc>
        <w:tc>
          <w:tcPr/>
          <w:p>
            <w:pPr>
              <w:pStyle w:val="Compact"/>
              <w:jc w:val="left"/>
            </w:pPr>
            <w:r>
              <w:t xml:space="preserve">This memo delivered (board-ready)</w:t>
            </w:r>
          </w:p>
        </w:tc>
      </w:tr>
      <w:tr>
        <w:tc>
          <w:tcPr/>
          <w:p>
            <w:pPr>
              <w:pStyle w:val="Compact"/>
              <w:jc w:val="left"/>
            </w:pPr>
            <w:r>
              <w:t xml:space="preserve">June 18, 2025</w:t>
            </w:r>
          </w:p>
        </w:tc>
        <w:tc>
          <w:tcPr/>
          <w:p>
            <w:pPr>
              <w:pStyle w:val="Compact"/>
              <w:jc w:val="left"/>
            </w:pPr>
            <w:r>
              <w:t xml:space="preserve">Board meeting — approve negotiation framework / red lines</w:t>
            </w:r>
          </w:p>
        </w:tc>
      </w:tr>
      <w:tr>
        <w:tc>
          <w:tcPr/>
          <w:p>
            <w:pPr>
              <w:pStyle w:val="Compact"/>
              <w:jc w:val="left"/>
            </w:pPr>
            <w:r>
              <w:t xml:space="preserve">~June 19, 2025</w:t>
            </w:r>
          </w:p>
        </w:tc>
        <w:tc>
          <w:tcPr/>
          <w:p>
            <w:pPr>
              <w:pStyle w:val="Compact"/>
              <w:jc w:val="left"/>
            </w:pPr>
            <w:r>
              <w:t xml:space="preserve">Thursday internal alignment call (Kendrick / Yin / Malhotra) — confirm red lines before outside-counsel engagement is fully underway</w:t>
            </w:r>
          </w:p>
        </w:tc>
      </w:tr>
      <w:tr>
        <w:tc>
          <w:tcPr/>
          <w:p>
            <w:pPr>
              <w:pStyle w:val="Compact"/>
              <w:jc w:val="left"/>
            </w:pPr>
            <w:r>
              <w:t xml:space="preserve">By June 23, 2025</w:t>
            </w:r>
          </w:p>
        </w:tc>
        <w:tc>
          <w:tcPr/>
          <w:p>
            <w:pPr>
              <w:pStyle w:val="Compact"/>
              <w:jc w:val="left"/>
            </w:pPr>
            <w:r>
              <w:t xml:space="preserve">Deliver substantive written response to KBI (KBI’s requested deadline; also conditions MFC/timeline)</w:t>
            </w:r>
          </w:p>
        </w:tc>
      </w:tr>
      <w:tr>
        <w:tc>
          <w:tcPr/>
          <w:p>
            <w:pPr>
              <w:pStyle w:val="Compact"/>
              <w:jc w:val="left"/>
            </w:pPr>
            <w:r>
              <w:t xml:space="preserve">July 28, 2025</w:t>
            </w:r>
          </w:p>
        </w:tc>
        <w:tc>
          <w:tcPr/>
          <w:p>
            <w:pPr>
              <w:pStyle w:val="Compact"/>
              <w:jc w:val="left"/>
            </w:pPr>
            <w:r>
              <w:t xml:space="preserve">Binding no-shop expires</w:t>
            </w:r>
          </w:p>
        </w:tc>
      </w:tr>
      <w:tr>
        <w:tc>
          <w:tcPr/>
          <w:p>
            <w:pPr>
              <w:pStyle w:val="Compact"/>
              <w:jc w:val="left"/>
            </w:pPr>
            <w:r>
              <w:t xml:space="preserve">August 15, 2025</w:t>
            </w:r>
          </w:p>
        </w:tc>
        <w:tc>
          <w:tcPr/>
          <w:p>
            <w:pPr>
              <w:pStyle w:val="Compact"/>
              <w:jc w:val="left"/>
            </w:pPr>
            <w:r>
              <w:t xml:space="preserve">Targeted definitive agreement execution</w:t>
            </w:r>
          </w:p>
        </w:tc>
      </w:tr>
      <w:tr>
        <w:tc>
          <w:tcPr/>
          <w:p>
            <w:pPr>
              <w:pStyle w:val="Compact"/>
              <w:jc w:val="left"/>
            </w:pPr>
            <w:r>
              <w:t xml:space="preserve">September 15, 2025</w:t>
            </w:r>
          </w:p>
        </w:tc>
        <w:tc>
          <w:tcPr/>
          <w:p>
            <w:pPr>
              <w:pStyle w:val="Compact"/>
              <w:jc w:val="left"/>
            </w:pPr>
            <w:r>
              <w:t xml:space="preserve">Phase 1 implementation start</w:t>
            </w:r>
          </w:p>
        </w:tc>
      </w:tr>
      <w:tr>
        <w:tc>
          <w:tcPr/>
          <w:p>
            <w:pPr>
              <w:pStyle w:val="Compact"/>
              <w:jc w:val="left"/>
            </w:pPr>
            <w:r>
              <w:t xml:space="preserve">March 15, 2026</w:t>
            </w:r>
          </w:p>
        </w:tc>
        <w:tc>
          <w:tcPr/>
          <w:p>
            <w:pPr>
              <w:pStyle w:val="Compact"/>
              <w:jc w:val="left"/>
            </w:pPr>
            <w:r>
              <w:t xml:space="preserve">Phase 1 completion target</w:t>
            </w:r>
          </w:p>
        </w:tc>
      </w:tr>
      <w:tr>
        <w:tc>
          <w:tcPr/>
          <w:p>
            <w:pPr>
              <w:pStyle w:val="Compact"/>
              <w:jc w:val="left"/>
            </w:pPr>
            <w:r>
              <w:t xml:space="preserve">March 15, 2027</w:t>
            </w:r>
          </w:p>
        </w:tc>
        <w:tc>
          <w:tcPr/>
          <w:p>
            <w:pPr>
              <w:pStyle w:val="Compact"/>
              <w:jc w:val="left"/>
            </w:pPr>
            <w:r>
              <w:t xml:space="preserve">Phase 2 go-live target</w:t>
            </w:r>
          </w:p>
        </w:tc>
      </w:tr>
    </w:tbl>
    <w:p>
      <w:pPr>
        <w:pStyle w:val="BodyText"/>
      </w:pPr>
      <w:r>
        <w:rPr>
          <w:b/>
          <w:bCs/>
        </w:rPr>
        <w:t xml:space="preserve">Immediate action items:</w:t>
      </w:r>
    </w:p>
    <w:p>
      <w:pPr>
        <w:pStyle w:val="Compact"/>
        <w:numPr>
          <w:ilvl w:val="0"/>
          <w:numId w:val="1031"/>
        </w:numPr>
      </w:pPr>
      <w:r>
        <w:rPr>
          <w:b/>
          <w:bCs/>
        </w:rPr>
        <w:t xml:space="preserve">Board (June 18):</w:t>
      </w:r>
      <w:r>
        <w:t xml:space="preserve"> </w:t>
      </w:r>
      <w:r>
        <w:t xml:space="preserve">approve the negotiation framework and red lines in Section V.</w:t>
      </w:r>
    </w:p>
    <w:p>
      <w:pPr>
        <w:pStyle w:val="Compact"/>
        <w:numPr>
          <w:ilvl w:val="0"/>
          <w:numId w:val="1031"/>
        </w:numPr>
      </w:pPr>
      <w:r>
        <w:rPr>
          <w:b/>
          <w:bCs/>
        </w:rPr>
        <w:t xml:space="preserve">Sarah Yin:</w:t>
      </w:r>
      <w:r>
        <w:t xml:space="preserve"> </w:t>
      </w:r>
      <w:r>
        <w:t xml:space="preserve">engage Ferndale Hale &amp; Seward LLP to draft the counter-proposal / mark-up; engage German-law specialist counsel on governing-law and penalty-clause issues; flag ASC 606 questions to Lakeshore Accounting Group LLP.</w:t>
      </w:r>
    </w:p>
    <w:p>
      <w:pPr>
        <w:pStyle w:val="Compact"/>
        <w:numPr>
          <w:ilvl w:val="0"/>
          <w:numId w:val="1031"/>
        </w:numPr>
      </w:pPr>
      <w:r>
        <w:rPr>
          <w:b/>
          <w:bCs/>
        </w:rPr>
        <w:t xml:space="preserve">Tom Kendrick:</w:t>
      </w:r>
      <w:r>
        <w:t xml:space="preserve"> </w:t>
      </w:r>
      <w:r>
        <w:t xml:space="preserve">prepare the one-page European pipeline-impact summary (3 active prospects; ~$4–5M potential recurring SaaS; 25–30 additional companies within the 30% threshold) for the board deck; model the revised 40/30/30 payment structure and front-loaded implementation fees.</w:t>
      </w:r>
    </w:p>
    <w:p>
      <w:pPr>
        <w:pStyle w:val="Compact"/>
        <w:numPr>
          <w:ilvl w:val="0"/>
          <w:numId w:val="1031"/>
        </w:numPr>
      </w:pPr>
      <w:r>
        <w:rPr>
          <w:b/>
          <w:bCs/>
        </w:rPr>
        <w:t xml:space="preserve">Deal team:</w:t>
      </w:r>
      <w:r>
        <w:t xml:space="preserve"> </w:t>
      </w:r>
      <w:r>
        <w:t xml:space="preserve">prepare a substantive, commercially grounded written response to KBI before June 23 that (a) signals strong interest and commitment to the timeline, (b) frames the three Critical items as requiring restructuring, and (c) presents proposed counter-terms.</w:t>
      </w:r>
    </w:p>
    <w:p>
      <w:r>
        <w:pict>
          <v:rect style="width:0;height:1.5pt" o:hralign="center" o:hrstd="t" o:hr="t"/>
        </w:pict>
      </w:r>
    </w:p>
    <w:bookmarkEnd w:id="62"/>
    <w:bookmarkStart w:id="63" w:name="vii.-open-diligence-items"/>
    <w:p>
      <w:pPr>
        <w:pStyle w:val="Heading2"/>
      </w:pPr>
      <w:r>
        <w:t xml:space="preserve">VII. Open Diligence Items</w:t>
      </w:r>
    </w:p>
    <w:p>
      <w:pPr>
        <w:pStyle w:val="Compact"/>
        <w:numPr>
          <w:ilvl w:val="0"/>
          <w:numId w:val="1032"/>
        </w:numPr>
      </w:pPr>
      <w:r>
        <w:rPr>
          <w:b/>
          <w:bCs/>
        </w:rPr>
        <w:t xml:space="preserve">MFC look-back date:</w:t>
      </w:r>
      <w:r>
        <w:t xml:space="preserve"> </w:t>
      </w:r>
      <w:r>
        <w:t xml:space="preserve">confirm whether KBI intends a pre-execution retroactive look-back (the GC’s email references</w:t>
      </w:r>
      <w:r>
        <w:t xml:space="preserve"> </w:t>
      </w:r>
      <w:r>
        <w:t xml:space="preserve">“</w:t>
      </w:r>
      <w:r>
        <w:t xml:space="preserve">since January 1, 2024,</w:t>
      </w:r>
      <w:r>
        <w:t xml:space="preserve">”</w:t>
      </w:r>
      <w:r>
        <w:t xml:space="preserve"> </w:t>
      </w:r>
      <w:r>
        <w:t xml:space="preserve">which is not in the side-letter text as provided).</w:t>
      </w:r>
    </w:p>
    <w:p>
      <w:pPr>
        <w:pStyle w:val="Compact"/>
        <w:numPr>
          <w:ilvl w:val="0"/>
          <w:numId w:val="1032"/>
        </w:numPr>
      </w:pPr>
      <w:r>
        <w:rPr>
          <w:b/>
          <w:bCs/>
        </w:rPr>
        <w:t xml:space="preserve">Wind-down license term:</w:t>
      </w:r>
      <w:r>
        <w:t xml:space="preserve"> </w:t>
      </w:r>
      <w:r>
        <w:t xml:space="preserve">the Term Sheet provides a</w:t>
      </w:r>
      <w:r>
        <w:t xml:space="preserve"> </w:t>
      </w:r>
      <w:r>
        <w:rPr>
          <w:b/>
          <w:bCs/>
        </w:rPr>
        <w:t xml:space="preserve">perpetual</w:t>
      </w:r>
      <w:r>
        <w:t xml:space="preserve"> </w:t>
      </w:r>
      <w:r>
        <w:t xml:space="preserve">wind-down license at the</w:t>
      </w:r>
      <w:r>
        <w:t xml:space="preserve"> </w:t>
      </w:r>
      <w:r>
        <w:rPr>
          <w:b/>
          <w:bCs/>
        </w:rPr>
        <w:t xml:space="preserve">full</w:t>
      </w:r>
      <w:r>
        <w:t xml:space="preserve"> </w:t>
      </w:r>
      <w:r>
        <w:t xml:space="preserve">maintenance fee; the GC’s email references a</w:t>
      </w:r>
      <w:r>
        <w:t xml:space="preserve"> </w:t>
      </w:r>
      <w:r>
        <w:t xml:space="preserve">“</w:t>
      </w:r>
      <w:r>
        <w:t xml:space="preserve">24-month … at reduced fees</w:t>
      </w:r>
      <w:r>
        <w:t xml:space="preserve">”</w:t>
      </w:r>
      <w:r>
        <w:t xml:space="preserve"> </w:t>
      </w:r>
      <w:r>
        <w:t xml:space="preserve">arrangement. Confirm KBI’s intent and align internally.</w:t>
      </w:r>
    </w:p>
    <w:p>
      <w:pPr>
        <w:pStyle w:val="Compact"/>
        <w:numPr>
          <w:ilvl w:val="0"/>
          <w:numId w:val="1032"/>
        </w:numPr>
      </w:pPr>
      <w:r>
        <w:rPr>
          <w:b/>
          <w:bCs/>
        </w:rPr>
        <w:t xml:space="preserve">Outside-counsel name:</w:t>
      </w:r>
      <w:r>
        <w:t xml:space="preserve"> </w:t>
      </w:r>
      <w:r>
        <w:t xml:space="preserve">the side letter refers to</w:t>
      </w:r>
      <w:r>
        <w:t xml:space="preserve"> </w:t>
      </w:r>
      <w:r>
        <w:t xml:space="preserve">“</w:t>
      </w:r>
      <w:r>
        <w:t xml:space="preserve">Fenwick Hale &amp; Seward LLP</w:t>
      </w:r>
      <w:r>
        <w:t xml:space="preserve">”</w:t>
      </w:r>
      <w:r>
        <w:t xml:space="preserve">; internal emails refer to</w:t>
      </w:r>
      <w:r>
        <w:t xml:space="preserve"> </w:t>
      </w:r>
      <w:r>
        <w:t xml:space="preserve">“</w:t>
      </w:r>
      <w:r>
        <w:t xml:space="preserve">Ferndale Hale &amp; Seward LLP.</w:t>
      </w:r>
      <w:r>
        <w:t xml:space="preserve">”</w:t>
      </w:r>
      <w:r>
        <w:t xml:space="preserve"> </w:t>
      </w:r>
      <w:r>
        <w:t xml:space="preserve">Confirm the correct firm name for the definitive agreement’s notices/counsel provisions.</w:t>
      </w:r>
    </w:p>
    <w:p>
      <w:pPr>
        <w:pStyle w:val="Compact"/>
        <w:numPr>
          <w:ilvl w:val="0"/>
          <w:numId w:val="1032"/>
        </w:numPr>
      </w:pPr>
      <w:r>
        <w:rPr>
          <w:b/>
          <w:bCs/>
        </w:rPr>
        <w:t xml:space="preserve">Exhibit A / system requirements:</w:t>
      </w:r>
      <w:r>
        <w:t xml:space="preserve"> </w:t>
      </w:r>
      <w:r>
        <w:t xml:space="preserve">minimum hardware/software and network requirements are to be provided by Whitmore</w:t>
      </w:r>
      <w:r>
        <w:t xml:space="preserve"> </w:t>
      </w:r>
      <w:r>
        <w:t xml:space="preserve">“</w:t>
      </w:r>
      <w:r>
        <w:t xml:space="preserve">prior to commencement of Phase 1</w:t>
      </w:r>
      <w:r>
        <w:t xml:space="preserve">”</w:t>
      </w:r>
      <w:r>
        <w:t xml:space="preserve"> </w:t>
      </w:r>
      <w:r>
        <w:t xml:space="preserve">— ensure these are finalized and aligned with the performance warranty’s conditions precedent.</w:t>
      </w:r>
    </w:p>
    <w:p>
      <w:pPr>
        <w:pStyle w:val="Compact"/>
        <w:numPr>
          <w:ilvl w:val="0"/>
          <w:numId w:val="1032"/>
        </w:numPr>
      </w:pPr>
      <w:r>
        <w:rPr>
          <w:b/>
          <w:bCs/>
        </w:rPr>
        <w:t xml:space="preserve">Exhibit B competitor list:</w:t>
      </w:r>
      <w:r>
        <w:t xml:space="preserve"> </w:t>
      </w:r>
      <w:r>
        <w:t xml:space="preserve">obtain and review the full named-competitor list and assess pipeline overlap before agreeing to any named-list exclusivity.</w:t>
      </w:r>
    </w:p>
    <w:p>
      <w:pPr>
        <w:pStyle w:val="Compact"/>
        <w:numPr>
          <w:ilvl w:val="0"/>
          <w:numId w:val="1032"/>
        </w:numPr>
      </w:pPr>
      <w:r>
        <w:rPr>
          <w:b/>
          <w:bCs/>
        </w:rPr>
        <w:t xml:space="preserve">Insurance:</w:t>
      </w:r>
      <w:r>
        <w:t xml:space="preserve"> </w:t>
      </w:r>
      <w:r>
        <w:t xml:space="preserve">obtain quotes for IP-infringement / technology E&amp;O insurance sized to support a capped IP indemnity.</w:t>
      </w:r>
    </w:p>
    <w:p>
      <w:r>
        <w:pict>
          <v:rect style="width:0;height:1.5pt" o:hralign="center" o:hrstd="t" o:hr="t"/>
        </w:pict>
      </w:r>
    </w:p>
    <w:bookmarkEnd w:id="63"/>
    <w:bookmarkStart w:id="64" w:name="viii.-appendix-a-fee-schedule-as-drafted"/>
    <w:p>
      <w:pPr>
        <w:pStyle w:val="Heading2"/>
      </w:pPr>
      <w:r>
        <w:t xml:space="preserve">VIII. Appendix A — Fee Schedule (as drafted)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t xml:space="preserve">Initial License Fee</w:t>
            </w:r>
          </w:p>
        </w:tc>
        <w:tc>
          <w:tcPr/>
          <w:p>
            <w:pPr>
              <w:pStyle w:val="Compact"/>
              <w:jc w:val="left"/>
            </w:pPr>
            <w:r>
              <w:t xml:space="preserve">$4,200,000¹</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Annual SaaS Subscription</w:t>
            </w:r>
          </w:p>
        </w:tc>
        <w:tc>
          <w:tcPr/>
          <w:p>
            <w:pPr>
              <w:pStyle w:val="Compact"/>
              <w:jc w:val="left"/>
            </w:pPr>
            <w:r>
              <w:t xml:space="preserve">$2,850,000</w:t>
            </w:r>
          </w:p>
        </w:tc>
        <w:tc>
          <w:tcPr/>
          <w:p>
            <w:pPr>
              <w:pStyle w:val="Compact"/>
              <w:jc w:val="left"/>
            </w:pPr>
            <w:r>
              <w:t xml:space="preserve">$2,850,000</w:t>
            </w:r>
          </w:p>
        </w:tc>
        <w:tc>
          <w:tcPr/>
          <w:p>
            <w:pPr>
              <w:pStyle w:val="Compact"/>
              <w:jc w:val="left"/>
            </w:pPr>
            <w:r>
              <w:t xml:space="preserve">$2,850,000</w:t>
            </w:r>
          </w:p>
        </w:tc>
        <w:tc>
          <w:tcPr/>
          <w:p>
            <w:pPr>
              <w:pStyle w:val="Compact"/>
              <w:jc w:val="left"/>
            </w:pPr>
            <w:r>
              <w:t xml:space="preserve">$2,935,500</w:t>
            </w:r>
          </w:p>
        </w:tc>
        <w:tc>
          <w:tcPr/>
          <w:p>
            <w:pPr>
              <w:pStyle w:val="Compact"/>
              <w:jc w:val="left"/>
            </w:pPr>
            <w:r>
              <w:t xml:space="preserve">$3,023,565</w:t>
            </w:r>
          </w:p>
        </w:tc>
      </w:tr>
      <w:tr>
        <w:tc>
          <w:tcPr/>
          <w:p>
            <w:pPr>
              <w:pStyle w:val="Compact"/>
              <w:jc w:val="left"/>
            </w:pPr>
            <w:r>
              <w:t xml:space="preserve">Implementation Services</w:t>
            </w:r>
          </w:p>
        </w:tc>
        <w:tc>
          <w:tcPr/>
          <w:p>
            <w:pPr>
              <w:pStyle w:val="Compact"/>
              <w:jc w:val="left"/>
            </w:pPr>
            <w:r>
              <w:t xml:space="preserve">$1,750,000²</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Annual Maintenance &amp; Support</w:t>
            </w:r>
          </w:p>
        </w:tc>
        <w:tc>
          <w:tcPr/>
          <w:p>
            <w:pPr>
              <w:pStyle w:val="Compact"/>
              <w:jc w:val="left"/>
            </w:pPr>
            <w:r>
              <w:t xml:space="preserve">$756,000</w:t>
            </w:r>
          </w:p>
        </w:tc>
        <w:tc>
          <w:tcPr/>
          <w:p>
            <w:pPr>
              <w:pStyle w:val="Compact"/>
              <w:jc w:val="left"/>
            </w:pPr>
            <w:r>
              <w:t xml:space="preserve">$786,240</w:t>
            </w:r>
          </w:p>
        </w:tc>
        <w:tc>
          <w:tcPr/>
          <w:p>
            <w:pPr>
              <w:pStyle w:val="Compact"/>
              <w:jc w:val="left"/>
            </w:pPr>
            <w:r>
              <w:t xml:space="preserve">$817,690</w:t>
            </w:r>
          </w:p>
        </w:tc>
        <w:tc>
          <w:tcPr/>
          <w:p>
            <w:pPr>
              <w:pStyle w:val="Compact"/>
              <w:jc w:val="left"/>
            </w:pPr>
            <w:r>
              <w:t xml:space="preserve">$850,397</w:t>
            </w:r>
          </w:p>
        </w:tc>
        <w:tc>
          <w:tcPr/>
          <w:p>
            <w:pPr>
              <w:pStyle w:val="Compact"/>
              <w:jc w:val="left"/>
            </w:pPr>
            <w:r>
              <w:t xml:space="preserve">$884,413</w:t>
            </w:r>
          </w:p>
        </w:tc>
      </w:tr>
      <w:tr>
        <w:tc>
          <w:tcPr/>
          <w:p>
            <w:pPr>
              <w:pStyle w:val="Compact"/>
              <w:jc w:val="left"/>
            </w:pPr>
            <w:r>
              <w:rPr>
                <w:b/>
                <w:bCs/>
              </w:rPr>
              <w:t xml:space="preserve">Annual total</w:t>
            </w:r>
          </w:p>
        </w:tc>
        <w:tc>
          <w:tcPr/>
          <w:p>
            <w:pPr>
              <w:pStyle w:val="Compact"/>
              <w:jc w:val="left"/>
            </w:pPr>
            <w:r>
              <w:rPr>
                <w:b/>
                <w:bCs/>
              </w:rPr>
              <w:t xml:space="preserve">~$9,556,000</w:t>
            </w:r>
          </w:p>
        </w:tc>
        <w:tc>
          <w:tcPr/>
          <w:p>
            <w:pPr>
              <w:pStyle w:val="Compact"/>
              <w:jc w:val="left"/>
            </w:pPr>
            <w:r>
              <w:rPr>
                <w:b/>
                <w:bCs/>
              </w:rPr>
              <w:t xml:space="preserve">~$3,636,240</w:t>
            </w:r>
          </w:p>
        </w:tc>
        <w:tc>
          <w:tcPr/>
          <w:p>
            <w:pPr>
              <w:pStyle w:val="Compact"/>
              <w:jc w:val="left"/>
            </w:pPr>
            <w:r>
              <w:rPr>
                <w:b/>
                <w:bCs/>
              </w:rPr>
              <w:t xml:space="preserve">~$3,667,690</w:t>
            </w:r>
          </w:p>
        </w:tc>
        <w:tc>
          <w:tcPr/>
          <w:p>
            <w:pPr>
              <w:pStyle w:val="Compact"/>
              <w:jc w:val="left"/>
            </w:pPr>
            <w:r>
              <w:rPr>
                <w:b/>
                <w:bCs/>
              </w:rPr>
              <w:t xml:space="preserve">~$3,785,897</w:t>
            </w:r>
          </w:p>
        </w:tc>
        <w:tc>
          <w:tcPr/>
          <w:p>
            <w:pPr>
              <w:pStyle w:val="Compact"/>
              <w:jc w:val="left"/>
            </w:pPr>
            <w:r>
              <w:rPr>
                <w:b/>
                <w:bCs/>
              </w:rPr>
              <w:t xml:space="preserve">~$3,907,978</w:t>
            </w:r>
          </w:p>
        </w:tc>
      </w:tr>
    </w:tbl>
    <w:p>
      <w:pPr>
        <w:pStyle w:val="BodyText"/>
      </w:pPr>
      <w:r>
        <w:t xml:space="preserve">¹ License fee paid 30% at execution, 40% at Phase 1 completion (target 3/15/26), 30% at Phase 2 go-live (target 3/15/27); not all in Year 1 cash.</w:t>
      </w:r>
      <w:r>
        <w:t xml:space="preserve"> </w:t>
      </w:r>
      <w:r>
        <w:t xml:space="preserve">² Implementation fee paid monthly over 18 months (~$97,222/mo); straddles Years 1–2.</w:t>
      </w:r>
    </w:p>
    <w:p>
      <w:pPr>
        <w:pStyle w:val="BodyText"/>
      </w:pPr>
      <w:r>
        <w:rPr>
          <w:b/>
          <w:bCs/>
        </w:rPr>
        <w:t xml:space="preserve">Approximate five-year contracted value: ~$24.55M</w:t>
      </w:r>
      <w:r>
        <w:t xml:space="preserve"> </w:t>
      </w:r>
      <w:r>
        <w:t xml:space="preserve">(license $4.20M + SaaS $14.51M + implementation $1.75M + maintenance $4.09M), plus perpetual-license and recurring tail beyond Year 5.</w:t>
      </w:r>
    </w:p>
    <w:bookmarkEnd w:id="64"/>
    <w:bookmarkStart w:id="65" w:name="X971d331306afb92408ff824fa9e110d674646b8"/>
    <w:p>
      <w:pPr>
        <w:pStyle w:val="Heading2"/>
      </w:pPr>
      <w:r>
        <w:t xml:space="preserve">IX. Appendix B — Exhibit B Named Direct Competitors (§12.2(a))</w:t>
      </w:r>
    </w:p>
    <w:p>
      <w:pPr>
        <w:pStyle w:val="Compact"/>
        <w:numPr>
          <w:ilvl w:val="0"/>
          <w:numId w:val="1033"/>
        </w:numPr>
      </w:pPr>
      <w:r>
        <w:t xml:space="preserve">Voelker-Haas Maschinenbau AG (Germany)</w:t>
      </w:r>
    </w:p>
    <w:p>
      <w:pPr>
        <w:pStyle w:val="Compact"/>
        <w:numPr>
          <w:ilvl w:val="0"/>
          <w:numId w:val="1033"/>
        </w:numPr>
      </w:pPr>
      <w:r>
        <w:t xml:space="preserve">Duraforge Industries S.p.A. (Italy)</w:t>
      </w:r>
    </w:p>
    <w:p>
      <w:pPr>
        <w:pStyle w:val="Compact"/>
        <w:numPr>
          <w:ilvl w:val="0"/>
          <w:numId w:val="1033"/>
        </w:numPr>
      </w:pPr>
      <w:r>
        <w:t xml:space="preserve">Nordhaven Automotive Group AB (Sweden)</w:t>
      </w:r>
    </w:p>
    <w:p>
      <w:pPr>
        <w:pStyle w:val="Compact"/>
        <w:numPr>
          <w:ilvl w:val="0"/>
          <w:numId w:val="1033"/>
        </w:numPr>
      </w:pPr>
      <w:r>
        <w:t xml:space="preserve">Castellain Manufacturing S.A. (France)</w:t>
      </w:r>
    </w:p>
    <w:p>
      <w:pPr>
        <w:pStyle w:val="Compact"/>
        <w:numPr>
          <w:ilvl w:val="0"/>
          <w:numId w:val="1033"/>
        </w:numPr>
      </w:pPr>
      <w:r>
        <w:t xml:space="preserve">Ironbridge Heavy Industries plc (United Kingdom)</w:t>
      </w:r>
    </w:p>
    <w:p>
      <w:pPr>
        <w:pStyle w:val="Compact"/>
        <w:numPr>
          <w:ilvl w:val="0"/>
          <w:numId w:val="1033"/>
        </w:numPr>
      </w:pPr>
      <w:r>
        <w:t xml:space="preserve">Rhenania Precision Components GmbH (Germany)</w:t>
      </w:r>
    </w:p>
    <w:p>
      <w:pPr>
        <w:pStyle w:val="Compact"/>
        <w:numPr>
          <w:ilvl w:val="0"/>
          <w:numId w:val="1033"/>
        </w:numPr>
      </w:pPr>
      <w:r>
        <w:t xml:space="preserve">Balticore Systems Oy (Finland)</w:t>
      </w:r>
    </w:p>
    <w:p>
      <w:pPr>
        <w:pStyle w:val="Compact"/>
        <w:numPr>
          <w:ilvl w:val="0"/>
          <w:numId w:val="1033"/>
        </w:numPr>
      </w:pPr>
      <w:r>
        <w:t xml:space="preserve">Vandermeer Werktuigbouw B.V. (Netherlands)</w:t>
      </w:r>
    </w:p>
    <w:p>
      <w:pPr>
        <w:pStyle w:val="Compact"/>
        <w:numPr>
          <w:ilvl w:val="0"/>
          <w:numId w:val="1033"/>
        </w:numPr>
      </w:pPr>
      <w:r>
        <w:t xml:space="preserve">Erhardt Industrietechnik AG (Austria)</w:t>
      </w:r>
    </w:p>
    <w:p>
      <w:pPr>
        <w:pStyle w:val="Compact"/>
        <w:numPr>
          <w:ilvl w:val="0"/>
          <w:numId w:val="1033"/>
        </w:numPr>
      </w:pPr>
      <w:r>
        <w:t xml:space="preserve">Solvena Motors S.L. (Spain)</w:t>
      </w:r>
    </w:p>
    <w:p>
      <w:pPr>
        <w:pStyle w:val="Compact"/>
        <w:numPr>
          <w:ilvl w:val="0"/>
          <w:numId w:val="1033"/>
        </w:numPr>
      </w:pPr>
      <w:r>
        <w:t xml:space="preserve">Krakowski Maszynowy S.A. (Poland)</w:t>
      </w:r>
    </w:p>
    <w:p>
      <w:pPr>
        <w:pStyle w:val="Compact"/>
        <w:numPr>
          <w:ilvl w:val="0"/>
          <w:numId w:val="1033"/>
        </w:numPr>
      </w:pPr>
      <w:r>
        <w:t xml:space="preserve">Helvetian Drivetrain AG (Switzerland)</w:t>
      </w:r>
    </w:p>
    <w:p>
      <w:pPr>
        <w:pStyle w:val="FirstParagraph"/>
      </w:pPr>
      <w:r>
        <w:rPr>
          <w:i/>
          <w:iCs/>
        </w:rPr>
        <w:t xml:space="preserve">Plus the open-ended §12.2(b) definition: any entity deriving &gt;30% of annual revenue from automotive vehicles/components, heavy machinery, or heavy industrial equipment in the EEA + UK + Switzerland — which we recommend striking entirely.</w:t>
      </w:r>
    </w:p>
    <w:p>
      <w:r>
        <w:pict>
          <v:rect style="width:0;height:1.5pt" o:hralign="center" o:hrstd="t" o:hr="t"/>
        </w:pict>
      </w:r>
    </w:p>
    <w:p>
      <w:pPr>
        <w:pStyle w:val="FirstParagraph"/>
      </w:pPr>
      <w:r>
        <w:rPr>
          <w:i/>
          <w:iCs/>
        </w:rPr>
        <w:t xml:space="preserve">This memorandum is privileged and confidential, prepared at the request of Whitmore Analytics Inc. in anticipation of the June 18, 2025 board meeting for the purpose of evaluating the proposed KBI transaction and formulating negotiation strategy. It reflects a first-impression review of the Term Sheet and MFC Side Letter as provided and should be supplemented by specialist German-law advice and a full definitive-agreement review before execution. Section references are to the Term Sheet dated May 29, 2025 unless otherwise noted.</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2026-06-28T10:19:45Z</dcterms:created>
  <dcterms:modified xsi:type="dcterms:W3CDTF">2026-06-28T10:19:45Z</dcterms:modified>
</cp:coreProperties>
</file>

<file path=docProps/custom.xml><?xml version="1.0" encoding="utf-8"?>
<Properties xmlns="http://schemas.openxmlformats.org/officeDocument/2006/custom-properties" xmlns:vt="http://schemas.openxmlformats.org/officeDocument/2006/docPropsVTypes"/>
</file>