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Key-Terms</w:t>
      </w:r>
      <w:r>
        <w:t xml:space="preserve"> </w:t>
      </w:r>
      <w:r>
        <w:t xml:space="preserve">Extraction</w:t>
      </w:r>
      <w:r>
        <w:t xml:space="preserve"> </w:t>
      </w:r>
      <w:r>
        <w:t xml:space="preserve">and</w:t>
      </w:r>
      <w:r>
        <w:t xml:space="preserve"> </w:t>
      </w:r>
      <w:r>
        <w:t xml:space="preserve">Risk</w:t>
      </w:r>
      <w:r>
        <w:t xml:space="preserve"> </w:t>
      </w:r>
      <w:r>
        <w:t xml:space="preserve">Assessment</w:t>
      </w:r>
    </w:p>
    <w:p>
      <w:pPr>
        <w:pStyle w:val="Subtitle"/>
      </w:pPr>
      <w:r>
        <w:t xml:space="preserve">Proposed</w:t>
      </w:r>
      <w:r>
        <w:t xml:space="preserve"> </w:t>
      </w:r>
      <w:r>
        <w:t xml:space="preserve">PredictIQ</w:t>
      </w:r>
      <w:r>
        <w:t xml:space="preserve"> </w:t>
      </w:r>
      <w:r>
        <w:t xml:space="preserve">Technology</w:t>
      </w:r>
      <w:r>
        <w:t xml:space="preserve"> </w:t>
      </w:r>
      <w:r>
        <w:t xml:space="preserve">License</w:t>
      </w:r>
      <w:r>
        <w:t xml:space="preserve"> </w:t>
      </w:r>
      <w:r>
        <w:t xml:space="preserve">Agreement</w:t>
      </w:r>
      <w:r>
        <w:t xml:space="preserve"> </w:t>
      </w:r>
      <w:r>
        <w:t xml:space="preserve">with</w:t>
      </w:r>
      <w:r>
        <w:t xml:space="preserve"> </w:t>
      </w:r>
      <w:r>
        <w:t xml:space="preserve">Kessler-Brandt</w:t>
      </w:r>
      <w:r>
        <w:t xml:space="preserve"> </w:t>
      </w:r>
      <w:r>
        <w:t xml:space="preserve">Industrial</w:t>
      </w:r>
      <w:r>
        <w:t xml:space="preserve"> </w:t>
      </w:r>
      <w:r>
        <w:t xml:space="preserve">GmbH</w:t>
      </w:r>
      <w:r>
        <w:t xml:space="preserve"> </w:t>
      </w:r>
      <w:r>
        <w:t xml:space="preserve">and</w:t>
      </w:r>
      <w:r>
        <w:t xml:space="preserve"> </w:t>
      </w:r>
      <w:r>
        <w:t xml:space="preserve">Related</w:t>
      </w:r>
      <w:r>
        <w:t xml:space="preserve"> </w:t>
      </w:r>
      <w:r>
        <w:t xml:space="preserve">Most-Favored-Customer</w:t>
      </w:r>
      <w:r>
        <w:t xml:space="preserve"> </w:t>
      </w:r>
      <w:r>
        <w:t xml:space="preserve">Side</w:t>
      </w:r>
      <w:r>
        <w:t xml:space="preserve"> </w:t>
      </w:r>
      <w:r>
        <w:t xml:space="preserve">Letter</w:t>
      </w:r>
    </w:p>
    <w:p>
      <w:pPr>
        <w:pStyle w:val="FirstParagraph"/>
      </w:pPr>
      <w:r>
        <w:rPr>
          <w:b/>
          <w:bCs/>
        </w:rPr>
        <w:t xml:space="preserve">FERNDALE HALE &amp; SEWARD LLP</w:t>
      </w:r>
    </w:p>
    <w:p>
      <w:pPr>
        <w:pStyle w:val="BodyText"/>
      </w:pPr>
      <w:r>
        <w:rPr>
          <w:b/>
          <w:bCs/>
        </w:rPr>
        <w:t xml:space="preserve">ATTORNEY–CLIENT PRIVILEGED &amp; CONFIDENTIAL | PREPARED AT THE REQUEST OF COUNSEL</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Whitmore Analytics Inc.</w:t>
            </w:r>
          </w:p>
        </w:tc>
      </w:tr>
      <w:tr>
        <w:tc>
          <w:tcPr/>
          <w:p>
            <w:pPr>
              <w:pStyle w:val="Compact"/>
              <w:jc w:val="left"/>
            </w:pPr>
            <w:r>
              <w:rPr>
                <w:b/>
                <w:bCs/>
              </w:rPr>
              <w:t xml:space="preserve">FROM:</w:t>
            </w:r>
          </w:p>
        </w:tc>
        <w:tc>
          <w:tcPr/>
          <w:p>
            <w:pPr>
              <w:pStyle w:val="Compact"/>
              <w:jc w:val="left"/>
            </w:pPr>
            <w:r>
              <w:t xml:space="preserve">Daniel Cortez &amp; Priya Venkatesh, Ferndale Hale &amp; Seward LLP</w:t>
            </w:r>
          </w:p>
        </w:tc>
      </w:tr>
      <w:tr>
        <w:tc>
          <w:tcPr/>
          <w:p>
            <w:pPr>
              <w:pStyle w:val="Compact"/>
              <w:jc w:val="left"/>
            </w:pPr>
            <w:r>
              <w:rPr>
                <w:b/>
                <w:bCs/>
              </w:rPr>
              <w:t xml:space="preserve">CC:</w:t>
            </w:r>
          </w:p>
        </w:tc>
        <w:tc>
          <w:tcPr/>
          <w:p>
            <w:pPr>
              <w:pStyle w:val="Compact"/>
              <w:jc w:val="left"/>
            </w:pPr>
            <w:r>
              <w:t xml:space="preserve">Rajesh Malhotra (Chief Executive Officer); Sarah Yin (General Counsel); Tom Kendrick (Vice President, Sales)</w:t>
            </w:r>
          </w:p>
        </w:tc>
      </w:tr>
      <w:tr>
        <w:tc>
          <w:tcPr/>
          <w:p>
            <w:pPr>
              <w:pStyle w:val="Compact"/>
              <w:jc w:val="left"/>
            </w:pPr>
            <w:r>
              <w:rPr>
                <w:b/>
                <w:bCs/>
              </w:rPr>
              <w:t xml:space="preserve">DATE:</w:t>
            </w:r>
          </w:p>
        </w:tc>
        <w:tc>
          <w:tcPr/>
          <w:p>
            <w:pPr>
              <w:pStyle w:val="Compact"/>
              <w:jc w:val="left"/>
            </w:pPr>
            <w:r>
              <w:t xml:space="preserve">June 16, 2025</w:t>
            </w:r>
          </w:p>
        </w:tc>
      </w:tr>
      <w:tr>
        <w:tc>
          <w:tcPr/>
          <w:p>
            <w:pPr>
              <w:pStyle w:val="Compact"/>
              <w:jc w:val="left"/>
            </w:pPr>
            <w:r>
              <w:rPr>
                <w:b/>
                <w:bCs/>
              </w:rPr>
              <w:t xml:space="preserve">RE:</w:t>
            </w:r>
          </w:p>
        </w:tc>
        <w:tc>
          <w:tcPr/>
          <w:p>
            <w:pPr>
              <w:pStyle w:val="Compact"/>
              <w:jc w:val="left"/>
            </w:pPr>
            <w:r>
              <w:t xml:space="preserve">Key-Terms Extraction and Risk Assessment — Proposed PredictIQ Technology License Agreement with Kessler-Brandt Industrial GmbH (</w:t>
            </w:r>
            <w:r>
              <w:t xml:space="preserve">“</w:t>
            </w:r>
            <w:r>
              <w:t xml:space="preserve">KBI</w:t>
            </w:r>
            <w:r>
              <w:t xml:space="preserve">”</w:t>
            </w:r>
            <w:r>
              <w:t xml:space="preserve">) and Related Most-Favored-Customer (</w:t>
            </w:r>
            <w:r>
              <w:t xml:space="preserve">“</w:t>
            </w:r>
            <w:r>
              <w:t xml:space="preserve">MFC</w:t>
            </w:r>
            <w:r>
              <w:t xml:space="preserve">”</w:t>
            </w:r>
            <w:r>
              <w:t xml:space="preserve">) Side Letter</w:t>
            </w:r>
          </w:p>
        </w:tc>
      </w:tr>
    </w:tbl>
    <w:p>
      <w:pPr>
        <w:pStyle w:val="BlockText"/>
      </w:pPr>
      <w:r>
        <w:rPr>
          <w:b/>
          <w:bCs/>
        </w:rPr>
        <w:t xml:space="preserve">Privilege &amp; purpose.</w:t>
      </w:r>
      <w:r>
        <w:t xml:space="preserve"> </w:t>
      </w:r>
      <w:r>
        <w:t xml:space="preserve">This memorandum is prepared at the request of Whitmore Analytics Inc. (</w:t>
      </w:r>
      <w:r>
        <w:t xml:space="preserve">“</w:t>
      </w:r>
      <w:r>
        <w:t xml:space="preserve">Whitmore</w:t>
      </w:r>
      <w:r>
        <w:t xml:space="preserve">”</w:t>
      </w:r>
      <w:r>
        <w:t xml:space="preserve">) General Counsel Sarah Yin for the use of Whitmore’s Board of Directors (the</w:t>
      </w:r>
      <w:r>
        <w:t xml:space="preserve"> </w:t>
      </w:r>
      <w:r>
        <w:t xml:space="preserve">“</w:t>
      </w:r>
      <w:r>
        <w:t xml:space="preserve">Board</w:t>
      </w:r>
      <w:r>
        <w:t xml:space="preserve">”</w:t>
      </w:r>
      <w:r>
        <w:t xml:space="preserve">) in connection with the Board’s June 18, 2025 meeting. It summarizes and extracts the principal terms of (i) the non-binding term sheet dated May 29, 2025 prepared by KBI’s counsel, Bergström Hecht Rechtsanwälte (Dr. Luisa Trautmann), proposing a technology license of Whitmore’s PredictIQ platform to KBI (the</w:t>
      </w:r>
      <w:r>
        <w:t xml:space="preserve"> </w:t>
      </w:r>
      <w:r>
        <w:t xml:space="preserve">“</w:t>
      </w:r>
      <w:r>
        <w:t xml:space="preserve">Term Sheet</w:t>
      </w:r>
      <w:r>
        <w:t xml:space="preserve">”</w:t>
      </w:r>
      <w:r>
        <w:t xml:space="preserve">), and (ii) the related MFC side letter dated May 29, 2025 from KBI Vice President Annika Solberg (the</w:t>
      </w:r>
      <w:r>
        <w:t xml:space="preserve"> </w:t>
      </w:r>
      <w:r>
        <w:t xml:space="preserve">“</w:t>
      </w:r>
      <w:r>
        <w:t xml:space="preserve">Side Letter,</w:t>
      </w:r>
      <w:r>
        <w:t xml:space="preserve">”</w:t>
      </w:r>
      <w:r>
        <w:t xml:space="preserve"> </w:t>
      </w:r>
      <w:r>
        <w:t xml:space="preserve">and together with the Term Sheet, the</w:t>
      </w:r>
      <w:r>
        <w:t xml:space="preserve"> </w:t>
      </w:r>
      <w:r>
        <w:t xml:space="preserve">“</w:t>
      </w:r>
      <w:r>
        <w:t xml:space="preserve">Proposed Terms</w:t>
      </w:r>
      <w:r>
        <w:t xml:space="preserve">”</w:t>
      </w:r>
      <w:r>
        <w:t xml:space="preserve">). It identifies risk flags and provides negotiation recommendations to assist the Board in approving a negotiation framework prior to Whitmore’s response to KBI, which KBI has requested by June 23, 2025. This memorandum reflects our preliminary review based on the documents provided and the internal analyses of Messrs. Malhotra and Kendrick and Ms. Yin; it is not a substitute for a full definitive-agreement review. Capitalized terms not defined herein have the meanings given in the Term Sheet.</w:t>
      </w:r>
    </w:p>
    <w:p>
      <w:r>
        <w:pict>
          <v:rect style="width:0;height:1.5pt" o:hralign="center" o:hrstd="t" o:hr="t"/>
        </w:pict>
      </w:r>
    </w:p>
    <w:bookmarkStart w:id="20" w:name="i.-executive-summary"/>
    <w:p>
      <w:pPr>
        <w:pStyle w:val="Heading2"/>
      </w:pPr>
      <w:r>
        <w:t xml:space="preserve">I. Executive Summary</w:t>
      </w:r>
    </w:p>
    <w:p>
      <w:pPr>
        <w:pStyle w:val="FirstParagraph"/>
      </w:pPr>
      <w:r>
        <w:rPr>
          <w:b/>
          <w:bCs/>
        </w:rPr>
        <w:t xml:space="preserve">The opportunity.</w:t>
      </w:r>
      <w:r>
        <w:t xml:space="preserve"> </w:t>
      </w:r>
      <w:r>
        <w:t xml:space="preserve">KBI — a German industrial conglomerate with €8.2 billion in annual revenue and 43 manufacturing facilities across 12 European countries — proposes to license Whitmore’s PredictIQ predictive-maintenance platform as the cornerstone of its</w:t>
      </w:r>
      <w:r>
        <w:t xml:space="preserve"> </w:t>
      </w:r>
      <w:r>
        <w:t xml:space="preserve">“</w:t>
      </w:r>
      <w:r>
        <w:t xml:space="preserve">SmartFactory 2030</w:t>
      </w:r>
      <w:r>
        <w:t xml:space="preserve">”</w:t>
      </w:r>
      <w:r>
        <w:t xml:space="preserve"> </w:t>
      </w:r>
      <w:r>
        <w:t xml:space="preserve">initiative, targeting a 40% reduction in unplanned downtime across its European operations. The Proposed Terms contemplate approximately</w:t>
      </w:r>
      <w:r>
        <w:t xml:space="preserve"> </w:t>
      </w:r>
      <w:r>
        <w:rPr>
          <w:b/>
          <w:bCs/>
        </w:rPr>
        <w:t xml:space="preserve">$9.56 million in first-year revenue</w:t>
      </w:r>
      <w:r>
        <w:t xml:space="preserve"> </w:t>
      </w:r>
      <w:r>
        <w:t xml:space="preserve">to Whitmore (roughly</w:t>
      </w:r>
      <w:r>
        <w:t xml:space="preserve"> </w:t>
      </w:r>
      <w:r>
        <w:rPr>
          <w:b/>
          <w:bCs/>
        </w:rPr>
        <w:t xml:space="preserve">20% of Whitmore’s FY 2024 revenue of $47.3 million</w:t>
      </w:r>
      <w:r>
        <w:t xml:space="preserve">), including a recurring SaaS subscription of</w:t>
      </w:r>
      <w:r>
        <w:t xml:space="preserve"> </w:t>
      </w:r>
      <w:r>
        <w:rPr>
          <w:b/>
          <w:bCs/>
        </w:rPr>
        <w:t xml:space="preserve">$2.85 million per year</w:t>
      </w:r>
      <w:r>
        <w:t xml:space="preserve"> </w:t>
      </w:r>
      <w:r>
        <w:t xml:space="preserve">— which would be Whitmore’s largest single SaaS contract by a factor of three. The deal would be Whitmore’s flagship reference account in European heavy manufacturing and a centerpiece of any Series C fundraising narrative with Hollcroft Ventures and other investors.</w:t>
      </w:r>
    </w:p>
    <w:p>
      <w:pPr>
        <w:pStyle w:val="BodyText"/>
      </w:pPr>
      <w:r>
        <w:rPr>
          <w:b/>
          <w:bCs/>
        </w:rPr>
        <w:t xml:space="preserve">The problem.</w:t>
      </w:r>
      <w:r>
        <w:t xml:space="preserve"> </w:t>
      </w:r>
      <w:r>
        <w:t xml:space="preserve">The Term Sheet and Side Letter were drafted by KBI’s counsel and are markedly KBI-favorable. Several provisions, if accepted as written, would materially impair Whitmore’s core intellectual property, its data-driven product-improvement model, its go-to-market freedom in Europe, and the recurring-revenue economics that make the deal strategically attractive. Three provisions in particular are, in our judgment and consistent with the views expressed by Whitmore’s management,</w:t>
      </w:r>
      <w:r>
        <w:t xml:space="preserve"> </w:t>
      </w:r>
      <w:r>
        <w:rPr>
          <w:b/>
          <w:bCs/>
        </w:rPr>
        <w:t xml:space="preserve">dealbreakers as drafted</w:t>
      </w:r>
      <w:r>
        <w:t xml:space="preserve"> </w:t>
      </w:r>
      <w:r>
        <w:t xml:space="preserve">and must be fundamentally restructured before execution: (1) the data-training restriction and Output Data ownership regime; (2) the exclusivity / non-compete; and (3) the MFC pricing side letter.</w:t>
      </w:r>
    </w:p>
    <w:p>
      <w:pPr>
        <w:pStyle w:val="BodyText"/>
      </w:pPr>
      <w:r>
        <w:rPr>
          <w:b/>
          <w:bCs/>
        </w:rPr>
        <w:t xml:space="preserve">Recommendation.</w:t>
      </w:r>
      <w:r>
        <w:t xml:space="preserve"> </w:t>
      </w:r>
      <w:r>
        <w:t xml:space="preserve">We recommend that the Board</w:t>
      </w:r>
      <w:r>
        <w:t xml:space="preserve"> </w:t>
      </w:r>
      <w:r>
        <w:rPr>
          <w:b/>
          <w:bCs/>
        </w:rPr>
        <w:t xml:space="preserve">authorize management to pursue the transaction aggressively, but on a restructured basis</w:t>
      </w:r>
      <w:r>
        <w:t xml:space="preserve"> </w:t>
      </w:r>
      <w:r>
        <w:t xml:space="preserve">consistent with the red lines and counter-proposals set forth in Sections VI and VII below. The deal is strategically transformational, but the Proposed Terms as currently drafted would trade Whitmore’s future for a single contract. The Board should approve a negotiation framework that (a) preserves Whitmore’s right to use anonymized, aggregated customer data to improve its general ML models; (b) preserves Whitmore’s ownership of and control over its model IP; (c) eliminates or radically narrows the open-ended exclusivity; (d) replaces the as-drafted MFC with a bounded, carve-out-protected pricing parity mechanism; (e) caps Whitmore’s IP indemnification exposure; (f) restructures the perpetual wind-down license so it does not erode recurring revenue; and (g) addresses the cash-flow and governing-law issues. We recommend the Board direct management to deliver a substantive counter-proposal to KBI on or before the June 23, 2025 deadline.</w:t>
      </w:r>
    </w:p>
    <w:p>
      <w:pPr>
        <w:pStyle w:val="BodyText"/>
      </w:pPr>
      <w:r>
        <w:rPr>
          <w:b/>
          <w:bCs/>
        </w:rPr>
        <w:t xml:space="preserve">Severity at a glance.</w:t>
      </w:r>
      <w:r>
        <w:t xml:space="preserve"> </w:t>
      </w:r>
      <w:r>
        <w:t xml:space="preserve">Of the 17 risk flags identified in this memorandum,</w:t>
      </w:r>
      <w:r>
        <w:t xml:space="preserve"> </w:t>
      </w:r>
      <w:r>
        <w:rPr>
          <w:b/>
          <w:bCs/>
        </w:rPr>
        <w:t xml:space="preserve">3 are Critical</w:t>
      </w:r>
      <w:r>
        <w:t xml:space="preserve"> </w:t>
      </w:r>
      <w:r>
        <w:t xml:space="preserve">(dealbreakers as drafted),</w:t>
      </w:r>
      <w:r>
        <w:t xml:space="preserve"> </w:t>
      </w:r>
      <w:r>
        <w:rPr>
          <w:b/>
          <w:bCs/>
        </w:rPr>
        <w:t xml:space="preserve">6 are High</w:t>
      </w:r>
      <w:r>
        <w:t xml:space="preserve">,</w:t>
      </w:r>
      <w:r>
        <w:t xml:space="preserve"> </w:t>
      </w:r>
      <w:r>
        <w:rPr>
          <w:b/>
          <w:bCs/>
        </w:rPr>
        <w:t xml:space="preserve">4 are Medium</w:t>
      </w:r>
      <w:r>
        <w:t xml:space="preserve">, and</w:t>
      </w:r>
      <w:r>
        <w:t xml:space="preserve"> </w:t>
      </w:r>
      <w:r>
        <w:rPr>
          <w:b/>
          <w:bCs/>
        </w:rPr>
        <w:t xml:space="preserve">4 are Low</w:t>
      </w:r>
      <w:r>
        <w:t xml:space="preserve">.</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rPr>
          <w:b/>
          <w:bCs/>
        </w:rPr>
        <w:t xml:space="preserve">Parties.</w:t>
      </w:r>
    </w:p>
    <w:p>
      <w:pPr>
        <w:pStyle w:val="Compact"/>
        <w:numPr>
          <w:ilvl w:val="0"/>
          <w:numId w:val="1001"/>
        </w:numPr>
      </w:pPr>
      <w:r>
        <w:rPr>
          <w:b/>
          <w:bCs/>
        </w:rPr>
        <w:t xml:space="preserve">Licensor:</w:t>
      </w:r>
      <w:r>
        <w:t xml:space="preserve"> </w:t>
      </w:r>
      <w:r>
        <w:t xml:space="preserve">Whitmore Analytics Inc., a Delaware corporation (Seattle, WA). CEO: Rajesh Malhotra; General Counsel: Sarah Yin. Whitmore holds 14 issued U.S. utility patents and 3 pending PCT applications covering PredictIQ’s core algorithms.</w:t>
      </w:r>
    </w:p>
    <w:p>
      <w:pPr>
        <w:pStyle w:val="Compact"/>
        <w:numPr>
          <w:ilvl w:val="0"/>
          <w:numId w:val="1001"/>
        </w:numPr>
      </w:pPr>
      <w:r>
        <w:rPr>
          <w:b/>
          <w:bCs/>
        </w:rPr>
        <w:t xml:space="preserve">Licensee:</w:t>
      </w:r>
      <w:r>
        <w:t xml:space="preserve"> </w:t>
      </w:r>
      <w:r>
        <w:t xml:space="preserve">Kessler-Brandt Industrial GmbH (</w:t>
      </w:r>
      <w:r>
        <w:t xml:space="preserve">“</w:t>
      </w:r>
      <w:r>
        <w:t xml:space="preserve">KBI</w:t>
      </w:r>
      <w:r>
        <w:t xml:space="preserve">”</w:t>
      </w:r>
      <w:r>
        <w:t xml:space="preserve">), a German GmbH (Munich; HRB 247891). CTO: Dr. Markus Fiedler; VP, Digital Transformation: Annika Solberg. KBI reports €8.2 billion in annual revenue.</w:t>
      </w:r>
    </w:p>
    <w:p>
      <w:pPr>
        <w:pStyle w:val="Compact"/>
        <w:numPr>
          <w:ilvl w:val="0"/>
          <w:numId w:val="1001"/>
        </w:numPr>
      </w:pPr>
      <w:r>
        <w:rPr>
          <w:b/>
          <w:bCs/>
        </w:rPr>
        <w:t xml:space="preserve">KBI’s counsel:</w:t>
      </w:r>
      <w:r>
        <w:t xml:space="preserve"> </w:t>
      </w:r>
      <w:r>
        <w:t xml:space="preserve">Bergström Hecht Rechtsanwälte (Dr. Luisa Trautmann, lead partner).</w:t>
      </w:r>
    </w:p>
    <w:p>
      <w:pPr>
        <w:pStyle w:val="Compact"/>
        <w:numPr>
          <w:ilvl w:val="0"/>
          <w:numId w:val="1001"/>
        </w:numPr>
      </w:pPr>
      <w:r>
        <w:rPr>
          <w:b/>
          <w:bCs/>
        </w:rPr>
        <w:t xml:space="preserve">Whitmore’s counsel (this memorandum):</w:t>
      </w:r>
      <w:r>
        <w:t xml:space="preserve"> </w:t>
      </w:r>
      <w:r>
        <w:t xml:space="preserve">Ferndale Hale &amp; Seward LLP (Daniel Cortez, Priya Venkatesh).</w:t>
      </w:r>
    </w:p>
    <w:p>
      <w:pPr>
        <w:pStyle w:val="FirstParagraph"/>
      </w:pPr>
      <w:r>
        <w:rPr>
          <w:b/>
          <w:bCs/>
        </w:rPr>
        <w:t xml:space="preserve">Licensed technology.</w:t>
      </w:r>
      <w:r>
        <w:t xml:space="preserve"> </w:t>
      </w:r>
      <w:r>
        <w:t xml:space="preserve">Whitmore’s proprietary PredictIQ platform — a cloud-native SaaS platform combining IoT sensor integration with proprietary machine-learning algorithms for predictive maintenance in heavy manufacturing. Components include a cloud-hosted analytics engine (SaaS), on-premises edge-computing modules, a RESTful API layer, and an IoT integration layer (OPC UA, MQTT, Modbus, proprietary sensor interfaces).</w:t>
      </w:r>
    </w:p>
    <w:p>
      <w:pPr>
        <w:pStyle w:val="BodyText"/>
      </w:pPr>
      <w:r>
        <w:rPr>
          <w:b/>
          <w:bCs/>
        </w:rPr>
        <w:t xml:space="preserve">Transaction structure.</w:t>
      </w:r>
      <w:r>
        <w:t xml:space="preserve"> </w:t>
      </w:r>
      <w:r>
        <w:t xml:space="preserve">(i) A perpetual, non-exclusive, worldwide technology license; (ii) an 18-month implementation phase followed by ongoing production use; (iii) a SaaS subscription for the cloud-hosted analytics engine; and (iv) an on-premises deployment license for edge-computing modules at KBI factory sites. Deployment scope: up to 43 facilities across 12 European countries, with a 5-year right to expand to newly acquired facilities on the same per-facility terms.</w:t>
      </w:r>
    </w:p>
    <w:p>
      <w:pPr>
        <w:pStyle w:val="BodyText"/>
      </w:pPr>
      <w:r>
        <w:rPr>
          <w:b/>
          <w:bCs/>
        </w:rPr>
        <w:t xml:space="preserve">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Term Sheet / Side Letter dated</w:t>
            </w:r>
          </w:p>
        </w:tc>
        <w:tc>
          <w:tcPr/>
          <w:p>
            <w:pPr>
              <w:pStyle w:val="Compact"/>
              <w:jc w:val="left"/>
            </w:pPr>
            <w:r>
              <w:t xml:space="preserve">May 29, 2025</w:t>
            </w:r>
          </w:p>
        </w:tc>
      </w:tr>
      <w:tr>
        <w:tc>
          <w:tcPr/>
          <w:p>
            <w:pPr>
              <w:pStyle w:val="Compact"/>
              <w:jc w:val="left"/>
            </w:pPr>
            <w:r>
              <w:t xml:space="preserve">Received by Whitmore</w:t>
            </w:r>
          </w:p>
        </w:tc>
        <w:tc>
          <w:tcPr/>
          <w:p>
            <w:pPr>
              <w:pStyle w:val="Compact"/>
              <w:jc w:val="left"/>
            </w:pPr>
            <w:r>
              <w:t xml:space="preserve">June 2, 2025</w:t>
            </w:r>
          </w:p>
        </w:tc>
      </w:tr>
      <w:tr>
        <w:tc>
          <w:tcPr/>
          <w:p>
            <w:pPr>
              <w:pStyle w:val="Compact"/>
              <w:jc w:val="left"/>
            </w:pPr>
            <w:r>
              <w:t xml:space="preserve">Whitmore Board meeting</w:t>
            </w:r>
          </w:p>
        </w:tc>
        <w:tc>
          <w:tcPr/>
          <w:p>
            <w:pPr>
              <w:pStyle w:val="Compact"/>
              <w:jc w:val="left"/>
            </w:pPr>
            <w:r>
              <w:t xml:space="preserve">June 18, 2025</w:t>
            </w:r>
          </w:p>
        </w:tc>
      </w:tr>
      <w:tr>
        <w:tc>
          <w:tcPr/>
          <w:p>
            <w:pPr>
              <w:pStyle w:val="Compact"/>
              <w:jc w:val="left"/>
            </w:pPr>
            <w:r>
              <w:t xml:space="preserve">KBI response deadline</w:t>
            </w:r>
          </w:p>
        </w:tc>
        <w:tc>
          <w:tcPr/>
          <w:p>
            <w:pPr>
              <w:pStyle w:val="Compact"/>
              <w:jc w:val="left"/>
            </w:pPr>
            <w:r>
              <w:rPr>
                <w:b/>
                <w:bCs/>
              </w:rPr>
              <w:t xml:space="preserve">June 23, 2025</w:t>
            </w:r>
          </w:p>
        </w:tc>
      </w:tr>
      <w:tr>
        <w:tc>
          <w:tcPr/>
          <w:p>
            <w:pPr>
              <w:pStyle w:val="Compact"/>
              <w:jc w:val="left"/>
            </w:pPr>
            <w:r>
              <w:t xml:space="preserve">60-day negotiation exclusivity (no-shop) expires</w:t>
            </w:r>
          </w:p>
        </w:tc>
        <w:tc>
          <w:tcPr/>
          <w:p>
            <w:pPr>
              <w:pStyle w:val="Compact"/>
              <w:jc w:val="left"/>
            </w:pPr>
            <w:r>
              <w:t xml:space="preserve">July 28, 2025</w:t>
            </w:r>
          </w:p>
        </w:tc>
      </w:tr>
      <w:tr>
        <w:tc>
          <w:tcPr/>
          <w:p>
            <w:pPr>
              <w:pStyle w:val="Compact"/>
              <w:jc w:val="left"/>
            </w:pPr>
            <w:r>
              <w:t xml:space="preserve">Targeted definitive agreement execution</w:t>
            </w:r>
          </w:p>
        </w:tc>
        <w:tc>
          <w:tcPr/>
          <w:p>
            <w:pPr>
              <w:pStyle w:val="Compact"/>
              <w:jc w:val="left"/>
            </w:pPr>
            <w:r>
              <w:t xml:space="preserve">August 15, 2025</w:t>
            </w:r>
          </w:p>
        </w:tc>
      </w:tr>
      <w:tr>
        <w:tc>
          <w:tcPr/>
          <w:p>
            <w:pPr>
              <w:pStyle w:val="Compact"/>
              <w:jc w:val="left"/>
            </w:pPr>
            <w:r>
              <w:t xml:space="preserve">Phase 1 implementation start</w:t>
            </w:r>
          </w:p>
        </w:tc>
        <w:tc>
          <w:tcPr/>
          <w:p>
            <w:pPr>
              <w:pStyle w:val="Compact"/>
              <w:jc w:val="left"/>
            </w:pPr>
            <w:r>
              <w:t xml:space="preserve">September 15, 2025</w:t>
            </w:r>
          </w:p>
        </w:tc>
      </w:tr>
      <w:tr>
        <w:tc>
          <w:tcPr/>
          <w:p>
            <w:pPr>
              <w:pStyle w:val="Compact"/>
              <w:jc w:val="left"/>
            </w:pPr>
            <w:r>
              <w:t xml:space="preserve">Phase 1 completion target (10 pilot facilities)</w:t>
            </w:r>
          </w:p>
        </w:tc>
        <w:tc>
          <w:tcPr/>
          <w:p>
            <w:pPr>
              <w:pStyle w:val="Compact"/>
              <w:jc w:val="left"/>
            </w:pPr>
            <w:r>
              <w:t xml:space="preserve">March 15, 2026</w:t>
            </w:r>
          </w:p>
        </w:tc>
      </w:tr>
      <w:tr>
        <w:tc>
          <w:tcPr/>
          <w:p>
            <w:pPr>
              <w:pStyle w:val="Compact"/>
              <w:jc w:val="left"/>
            </w:pPr>
            <w:r>
              <w:t xml:space="preserve">Phase 2 go-live target (remaining 33 facilities)</w:t>
            </w:r>
          </w:p>
        </w:tc>
        <w:tc>
          <w:tcPr/>
          <w:p>
            <w:pPr>
              <w:pStyle w:val="Compact"/>
              <w:jc w:val="left"/>
            </w:pPr>
            <w:r>
              <w:t xml:space="preserve">March 15, 2027</w:t>
            </w:r>
          </w:p>
        </w:tc>
      </w:tr>
    </w:tbl>
    <w:p>
      <w:pPr>
        <w:pStyle w:val="BodyText"/>
      </w:pPr>
      <w:r>
        <w:rPr>
          <w:b/>
          <w:bCs/>
        </w:rPr>
        <w:t xml:space="preserve">Strategic context (per management).</w:t>
      </w:r>
      <w:r>
        <w:t xml:space="preserve"> </w:t>
      </w:r>
      <w:r>
        <w:t xml:space="preserve">Management views this as the most significant commercial opportunity in Whitmore’s history. The recurring SaaS component ($2.85M/year) and the European reference account are central to the Series C growth story. Management has stated, however, that Whitmore will not execute a deal that compromises its core IP or its data-driven model-improvement model, and has identified specific red lines (see Section VII).</w:t>
      </w:r>
    </w:p>
    <w:p>
      <w:r>
        <w:pict>
          <v:rect style="width:0;height:1.5pt" o:hralign="center" o:hrstd="t" o:hr="t"/>
        </w:pict>
      </w:r>
    </w:p>
    <w:bookmarkEnd w:id="21"/>
    <w:bookmarkStart w:id="22" w:name="iii.-key-commercial-terms-extraction"/>
    <w:p>
      <w:pPr>
        <w:pStyle w:val="Heading2"/>
      </w:pPr>
      <w:r>
        <w:t xml:space="preserve">III. Key Commercial Terms — Extraction</w:t>
      </w:r>
    </w:p>
    <w:p>
      <w:pPr>
        <w:pStyle w:val="FirstParagraph"/>
      </w:pPr>
      <w:r>
        <w:t xml:space="preserve">The following table extracts the principal commercial and legal terms of the Proposed Terms. Section references are to the Term Sheet unless otherwise noted.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Extracted Provision</w:t>
            </w:r>
          </w:p>
        </w:tc>
      </w:tr>
      <w:tr>
        <w:tc>
          <w:tcPr/>
          <w:p>
            <w:pPr>
              <w:pStyle w:val="Compact"/>
              <w:jc w:val="left"/>
            </w:pPr>
            <w:r>
              <w:rPr>
                <w:b/>
                <w:bCs/>
              </w:rPr>
              <w:t xml:space="preserve">License grant (§2)</w:t>
            </w:r>
          </w:p>
        </w:tc>
        <w:tc>
          <w:tcPr/>
          <w:p>
            <w:pPr>
              <w:pStyle w:val="Compact"/>
              <w:jc w:val="left"/>
            </w:pPr>
            <w:r>
              <w:t xml:space="preserve">Perpetual, non-exclusive, worldwide license to use, execute, display, and operate PredictIQ (software, algorithms, documentation, APIs, edge modules) in connection with KBI’s manufacturing operations. Covers cloud SaaS + on-premises edge modules.</w:t>
            </w:r>
          </w:p>
        </w:tc>
      </w:tr>
      <w:tr>
        <w:tc>
          <w:tcPr/>
          <w:p>
            <w:pPr>
              <w:pStyle w:val="Compact"/>
              <w:jc w:val="left"/>
            </w:pPr>
            <w:r>
              <w:rPr>
                <w:b/>
                <w:bCs/>
              </w:rPr>
              <w:t xml:space="preserve">Authorized users (§2)</w:t>
            </w:r>
          </w:p>
        </w:tc>
        <w:tc>
          <w:tcPr/>
          <w:p>
            <w:pPr>
              <w:pStyle w:val="Compact"/>
              <w:jc w:val="left"/>
            </w:pPr>
            <w:r>
              <w:t xml:space="preserve">KBI employees, contractors, and agents at/for KBI facilities, subject to confidentiality obligations.</w:t>
            </w:r>
          </w:p>
        </w:tc>
      </w:tr>
      <w:tr>
        <w:tc>
          <w:tcPr/>
          <w:p>
            <w:pPr>
              <w:pStyle w:val="Compact"/>
              <w:jc w:val="left"/>
            </w:pPr>
            <w:r>
              <w:rPr>
                <w:b/>
                <w:bCs/>
              </w:rPr>
              <w:t xml:space="preserve">Sublicensing (§2)</w:t>
            </w:r>
          </w:p>
        </w:tc>
        <w:tc>
          <w:tcPr/>
          <w:p>
            <w:pPr>
              <w:pStyle w:val="Compact"/>
              <w:jc w:val="left"/>
            </w:pPr>
            <w:r>
              <w:t xml:space="preserve">No sublicensing to third parties, except KBI may permit controlled affiliates and subcontractors performing services at KBI facilities to access PredictIQ.</w:t>
            </w:r>
          </w:p>
        </w:tc>
      </w:tr>
      <w:tr>
        <w:tc>
          <w:tcPr/>
          <w:p>
            <w:pPr>
              <w:pStyle w:val="Compact"/>
              <w:jc w:val="left"/>
            </w:pPr>
            <w:r>
              <w:rPr>
                <w:b/>
                <w:bCs/>
              </w:rPr>
              <w:t xml:space="preserve">Derivative works (§2; §3.3)</w:t>
            </w:r>
          </w:p>
        </w:tc>
        <w:tc>
          <w:tcPr/>
          <w:p>
            <w:pPr>
              <w:pStyle w:val="Compact"/>
              <w:jc w:val="left"/>
            </w:pPr>
            <w:r>
              <w:t xml:space="preserve">KBI may create derivative works from the API layer for MES/SCADA integration.</w:t>
            </w:r>
            <w:r>
              <w:t xml:space="preserve"> </w:t>
            </w:r>
            <w:r>
              <w:rPr>
                <w:b/>
                <w:bCs/>
              </w:rPr>
              <w:t xml:space="preserve">Derivative works are jointly owned</w:t>
            </w:r>
            <w:r>
              <w:t xml:space="preserve">, with each party having the unrestricted right to use, modify, sublicense, and exploit without consent or accounting to the other.</w:t>
            </w:r>
          </w:p>
        </w:tc>
      </w:tr>
      <w:tr>
        <w:tc>
          <w:tcPr/>
          <w:p>
            <w:pPr>
              <w:pStyle w:val="Compact"/>
              <w:jc w:val="left"/>
            </w:pPr>
            <w:r>
              <w:rPr>
                <w:b/>
                <w:bCs/>
              </w:rPr>
              <w:t xml:space="preserve">Expansion right (§2; §5.7)</w:t>
            </w:r>
          </w:p>
        </w:tc>
        <w:tc>
          <w:tcPr/>
          <w:p>
            <w:pPr>
              <w:pStyle w:val="Compact"/>
              <w:jc w:val="left"/>
            </w:pPr>
            <w:r>
              <w:t xml:space="preserve">For 5 years post-execution, KBI may deploy PredictIQ at newly acquired facilities at the same per-facility terms, no additional license fee, pro rata to 43 facilities.</w:t>
            </w:r>
          </w:p>
        </w:tc>
      </w:tr>
      <w:tr>
        <w:tc>
          <w:tcPr/>
          <w:p>
            <w:pPr>
              <w:pStyle w:val="Compact"/>
              <w:jc w:val="left"/>
            </w:pPr>
            <w:r>
              <w:rPr>
                <w:b/>
                <w:bCs/>
              </w:rPr>
              <w:t xml:space="preserve">Restrictions (§2)</w:t>
            </w:r>
          </w:p>
        </w:tc>
        <w:tc>
          <w:tcPr/>
          <w:p>
            <w:pPr>
              <w:pStyle w:val="Compact"/>
              <w:jc w:val="left"/>
            </w:pPr>
            <w:r>
              <w:t xml:space="preserve">No reverse engineering/decompiling (except as permitted by law); no use for third-party benefit; no removal of proprietary notices.</w:t>
            </w:r>
          </w:p>
        </w:tc>
      </w:tr>
      <w:tr>
        <w:tc>
          <w:tcPr/>
          <w:p>
            <w:pPr>
              <w:pStyle w:val="Compact"/>
              <w:jc w:val="left"/>
            </w:pPr>
            <w:r>
              <w:rPr>
                <w:b/>
                <w:bCs/>
              </w:rPr>
              <w:t xml:space="preserve">Whitmore IP (§3.1)</w:t>
            </w:r>
          </w:p>
        </w:tc>
        <w:tc>
          <w:tcPr/>
          <w:p>
            <w:pPr>
              <w:pStyle w:val="Compact"/>
              <w:jc w:val="left"/>
            </w:pPr>
            <w:r>
              <w:t xml:space="preserve">Whitmore retains all IP in PredictIQ (software, algorithms, models, source/object code, patents, trade secrets).</w:t>
            </w:r>
          </w:p>
        </w:tc>
      </w:tr>
      <w:tr>
        <w:tc>
          <w:tcPr/>
          <w:p>
            <w:pPr>
              <w:pStyle w:val="Compact"/>
              <w:jc w:val="left"/>
            </w:pPr>
            <w:r>
              <w:rPr>
                <w:b/>
                <w:bCs/>
              </w:rPr>
              <w:t xml:space="preserve">KBI IP (§3.2)</w:t>
            </w:r>
          </w:p>
        </w:tc>
        <w:tc>
          <w:tcPr/>
          <w:p>
            <w:pPr>
              <w:pStyle w:val="Compact"/>
              <w:jc w:val="left"/>
            </w:pPr>
            <w:r>
              <w:t xml:space="preserve">KBI retains IP in its systems, data, processes, know-how (MES, SCADA, operational data).</w:t>
            </w:r>
          </w:p>
        </w:tc>
      </w:tr>
      <w:tr>
        <w:tc>
          <w:tcPr/>
          <w:p>
            <w:pPr>
              <w:pStyle w:val="Compact"/>
              <w:jc w:val="left"/>
            </w:pPr>
            <w:r>
              <w:rPr>
                <w:b/>
                <w:bCs/>
              </w:rPr>
              <w:t xml:space="preserve">Feedback (§3.4)</w:t>
            </w:r>
          </w:p>
        </w:tc>
        <w:tc>
          <w:tcPr/>
          <w:p>
            <w:pPr>
              <w:pStyle w:val="Compact"/>
              <w:jc w:val="left"/>
            </w:pPr>
            <w:r>
              <w:t xml:space="preserve">All feedback (suggestions, ideas, enhancement requests, improvements) becomes</w:t>
            </w:r>
            <w:r>
              <w:t xml:space="preserve"> </w:t>
            </w:r>
            <w:r>
              <w:rPr>
                <w:b/>
                <w:bCs/>
              </w:rPr>
              <w:t xml:space="preserve">Whitmore’s sole and exclusive property</w:t>
            </w:r>
            <w:r>
              <w:t xml:space="preserve">; KBI assigns all rights.</w:t>
            </w:r>
          </w:p>
        </w:tc>
      </w:tr>
      <w:tr>
        <w:tc>
          <w:tcPr/>
          <w:p>
            <w:pPr>
              <w:pStyle w:val="Compact"/>
              <w:jc w:val="left"/>
            </w:pPr>
            <w:r>
              <w:rPr>
                <w:b/>
                <w:bCs/>
              </w:rPr>
              <w:t xml:space="preserve">KBI-Inspired Improvements (§3.5)</w:t>
            </w:r>
          </w:p>
        </w:tc>
        <w:tc>
          <w:tcPr/>
          <w:p>
            <w:pPr>
              <w:pStyle w:val="Compact"/>
              <w:jc w:val="left"/>
            </w:pPr>
            <w:r>
              <w:t xml:space="preserve">KBI receives a</w:t>
            </w:r>
            <w:r>
              <w:t xml:space="preserve"> </w:t>
            </w:r>
            <w:r>
              <w:rPr>
                <w:b/>
                <w:bCs/>
              </w:rPr>
              <w:t xml:space="preserve">perpetual, irrevocable, royalty-free, non-exclusive license</w:t>
            </w:r>
            <w:r>
              <w:t xml:space="preserve"> </w:t>
            </w:r>
            <w:r>
              <w:t xml:space="preserve">to any Whitmore improvements</w:t>
            </w:r>
            <w:r>
              <w:t xml:space="preserve"> </w:t>
            </w:r>
            <w:r>
              <w:t xml:space="preserve">“</w:t>
            </w:r>
            <w:r>
              <w:t xml:space="preserve">derived from or inspired by</w:t>
            </w:r>
            <w:r>
              <w:t xml:space="preserve">”</w:t>
            </w:r>
            <w:r>
              <w:t xml:space="preserve"> </w:t>
            </w:r>
            <w:r>
              <w:t xml:space="preserve">KBI data, processes, or use — including improvements developed in response to KBI feedback.</w:t>
            </w:r>
          </w:p>
        </w:tc>
      </w:tr>
      <w:tr>
        <w:tc>
          <w:tcPr/>
          <w:p>
            <w:pPr>
              <w:pStyle w:val="Compact"/>
              <w:jc w:val="left"/>
            </w:pPr>
            <w:r>
              <w:rPr>
                <w:b/>
                <w:bCs/>
              </w:rPr>
              <w:t xml:space="preserve">KBI Data (§4.1)</w:t>
            </w:r>
          </w:p>
        </w:tc>
        <w:tc>
          <w:tcPr/>
          <w:p>
            <w:pPr>
              <w:pStyle w:val="Compact"/>
              <w:jc w:val="left"/>
            </w:pPr>
            <w:r>
              <w:t xml:space="preserve">KBI retains all rights in data it provides or that its systems generate and input into PredictIQ.</w:t>
            </w:r>
          </w:p>
        </w:tc>
      </w:tr>
      <w:tr>
        <w:tc>
          <w:tcPr/>
          <w:p>
            <w:pPr>
              <w:pStyle w:val="Compact"/>
              <w:jc w:val="left"/>
            </w:pPr>
            <w:r>
              <w:rPr>
                <w:b/>
                <w:bCs/>
              </w:rPr>
              <w:t xml:space="preserve">Output Data (§4.2)</w:t>
            </w:r>
          </w:p>
        </w:tc>
        <w:tc>
          <w:tcPr/>
          <w:p>
            <w:pPr>
              <w:pStyle w:val="Compact"/>
              <w:jc w:val="left"/>
            </w:pPr>
            <w:r>
              <w:t xml:space="preserve">“</w:t>
            </w:r>
            <w:r>
              <w:t xml:space="preserve">Output Data</w:t>
            </w:r>
            <w:r>
              <w:t xml:space="preserve">”</w:t>
            </w:r>
            <w:r>
              <w:t xml:space="preserve"> </w:t>
            </w:r>
            <w:r>
              <w:t xml:space="preserve">includes model weights, parameters, training artifacts, feature-importance rankings, and model configuration data derived from KBI Data.</w:t>
            </w:r>
            <w:r>
              <w:t xml:space="preserve"> </w:t>
            </w:r>
            <w:r>
              <w:rPr>
                <w:b/>
                <w:bCs/>
              </w:rPr>
              <w:t xml:space="preserve">All Output Data is KBI’s sole and exclusive property.</w:t>
            </w:r>
          </w:p>
        </w:tc>
      </w:tr>
      <w:tr>
        <w:tc>
          <w:tcPr/>
          <w:p>
            <w:pPr>
              <w:pStyle w:val="Compact"/>
              <w:jc w:val="left"/>
            </w:pPr>
            <w:r>
              <w:rPr>
                <w:b/>
                <w:bCs/>
              </w:rPr>
              <w:t xml:space="preserve">Data-use restrictions (§4.3)</w:t>
            </w:r>
          </w:p>
        </w:tc>
        <w:tc>
          <w:tcPr/>
          <w:p>
            <w:pPr>
              <w:pStyle w:val="Compact"/>
              <w:jc w:val="left"/>
            </w:pPr>
            <w:r>
              <w:t xml:space="preserve">Whitmore may</w:t>
            </w:r>
            <w:r>
              <w:t xml:space="preserve"> </w:t>
            </w:r>
            <w:r>
              <w:rPr>
                <w:b/>
                <w:bCs/>
              </w:rPr>
              <w:t xml:space="preserve">not</w:t>
            </w:r>
            <w:r>
              <w:t xml:space="preserve"> </w:t>
            </w:r>
            <w:r>
              <w:t xml:space="preserve">use KBI Data (or data derived therefrom) to (a) train/tune/improve general-purpose ML models; (b) develop/improve products for third parties; or (c) create anonymized/aggregated/de-identified datasets. No anonymized or aggregated use without KBI’s prior written consent (sole discretion).</w:t>
            </w:r>
          </w:p>
        </w:tc>
      </w:tr>
      <w:tr>
        <w:tc>
          <w:tcPr/>
          <w:p>
            <w:pPr>
              <w:pStyle w:val="Compact"/>
              <w:jc w:val="left"/>
            </w:pPr>
            <w:r>
              <w:rPr>
                <w:b/>
                <w:bCs/>
              </w:rPr>
              <w:t xml:space="preserve">Data return/deletion (§4.4)</w:t>
            </w:r>
          </w:p>
        </w:tc>
        <w:tc>
          <w:tcPr/>
          <w:p>
            <w:pPr>
              <w:pStyle w:val="Compact"/>
              <w:jc w:val="left"/>
            </w:pPr>
            <w:r>
              <w:t xml:space="preserve">At termination, Whitmore must return or securely delete all KBI Data and Output Data at KBI’s election, and certify in writing.</w:t>
            </w:r>
          </w:p>
        </w:tc>
      </w:tr>
      <w:tr>
        <w:tc>
          <w:tcPr/>
          <w:p>
            <w:pPr>
              <w:pStyle w:val="Compact"/>
              <w:jc w:val="left"/>
            </w:pPr>
            <w:r>
              <w:rPr>
                <w:b/>
                <w:bCs/>
              </w:rPr>
              <w:t xml:space="preserve">Data protection (§4.5)</w:t>
            </w:r>
          </w:p>
        </w:tc>
        <w:tc>
          <w:tcPr/>
          <w:p>
            <w:pPr>
              <w:pStyle w:val="Compact"/>
              <w:jc w:val="left"/>
            </w:pPr>
            <w:r>
              <w:t xml:space="preserve">Both parties to comply with GDPR and applicable German data-protection laws.</w:t>
            </w:r>
          </w:p>
        </w:tc>
      </w:tr>
      <w:tr>
        <w:tc>
          <w:tcPr/>
          <w:p>
            <w:pPr>
              <w:pStyle w:val="Compact"/>
              <w:jc w:val="left"/>
            </w:pPr>
            <w:r>
              <w:rPr>
                <w:b/>
                <w:bCs/>
              </w:rPr>
              <w:t xml:space="preserve">Initial license fee (§5.1)</w:t>
            </w:r>
          </w:p>
        </w:tc>
        <w:tc>
          <w:tcPr/>
          <w:p>
            <w:pPr>
              <w:pStyle w:val="Compact"/>
              <w:jc w:val="left"/>
            </w:pPr>
            <w:r>
              <w:t xml:space="preserve">$4,200,000 in three installments: 30% ($1.26M) at execution; 40% ($1.68M) at Phase 1 completion; 30% ($1.26M) at Phase 2 go-live.</w:t>
            </w:r>
          </w:p>
        </w:tc>
      </w:tr>
      <w:tr>
        <w:tc>
          <w:tcPr/>
          <w:p>
            <w:pPr>
              <w:pStyle w:val="Compact"/>
              <w:jc w:val="left"/>
            </w:pPr>
            <w:r>
              <w:rPr>
                <w:b/>
                <w:bCs/>
              </w:rPr>
              <w:t xml:space="preserve">Annual SaaS subscription (§5.2)</w:t>
            </w:r>
          </w:p>
        </w:tc>
        <w:tc>
          <w:tcPr/>
          <w:p>
            <w:pPr>
              <w:pStyle w:val="Compact"/>
              <w:jc w:val="left"/>
            </w:pPr>
            <w:r>
              <w:t xml:space="preserve">$2,850,000/yr for Years 1–3, payable quarterly in advance ($712,500/qtr). +3%/yr from Year 4 (Y4: $2,935,500; Y5: $3,023,565).</w:t>
            </w:r>
          </w:p>
        </w:tc>
      </w:tr>
      <w:tr>
        <w:tc>
          <w:tcPr/>
          <w:p>
            <w:pPr>
              <w:pStyle w:val="Compact"/>
              <w:jc w:val="left"/>
            </w:pPr>
            <w:r>
              <w:rPr>
                <w:b/>
                <w:bCs/>
              </w:rPr>
              <w:t xml:space="preserve">Implementation services fee (§5.3)</w:t>
            </w:r>
          </w:p>
        </w:tc>
        <w:tc>
          <w:tcPr/>
          <w:p>
            <w:pPr>
              <w:pStyle w:val="Compact"/>
              <w:jc w:val="left"/>
            </w:pPr>
            <w:r>
              <w:t xml:space="preserve">$1,750,000, equal monthly installments over 18 months (~$97,222/mo).</w:t>
            </w:r>
          </w:p>
        </w:tc>
      </w:tr>
      <w:tr>
        <w:tc>
          <w:tcPr/>
          <w:p>
            <w:pPr>
              <w:pStyle w:val="Compact"/>
              <w:jc w:val="left"/>
            </w:pPr>
            <w:r>
              <w:rPr>
                <w:b/>
                <w:bCs/>
              </w:rPr>
              <w:t xml:space="preserve">Annual maintenance &amp; support (§5.4)</w:t>
            </w:r>
          </w:p>
        </w:tc>
        <w:tc>
          <w:tcPr/>
          <w:p>
            <w:pPr>
              <w:pStyle w:val="Compact"/>
              <w:jc w:val="left"/>
            </w:pPr>
            <w:r>
              <w:t xml:space="preserve">18% of initial license fee = $756,000/yr (Y1); +4%/yr from Year 2 (Y2: $786,240; Y3: $817,690). Payable annually in advance.</w:t>
            </w:r>
          </w:p>
        </w:tc>
      </w:tr>
      <w:tr>
        <w:tc>
          <w:tcPr/>
          <w:p>
            <w:pPr>
              <w:pStyle w:val="Compact"/>
              <w:jc w:val="left"/>
            </w:pPr>
            <w:r>
              <w:rPr>
                <w:b/>
                <w:bCs/>
              </w:rPr>
              <w:t xml:space="preserve">Payment terms (§5.5)</w:t>
            </w:r>
          </w:p>
        </w:tc>
        <w:tc>
          <w:tcPr/>
          <w:p>
            <w:pPr>
              <w:pStyle w:val="Compact"/>
              <w:jc w:val="left"/>
            </w:pPr>
            <w:r>
              <w:t xml:space="preserve">All fees in USD; net 30 days; late interest 1.5%/month or max legal rate.</w:t>
            </w:r>
          </w:p>
        </w:tc>
      </w:tr>
      <w:tr>
        <w:tc>
          <w:tcPr/>
          <w:p>
            <w:pPr>
              <w:pStyle w:val="Compact"/>
              <w:jc w:val="left"/>
            </w:pPr>
            <w:r>
              <w:rPr>
                <w:b/>
                <w:bCs/>
              </w:rPr>
              <w:t xml:space="preserve">Taxes (§5.6)</w:t>
            </w:r>
          </w:p>
        </w:tc>
        <w:tc>
          <w:tcPr/>
          <w:p>
            <w:pPr>
              <w:pStyle w:val="Compact"/>
              <w:jc w:val="left"/>
            </w:pPr>
            <w:r>
              <w:t xml:space="preserve">Fees exclusive of taxes; KBI bears sales/use/VAT (excluding Whitmore income taxes).</w:t>
            </w:r>
          </w:p>
        </w:tc>
      </w:tr>
      <w:tr>
        <w:tc>
          <w:tcPr/>
          <w:p>
            <w:pPr>
              <w:pStyle w:val="Compact"/>
              <w:jc w:val="left"/>
            </w:pPr>
            <w:r>
              <w:rPr>
                <w:b/>
                <w:bCs/>
              </w:rPr>
              <w:t xml:space="preserve">Implementation scope (§6.1–6.2)</w:t>
            </w:r>
          </w:p>
        </w:tc>
        <w:tc>
          <w:tcPr/>
          <w:p>
            <w:pPr>
              <w:pStyle w:val="Compact"/>
              <w:jc w:val="left"/>
            </w:pPr>
            <w:r>
              <w:t xml:space="preserve">On-site edge deployment, SCADA/MES integration, data ingestion, model calibration/training, end-user training, UAT. Phase 1 (months 1–6): 10 pilot facilities; Phase 2 (months 7–18): remaining 33.</w:t>
            </w:r>
          </w:p>
        </w:tc>
      </w:tr>
      <w:tr>
        <w:tc>
          <w:tcPr/>
          <w:p>
            <w:pPr>
              <w:pStyle w:val="Compact"/>
              <w:jc w:val="left"/>
            </w:pPr>
            <w:r>
              <w:rPr>
                <w:b/>
                <w:bCs/>
              </w:rPr>
              <w:t xml:space="preserve">Acceptance (§6.5)</w:t>
            </w:r>
          </w:p>
        </w:tc>
        <w:tc>
          <w:tcPr/>
          <w:p>
            <w:pPr>
              <w:pStyle w:val="Compact"/>
              <w:jc w:val="left"/>
            </w:pPr>
            <w:r>
              <w:t xml:space="preserve">30-day UAT per facility; deemed accepted if KBI gives no written notice of material non-conformance.</w:t>
            </w:r>
          </w:p>
        </w:tc>
      </w:tr>
      <w:tr>
        <w:tc>
          <w:tcPr/>
          <w:p>
            <w:pPr>
              <w:pStyle w:val="Compact"/>
              <w:jc w:val="left"/>
            </w:pPr>
            <w:r>
              <w:rPr>
                <w:b/>
                <w:bCs/>
              </w:rPr>
              <w:t xml:space="preserve">Support scope (§7.1)</w:t>
            </w:r>
          </w:p>
        </w:tc>
        <w:tc>
          <w:tcPr/>
          <w:p>
            <w:pPr>
              <w:pStyle w:val="Compact"/>
              <w:jc w:val="left"/>
            </w:pPr>
            <w:r>
              <w:t xml:space="preserve">Bug fixes, updates/patches, 24/7 support, annual major upgrades.</w:t>
            </w:r>
          </w:p>
        </w:tc>
      </w:tr>
      <w:tr>
        <w:tc>
          <w:tcPr/>
          <w:p>
            <w:pPr>
              <w:pStyle w:val="Compact"/>
              <w:jc w:val="left"/>
            </w:pPr>
            <w:r>
              <w:rPr>
                <w:b/>
                <w:bCs/>
              </w:rPr>
              <w:t xml:space="preserve">SLAs (§7.2)</w:t>
            </w:r>
          </w:p>
        </w:tc>
        <w:tc>
          <w:tcPr/>
          <w:p>
            <w:pPr>
              <w:pStyle w:val="Compact"/>
              <w:jc w:val="left"/>
            </w:pPr>
            <w:r>
              <w:t xml:space="preserve">“</w:t>
            </w:r>
            <w:r>
              <w:t xml:space="preserve">Commercially reasonable efforts</w:t>
            </w:r>
            <w:r>
              <w:t xml:space="preserve">”</w:t>
            </w:r>
            <w:r>
              <w:t xml:space="preserve"> </w:t>
            </w:r>
            <w:r>
              <w:t xml:space="preserve">targets: Critical 4h response / 24h resolution; High 8h / 72h; Medium–Low 2 business days / as practicable.</w:t>
            </w:r>
          </w:p>
        </w:tc>
      </w:tr>
      <w:tr>
        <w:tc>
          <w:tcPr/>
          <w:p>
            <w:pPr>
              <w:pStyle w:val="Compact"/>
              <w:jc w:val="left"/>
            </w:pPr>
            <w:r>
              <w:rPr>
                <w:b/>
                <w:bCs/>
              </w:rPr>
              <w:t xml:space="preserve">Support suspension (§7.5)</w:t>
            </w:r>
          </w:p>
        </w:tc>
        <w:tc>
          <w:tcPr/>
          <w:p>
            <w:pPr>
              <w:pStyle w:val="Compact"/>
              <w:jc w:val="left"/>
            </w:pPr>
            <w:r>
              <w:t xml:space="preserve">Whitmore may suspend support for non-payment on 30 days’ notice.</w:t>
            </w:r>
          </w:p>
        </w:tc>
      </w:tr>
      <w:tr>
        <w:tc>
          <w:tcPr/>
          <w:p>
            <w:pPr>
              <w:pStyle w:val="Compact"/>
              <w:jc w:val="left"/>
            </w:pPr>
            <w:r>
              <w:rPr>
                <w:b/>
                <w:bCs/>
              </w:rPr>
              <w:t xml:space="preserve">Conformance warranty (§8.1)</w:t>
            </w:r>
          </w:p>
        </w:tc>
        <w:tc>
          <w:tcPr/>
          <w:p>
            <w:pPr>
              <w:pStyle w:val="Compact"/>
              <w:jc w:val="left"/>
            </w:pPr>
            <w:r>
              <w:t xml:space="preserve">PredictIQ to perform materially per documentation for 24 months from each facility’s go-live.</w:t>
            </w:r>
          </w:p>
        </w:tc>
      </w:tr>
      <w:tr>
        <w:tc>
          <w:tcPr/>
          <w:p>
            <w:pPr>
              <w:pStyle w:val="Compact"/>
              <w:jc w:val="left"/>
            </w:pPr>
            <w:r>
              <w:rPr>
                <w:b/>
                <w:bCs/>
              </w:rPr>
              <w:t xml:space="preserve">Performance warranty (§8.2)</w:t>
            </w:r>
          </w:p>
        </w:tc>
        <w:tc>
          <w:tcPr/>
          <w:p>
            <w:pPr>
              <w:pStyle w:val="Compact"/>
              <w:jc w:val="left"/>
            </w:pPr>
            <w:r>
              <w:t xml:space="preserve">≥92% prediction accuracy on a rolling 90-day basis across all deployed facilities.</w:t>
            </w:r>
            <w:r>
              <w:t xml:space="preserve"> </w:t>
            </w:r>
            <w:r>
              <w:t xml:space="preserve">“</w:t>
            </w:r>
            <w:r>
              <w:t xml:space="preserve">Prediction accuracy</w:t>
            </w:r>
            <w:r>
              <w:t xml:space="preserve">”</w:t>
            </w:r>
            <w:r>
              <w:t xml:space="preserve"> </w:t>
            </w:r>
            <w:r>
              <w:t xml:space="preserve">= % of equipment-failure events correctly predicted ≥48 hours in advance, measured against KBI’s maintenance logs.</w:t>
            </w:r>
          </w:p>
        </w:tc>
      </w:tr>
      <w:tr>
        <w:tc>
          <w:tcPr/>
          <w:p>
            <w:pPr>
              <w:pStyle w:val="Compact"/>
              <w:jc w:val="left"/>
            </w:pPr>
            <w:r>
              <w:rPr>
                <w:b/>
                <w:bCs/>
              </w:rPr>
              <w:t xml:space="preserve">Performance remedies (§8.3)</w:t>
            </w:r>
          </w:p>
        </w:tc>
        <w:tc>
          <w:tcPr/>
          <w:p>
            <w:pPr>
              <w:pStyle w:val="Compact"/>
              <w:jc w:val="left"/>
            </w:pPr>
            <w:r>
              <w:t xml:space="preserve">(a) Credit of 5% of quarterly SaaS fee per percentage point below 92% ($35,625/point); (b) if accuracy &lt;85% for two consecutive quarters, KBI may terminate for cause (§13).</w:t>
            </w:r>
          </w:p>
        </w:tc>
      </w:tr>
      <w:tr>
        <w:tc>
          <w:tcPr/>
          <w:p>
            <w:pPr>
              <w:pStyle w:val="Compact"/>
              <w:jc w:val="left"/>
            </w:pPr>
            <w:r>
              <w:rPr>
                <w:b/>
                <w:bCs/>
              </w:rPr>
              <w:t xml:space="preserve">IP warranty (§8.4)</w:t>
            </w:r>
          </w:p>
        </w:tc>
        <w:tc>
          <w:tcPr/>
          <w:p>
            <w:pPr>
              <w:pStyle w:val="Compact"/>
              <w:jc w:val="left"/>
            </w:pPr>
            <w:r>
              <w:t xml:space="preserve">Whitmore owns/is authorized to license PredictIQ; no third-party infringement to Whitmore’s knowledge; full right to grant the licenses.</w:t>
            </w:r>
          </w:p>
        </w:tc>
      </w:tr>
      <w:tr>
        <w:tc>
          <w:tcPr/>
          <w:p>
            <w:pPr>
              <w:pStyle w:val="Compact"/>
              <w:jc w:val="left"/>
            </w:pPr>
            <w:r>
              <w:rPr>
                <w:b/>
                <w:bCs/>
              </w:rPr>
              <w:t xml:space="preserve">Warranty disclaimer (§8.5)</w:t>
            </w:r>
          </w:p>
        </w:tc>
        <w:tc>
          <w:tcPr/>
          <w:p>
            <w:pPr>
              <w:pStyle w:val="Compact"/>
              <w:jc w:val="left"/>
            </w:pPr>
            <w:r>
              <w:t xml:space="preserve">All implied warranties disclaimed except as expressly stated.</w:t>
            </w:r>
          </w:p>
        </w:tc>
      </w:tr>
      <w:tr>
        <w:tc>
          <w:tcPr/>
          <w:p>
            <w:pPr>
              <w:pStyle w:val="Compact"/>
              <w:jc w:val="left"/>
            </w:pPr>
            <w:r>
              <w:rPr>
                <w:b/>
                <w:bCs/>
              </w:rPr>
              <w:t xml:space="preserve">IP indemnification — Whitmore (§9.1)</w:t>
            </w:r>
          </w:p>
        </w:tc>
        <w:tc>
          <w:tcPr/>
          <w:p>
            <w:pPr>
              <w:pStyle w:val="Compact"/>
              <w:jc w:val="left"/>
            </w:pPr>
            <w:r>
              <w:t xml:space="preserve">Whitmore to defend/indemnify KBI for third-party IP-infringement claims arising from authorized use.</w:t>
            </w:r>
            <w:r>
              <w:t xml:space="preserve"> </w:t>
            </w:r>
            <w:r>
              <w:rPr>
                <w:b/>
                <w:bCs/>
              </w:rPr>
              <w:t xml:space="preserve">Not subject to any limitation of liability or cap.</w:t>
            </w:r>
          </w:p>
        </w:tc>
      </w:tr>
      <w:tr>
        <w:tc>
          <w:tcPr/>
          <w:p>
            <w:pPr>
              <w:pStyle w:val="Compact"/>
              <w:jc w:val="left"/>
            </w:pPr>
            <w:r>
              <w:rPr>
                <w:b/>
                <w:bCs/>
              </w:rPr>
              <w:t xml:space="preserve">Infringement remedies (§9.2)</w:t>
            </w:r>
          </w:p>
        </w:tc>
        <w:tc>
          <w:tcPr/>
          <w:p>
            <w:pPr>
              <w:pStyle w:val="Compact"/>
              <w:jc w:val="left"/>
            </w:pPr>
            <w:r>
              <w:t xml:space="preserve">Whitmore’s option: procure right to continue use; modify to be non-infringing; or replace with non-infringing equivalent.</w:t>
            </w:r>
          </w:p>
        </w:tc>
      </w:tr>
      <w:tr>
        <w:tc>
          <w:tcPr/>
          <w:p>
            <w:pPr>
              <w:pStyle w:val="Compact"/>
              <w:jc w:val="left"/>
            </w:pPr>
            <w:r>
              <w:rPr>
                <w:b/>
                <w:bCs/>
              </w:rPr>
              <w:t xml:space="preserve">KBI indemnification (§9.3)</w:t>
            </w:r>
          </w:p>
        </w:tc>
        <w:tc>
          <w:tcPr/>
          <w:p>
            <w:pPr>
              <w:pStyle w:val="Compact"/>
              <w:jc w:val="left"/>
            </w:pPr>
            <w:r>
              <w:t xml:space="preserve">KBI indemnifies Whitmore for unauthorized use claims and claims arising from KBI Data/systems (not PredictIQ itself).</w:t>
            </w:r>
          </w:p>
        </w:tc>
      </w:tr>
      <w:tr>
        <w:tc>
          <w:tcPr/>
          <w:p>
            <w:pPr>
              <w:pStyle w:val="Compact"/>
              <w:jc w:val="left"/>
            </w:pPr>
            <w:r>
              <w:rPr>
                <w:b/>
                <w:bCs/>
              </w:rPr>
              <w:t xml:space="preserve">General liability cap (§10.1)</w:t>
            </w:r>
          </w:p>
        </w:tc>
        <w:tc>
          <w:tcPr/>
          <w:p>
            <w:pPr>
              <w:pStyle w:val="Compact"/>
              <w:jc w:val="left"/>
            </w:pPr>
            <w:r>
              <w:t xml:space="preserve">Greater of (I) 2× fees paid by KBI in the 12 months preceding the claim, or (II) $15,000,000.</w:t>
            </w:r>
          </w:p>
        </w:tc>
      </w:tr>
      <w:tr>
        <w:tc>
          <w:tcPr/>
          <w:p>
            <w:pPr>
              <w:pStyle w:val="Compact"/>
              <w:jc w:val="left"/>
            </w:pPr>
            <w:r>
              <w:rPr>
                <w:b/>
                <w:bCs/>
              </w:rPr>
              <w:t xml:space="preserve">Consequential damages (§10.2)</w:t>
            </w:r>
          </w:p>
        </w:tc>
        <w:tc>
          <w:tcPr/>
          <w:p>
            <w:pPr>
              <w:pStyle w:val="Compact"/>
              <w:jc w:val="left"/>
            </w:pPr>
            <w:r>
              <w:t xml:space="preserve">Excluded for both parties.</w:t>
            </w:r>
          </w:p>
        </w:tc>
      </w:tr>
      <w:tr>
        <w:tc>
          <w:tcPr/>
          <w:p>
            <w:pPr>
              <w:pStyle w:val="Compact"/>
              <w:jc w:val="left"/>
            </w:pPr>
            <w:r>
              <w:rPr>
                <w:b/>
                <w:bCs/>
              </w:rPr>
              <w:t xml:space="preserve">Cap exceptions (§10.3)</w:t>
            </w:r>
          </w:p>
        </w:tc>
        <w:tc>
          <w:tcPr/>
          <w:p>
            <w:pPr>
              <w:pStyle w:val="Compact"/>
              <w:jc w:val="left"/>
            </w:pPr>
            <w:r>
              <w:t xml:space="preserve">Cap and consequential exclusion do</w:t>
            </w:r>
            <w:r>
              <w:t xml:space="preserve"> </w:t>
            </w:r>
            <w:r>
              <w:rPr>
                <w:b/>
                <w:bCs/>
              </w:rPr>
              <w:t xml:space="preserve">not</w:t>
            </w:r>
            <w:r>
              <w:t xml:space="preserve"> </w:t>
            </w:r>
            <w:r>
              <w:t xml:space="preserve">apply to: (A) Whitmore’s IP indemnification (§9.1) — uncapped; (B) confidentiality breaches; (C) willful misconduct/fraud.</w:t>
            </w:r>
          </w:p>
        </w:tc>
      </w:tr>
      <w:tr>
        <w:tc>
          <w:tcPr/>
          <w:p>
            <w:pPr>
              <w:pStyle w:val="Compact"/>
              <w:jc w:val="left"/>
            </w:pPr>
            <w:r>
              <w:rPr>
                <w:b/>
                <w:bCs/>
              </w:rPr>
              <w:t xml:space="preserve">Source-code escrow (§11.1)</w:t>
            </w:r>
          </w:p>
        </w:tc>
        <w:tc>
          <w:tcPr/>
          <w:p>
            <w:pPr>
              <w:pStyle w:val="Compact"/>
              <w:jc w:val="left"/>
            </w:pPr>
            <w:r>
              <w:t xml:space="preserve">Within 60 days, Whitmore to deposit complete source code, build tools, and documentation with Meridian Escrow Services LLC (San Jose, CA); update annually and on each major release.</w:t>
            </w:r>
          </w:p>
        </w:tc>
      </w:tr>
      <w:tr>
        <w:tc>
          <w:tcPr/>
          <w:p>
            <w:pPr>
              <w:pStyle w:val="Compact"/>
              <w:jc w:val="left"/>
            </w:pPr>
            <w:r>
              <w:rPr>
                <w:b/>
                <w:bCs/>
              </w:rPr>
              <w:t xml:space="preserve">Escrow release triggers (§11.2)</w:t>
            </w:r>
          </w:p>
        </w:tc>
        <w:tc>
          <w:tcPr/>
          <w:p>
            <w:pPr>
              <w:pStyle w:val="Compact"/>
              <w:jc w:val="left"/>
            </w:pPr>
            <w:r>
              <w:t xml:space="preserve">(a) Whitmore insolvency/bankruptcy; (b) material breach uncured for 60 days; (c) cessation of business; (d) failure to provide support for 90 consecutive days.</w:t>
            </w:r>
          </w:p>
        </w:tc>
      </w:tr>
      <w:tr>
        <w:tc>
          <w:tcPr/>
          <w:p>
            <w:pPr>
              <w:pStyle w:val="Compact"/>
              <w:jc w:val="left"/>
            </w:pPr>
            <w:r>
              <w:rPr>
                <w:b/>
                <w:bCs/>
              </w:rPr>
              <w:t xml:space="preserve">Post-release license (§11.3)</w:t>
            </w:r>
          </w:p>
        </w:tc>
        <w:tc>
          <w:tcPr/>
          <w:p>
            <w:pPr>
              <w:pStyle w:val="Compact"/>
              <w:jc w:val="left"/>
            </w:pPr>
            <w:r>
              <w:t xml:space="preserve">On release, KBI gets a perpetual, irrevocable, fully paid-up, royalty-free license to use, modify, compile, and deploy the source code for internal manufacturing operations.</w:t>
            </w:r>
          </w:p>
        </w:tc>
      </w:tr>
      <w:tr>
        <w:tc>
          <w:tcPr/>
          <w:p>
            <w:pPr>
              <w:pStyle w:val="Compact"/>
              <w:jc w:val="left"/>
            </w:pPr>
            <w:r>
              <w:rPr>
                <w:b/>
                <w:bCs/>
              </w:rPr>
              <w:t xml:space="preserve">Exclusivity / non-compete (§12.1–12.4)</w:t>
            </w:r>
          </w:p>
        </w:tc>
        <w:tc>
          <w:tcPr/>
          <w:p>
            <w:pPr>
              <w:pStyle w:val="Compact"/>
              <w:jc w:val="left"/>
            </w:pPr>
            <w:r>
              <w:t xml:space="preserve">For 3 years from effective date, Whitmore may not license PredictIQ (or substantially similar tech) to any</w:t>
            </w:r>
            <w:r>
              <w:t xml:space="preserve"> </w:t>
            </w:r>
            <w:r>
              <w:t xml:space="preserve">“</w:t>
            </w:r>
            <w:r>
              <w:t xml:space="preserve">Direct Competitor</w:t>
            </w:r>
            <w:r>
              <w:t xml:space="preserve">”</w:t>
            </w:r>
            <w:r>
              <w:t xml:space="preserve"> </w:t>
            </w:r>
            <w:r>
              <w:t xml:space="preserve">of KBI in European automotive/heavy-machinery manufacturing. Survives termination.</w:t>
            </w:r>
          </w:p>
        </w:tc>
      </w:tr>
      <w:tr>
        <w:tc>
          <w:tcPr/>
          <w:p>
            <w:pPr>
              <w:pStyle w:val="Compact"/>
              <w:jc w:val="left"/>
            </w:pPr>
            <w:r>
              <w:rPr>
                <w:b/>
                <w:bCs/>
              </w:rPr>
              <w:t xml:space="preserve">Direct Competitor (§12.2)</w:t>
            </w:r>
          </w:p>
        </w:tc>
        <w:tc>
          <w:tcPr/>
          <w:p>
            <w:pPr>
              <w:pStyle w:val="Compact"/>
              <w:jc w:val="left"/>
            </w:pPr>
            <w:r>
              <w:t xml:space="preserve">(a) 12 named entities (Exhibit B); (b)</w:t>
            </w:r>
            <w:r>
              <w:t xml:space="preserve"> </w:t>
            </w:r>
            <w:r>
              <w:rPr>
                <w:b/>
                <w:bCs/>
              </w:rPr>
              <w:t xml:space="preserve">any entity deriving &gt;30% of annual revenue</w:t>
            </w:r>
            <w:r>
              <w:t xml:space="preserve"> </w:t>
            </w:r>
            <w:r>
              <w:t xml:space="preserve">from automotive/heavy-machinery/heavy-industrial-equipment manufacture in the EEA, UK, or Switzerland.</w:t>
            </w:r>
          </w:p>
        </w:tc>
      </w:tr>
      <w:tr>
        <w:tc>
          <w:tcPr/>
          <w:p>
            <w:pPr>
              <w:pStyle w:val="Compact"/>
              <w:jc w:val="left"/>
            </w:pPr>
            <w:r>
              <w:rPr>
                <w:b/>
                <w:bCs/>
              </w:rPr>
              <w:t xml:space="preserve">Exclusivity remedies (§12.5)</w:t>
            </w:r>
          </w:p>
        </w:tc>
        <w:tc>
          <w:tcPr/>
          <w:p>
            <w:pPr>
              <w:pStyle w:val="Compact"/>
              <w:jc w:val="left"/>
            </w:pPr>
            <w:r>
              <w:t xml:space="preserve">Injunctive relief available; no requirement to show irreparable harm or post a bond.</w:t>
            </w:r>
          </w:p>
        </w:tc>
      </w:tr>
      <w:tr>
        <w:tc>
          <w:tcPr/>
          <w:p>
            <w:pPr>
              <w:pStyle w:val="Compact"/>
              <w:jc w:val="left"/>
            </w:pPr>
            <w:r>
              <w:rPr>
                <w:b/>
                <w:bCs/>
              </w:rPr>
              <w:t xml:space="preserve">Term (§13.1)</w:t>
            </w:r>
          </w:p>
        </w:tc>
        <w:tc>
          <w:tcPr/>
          <w:p>
            <w:pPr>
              <w:pStyle w:val="Compact"/>
              <w:jc w:val="left"/>
            </w:pPr>
            <w:r>
              <w:t xml:space="preserve">Perpetual, subject to termination.</w:t>
            </w:r>
          </w:p>
        </w:tc>
      </w:tr>
      <w:tr>
        <w:tc>
          <w:tcPr/>
          <w:p>
            <w:pPr>
              <w:pStyle w:val="Compact"/>
              <w:jc w:val="left"/>
            </w:pPr>
            <w:r>
              <w:rPr>
                <w:b/>
                <w:bCs/>
              </w:rPr>
              <w:t xml:space="preserve">Termination for cause (§13.2)</w:t>
            </w:r>
          </w:p>
        </w:tc>
        <w:tc>
          <w:tcPr/>
          <w:p>
            <w:pPr>
              <w:pStyle w:val="Compact"/>
              <w:jc w:val="left"/>
            </w:pPr>
            <w:r>
              <w:t xml:space="preserve">90 days’ notice after 60-day uncured material breach.</w:t>
            </w:r>
          </w:p>
        </w:tc>
      </w:tr>
      <w:tr>
        <w:tc>
          <w:tcPr/>
          <w:p>
            <w:pPr>
              <w:pStyle w:val="Compact"/>
              <w:jc w:val="left"/>
            </w:pPr>
            <w:r>
              <w:rPr>
                <w:b/>
                <w:bCs/>
              </w:rPr>
              <w:t xml:space="preserve">Termination for convenience — KBI only (§13.3)</w:t>
            </w:r>
          </w:p>
        </w:tc>
        <w:tc>
          <w:tcPr/>
          <w:p>
            <w:pPr>
              <w:pStyle w:val="Compact"/>
              <w:jc w:val="left"/>
            </w:pPr>
            <w:r>
              <w:t xml:space="preserve">KBI may terminate on 12 months’ notice, no earlier than the 3rd anniversary.</w:t>
            </w:r>
            <w:r>
              <w:t xml:space="preserve"> </w:t>
            </w:r>
            <w:r>
              <w:rPr>
                <w:b/>
                <w:bCs/>
              </w:rPr>
              <w:t xml:space="preserve">No reciprocal right for Whitmore.</w:t>
            </w:r>
          </w:p>
        </w:tc>
      </w:tr>
      <w:tr>
        <w:tc>
          <w:tcPr/>
          <w:p>
            <w:pPr>
              <w:pStyle w:val="Compact"/>
              <w:jc w:val="left"/>
            </w:pPr>
            <w:r>
              <w:rPr>
                <w:b/>
                <w:bCs/>
              </w:rPr>
              <w:t xml:space="preserve">Termination for performance failure (§13.4)</w:t>
            </w:r>
          </w:p>
        </w:tc>
        <w:tc>
          <w:tcPr/>
          <w:p>
            <w:pPr>
              <w:pStyle w:val="Compact"/>
              <w:jc w:val="left"/>
            </w:pPr>
            <w:r>
              <w:t xml:space="preserve">KBI may terminate if accuracy &lt;85% for two consecutive quarters, on 30 days’ notice.</w:t>
            </w:r>
          </w:p>
        </w:tc>
      </w:tr>
      <w:tr>
        <w:tc>
          <w:tcPr/>
          <w:p>
            <w:pPr>
              <w:pStyle w:val="Compact"/>
              <w:jc w:val="left"/>
            </w:pPr>
            <w:r>
              <w:rPr>
                <w:b/>
                <w:bCs/>
              </w:rPr>
              <w:t xml:space="preserve">Wind-down license (§13.5)</w:t>
            </w:r>
          </w:p>
        </w:tc>
        <w:tc>
          <w:tcPr/>
          <w:p>
            <w:pPr>
              <w:pStyle w:val="Compact"/>
              <w:jc w:val="left"/>
            </w:pPr>
            <w:r>
              <w:t xml:space="preserve">On termination/expiration for</w:t>
            </w:r>
            <w:r>
              <w:t xml:space="preserve"> </w:t>
            </w:r>
            <w:r>
              <w:rPr>
                <w:b/>
                <w:bCs/>
              </w:rPr>
              <w:t xml:space="preserve">any reason</w:t>
            </w:r>
            <w:r>
              <w:t xml:space="preserve"> </w:t>
            </w:r>
            <w:r>
              <w:t xml:space="preserve">(including KBI convenience), KBI retains a</w:t>
            </w:r>
            <w:r>
              <w:t xml:space="preserve"> </w:t>
            </w:r>
            <w:r>
              <w:rPr>
                <w:b/>
                <w:bCs/>
              </w:rPr>
              <w:t xml:space="preserve">perpetual, non-exclusive, irrevocable license</w:t>
            </w:r>
            <w:r>
              <w:t xml:space="preserve"> </w:t>
            </w:r>
            <w:r>
              <w:t xml:space="preserve">to continue using the deployed version, subject only to continued payment of the Annual Maintenance &amp; Support Fee.</w:t>
            </w:r>
          </w:p>
        </w:tc>
      </w:tr>
      <w:tr>
        <w:tc>
          <w:tcPr/>
          <w:p>
            <w:pPr>
              <w:pStyle w:val="Compact"/>
              <w:jc w:val="left"/>
            </w:pPr>
            <w:r>
              <w:rPr>
                <w:b/>
                <w:bCs/>
              </w:rPr>
              <w:t xml:space="preserve">Effects of termination (§13.6–13.7)</w:t>
            </w:r>
          </w:p>
        </w:tc>
        <w:tc>
          <w:tcPr/>
          <w:p>
            <w:pPr>
              <w:pStyle w:val="Compact"/>
              <w:jc w:val="left"/>
            </w:pPr>
            <w:r>
              <w:t xml:space="preserve">No new features/updates/deployments; accrued fees immediately due; confidential info returned (subject to wind-down license); fees paid are non-refundable.</w:t>
            </w:r>
          </w:p>
        </w:tc>
      </w:tr>
      <w:tr>
        <w:tc>
          <w:tcPr/>
          <w:p>
            <w:pPr>
              <w:pStyle w:val="Compact"/>
              <w:jc w:val="left"/>
            </w:pPr>
            <w:r>
              <w:rPr>
                <w:b/>
                <w:bCs/>
              </w:rPr>
              <w:t xml:space="preserve">Governing law (§14.1)</w:t>
            </w:r>
          </w:p>
        </w:tc>
        <w:tc>
          <w:tcPr/>
          <w:p>
            <w:pPr>
              <w:pStyle w:val="Compact"/>
              <w:jc w:val="left"/>
            </w:pPr>
            <w:r>
              <w:t xml:space="preserve">Germany (no conflicts-of-law principles).</w:t>
            </w:r>
          </w:p>
        </w:tc>
      </w:tr>
      <w:tr>
        <w:tc>
          <w:tcPr/>
          <w:p>
            <w:pPr>
              <w:pStyle w:val="Compact"/>
              <w:jc w:val="left"/>
            </w:pPr>
            <w:r>
              <w:rPr>
                <w:b/>
                <w:bCs/>
              </w:rPr>
              <w:t xml:space="preserve">Arbitration (§14.2)</w:t>
            </w:r>
          </w:p>
        </w:tc>
        <w:tc>
          <w:tcPr/>
          <w:p>
            <w:pPr>
              <w:pStyle w:val="Compact"/>
              <w:jc w:val="left"/>
            </w:pPr>
            <w:r>
              <w:t xml:space="preserve">ICC, 3 arbitrators, seat Zurich, English language.</w:t>
            </w:r>
          </w:p>
        </w:tc>
      </w:tr>
      <w:tr>
        <w:tc>
          <w:tcPr/>
          <w:p>
            <w:pPr>
              <w:pStyle w:val="Compact"/>
              <w:jc w:val="left"/>
            </w:pPr>
            <w:r>
              <w:rPr>
                <w:b/>
                <w:bCs/>
              </w:rPr>
              <w:t xml:space="preserve">Interim measures (§14.3)</w:t>
            </w:r>
          </w:p>
        </w:tc>
        <w:tc>
          <w:tcPr/>
          <w:p>
            <w:pPr>
              <w:pStyle w:val="Compact"/>
              <w:jc w:val="left"/>
            </w:pPr>
            <w:r>
              <w:t xml:space="preserve">Courts available for IP/confidentiality/status-quo relief pending arbitration.</w:t>
            </w:r>
          </w:p>
        </w:tc>
      </w:tr>
      <w:tr>
        <w:tc>
          <w:tcPr/>
          <w:p>
            <w:pPr>
              <w:pStyle w:val="Compact"/>
              <w:jc w:val="left"/>
            </w:pPr>
            <w:r>
              <w:rPr>
                <w:b/>
                <w:bCs/>
              </w:rPr>
              <w:t xml:space="preserve">Costs (§14.4)</w:t>
            </w:r>
          </w:p>
        </w:tc>
        <w:tc>
          <w:tcPr/>
          <w:p>
            <w:pPr>
              <w:pStyle w:val="Compact"/>
              <w:jc w:val="left"/>
            </w:pPr>
            <w:r>
              <w:t xml:space="preserve">Each party bears own costs; arbitration costs allocated by tribunal.</w:t>
            </w:r>
          </w:p>
        </w:tc>
      </w:tr>
      <w:tr>
        <w:tc>
          <w:tcPr/>
          <w:p>
            <w:pPr>
              <w:pStyle w:val="Compact"/>
              <w:jc w:val="left"/>
            </w:pPr>
            <w:r>
              <w:rPr>
                <w:b/>
                <w:bCs/>
              </w:rPr>
              <w:t xml:space="preserve">Confidentiality (§15)</w:t>
            </w:r>
          </w:p>
        </w:tc>
        <w:tc>
          <w:tcPr/>
          <w:p>
            <w:pPr>
              <w:pStyle w:val="Compact"/>
              <w:jc w:val="left"/>
            </w:pPr>
            <w:r>
              <w:t xml:space="preserve">5-year survival post-termination.</w:t>
            </w:r>
          </w:p>
        </w:tc>
      </w:tr>
      <w:tr>
        <w:tc>
          <w:tcPr/>
          <w:p>
            <w:pPr>
              <w:pStyle w:val="Compact"/>
              <w:jc w:val="left"/>
            </w:pPr>
            <w:r>
              <w:rPr>
                <w:b/>
                <w:bCs/>
              </w:rPr>
              <w:t xml:space="preserve">Binding provisions (§16.1)</w:t>
            </w:r>
          </w:p>
        </w:tc>
        <w:tc>
          <w:tcPr/>
          <w:p>
            <w:pPr>
              <w:pStyle w:val="Compact"/>
              <w:jc w:val="left"/>
            </w:pPr>
            <w:r>
              <w:t xml:space="preserve">Term Sheet non-binding except §15 (Confidentiality) and §16 (Miscellaneous), which are binding.</w:t>
            </w:r>
          </w:p>
        </w:tc>
      </w:tr>
      <w:tr>
        <w:tc>
          <w:tcPr/>
          <w:p>
            <w:pPr>
              <w:pStyle w:val="Compact"/>
              <w:jc w:val="left"/>
            </w:pPr>
            <w:r>
              <w:rPr>
                <w:b/>
                <w:bCs/>
              </w:rPr>
              <w:t xml:space="preserve">No-shop (§16.2)</w:t>
            </w:r>
          </w:p>
        </w:tc>
        <w:tc>
          <w:tcPr/>
          <w:p>
            <w:pPr>
              <w:pStyle w:val="Compact"/>
              <w:jc w:val="left"/>
            </w:pPr>
            <w:r>
              <w:t xml:space="preserve">60-day exclusive negotiation (through July 28, 2025); Whitmore may not solicit/entertain/accept third-party proposals for a comparable European industrial licensing transaction.</w:t>
            </w:r>
          </w:p>
        </w:tc>
      </w:tr>
      <w:tr>
        <w:tc>
          <w:tcPr/>
          <w:p>
            <w:pPr>
              <w:pStyle w:val="Compact"/>
              <w:jc w:val="left"/>
            </w:pPr>
            <w:r>
              <w:rPr>
                <w:b/>
                <w:bCs/>
              </w:rPr>
              <w:t xml:space="preserve">Entire understanding (§16.3)</w:t>
            </w:r>
          </w:p>
        </w:tc>
        <w:tc>
          <w:tcPr/>
          <w:p>
            <w:pPr>
              <w:pStyle w:val="Compact"/>
              <w:jc w:val="left"/>
            </w:pPr>
            <w:r>
              <w:t xml:space="preserve">Includes the MFC Side Letter.</w:t>
            </w:r>
          </w:p>
        </w:tc>
      </w:tr>
      <w:tr>
        <w:tc>
          <w:tcPr/>
          <w:p>
            <w:pPr>
              <w:pStyle w:val="Compact"/>
              <w:jc w:val="left"/>
            </w:pPr>
            <w:r>
              <w:rPr>
                <w:b/>
                <w:bCs/>
              </w:rPr>
              <w:t xml:space="preserve">Assignment (§16.6)</w:t>
            </w:r>
          </w:p>
        </w:tc>
        <w:tc>
          <w:tcPr/>
          <w:p>
            <w:pPr>
              <w:pStyle w:val="Compact"/>
              <w:jc w:val="left"/>
            </w:pPr>
            <w:r>
              <w:t xml:space="preserve">No assignment without consent;</w:t>
            </w:r>
            <w:r>
              <w:t xml:space="preserve"> </w:t>
            </w:r>
            <w:r>
              <w:rPr>
                <w:b/>
                <w:bCs/>
              </w:rPr>
              <w:t xml:space="preserve">except KBI may assign to any affiliate or in connection with a merger, acquisition, or sale of substantially all assets.</w:t>
            </w:r>
          </w:p>
        </w:tc>
      </w:tr>
      <w:tr>
        <w:tc>
          <w:tcPr/>
          <w:p>
            <w:pPr>
              <w:pStyle w:val="Compact"/>
              <w:jc w:val="left"/>
            </w:pPr>
            <w:r>
              <w:rPr>
                <w:b/>
                <w:bCs/>
              </w:rPr>
              <w:t xml:space="preserve">MFC Side Letter — commitment (§2(a))</w:t>
            </w:r>
          </w:p>
        </w:tc>
        <w:tc>
          <w:tcPr/>
          <w:p>
            <w:pPr>
              <w:pStyle w:val="Compact"/>
              <w:jc w:val="left"/>
            </w:pPr>
            <w:r>
              <w:t xml:space="preserve">If Whitmore grants any Subsequent Licensee a lower effective per-facility price, Whitmore must notify KBI within 30 days and retroactively adjust KBI’s pricing to match, effective as of the date the more favorable terms were first offered. Applies during the term</w:t>
            </w:r>
            <w:r>
              <w:t xml:space="preserve"> </w:t>
            </w:r>
            <w:r>
              <w:rPr>
                <w:b/>
                <w:bCs/>
              </w:rPr>
              <w:t xml:space="preserve">and thereafter for so long as KBI retains any license rights, including any post-termination wind-down license.</w:t>
            </w:r>
          </w:p>
        </w:tc>
      </w:tr>
      <w:tr>
        <w:tc>
          <w:tcPr/>
          <w:p>
            <w:pPr>
              <w:pStyle w:val="Compact"/>
              <w:jc w:val="left"/>
            </w:pPr>
            <w:r>
              <w:rPr>
                <w:b/>
                <w:bCs/>
              </w:rPr>
              <w:t xml:space="preserve">MFC — effective per-facility price (§2(b))</w:t>
            </w:r>
          </w:p>
        </w:tc>
        <w:tc>
          <w:tcPr/>
          <w:p>
            <w:pPr>
              <w:pStyle w:val="Compact"/>
              <w:jc w:val="left"/>
            </w:pPr>
            <w:r>
              <w:t xml:space="preserve">Total annual fees (license, subscription, maintenance, implementation/professional services, one-time or recurring) ÷ number of facilities deployed or authorized.</w:t>
            </w:r>
          </w:p>
        </w:tc>
      </w:tr>
      <w:tr>
        <w:tc>
          <w:tcPr/>
          <w:p>
            <w:pPr>
              <w:pStyle w:val="Compact"/>
              <w:jc w:val="left"/>
            </w:pPr>
            <w:r>
              <w:rPr>
                <w:b/>
                <w:bCs/>
              </w:rPr>
              <w:t xml:space="preserve">MFC — retroactive credit (§2(c))</w:t>
            </w:r>
          </w:p>
        </w:tc>
        <w:tc>
          <w:tcPr/>
          <w:p>
            <w:pPr>
              <w:pStyle w:val="Compact"/>
              <w:jc w:val="left"/>
            </w:pPr>
            <w:r>
              <w:t xml:space="preserve">Credit for overpayment from the retroactive date through adjustment date, applied against future payments.</w:t>
            </w:r>
          </w:p>
        </w:tc>
      </w:tr>
      <w:tr>
        <w:tc>
          <w:tcPr/>
          <w:p>
            <w:pPr>
              <w:pStyle w:val="Compact"/>
              <w:jc w:val="left"/>
            </w:pPr>
            <w:r>
              <w:rPr>
                <w:b/>
                <w:bCs/>
              </w:rPr>
              <w:t xml:space="preserve">MFC — audit right (§2(d))</w:t>
            </w:r>
          </w:p>
        </w:tc>
        <w:tc>
          <w:tcPr/>
          <w:p>
            <w:pPr>
              <w:pStyle w:val="Compact"/>
              <w:jc w:val="left"/>
            </w:pPr>
            <w:r>
              <w:t xml:space="preserve">Once per year, independent auditor at KBI’s expense; if discrepancy ≥5%, at Whitmore’s expense. Whitmore must maintain complete licensing records.</w:t>
            </w:r>
          </w:p>
        </w:tc>
      </w:tr>
      <w:tr>
        <w:tc>
          <w:tcPr/>
          <w:p>
            <w:pPr>
              <w:pStyle w:val="Compact"/>
              <w:jc w:val="left"/>
            </w:pPr>
            <w:r>
              <w:rPr>
                <w:b/>
                <w:bCs/>
              </w:rPr>
              <w:t xml:space="preserve">MFC — conditionality</w:t>
            </w:r>
          </w:p>
        </w:tc>
        <w:tc>
          <w:tcPr/>
          <w:p>
            <w:pPr>
              <w:pStyle w:val="Compact"/>
              <w:jc w:val="left"/>
            </w:pPr>
            <w:r>
              <w:t xml:space="preserve">KBI’s willingness to proceed is</w:t>
            </w:r>
            <w:r>
              <w:t xml:space="preserve"> </w:t>
            </w:r>
            <w:r>
              <w:rPr>
                <w:b/>
                <w:bCs/>
              </w:rPr>
              <w:t xml:space="preserve">expressly conditioned</w:t>
            </w:r>
            <w:r>
              <w:t xml:space="preserve"> </w:t>
            </w:r>
            <w:r>
              <w:t xml:space="preserve">on Whitmore’s acceptance of the MFC provision; KBI’s adherence to the timeline (including the Sept. 15, 2025 Phase 1 start) is contingent on acceptance by June 23, 2025.</w:t>
            </w:r>
          </w:p>
        </w:tc>
      </w:tr>
      <w:tr>
        <w:tc>
          <w:tcPr/>
          <w:p>
            <w:pPr>
              <w:pStyle w:val="Compact"/>
              <w:jc w:val="left"/>
            </w:pPr>
            <w:r>
              <w:rPr>
                <w:b/>
                <w:bCs/>
              </w:rPr>
              <w:t xml:space="preserve">MFC — governing law (§6)</w:t>
            </w:r>
          </w:p>
        </w:tc>
        <w:tc>
          <w:tcPr/>
          <w:p>
            <w:pPr>
              <w:pStyle w:val="Compact"/>
              <w:jc w:val="left"/>
            </w:pPr>
            <w:r>
              <w:t xml:space="preserve">Germany.</w:t>
            </w:r>
          </w:p>
        </w:tc>
      </w:tr>
    </w:tbl>
    <w:p>
      <w:r>
        <w:pict>
          <v:rect style="width:0;height:1.5pt" o:hralign="center" o:hrstd="t" o:hr="t"/>
        </w:pict>
      </w:r>
    </w:p>
    <w:bookmarkEnd w:id="22"/>
    <w:bookmarkStart w:id="23" w:name="iv.-economic-summary"/>
    <w:p>
      <w:pPr>
        <w:pStyle w:val="Heading2"/>
      </w:pPr>
      <w:r>
        <w:t xml:space="preserve">IV. Economic Summary</w:t>
      </w:r>
    </w:p>
    <w:p>
      <w:pPr>
        <w:pStyle w:val="FirstParagraph"/>
      </w:pPr>
      <w:r>
        <w:rPr>
          <w:b/>
          <w:bCs/>
        </w:rPr>
        <w:t xml:space="preserve">One-time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Payment Timing</w:t>
            </w:r>
          </w:p>
        </w:tc>
      </w:tr>
      <w:tr>
        <w:tc>
          <w:tcPr/>
          <w:p>
            <w:pPr>
              <w:pStyle w:val="Compact"/>
              <w:jc w:val="left"/>
            </w:pPr>
            <w:r>
              <w:t xml:space="preserve">Initial License Fee</w:t>
            </w:r>
          </w:p>
        </w:tc>
        <w:tc>
          <w:tcPr/>
          <w:p>
            <w:pPr>
              <w:pStyle w:val="Compact"/>
              <w:jc w:val="left"/>
            </w:pPr>
            <w:r>
              <w:t xml:space="preserve">$4,200,000</w:t>
            </w:r>
          </w:p>
        </w:tc>
        <w:tc>
          <w:tcPr/>
          <w:p>
            <w:pPr>
              <w:pStyle w:val="Compact"/>
              <w:jc w:val="left"/>
            </w:pPr>
            <w:r>
              <w:t xml:space="preserve">30% ($1,260,000) at execution; 40% ($1,680,000) at Phase 1 completion (target Mar 15, 2026); 30% ($1,260,000) at Phase 2 go-live (target Mar 15, 2027)</w:t>
            </w:r>
          </w:p>
        </w:tc>
      </w:tr>
      <w:tr>
        <w:tc>
          <w:tcPr/>
          <w:p>
            <w:pPr>
              <w:pStyle w:val="Compact"/>
              <w:jc w:val="left"/>
            </w:pPr>
            <w:r>
              <w:t xml:space="preserve">Implementation Services Fee</w:t>
            </w:r>
          </w:p>
        </w:tc>
        <w:tc>
          <w:tcPr/>
          <w:p>
            <w:pPr>
              <w:pStyle w:val="Compact"/>
              <w:jc w:val="left"/>
            </w:pPr>
            <w:r>
              <w:t xml:space="preserve">$1,750,000</w:t>
            </w:r>
          </w:p>
        </w:tc>
        <w:tc>
          <w:tcPr/>
          <w:p>
            <w:pPr>
              <w:pStyle w:val="Compact"/>
              <w:jc w:val="left"/>
            </w:pPr>
            <w:r>
              <w:t xml:space="preserve">~$97,222/month over 18 months (Sept 2025 – Mar 2027)</w:t>
            </w:r>
          </w:p>
        </w:tc>
      </w:tr>
      <w:tr>
        <w:tc>
          <w:tcPr/>
          <w:p>
            <w:pPr>
              <w:pStyle w:val="Compact"/>
              <w:jc w:val="left"/>
            </w:pPr>
            <w:r>
              <w:rPr>
                <w:b/>
                <w:bCs/>
              </w:rPr>
              <w:t xml:space="preserve">One-time total</w:t>
            </w:r>
          </w:p>
        </w:tc>
        <w:tc>
          <w:tcPr/>
          <w:p>
            <w:pPr>
              <w:pStyle w:val="Compact"/>
              <w:jc w:val="left"/>
            </w:pPr>
            <w:r>
              <w:rPr>
                <w:b/>
                <w:bCs/>
              </w:rPr>
              <w:t xml:space="preserve">$5,950,000</w:t>
            </w:r>
          </w:p>
        </w:tc>
        <w:tc>
          <w:tcPr/>
          <w:p>
            <w:pPr>
              <w:pStyle w:val="Compact"/>
            </w:pPr>
          </w:p>
        </w:tc>
      </w:tr>
    </w:tbl>
    <w:p>
      <w:pPr>
        <w:pStyle w:val="BodyText"/>
      </w:pPr>
      <w:r>
        <w:rPr>
          <w:b/>
          <w:bCs/>
        </w:rPr>
        <w:t xml:space="preserve">Recurring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Year 1</w:t>
            </w:r>
          </w:p>
        </w:tc>
        <w:tc>
          <w:tcPr/>
          <w:p>
            <w:pPr>
              <w:pStyle w:val="Compact"/>
              <w:jc w:val="left"/>
            </w:pPr>
            <w:r>
              <w:t xml:space="preserve">Escalation</w:t>
            </w:r>
          </w:p>
        </w:tc>
      </w:tr>
      <w:tr>
        <w:tc>
          <w:tcPr/>
          <w:p>
            <w:pPr>
              <w:pStyle w:val="Compact"/>
              <w:jc w:val="left"/>
            </w:pPr>
            <w:r>
              <w:t xml:space="preserve">Annual SaaS Subscription</w:t>
            </w:r>
          </w:p>
        </w:tc>
        <w:tc>
          <w:tcPr/>
          <w:p>
            <w:pPr>
              <w:pStyle w:val="Compact"/>
              <w:jc w:val="left"/>
            </w:pPr>
            <w:r>
              <w:t xml:space="preserve">$2,850,000/yr (Years 1–3; $712,500/quarter)</w:t>
            </w:r>
          </w:p>
        </w:tc>
        <w:tc>
          <w:tcPr/>
          <w:p>
            <w:pPr>
              <w:pStyle w:val="Compact"/>
              <w:jc w:val="left"/>
            </w:pPr>
            <w:r>
              <w:t xml:space="preserve">+3%/yr from Year 4 (Y4: $2,935,500; Y5: $3,023,565)</w:t>
            </w:r>
          </w:p>
        </w:tc>
      </w:tr>
      <w:tr>
        <w:tc>
          <w:tcPr/>
          <w:p>
            <w:pPr>
              <w:pStyle w:val="Compact"/>
              <w:jc w:val="left"/>
            </w:pPr>
            <w:r>
              <w:t xml:space="preserve">Annual Maintenance &amp; Support</w:t>
            </w:r>
          </w:p>
        </w:tc>
        <w:tc>
          <w:tcPr/>
          <w:p>
            <w:pPr>
              <w:pStyle w:val="Compact"/>
              <w:jc w:val="left"/>
            </w:pPr>
            <w:r>
              <w:t xml:space="preserve">$756,000 (Year 1)</w:t>
            </w:r>
          </w:p>
        </w:tc>
        <w:tc>
          <w:tcPr/>
          <w:p>
            <w:pPr>
              <w:pStyle w:val="Compact"/>
              <w:jc w:val="left"/>
            </w:pPr>
            <w:r>
              <w:t xml:space="preserve">+4%/yr from Year 2 (Y2: $786,240; Y3: $817,690)</w:t>
            </w:r>
          </w:p>
        </w:tc>
      </w:tr>
    </w:tbl>
    <w:p>
      <w:pPr>
        <w:pStyle w:val="BodyText"/>
      </w:pPr>
      <w:r>
        <w:rPr>
          <w:b/>
          <w:bCs/>
        </w:rPr>
        <w:t xml:space="preserve">Headline figures.</w:t>
      </w:r>
    </w:p>
    <w:p>
      <w:pPr>
        <w:pStyle w:val="Compact"/>
        <w:numPr>
          <w:ilvl w:val="0"/>
          <w:numId w:val="1002"/>
        </w:numPr>
      </w:pPr>
      <w:r>
        <w:rPr>
          <w:b/>
          <w:bCs/>
        </w:rPr>
        <w:t xml:space="preserve">First-year revenue (as characterized by KBI and management):</w:t>
      </w:r>
      <w:r>
        <w:t xml:space="preserve"> </w:t>
      </w:r>
      <w:r>
        <w:t xml:space="preserve">~$9,556,000 — approximately</w:t>
      </w:r>
      <w:r>
        <w:t xml:space="preserve"> </w:t>
      </w:r>
      <w:r>
        <w:rPr>
          <w:b/>
          <w:bCs/>
        </w:rPr>
        <w:t xml:space="preserve">20% of Whitmore’s FY 2024 revenue ($47.3M)</w:t>
      </w:r>
      <w:r>
        <w:t xml:space="preserve">.</w:t>
      </w:r>
    </w:p>
    <w:p>
      <w:pPr>
        <w:pStyle w:val="Compact"/>
        <w:numPr>
          <w:ilvl w:val="0"/>
          <w:numId w:val="1002"/>
        </w:numPr>
      </w:pPr>
      <w:r>
        <w:rPr>
          <w:b/>
          <w:bCs/>
        </w:rPr>
        <w:t xml:space="preserve">Recurring SaaS:</w:t>
      </w:r>
      <w:r>
        <w:t xml:space="preserve"> </w:t>
      </w:r>
      <w:r>
        <w:t xml:space="preserve">$2.85M/year — Whitmore’s largest single SaaS contract by a factor of three (per management).</w:t>
      </w:r>
    </w:p>
    <w:p>
      <w:pPr>
        <w:pStyle w:val="Compact"/>
        <w:numPr>
          <w:ilvl w:val="0"/>
          <w:numId w:val="1002"/>
        </w:numPr>
      </w:pPr>
      <w:r>
        <w:rPr>
          <w:b/>
          <w:bCs/>
        </w:rPr>
        <w:t xml:space="preserve">Steady-state recurring (Year 3, full deployment):</w:t>
      </w:r>
      <w:r>
        <w:t xml:space="preserve"> </w:t>
      </w:r>
      <w:r>
        <w:t xml:space="preserve">~$3.67M/year (SaaS $2.85M + maintenance $0.818M).</w:t>
      </w:r>
    </w:p>
    <w:p>
      <w:pPr>
        <w:pStyle w:val="Compact"/>
        <w:numPr>
          <w:ilvl w:val="0"/>
          <w:numId w:val="1002"/>
        </w:numPr>
      </w:pPr>
      <w:r>
        <w:rPr>
          <w:b/>
          <w:bCs/>
        </w:rPr>
        <w:t xml:space="preserve">Illustrative 5-year gross fees (assuming full deployment and no termination):</w:t>
      </w:r>
      <w:r>
        <w:t xml:space="preserve"> </w:t>
      </w:r>
      <w:r>
        <w:t xml:space="preserve">~$24.5M, comprising $4.2M license + $1.75M implementation + ~$14.5M SaaS (Y1–Y5) + ~$4.1M maintenance (Y1–Y5).</w:t>
      </w:r>
    </w:p>
    <w:p>
      <w:pPr>
        <w:pStyle w:val="BlockText"/>
      </w:pPr>
      <w:r>
        <w:rPr>
          <w:b/>
          <w:bCs/>
        </w:rPr>
        <w:t xml:space="preserve">Important caveat on recurring economics.</w:t>
      </w:r>
      <w:r>
        <w:t xml:space="preserve"> </w:t>
      </w:r>
      <w:r>
        <w:t xml:space="preserve">The recurring-revenue figures above are materially at risk under the Proposed Terms. Because the license is perpetual (§2) and because KBI retains a</w:t>
      </w:r>
      <w:r>
        <w:t xml:space="preserve"> </w:t>
      </w:r>
      <w:r>
        <w:rPr>
          <w:b/>
          <w:bCs/>
        </w:rPr>
        <w:t xml:space="preserve">perpetual, irrevocable wind-down license</w:t>
      </w:r>
      <w:r>
        <w:t xml:space="preserve"> </w:t>
      </w:r>
      <w:r>
        <w:t xml:space="preserve">on termination for any reason — including termination for convenience after the 3rd anniversary (§13.3, §13.5) — subject only to continued payment of the maintenance fee, KBI could cease paying the $2.85M/year SaaS subscription after Year 3 and continue using PredictIQ indefinitely for ~$0.8M/year in maintenance. The recurring SaaS stream that makes this deal strategically valuable is therefore not contractually durable. See Risk Flag #5.</w:t>
      </w:r>
    </w:p>
    <w:p>
      <w:pPr>
        <w:pStyle w:val="BlockText"/>
      </w:pPr>
      <w:r>
        <w:rPr>
          <w:b/>
          <w:bCs/>
        </w:rPr>
        <w:t xml:space="preserve">Timing assumptions.</w:t>
      </w:r>
      <w:r>
        <w:t xml:space="preserve"> </w:t>
      </w:r>
      <w:r>
        <w:t xml:space="preserve">Maintenance commences upon Phase 1 go-live (§7.4; target Mar 15, 2026), so Year 1 maintenance may be partial. The commencement date for the SaaS</w:t>
      </w:r>
      <w:r>
        <w:t xml:space="preserve"> </w:t>
      </w:r>
      <w:r>
        <w:t xml:space="preserve">“</w:t>
      </w:r>
      <w:r>
        <w:t xml:space="preserve">Year 1</w:t>
      </w:r>
      <w:r>
        <w:t xml:space="preserve">”</w:t>
      </w:r>
      <w:r>
        <w:t xml:space="preserve"> </w:t>
      </w:r>
      <w:r>
        <w:t xml:space="preserve">is not specified and should be clarified. Figures above assume full-year recognition for illustration only. Revenue-recognition treatment (ASC 606) of the linear implementation fee versus milestone-based delivery should be reviewed with Whitmore’s auditors, Lakeshore Accounting Group LLP. See Risk Flag #10.</w:t>
      </w:r>
    </w:p>
    <w:p>
      <w:r>
        <w:pict>
          <v:rect style="width:0;height:1.5pt" o:hralign="center" o:hrstd="t" o:hr="t"/>
        </w:pict>
      </w:r>
    </w:p>
    <w:bookmarkEnd w:id="23"/>
    <w:bookmarkStart w:id="29" w:name="v.-risk-flags"/>
    <w:p>
      <w:pPr>
        <w:pStyle w:val="Heading2"/>
      </w:pPr>
      <w:r>
        <w:t xml:space="preserve">V. Risk Flags</w:t>
      </w:r>
    </w:p>
    <w:p>
      <w:pPr>
        <w:pStyle w:val="FirstParagraph"/>
      </w:pPr>
      <w:r>
        <w:t xml:space="preserve">We have identified 17 risk flags, rated by severity:</w:t>
      </w:r>
      <w:r>
        <w:t xml:space="preserve"> </w:t>
      </w:r>
      <w:r>
        <w:rPr>
          <w:b/>
          <w:bCs/>
        </w:rPr>
        <w:t xml:space="preserve">Critical</w:t>
      </w:r>
      <w:r>
        <w:t xml:space="preserve"> </w:t>
      </w:r>
      <w:r>
        <w:t xml:space="preserve">(dealbreaker as drafted — must be fundamentally restructured),</w:t>
      </w:r>
      <w:r>
        <w:t xml:space="preserve"> </w:t>
      </w:r>
      <w:r>
        <w:rPr>
          <w:b/>
          <w:bCs/>
        </w:rPr>
        <w:t xml:space="preserve">High</w:t>
      </w:r>
      <w:r>
        <w:t xml:space="preserve"> </w:t>
      </w:r>
      <w:r>
        <w:t xml:space="preserve">(material exposure requiring material renegotiation),</w:t>
      </w:r>
      <w:r>
        <w:t xml:space="preserve"> </w:t>
      </w:r>
      <w:r>
        <w:rPr>
          <w:b/>
          <w:bCs/>
        </w:rPr>
        <w:t xml:space="preserve">Medium</w:t>
      </w:r>
      <w:r>
        <w:t xml:space="preserve"> </w:t>
      </w:r>
      <w:r>
        <w:t xml:space="preserve">(notable issue requiring targeted negotiation), and</w:t>
      </w:r>
      <w:r>
        <w:t xml:space="preserve"> </w:t>
      </w:r>
      <w:r>
        <w:rPr>
          <w:b/>
          <w:bCs/>
        </w:rPr>
        <w:t xml:space="preserve">Low</w:t>
      </w:r>
      <w:r>
        <w:t xml:space="preserve"> </w:t>
      </w:r>
      <w:r>
        <w:t xml:space="preserve">(monitor / minor clean-up).</w:t>
      </w:r>
    </w:p>
    <w:bookmarkStart w:id="24" w:name="v.a-risk-summary"/>
    <w:p>
      <w:pPr>
        <w:pStyle w:val="Heading3"/>
      </w:pPr>
      <w:r>
        <w:t xml:space="preserve">V.A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Provision</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Data-training ban + KBI ownership of model weights/parameters threatens core IP and product-improvement model</w:t>
            </w:r>
          </w:p>
        </w:tc>
        <w:tc>
          <w:tcPr/>
          <w:p>
            <w:pPr>
              <w:pStyle w:val="Compact"/>
              <w:jc w:val="left"/>
            </w:pPr>
            <w:r>
              <w:t xml:space="preserve">§4.2, §4.3</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3-year exclusivity with open-ended 30% revenue test locks Whitmore out of European market; unworkable monitoring obligation</w:t>
            </w:r>
          </w:p>
        </w:tc>
        <w:tc>
          <w:tcPr/>
          <w:p>
            <w:pPr>
              <w:pStyle w:val="Compact"/>
              <w:jc w:val="left"/>
            </w:pPr>
            <w:r>
              <w:t xml:space="preserve">§12</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MFC side letter: no carve-outs, no sunset, retroactive, perpetual via wind-down — most aggressive MFC seen by management</w:t>
            </w:r>
          </w:p>
        </w:tc>
        <w:tc>
          <w:tcPr/>
          <w:p>
            <w:pPr>
              <w:pStyle w:val="Compact"/>
              <w:jc w:val="left"/>
            </w:pPr>
            <w:r>
              <w:t xml:space="preserve">Side Letter §2</w:t>
            </w:r>
          </w:p>
        </w:tc>
      </w:tr>
      <w:tr>
        <w:tc>
          <w:tcPr/>
          <w:p>
            <w:pPr>
              <w:pStyle w:val="Compact"/>
              <w:jc w:val="left"/>
            </w:pPr>
            <w:r>
              <w:t xml:space="preserve">4</w:t>
            </w:r>
          </w:p>
        </w:tc>
        <w:tc>
          <w:tcPr/>
          <w:p>
            <w:pPr>
              <w:pStyle w:val="Compact"/>
              <w:jc w:val="left"/>
            </w:pPr>
            <w:r>
              <w:rPr>
                <w:b/>
                <w:bCs/>
              </w:rPr>
              <w:t xml:space="preserve">High</w:t>
            </w:r>
          </w:p>
        </w:tc>
        <w:tc>
          <w:tcPr/>
          <w:p>
            <w:pPr>
              <w:pStyle w:val="Compact"/>
              <w:jc w:val="left"/>
            </w:pPr>
            <w:r>
              <w:t xml:space="preserve">Uncapped IP indemnification in a complex ML/AI patent landscape</w:t>
            </w:r>
          </w:p>
        </w:tc>
        <w:tc>
          <w:tcPr/>
          <w:p>
            <w:pPr>
              <w:pStyle w:val="Compact"/>
              <w:jc w:val="left"/>
            </w:pPr>
            <w:r>
              <w:t xml:space="preserve">§9.1, §10.3(A)</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Perpetual license + perpetual wind-down license erodes recurring SaaS revenue</w:t>
            </w:r>
          </w:p>
        </w:tc>
        <w:tc>
          <w:tcPr/>
          <w:p>
            <w:pPr>
              <w:pStyle w:val="Compact"/>
              <w:jc w:val="left"/>
            </w:pPr>
            <w:r>
              <w:t xml:space="preserve">§2, §13.5</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IP-ownership cluster: joint ownership of derivatives; feedback/KBI-Inspired Improvements tension; Output Data ownership</w:t>
            </w:r>
          </w:p>
        </w:tc>
        <w:tc>
          <w:tcPr/>
          <w:p>
            <w:pPr>
              <w:pStyle w:val="Compact"/>
              <w:jc w:val="left"/>
            </w:pPr>
            <w:r>
              <w:t xml:space="preserve">§2/§3.3, §3.4/§3.5, §4.2</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92% performance warranty with financial credits and termination right; accuracy depends on factors outside Whitmore’s control</w:t>
            </w:r>
          </w:p>
        </w:tc>
        <w:tc>
          <w:tcPr/>
          <w:p>
            <w:pPr>
              <w:pStyle w:val="Compact"/>
              <w:jc w:val="left"/>
            </w:pPr>
            <w:r>
              <w:t xml:space="preserve">§8.2, §8.3</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Source-code escrow: broad release triggers + perpetual royalty-free source license on release</w:t>
            </w:r>
          </w:p>
        </w:tc>
        <w:tc>
          <w:tcPr/>
          <w:p>
            <w:pPr>
              <w:pStyle w:val="Compact"/>
              <w:jc w:val="left"/>
            </w:pPr>
            <w:r>
              <w:t xml:space="preserve">§11</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German governing law for a U.S. licensor; liability/penalty enforceability concerns</w:t>
            </w:r>
          </w:p>
        </w:tc>
        <w:tc>
          <w:tcPr/>
          <w:p>
            <w:pPr>
              <w:pStyle w:val="Compact"/>
              <w:jc w:val="left"/>
            </w:pPr>
            <w:r>
              <w:t xml:space="preserve">§14.1</w:t>
            </w:r>
          </w:p>
        </w:tc>
      </w:tr>
      <w:tr>
        <w:tc>
          <w:tcPr/>
          <w:p>
            <w:pPr>
              <w:pStyle w:val="Compact"/>
              <w:jc w:val="left"/>
            </w:pPr>
            <w:r>
              <w:t xml:space="preserve">10</w:t>
            </w:r>
          </w:p>
        </w:tc>
        <w:tc>
          <w:tcPr/>
          <w:p>
            <w:pPr>
              <w:pStyle w:val="Compact"/>
              <w:jc w:val="left"/>
            </w:pPr>
            <w:r>
              <w:rPr>
                <w:b/>
                <w:bCs/>
              </w:rPr>
              <w:t xml:space="preserve">Medium</w:t>
            </w:r>
          </w:p>
        </w:tc>
        <w:tc>
          <w:tcPr/>
          <w:p>
            <w:pPr>
              <w:pStyle w:val="Compact"/>
              <w:jc w:val="left"/>
            </w:pPr>
            <w:r>
              <w:t xml:space="preserve">Implementation cash-flow mismatch (~$0.7M–$1.2M shortfall in first 6 months); ASC 606 questions</w:t>
            </w:r>
          </w:p>
        </w:tc>
        <w:tc>
          <w:tcPr/>
          <w:p>
            <w:pPr>
              <w:pStyle w:val="Compact"/>
              <w:jc w:val="left"/>
            </w:pPr>
            <w:r>
              <w:t xml:space="preserve">§5.1, §5.3</w:t>
            </w:r>
          </w:p>
        </w:tc>
      </w:tr>
      <w:tr>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Termination and assignment asymmetries favor KBI</w:t>
            </w:r>
          </w:p>
        </w:tc>
        <w:tc>
          <w:tcPr/>
          <w:p>
            <w:pPr>
              <w:pStyle w:val="Compact"/>
              <w:jc w:val="left"/>
            </w:pPr>
            <w:r>
              <w:t xml:space="preserve">§13.3, §16.6</w:t>
            </w:r>
          </w:p>
        </w:tc>
      </w:tr>
      <w:tr>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Expansion pricing lock-in interacts with MFC to cap pricing upside</w:t>
            </w:r>
          </w:p>
        </w:tc>
        <w:tc>
          <w:tcPr/>
          <w:p>
            <w:pPr>
              <w:pStyle w:val="Compact"/>
              <w:jc w:val="left"/>
            </w:pPr>
            <w:r>
              <w:t xml:space="preserve">§5.7, Side Letter</w:t>
            </w:r>
          </w:p>
        </w:tc>
      </w:tr>
      <w:tr>
        <w:tc>
          <w:tcPr/>
          <w:p>
            <w:pPr>
              <w:pStyle w:val="Compact"/>
              <w:jc w:val="left"/>
            </w:pPr>
            <w:r>
              <w:t xml:space="preserve">13</w:t>
            </w:r>
          </w:p>
        </w:tc>
        <w:tc>
          <w:tcPr/>
          <w:p>
            <w:pPr>
              <w:pStyle w:val="Compact"/>
              <w:jc w:val="left"/>
            </w:pPr>
            <w:r>
              <w:rPr>
                <w:b/>
                <w:bCs/>
              </w:rPr>
              <w:t xml:space="preserve">Medium</w:t>
            </w:r>
          </w:p>
        </w:tc>
        <w:tc>
          <w:tcPr/>
          <w:p>
            <w:pPr>
              <w:pStyle w:val="Compact"/>
              <w:jc w:val="left"/>
            </w:pPr>
            <w:r>
              <w:t xml:space="preserve">60-day no-shop restricts near-term European pipeline activity</w:t>
            </w:r>
          </w:p>
        </w:tc>
        <w:tc>
          <w:tcPr/>
          <w:p>
            <w:pPr>
              <w:pStyle w:val="Compact"/>
              <w:jc w:val="left"/>
            </w:pPr>
            <w:r>
              <w:t xml:space="preserve">§16.2</w:t>
            </w:r>
          </w:p>
        </w:tc>
      </w:tr>
      <w:tr>
        <w:tc>
          <w:tcPr/>
          <w:p>
            <w:pPr>
              <w:pStyle w:val="Compact"/>
              <w:jc w:val="left"/>
            </w:pPr>
            <w:r>
              <w:t xml:space="preserve">14</w:t>
            </w:r>
          </w:p>
        </w:tc>
        <w:tc>
          <w:tcPr/>
          <w:p>
            <w:pPr>
              <w:pStyle w:val="Compact"/>
              <w:jc w:val="left"/>
            </w:pPr>
            <w:r>
              <w:rPr>
                <w:b/>
                <w:bCs/>
              </w:rPr>
              <w:t xml:space="preserve">Low</w:t>
            </w:r>
          </w:p>
        </w:tc>
        <w:tc>
          <w:tcPr/>
          <w:p>
            <w:pPr>
              <w:pStyle w:val="Compact"/>
              <w:jc w:val="left"/>
            </w:pPr>
            <w:r>
              <w:t xml:space="preserve">SLAs are</w:t>
            </w:r>
            <w:r>
              <w:t xml:space="preserve"> </w:t>
            </w:r>
            <w:r>
              <w:t xml:space="preserve">“</w:t>
            </w:r>
            <w:r>
              <w:t xml:space="preserve">commercially reasonable efforts</w:t>
            </w:r>
            <w:r>
              <w:t xml:space="preserve">”</w:t>
            </w:r>
            <w:r>
              <w:t xml:space="preserve"> </w:t>
            </w:r>
            <w:r>
              <w:t xml:space="preserve">but performance warranty is a hard commitment — internal inconsistency</w:t>
            </w:r>
          </w:p>
        </w:tc>
        <w:tc>
          <w:tcPr/>
          <w:p>
            <w:pPr>
              <w:pStyle w:val="Compact"/>
              <w:jc w:val="left"/>
            </w:pPr>
            <w:r>
              <w:t xml:space="preserve">§7.2 vs §8.2</w:t>
            </w:r>
          </w:p>
        </w:tc>
      </w:tr>
      <w:tr>
        <w:tc>
          <w:tcPr/>
          <w:p>
            <w:pPr>
              <w:pStyle w:val="Compact"/>
              <w:jc w:val="left"/>
            </w:pPr>
            <w:r>
              <w:t xml:space="preserve">15</w:t>
            </w:r>
          </w:p>
        </w:tc>
        <w:tc>
          <w:tcPr/>
          <w:p>
            <w:pPr>
              <w:pStyle w:val="Compact"/>
              <w:jc w:val="left"/>
            </w:pPr>
            <w:r>
              <w:rPr>
                <w:b/>
                <w:bCs/>
              </w:rPr>
              <w:t xml:space="preserve">Low</w:t>
            </w:r>
          </w:p>
        </w:tc>
        <w:tc>
          <w:tcPr/>
          <w:p>
            <w:pPr>
              <w:pStyle w:val="Compact"/>
              <w:jc w:val="left"/>
            </w:pPr>
            <w:r>
              <w:t xml:space="preserve">Broad authorized-user / sublicensing-to-affiliates scope</w:t>
            </w:r>
          </w:p>
        </w:tc>
        <w:tc>
          <w:tcPr/>
          <w:p>
            <w:pPr>
              <w:pStyle w:val="Compact"/>
              <w:jc w:val="left"/>
            </w:pPr>
            <w:r>
              <w:t xml:space="preserve">§2</w:t>
            </w:r>
          </w:p>
        </w:tc>
      </w:tr>
      <w:tr>
        <w:tc>
          <w:tcPr/>
          <w:p>
            <w:pPr>
              <w:pStyle w:val="Compact"/>
              <w:jc w:val="left"/>
            </w:pPr>
            <w:r>
              <w:t xml:space="preserve">16</w:t>
            </w:r>
          </w:p>
        </w:tc>
        <w:tc>
          <w:tcPr/>
          <w:p>
            <w:pPr>
              <w:pStyle w:val="Compact"/>
              <w:jc w:val="left"/>
            </w:pPr>
            <w:r>
              <w:rPr>
                <w:b/>
                <w:bCs/>
              </w:rPr>
              <w:t xml:space="preserve">Low</w:t>
            </w:r>
          </w:p>
        </w:tc>
        <w:tc>
          <w:tcPr/>
          <w:p>
            <w:pPr>
              <w:pStyle w:val="Compact"/>
              <w:jc w:val="left"/>
            </w:pPr>
            <w:r>
              <w:t xml:space="preserve">Cross-border VAT/tax and USD-currency mechanics</w:t>
            </w:r>
          </w:p>
        </w:tc>
        <w:tc>
          <w:tcPr/>
          <w:p>
            <w:pPr>
              <w:pStyle w:val="Compact"/>
              <w:jc w:val="left"/>
            </w:pPr>
            <w:r>
              <w:t xml:space="preserve">§5.5, §5.6</w:t>
            </w:r>
          </w:p>
        </w:tc>
      </w:tr>
      <w:tr>
        <w:tc>
          <w:tcPr/>
          <w:p>
            <w:pPr>
              <w:pStyle w:val="Compact"/>
              <w:jc w:val="left"/>
            </w:pPr>
            <w:r>
              <w:t xml:space="preserve">17</w:t>
            </w:r>
          </w:p>
        </w:tc>
        <w:tc>
          <w:tcPr/>
          <w:p>
            <w:pPr>
              <w:pStyle w:val="Compact"/>
              <w:jc w:val="left"/>
            </w:pPr>
            <w:r>
              <w:rPr>
                <w:b/>
                <w:bCs/>
              </w:rPr>
              <w:t xml:space="preserve">Low</w:t>
            </w:r>
          </w:p>
        </w:tc>
        <w:tc>
          <w:tcPr/>
          <w:p>
            <w:pPr>
              <w:pStyle w:val="Compact"/>
              <w:jc w:val="left"/>
            </w:pPr>
            <w:r>
              <w:t xml:space="preserve">Late-payment interest (1.5%/month ≈ 18% annualized)</w:t>
            </w:r>
          </w:p>
        </w:tc>
        <w:tc>
          <w:tcPr/>
          <w:p>
            <w:pPr>
              <w:pStyle w:val="Compact"/>
              <w:jc w:val="left"/>
            </w:pPr>
            <w:r>
              <w:t xml:space="preserve">§5.5</w:t>
            </w:r>
          </w:p>
        </w:tc>
      </w:tr>
    </w:tbl>
    <w:bookmarkEnd w:id="24"/>
    <w:bookmarkStart w:id="25" w:name="v.b-critical-risk-flags"/>
    <w:p>
      <w:pPr>
        <w:pStyle w:val="Heading3"/>
      </w:pPr>
      <w:r>
        <w:t xml:space="preserve">V.B Critical Risk Flags</w:t>
      </w:r>
    </w:p>
    <w:p>
      <w:pPr>
        <w:pStyle w:val="FirstParagraph"/>
      </w:pPr>
      <w:r>
        <w:rPr>
          <w:b/>
          <w:bCs/>
        </w:rPr>
        <w:t xml:space="preserve">Risk Flag #1 — Data-Training Restriction and Output Data Ownership.</w:t>
      </w:r>
      <w:r>
        <w:t xml:space="preserve"> </w:t>
      </w:r>
      <w:r>
        <w:rPr>
          <w:i/>
          <w:iCs/>
        </w:rPr>
        <w:t xml:space="preserve">Severity: Critical. Provisions: §4.2, §4.3 (and §3.5).</w:t>
      </w:r>
    </w:p>
    <w:p>
      <w:pPr>
        <w:pStyle w:val="Compact"/>
        <w:numPr>
          <w:ilvl w:val="0"/>
          <w:numId w:val="1003"/>
        </w:numPr>
      </w:pPr>
      <w:r>
        <w:rPr>
          <w:b/>
          <w:bCs/>
        </w:rPr>
        <w:t xml:space="preserve">Issue.</w:t>
      </w:r>
      <w:r>
        <w:t xml:space="preserve"> </w:t>
      </w:r>
      <w:r>
        <w:t xml:space="preserve">§4.3 prohibits Whitmore from using KBI Data — or any data derived therefrom — to train, tune, or improve PredictIQ’s general-purpose ML models, to develop/improve products for third parties, or to create anonymized, aggregated, or de-identified datasets, in each case without KBI’s prior written consent (which KBI may withhold in its sole discretion). Separately, §4.2 defines</w:t>
      </w:r>
      <w:r>
        <w:t xml:space="preserve"> </w:t>
      </w:r>
      <w:r>
        <w:t xml:space="preserve">“</w:t>
      </w:r>
      <w:r>
        <w:t xml:space="preserve">Output Data</w:t>
      </w:r>
      <w:r>
        <w:t xml:space="preserve">”</w:t>
      </w:r>
      <w:r>
        <w:t xml:space="preserve"> </w:t>
      </w:r>
      <w:r>
        <w:t xml:space="preserve">to include</w:t>
      </w:r>
      <w:r>
        <w:t xml:space="preserve"> </w:t>
      </w:r>
      <w:r>
        <w:rPr>
          <w:b/>
          <w:bCs/>
        </w:rPr>
        <w:t xml:space="preserve">model weights, parameters, training artifacts, feature-importance rankings, and model configuration data</w:t>
      </w:r>
      <w:r>
        <w:t xml:space="preserve"> </w:t>
      </w:r>
      <w:r>
        <w:t xml:space="preserve">derived from KBI Data, and provides that</w:t>
      </w:r>
      <w:r>
        <w:t xml:space="preserve"> </w:t>
      </w:r>
      <w:r>
        <w:rPr>
          <w:b/>
          <w:bCs/>
        </w:rPr>
        <w:t xml:space="preserve">all Output Data is KBI’s sole and exclusive property</w:t>
      </w:r>
      <w:r>
        <w:t xml:space="preserve">.</w:t>
      </w:r>
    </w:p>
    <w:p>
      <w:pPr>
        <w:pStyle w:val="Compact"/>
        <w:numPr>
          <w:ilvl w:val="0"/>
          <w:numId w:val="1003"/>
        </w:numPr>
      </w:pPr>
      <w:r>
        <w:rPr>
          <w:b/>
          <w:bCs/>
        </w:rPr>
        <w:t xml:space="preserve">Risk to Whitmore.</w:t>
      </w:r>
      <w:r>
        <w:t xml:space="preserve"> </w:t>
      </w:r>
      <w:r>
        <w:t xml:space="preserve">This is the most serious threat in the Proposed Terms. PredictIQ’s competitive advantage depends on continuous model improvement through exposure to diverse, real-world operational data. KBI’s deployment — 43 facilities across 12 countries and diverse manufacturing environments — would be Whitmore’s largest and most varied data source, with no comparable dataset in the current customer base (per Whitmore’s VP of Engineering). A blanket ban on anonymized/aggregated use would deprive PredictIQ of critical training inputs that improve accuracy for</w:t>
      </w:r>
      <w:r>
        <w:t xml:space="preserve"> </w:t>
      </w:r>
      <w:r>
        <w:rPr>
          <w:b/>
          <w:bCs/>
        </w:rPr>
        <w:t xml:space="preserve">all</w:t>
      </w:r>
      <w:r>
        <w:t xml:space="preserve"> </w:t>
      </w:r>
      <w:r>
        <w:t xml:space="preserve">customers, degrading the product over time. Worse, the interaction of §4.2 and §4.3 suggests that model state (weights, parameters, artifacts) shaped by KBI Data during the ordinary course of providing services could be claimed as KBI’s property — meaning every customer interaction could make PredictIQ</w:t>
      </w:r>
      <w:r>
        <w:t xml:space="preserve"> </w:t>
      </w:r>
      <w:r>
        <w:t xml:space="preserve">“</w:t>
      </w:r>
      <w:r>
        <w:t xml:space="preserve">less ours.</w:t>
      </w:r>
      <w:r>
        <w:t xml:space="preserve">”</w:t>
      </w:r>
      <w:r>
        <w:t xml:space="preserve"> </w:t>
      </w:r>
      <w:r>
        <w:t xml:space="preserve">This is an outlier position; industry-standard SaaS/ML terms treat anonymized, aggregated data use as permitted. Management has stated this is a firm red line.</w:t>
      </w:r>
    </w:p>
    <w:p>
      <w:pPr>
        <w:pStyle w:val="Compact"/>
        <w:numPr>
          <w:ilvl w:val="0"/>
          <w:numId w:val="1003"/>
        </w:numPr>
      </w:pPr>
      <w:r>
        <w:rPr>
          <w:b/>
          <w:bCs/>
        </w:rPr>
        <w:t xml:space="preserve">Internal team view.</w:t>
      </w:r>
      <w:r>
        <w:t xml:space="preserve"> </w:t>
      </w:r>
      <w:r>
        <w:t xml:space="preserve">Mr. Kendrick and Ms. Yin both flagged this as a core threat; Mr. Malhotra stated that anonymized/aggregated data use for model improvement is</w:t>
      </w:r>
      <w:r>
        <w:t xml:space="preserve"> </w:t>
      </w:r>
      <w:r>
        <w:t xml:space="preserve">“</w:t>
      </w:r>
      <w:r>
        <w:t xml:space="preserve">non-negotiable</w:t>
      </w:r>
      <w:r>
        <w:t xml:space="preserve">”</w:t>
      </w:r>
      <w:r>
        <w:t xml:space="preserve"> </w:t>
      </w:r>
      <w:r>
        <w:t xml:space="preserve">and that the Output Data ownership claim</w:t>
      </w:r>
      <w:r>
        <w:t xml:space="preserve"> </w:t>
      </w:r>
      <w:r>
        <w:t xml:space="preserve">“</w:t>
      </w:r>
      <w:r>
        <w:t xml:space="preserve">must be struck or fundamentally restructured.</w:t>
      </w:r>
      <w:r>
        <w:t xml:space="preserve">”</w:t>
      </w:r>
    </w:p>
    <w:p>
      <w:pPr>
        <w:pStyle w:val="FirstParagraph"/>
      </w:pPr>
      <w:r>
        <w:rPr>
          <w:b/>
          <w:bCs/>
        </w:rPr>
        <w:t xml:space="preserve">Risk Flag #2 — Exclusivity / Non-Compete.</w:t>
      </w:r>
      <w:r>
        <w:t xml:space="preserve"> </w:t>
      </w:r>
      <w:r>
        <w:rPr>
          <w:i/>
          <w:iCs/>
        </w:rPr>
        <w:t xml:space="preserve">Severity: Critical. Provision: §12.</w:t>
      </w:r>
    </w:p>
    <w:p>
      <w:pPr>
        <w:pStyle w:val="Compact"/>
        <w:numPr>
          <w:ilvl w:val="0"/>
          <w:numId w:val="1004"/>
        </w:numPr>
      </w:pPr>
      <w:r>
        <w:rPr>
          <w:b/>
          <w:bCs/>
        </w:rPr>
        <w:t xml:space="preserve">Issue.</w:t>
      </w:r>
      <w:r>
        <w:t xml:space="preserve"> </w:t>
      </w:r>
      <w:r>
        <w:t xml:space="preserve">For 3 years from the effective date, Whitmore may not license PredictIQ (or any substantially similar predictive-maintenance technology) to any</w:t>
      </w:r>
      <w:r>
        <w:t xml:space="preserve"> </w:t>
      </w:r>
      <w:r>
        <w:t xml:space="preserve">“</w:t>
      </w:r>
      <w:r>
        <w:t xml:space="preserve">Direct Competitor</w:t>
      </w:r>
      <w:r>
        <w:t xml:space="preserve">”</w:t>
      </w:r>
      <w:r>
        <w:t xml:space="preserve"> </w:t>
      </w:r>
      <w:r>
        <w:t xml:space="preserve">of KBI in European automotive and heavy-machinery manufacturing.</w:t>
      </w:r>
      <w:r>
        <w:t xml:space="preserve"> </w:t>
      </w:r>
      <w:r>
        <w:t xml:space="preserve">“</w:t>
      </w:r>
      <w:r>
        <w:t xml:space="preserve">Direct Competitor</w:t>
      </w:r>
      <w:r>
        <w:t xml:space="preserve">”</w:t>
      </w:r>
      <w:r>
        <w:t xml:space="preserve"> </w:t>
      </w:r>
      <w:r>
        <w:t xml:space="preserve">includes (a) 12 named entities (Exhibit B) and (b)</w:t>
      </w:r>
      <w:r>
        <w:t xml:space="preserve"> </w:t>
      </w:r>
      <w:r>
        <w:rPr>
          <w:b/>
          <w:bCs/>
        </w:rPr>
        <w:t xml:space="preserve">any entity deriving more than 30% of annual revenue</w:t>
      </w:r>
      <w:r>
        <w:t xml:space="preserve"> </w:t>
      </w:r>
      <w:r>
        <w:t xml:space="preserve">from automotive/heavy-machinery/heavy-industrial-equipment manufacture in the EEA, UK, or Switzerland. The obligation survives termination and is enforceable by injunctive relief without a bond or a showing of irreparable harm.</w:t>
      </w:r>
    </w:p>
    <w:p>
      <w:pPr>
        <w:pStyle w:val="Compact"/>
        <w:numPr>
          <w:ilvl w:val="0"/>
          <w:numId w:val="1004"/>
        </w:numPr>
      </w:pPr>
      <w:r>
        <w:rPr>
          <w:b/>
          <w:bCs/>
        </w:rPr>
        <w:t xml:space="preserve">Risk to Whitmore.</w:t>
      </w:r>
      <w:r>
        <w:t xml:space="preserve"> </w:t>
      </w:r>
      <w:r>
        <w:t xml:space="preserve">The open-ended 30% revenue test is the core problem. Management estimates it could capture</w:t>
      </w:r>
      <w:r>
        <w:t xml:space="preserve"> </w:t>
      </w:r>
      <w:r>
        <w:rPr>
          <w:b/>
          <w:bCs/>
        </w:rPr>
        <w:t xml:space="preserve">25–30 additional companies</w:t>
      </w:r>
      <w:r>
        <w:t xml:space="preserve"> </w:t>
      </w:r>
      <w:r>
        <w:t xml:space="preserve">beyond the 12 named, many of which are active European pipeline prospects. Whitmore currently has</w:t>
      </w:r>
      <w:r>
        <w:t xml:space="preserve"> </w:t>
      </w:r>
      <w:r>
        <w:rPr>
          <w:b/>
          <w:bCs/>
        </w:rPr>
        <w:t xml:space="preserve">late-stage discussions with 3 European automotive/heavy-machinery manufacturers</w:t>
      </w:r>
      <w:r>
        <w:t xml:space="preserve"> </w:t>
      </w:r>
      <w:r>
        <w:t xml:space="preserve">representing</w:t>
      </w:r>
      <w:r>
        <w:t xml:space="preserve"> </w:t>
      </w:r>
      <w:r>
        <w:rPr>
          <w:b/>
          <w:bCs/>
        </w:rPr>
        <w:t xml:space="preserve">~$4–5M in potential recurring SaaS revenue</w:t>
      </w:r>
      <w:r>
        <w:t xml:space="preserve"> </w:t>
      </w:r>
      <w:r>
        <w:t xml:space="preserve">— roughly 10% of total annual revenue — that would be foreclosed. Beyond the commercial lockout, the 30% test creates an</w:t>
      </w:r>
      <w:r>
        <w:t xml:space="preserve"> </w:t>
      </w:r>
      <w:r>
        <w:rPr>
          <w:b/>
          <w:bCs/>
        </w:rPr>
        <w:t xml:space="preserve">affirmative, perpetual monitoring obligation</w:t>
      </w:r>
      <w:r>
        <w:t xml:space="preserve">: before engaging any prospective European customer, Whitmore would need to determine whether that entity derives ≥30% of revenue from the covered sectors — a determination that is practically impossible for privately held companies, subsidiaries of diversified conglomerates, or entities that do not publicly disaggregate revenue. This creates perpetual risk of inadvertent breach, with termination-for-cause and (per Ms. Yin) liquidated-damages exposure. The asymmetry is stark: KBI locks in favorable economics for up to</w:t>
      </w:r>
      <w:r>
        <w:t xml:space="preserve"> </w:t>
      </w:r>
      <w:r>
        <w:rPr>
          <w:b/>
          <w:bCs/>
        </w:rPr>
        <w:t xml:space="preserve">5 years</w:t>
      </w:r>
      <w:r>
        <w:t xml:space="preserve"> </w:t>
      </w:r>
      <w:r>
        <w:t xml:space="preserve">via the expansion right (§2, §5.7) while Whitmore is locked</w:t>
      </w:r>
      <w:r>
        <w:t xml:space="preserve"> </w:t>
      </w:r>
      <w:r>
        <w:rPr>
          <w:b/>
          <w:bCs/>
        </w:rPr>
        <w:t xml:space="preserve">out</w:t>
      </w:r>
      <w:r>
        <w:t xml:space="preserve"> </w:t>
      </w:r>
      <w:r>
        <w:t xml:space="preserve">of a major market segment for</w:t>
      </w:r>
      <w:r>
        <w:t xml:space="preserve"> </w:t>
      </w:r>
      <w:r>
        <w:rPr>
          <w:b/>
          <w:bCs/>
        </w:rPr>
        <w:t xml:space="preserve">3 years</w:t>
      </w:r>
      <w:r>
        <w:t xml:space="preserve">.</w:t>
      </w:r>
    </w:p>
    <w:p>
      <w:pPr>
        <w:pStyle w:val="Compact"/>
        <w:numPr>
          <w:ilvl w:val="0"/>
          <w:numId w:val="1004"/>
        </w:numPr>
      </w:pPr>
      <w:r>
        <w:rPr>
          <w:b/>
          <w:bCs/>
        </w:rPr>
        <w:t xml:space="preserve">Internal team view.</w:t>
      </w:r>
      <w:r>
        <w:t xml:space="preserve"> </w:t>
      </w:r>
      <w:r>
        <w:t xml:space="preserve">Mr. Kendrick called this</w:t>
      </w:r>
      <w:r>
        <w:t xml:space="preserve"> </w:t>
      </w:r>
      <w:r>
        <w:t xml:space="preserve">“</w:t>
      </w:r>
      <w:r>
        <w:t xml:space="preserve">the single most dangerous term in the sheet.</w:t>
      </w:r>
      <w:r>
        <w:t xml:space="preserve">”</w:t>
      </w:r>
      <w:r>
        <w:t xml:space="preserve"> </w:t>
      </w:r>
      <w:r>
        <w:t xml:space="preserve">Mr. Malhotra’s position: Whitmore might accept a</w:t>
      </w:r>
      <w:r>
        <w:t xml:space="preserve"> </w:t>
      </w:r>
      <w:r>
        <w:rPr>
          <w:b/>
          <w:bCs/>
        </w:rPr>
        <w:t xml:space="preserve">narrow named-company exclusivity limited to the 12 Exhibit B companies, for 18 months rather than 3 years</w:t>
      </w:r>
      <w:r>
        <w:t xml:space="preserve">, but the open-ended 30% definition</w:t>
      </w:r>
      <w:r>
        <w:t xml:space="preserve"> </w:t>
      </w:r>
      <w:r>
        <w:t xml:space="preserve">“</w:t>
      </w:r>
      <w:r>
        <w:t xml:space="preserve">has to go entirely.</w:t>
      </w:r>
      <w:r>
        <w:t xml:space="preserve">”</w:t>
      </w:r>
    </w:p>
    <w:p>
      <w:pPr>
        <w:pStyle w:val="FirstParagraph"/>
      </w:pPr>
      <w:r>
        <w:rPr>
          <w:b/>
          <w:bCs/>
        </w:rPr>
        <w:t xml:space="preserve">Risk Flag #3 — Most-Favored-Customer (MFC) Side Letter.</w:t>
      </w:r>
      <w:r>
        <w:t xml:space="preserve"> </w:t>
      </w:r>
      <w:r>
        <w:rPr>
          <w:i/>
          <w:iCs/>
        </w:rPr>
        <w:t xml:space="preserve">Severity: Critical. Provision: Side Letter §2.</w:t>
      </w:r>
    </w:p>
    <w:p>
      <w:pPr>
        <w:pStyle w:val="Compact"/>
        <w:numPr>
          <w:ilvl w:val="0"/>
          <w:numId w:val="1005"/>
        </w:numPr>
      </w:pPr>
      <w:r>
        <w:rPr>
          <w:b/>
          <w:bCs/>
        </w:rPr>
        <w:t xml:space="preserve">Issue.</w:t>
      </w:r>
      <w:r>
        <w:t xml:space="preserve"> </w:t>
      </w:r>
      <w:r>
        <w:t xml:space="preserve">The Side Letter requires Whitmore, if it grants any Subsequent Licensee a lower effective per-facility price for PredictIQ (or any successor/derivative/substantially similar technology), to notify KBI within 30 days and</w:t>
      </w:r>
      <w:r>
        <w:t xml:space="preserve"> </w:t>
      </w:r>
      <w:r>
        <w:rPr>
          <w:b/>
          <w:bCs/>
        </w:rPr>
        <w:t xml:space="preserve">retroactively adjust KBI’s pricing</w:t>
      </w:r>
      <w:r>
        <w:t xml:space="preserve"> </w:t>
      </w:r>
      <w:r>
        <w:t xml:space="preserve">to match, effective as of the date the more favorable terms were first offered, with a credit for the overpayment. The MFC applies during the term</w:t>
      </w:r>
      <w:r>
        <w:t xml:space="preserve"> </w:t>
      </w:r>
      <w:r>
        <w:rPr>
          <w:b/>
          <w:bCs/>
        </w:rPr>
        <w:t xml:space="preserve">and thereafter for so long as KBI retains any license rights, including any post-termination wind-down license</w:t>
      </w:r>
      <w:r>
        <w:t xml:space="preserve"> </w:t>
      </w:r>
      <w:r>
        <w:t xml:space="preserve">— which, given the perpetual wind-down license (§13.5), could be</w:t>
      </w:r>
      <w:r>
        <w:t xml:space="preserve"> </w:t>
      </w:r>
      <w:r>
        <w:rPr>
          <w:b/>
          <w:bCs/>
        </w:rPr>
        <w:t xml:space="preserve">indefinite</w:t>
      </w:r>
      <w:r>
        <w:t xml:space="preserve">. It contains</w:t>
      </w:r>
      <w:r>
        <w:t xml:space="preserve"> </w:t>
      </w:r>
      <w:r>
        <w:rPr>
          <w:b/>
          <w:bCs/>
        </w:rPr>
        <w:t xml:space="preserve">no carve-outs</w:t>
      </w:r>
      <w:r>
        <w:t xml:space="preserve"> </w:t>
      </w:r>
      <w:r>
        <w:t xml:space="preserve">(e.g., for different deal structures, volume/strategic discounts, different geographies or product tiers, government/education/pilot pricing, or pre-existing arrangements) and</w:t>
      </w:r>
      <w:r>
        <w:t xml:space="preserve"> </w:t>
      </w:r>
      <w:r>
        <w:rPr>
          <w:b/>
          <w:bCs/>
        </w:rPr>
        <w:t xml:space="preserve">no sunset provision</w:t>
      </w:r>
      <w:r>
        <w:t xml:space="preserve">. KBI also has an annual audit right (cost-shifts to Whitmore if a ≥5% discrepancy is found) and Whitmore must maintain complete licensing records. KBI’s willingness to proceed is</w:t>
      </w:r>
      <w:r>
        <w:t xml:space="preserve"> </w:t>
      </w:r>
      <w:r>
        <w:rPr>
          <w:b/>
          <w:bCs/>
        </w:rPr>
        <w:t xml:space="preserve">expressly conditioned</w:t>
      </w:r>
      <w:r>
        <w:t xml:space="preserve"> </w:t>
      </w:r>
      <w:r>
        <w:t xml:space="preserve">on acceptance of the MFC, and the deal timeline (including the Sept. 15, 2025 Phase 1 start) is contingent on acceptance by June 23, 2025.</w:t>
      </w:r>
    </w:p>
    <w:p>
      <w:pPr>
        <w:pStyle w:val="Compact"/>
        <w:numPr>
          <w:ilvl w:val="0"/>
          <w:numId w:val="1005"/>
        </w:numPr>
      </w:pPr>
      <w:r>
        <w:rPr>
          <w:b/>
          <w:bCs/>
        </w:rPr>
        <w:t xml:space="preserve">Risk to Whitmore.</w:t>
      </w:r>
      <w:r>
        <w:t xml:space="preserve"> </w:t>
      </w:r>
      <w:r>
        <w:t xml:space="preserve">This is, in Ms. Yin’s characterization,</w:t>
      </w:r>
      <w:r>
        <w:t xml:space="preserve"> </w:t>
      </w:r>
      <w:r>
        <w:t xml:space="preserve">“</w:t>
      </w:r>
      <w:r>
        <w:t xml:space="preserve">the most aggressive MFC clause I’ve seen.</w:t>
      </w:r>
      <w:r>
        <w:t xml:space="preserve">”</w:t>
      </w:r>
      <w:r>
        <w:t xml:space="preserve"> </w:t>
      </w:r>
      <w:r>
        <w:t xml:space="preserve">It constrains Whitmore’s pricing flexibility across its</w:t>
      </w:r>
      <w:r>
        <w:t xml:space="preserve"> </w:t>
      </w:r>
      <w:r>
        <w:rPr>
          <w:b/>
          <w:bCs/>
        </w:rPr>
        <w:t xml:space="preserve">entire customer base</w:t>
      </w:r>
      <w:r>
        <w:t xml:space="preserve"> </w:t>
      </w:r>
      <w:r>
        <w:t xml:space="preserve">for the indefinite future, exposes Whitmore to retroactive pricing adjustments and credits, imposes ongoing record-keeping and audit burdens, and — combined with the perpetual wind-down license — may never expire. The</w:t>
      </w:r>
      <w:r>
        <w:t xml:space="preserve"> </w:t>
      </w:r>
      <w:r>
        <w:t xml:space="preserve">“</w:t>
      </w:r>
      <w:r>
        <w:t xml:space="preserve">effective per-facility price</w:t>
      </w:r>
      <w:r>
        <w:t xml:space="preserve">”</w:t>
      </w:r>
      <w:r>
        <w:t xml:space="preserve"> </w:t>
      </w:r>
      <w:r>
        <w:t xml:space="preserve">formula (total annual fees ÷ facility count) is crude and can produce false comparisons across deals of different structure, scope, and service levels, potentially forcing Whitmore to match pricing that is not in fact comparable. Internal counsel has flagged concern that the retroactive mechanism could reach pricing concessions offered to other customers prior to execution.</w:t>
      </w:r>
    </w:p>
    <w:p>
      <w:pPr>
        <w:pStyle w:val="Compact"/>
        <w:numPr>
          <w:ilvl w:val="0"/>
          <w:numId w:val="1005"/>
        </w:numPr>
      </w:pPr>
      <w:r>
        <w:rPr>
          <w:b/>
          <w:bCs/>
        </w:rPr>
        <w:t xml:space="preserve">Internal team view.</w:t>
      </w:r>
      <w:r>
        <w:t xml:space="preserve"> </w:t>
      </w:r>
      <w:r>
        <w:t xml:space="preserve">Ms. Yin flagged the absence of carve-outs, sunset, and the retroactive reach as warranting dedicated negotiation.</w:t>
      </w:r>
    </w:p>
    <w:bookmarkEnd w:id="25"/>
    <w:bookmarkStart w:id="26" w:name="v.c-high-risk-flags"/>
    <w:p>
      <w:pPr>
        <w:pStyle w:val="Heading3"/>
      </w:pPr>
      <w:r>
        <w:t xml:space="preserve">V.C High Risk Flags</w:t>
      </w:r>
    </w:p>
    <w:p>
      <w:pPr>
        <w:pStyle w:val="FirstParagraph"/>
      </w:pPr>
      <w:r>
        <w:rPr>
          <w:b/>
          <w:bCs/>
        </w:rPr>
        <w:t xml:space="preserve">Risk Flag #4 — Uncapped IP Indemnification.</w:t>
      </w:r>
      <w:r>
        <w:t xml:space="preserve"> </w:t>
      </w:r>
      <w:r>
        <w:rPr>
          <w:i/>
          <w:iCs/>
        </w:rPr>
        <w:t xml:space="preserve">Severity: High. Provisions: §9.1, §10.3(A).</w:t>
      </w:r>
    </w:p>
    <w:p>
      <w:pPr>
        <w:pStyle w:val="Compact"/>
        <w:numPr>
          <w:ilvl w:val="0"/>
          <w:numId w:val="1006"/>
        </w:numPr>
      </w:pPr>
      <w:r>
        <w:rPr>
          <w:b/>
          <w:bCs/>
        </w:rPr>
        <w:t xml:space="preserve">Issue.</w:t>
      </w:r>
      <w:r>
        <w:t xml:space="preserve"> </w:t>
      </w:r>
      <w:r>
        <w:t xml:space="preserve">Whitmore’s obligation to defend and indemnify KBI against third-party IP-infringement claims arising from authorized use is</w:t>
      </w:r>
      <w:r>
        <w:t xml:space="preserve"> </w:t>
      </w:r>
      <w:r>
        <w:rPr>
          <w:b/>
          <w:bCs/>
        </w:rPr>
        <w:t xml:space="preserve">expressly carved out of the general liability cap (§10.1) and the consequential-damages exclusion (§10.2)</w:t>
      </w:r>
      <w:r>
        <w:t xml:space="preserve"> </w:t>
      </w:r>
      <w:r>
        <w:t xml:space="preserve">— i.e., it is uncapped. The general cap itself (greater of 2× trailing-12-month fees or $15M) does not apply.</w:t>
      </w:r>
    </w:p>
    <w:p>
      <w:pPr>
        <w:pStyle w:val="Compact"/>
        <w:numPr>
          <w:ilvl w:val="0"/>
          <w:numId w:val="1006"/>
        </w:numPr>
      </w:pPr>
      <w:r>
        <w:rPr>
          <w:b/>
          <w:bCs/>
        </w:rPr>
        <w:t xml:space="preserve">Risk to Whitmore.</w:t>
      </w:r>
      <w:r>
        <w:t xml:space="preserve"> </w:t>
      </w:r>
      <w:r>
        <w:t xml:space="preserve">The ML/AI patent landscape is dense and contested, and PredictIQ sits squarely within it (Whitmore holds 14 issued U.S. patents and 3 pending PCT applications, but numerous third-party patents cover adjacent techniques). An uncapped infringement indemnity is significant open-ended exposure, particularly given the breadth of</w:t>
      </w:r>
      <w:r>
        <w:t xml:space="preserve"> </w:t>
      </w:r>
      <w:r>
        <w:t xml:space="preserve">“</w:t>
      </w:r>
      <w:r>
        <w:t xml:space="preserve">authorized use</w:t>
      </w:r>
      <w:r>
        <w:t xml:space="preserve">”</w:t>
      </w:r>
      <w:r>
        <w:t xml:space="preserve"> </w:t>
      </w:r>
      <w:r>
        <w:t xml:space="preserve">and the joint-ownership/derivative-works provisions that may expand the surface area of Whitmore’s code in KBI’s environment. The IP warranty in §8.4 is qualified</w:t>
      </w:r>
      <w:r>
        <w:t xml:space="preserve"> </w:t>
      </w:r>
      <w:r>
        <w:t xml:space="preserve">“</w:t>
      </w:r>
      <w:r>
        <w:t xml:space="preserve">to Whitmore’s knowledge,</w:t>
      </w:r>
      <w:r>
        <w:t xml:space="preserve">”</w:t>
      </w:r>
      <w:r>
        <w:t xml:space="preserve"> </w:t>
      </w:r>
      <w:r>
        <w:t xml:space="preserve">which provides some protection, but the indemnity itself is uncapped.</w:t>
      </w:r>
    </w:p>
    <w:p>
      <w:pPr>
        <w:pStyle w:val="FirstParagraph"/>
      </w:pPr>
      <w:r>
        <w:rPr>
          <w:b/>
          <w:bCs/>
        </w:rPr>
        <w:t xml:space="preserve">Risk Flag #5 — Perpetual License and Perpetual Wind-Down License Erode Recurring Revenue.</w:t>
      </w:r>
      <w:r>
        <w:t xml:space="preserve"> </w:t>
      </w:r>
      <w:r>
        <w:t xml:space="preserve">*Severity: High. Provisions: §2, §13.5 (with §13.3).**</w:t>
      </w:r>
    </w:p>
    <w:p>
      <w:pPr>
        <w:pStyle w:val="Compact"/>
        <w:numPr>
          <w:ilvl w:val="0"/>
          <w:numId w:val="1007"/>
        </w:numPr>
      </w:pPr>
      <w:r>
        <w:rPr>
          <w:b/>
          <w:bCs/>
        </w:rPr>
        <w:t xml:space="preserve">Issue.</w:t>
      </w:r>
      <w:r>
        <w:t xml:space="preserve"> </w:t>
      </w:r>
      <w:r>
        <w:t xml:space="preserve">The license is perpetual (§2). On termination or expiration for</w:t>
      </w:r>
      <w:r>
        <w:t xml:space="preserve"> </w:t>
      </w:r>
      <w:r>
        <w:rPr>
          <w:b/>
          <w:bCs/>
        </w:rPr>
        <w:t xml:space="preserve">any reason</w:t>
      </w:r>
      <w:r>
        <w:t xml:space="preserve"> </w:t>
      </w:r>
      <w:r>
        <w:t xml:space="preserve">— including KBI’s termination for convenience after the 3rd anniversary (§13.3) — KBI retains a</w:t>
      </w:r>
      <w:r>
        <w:t xml:space="preserve"> </w:t>
      </w:r>
      <w:r>
        <w:rPr>
          <w:b/>
          <w:bCs/>
        </w:rPr>
        <w:t xml:space="preserve">perpetual, non-exclusive, irrevocable wind-down license</w:t>
      </w:r>
      <w:r>
        <w:t xml:space="preserve"> </w:t>
      </w:r>
      <w:r>
        <w:t xml:space="preserve">to continue using the deployed version of PredictIQ, subject only to continued payment of the Annual Maintenance &amp; Support Fee (§13.5). Fees paid are non-refundable (§13.7).</w:t>
      </w:r>
    </w:p>
    <w:p>
      <w:pPr>
        <w:pStyle w:val="Compact"/>
        <w:numPr>
          <w:ilvl w:val="0"/>
          <w:numId w:val="1007"/>
        </w:numPr>
      </w:pPr>
      <w:r>
        <w:rPr>
          <w:b/>
          <w:bCs/>
        </w:rPr>
        <w:t xml:space="preserve">Risk to Whitmore.</w:t>
      </w:r>
      <w:r>
        <w:t xml:space="preserve"> </w:t>
      </w:r>
      <w:r>
        <w:t xml:space="preserve">This structure undermines the recurring-revenue economics that make the deal strategically valuable. After Year 3, KBI could terminate for convenience, stop paying the $2.85M/year SaaS subscription, and continue operating PredictIQ indefinitely for ~$0.8M/year in maintenance — retaining the benefit of the platform while collapsing Whitmore’s recurring revenue by roughly 75%. (Note: Ms. Yin’s initial read characterized the wind-down license as</w:t>
      </w:r>
      <w:r>
        <w:t xml:space="preserve"> </w:t>
      </w:r>
      <w:r>
        <w:t xml:space="preserve">“</w:t>
      </w:r>
      <w:r>
        <w:t xml:space="preserve">24-month … at reduced fees</w:t>
      </w:r>
      <w:r>
        <w:t xml:space="preserve">”</w:t>
      </w:r>
      <w:r>
        <w:t xml:space="preserve">; the Term Sheet in fact provides a</w:t>
      </w:r>
      <w:r>
        <w:t xml:space="preserve"> </w:t>
      </w:r>
      <w:r>
        <w:rPr>
          <w:b/>
          <w:bCs/>
        </w:rPr>
        <w:t xml:space="preserve">perpetual</w:t>
      </w:r>
      <w:r>
        <w:t xml:space="preserve"> </w:t>
      </w:r>
      <w:r>
        <w:t xml:space="preserve">wind-down license at the</w:t>
      </w:r>
      <w:r>
        <w:t xml:space="preserve"> </w:t>
      </w:r>
      <w:r>
        <w:rPr>
          <w:b/>
          <w:bCs/>
        </w:rPr>
        <w:t xml:space="preserve">full</w:t>
      </w:r>
      <w:r>
        <w:t xml:space="preserve"> </w:t>
      </w:r>
      <w:r>
        <w:t xml:space="preserve">maintenance fee, which is more adverse than the internal characterization.) The</w:t>
      </w:r>
      <w:r>
        <w:t xml:space="preserve"> </w:t>
      </w:r>
      <w:r>
        <w:t xml:space="preserve">“</w:t>
      </w:r>
      <w:r>
        <w:t xml:space="preserve">wind-down</w:t>
      </w:r>
      <w:r>
        <w:t xml:space="preserve">”</w:t>
      </w:r>
      <w:r>
        <w:t xml:space="preserve"> </w:t>
      </w:r>
      <w:r>
        <w:t xml:space="preserve">label is a misnomer — there is no wind-down period; it is a perpetual continuation right.</w:t>
      </w:r>
    </w:p>
    <w:p>
      <w:pPr>
        <w:pStyle w:val="FirstParagraph"/>
      </w:pPr>
      <w:r>
        <w:rPr>
          <w:b/>
          <w:bCs/>
        </w:rPr>
        <w:t xml:space="preserve">Risk Flag #6 — IP-Ownership Cluster (Derivative Works, Feedback, KBI-Inspired Improvements, Output Data).</w:t>
      </w:r>
      <w:r>
        <w:t xml:space="preserve"> </w:t>
      </w:r>
      <w:r>
        <w:rPr>
          <w:i/>
          <w:iCs/>
        </w:rPr>
        <w:t xml:space="preserve">Severity: High. Provisions: §2/§3.3, §3.4/§3.5, §4.2.</w:t>
      </w:r>
    </w:p>
    <w:p>
      <w:pPr>
        <w:pStyle w:val="Compact"/>
        <w:numPr>
          <w:ilvl w:val="0"/>
          <w:numId w:val="1008"/>
        </w:numPr>
      </w:pPr>
      <w:r>
        <w:rPr>
          <w:b/>
          <w:bCs/>
        </w:rPr>
        <w:t xml:space="preserve">Issue.</w:t>
      </w:r>
      <w:r>
        <w:t xml:space="preserve"> </w:t>
      </w:r>
      <w:r>
        <w:t xml:space="preserve">Four interlocking provisions create internal inconsistency and IP-control risk: (a)</w:t>
      </w:r>
      <w:r>
        <w:t xml:space="preserve"> </w:t>
      </w:r>
      <w:r>
        <w:rPr>
          <w:b/>
          <w:bCs/>
        </w:rPr>
        <w:t xml:space="preserve">joint ownership</w:t>
      </w:r>
      <w:r>
        <w:t xml:space="preserve"> </w:t>
      </w:r>
      <w:r>
        <w:t xml:space="preserve">of API-layer derivative works, with each party free to use, modify, sublicense, and exploit without consent or accounting (§2, §3.3); (b)</w:t>
      </w:r>
      <w:r>
        <w:t xml:space="preserve"> </w:t>
      </w:r>
      <w:r>
        <w:rPr>
          <w:b/>
          <w:bCs/>
        </w:rPr>
        <w:t xml:space="preserve">feedback assigned to Whitmore</w:t>
      </w:r>
      <w:r>
        <w:t xml:space="preserve"> </w:t>
      </w:r>
      <w:r>
        <w:t xml:space="preserve">(§3.4); (c)</w:t>
      </w:r>
      <w:r>
        <w:t xml:space="preserve"> </w:t>
      </w:r>
      <w:r>
        <w:rPr>
          <w:b/>
          <w:bCs/>
        </w:rPr>
        <w:t xml:space="preserve">KBI-Inspired Improvements</w:t>
      </w:r>
      <w:r>
        <w:t xml:space="preserve"> </w:t>
      </w:r>
      <w:r>
        <w:t xml:space="preserve">— KBI receives a perpetual, irrevocable, royalty-free license to any Whitmore improvement</w:t>
      </w:r>
      <w:r>
        <w:t xml:space="preserve"> </w:t>
      </w:r>
      <w:r>
        <w:t xml:space="preserve">“</w:t>
      </w:r>
      <w:r>
        <w:t xml:space="preserve">derived from or inspired by</w:t>
      </w:r>
      <w:r>
        <w:t xml:space="preserve">”</w:t>
      </w:r>
      <w:r>
        <w:t xml:space="preserve"> </w:t>
      </w:r>
      <w:r>
        <w:t xml:space="preserve">KBI data, processes, or use, including improvements developed in response to KBI feedback (§3.5); and (d)</w:t>
      </w:r>
      <w:r>
        <w:t xml:space="preserve"> </w:t>
      </w:r>
      <w:r>
        <w:rPr>
          <w:b/>
          <w:bCs/>
        </w:rPr>
        <w:t xml:space="preserve">Output Data</w:t>
      </w:r>
      <w:r>
        <w:t xml:space="preserve"> </w:t>
      </w:r>
      <w:r>
        <w:t xml:space="preserve">(including model weights/parameters) owned by KBI (§4.2).</w:t>
      </w:r>
    </w:p>
    <w:p>
      <w:pPr>
        <w:pStyle w:val="Compact"/>
        <w:numPr>
          <w:ilvl w:val="0"/>
          <w:numId w:val="1008"/>
        </w:numPr>
      </w:pPr>
      <w:r>
        <w:rPr>
          <w:b/>
          <w:bCs/>
        </w:rPr>
        <w:t xml:space="preserve">Risk to Whitmore.</w:t>
      </w:r>
      <w:r>
        <w:t xml:space="preserve"> </w:t>
      </w:r>
      <w:r>
        <w:t xml:space="preserve">(a) Joint ownership of derivatives with unrestricted exploitation rights is unusual and risky: KBI could exploit (and potentially sublicense) integration derivatives that incorporate Whitmore’s API/code without restriction. (b)/(c) §3.4 and §3.5 are in tension — §3.4 makes feedback Whitmore’s property, but §3.5 grants KBI a broad perpetual license to improvements</w:t>
      </w:r>
      <w:r>
        <w:t xml:space="preserve"> </w:t>
      </w:r>
      <w:r>
        <w:t xml:space="preserve">“</w:t>
      </w:r>
      <w:r>
        <w:t xml:space="preserve">derived from or inspired by</w:t>
      </w:r>
      <w:r>
        <w:t xml:space="preserve">”</w:t>
      </w:r>
      <w:r>
        <w:t xml:space="preserve"> </w:t>
      </w:r>
      <w:r>
        <w:t xml:space="preserve">KBI data</w:t>
      </w:r>
      <w:r>
        <w:t xml:space="preserve"> </w:t>
      </w:r>
      <w:r>
        <w:t xml:space="preserve">“</w:t>
      </w:r>
      <w:r>
        <w:t xml:space="preserve">regardless of whether … developed in response to Feedback,</w:t>
      </w:r>
      <w:r>
        <w:t xml:space="preserve">”</w:t>
      </w:r>
      <w:r>
        <w:t xml:space="preserve"> </w:t>
      </w:r>
      <w:r>
        <w:t xml:space="preserve">which can be read to give KBI rights to improvements that incorporate Whitmore’s own IP. The phrase</w:t>
      </w:r>
      <w:r>
        <w:t xml:space="preserve"> </w:t>
      </w:r>
      <w:r>
        <w:t xml:space="preserve">“</w:t>
      </w:r>
      <w:r>
        <w:t xml:space="preserve">inspired by</w:t>
      </w:r>
      <w:r>
        <w:t xml:space="preserve">”</w:t>
      </w:r>
      <w:r>
        <w:t xml:space="preserve"> </w:t>
      </w:r>
      <w:r>
        <w:t xml:space="preserve">is vague and overbroad. (d) is addressed under Risk Flag #1. Taken together, these provisions could erode Whitmore’s ownership of and control over its own platform and improvements.</w:t>
      </w:r>
    </w:p>
    <w:p>
      <w:pPr>
        <w:pStyle w:val="FirstParagraph"/>
      </w:pPr>
      <w:r>
        <w:rPr>
          <w:b/>
          <w:bCs/>
        </w:rPr>
        <w:t xml:space="preserve">Risk Flag #7 — Performance Warranty with Financial Penalties.</w:t>
      </w:r>
      <w:r>
        <w:t xml:space="preserve"> </w:t>
      </w:r>
      <w:r>
        <w:t xml:space="preserve">*Severity: High. Provisions: §8.2, §8.3 (with §13.4).**</w:t>
      </w:r>
    </w:p>
    <w:p>
      <w:pPr>
        <w:pStyle w:val="Compact"/>
        <w:numPr>
          <w:ilvl w:val="0"/>
          <w:numId w:val="1009"/>
        </w:numPr>
      </w:pPr>
      <w:r>
        <w:rPr>
          <w:b/>
          <w:bCs/>
        </w:rPr>
        <w:t xml:space="preserve">Issue.</w:t>
      </w:r>
      <w:r>
        <w:t xml:space="preserve"> </w:t>
      </w:r>
      <w:r>
        <w:t xml:space="preserve">Whitmore warrants ≥92% prediction accuracy on a rolling 90-day basis across all deployed facilities, measured as the percentage of equipment-failure events correctly predicted ≥48 hours in advance against</w:t>
      </w:r>
      <w:r>
        <w:t xml:space="preserve"> </w:t>
      </w:r>
      <w:r>
        <w:rPr>
          <w:b/>
          <w:bCs/>
        </w:rPr>
        <w:t xml:space="preserve">KBI’s maintenance logs</w:t>
      </w:r>
      <w:r>
        <w:t xml:space="preserve">. Remedies: a credit of 5% of the quarterly SaaS fee ($35,625) per percentage point below 92%; and a KBI termination-for-cause right if accuracy falls below 85% for two consecutive quarters (§13.4).</w:t>
      </w:r>
    </w:p>
    <w:p>
      <w:pPr>
        <w:pStyle w:val="Compact"/>
        <w:numPr>
          <w:ilvl w:val="0"/>
          <w:numId w:val="1009"/>
        </w:numPr>
      </w:pPr>
      <w:r>
        <w:rPr>
          <w:b/>
          <w:bCs/>
        </w:rPr>
        <w:t xml:space="preserve">Risk to Whitmore.</w:t>
      </w:r>
      <w:r>
        <w:t xml:space="preserve"> </w:t>
      </w:r>
      <w:r>
        <w:t xml:space="preserve">Prediction accuracy in predictive maintenance is highly sensitive to data quality, sensor calibration, environmental variables, and the completeness/accuracy of the ground-truth maintenance logs — most of which are within KBI’s, not Whitmore’s, control. Measuring accuracy against KBI’s maintenance logs gives KBI effective control over the measurement methodology and the denominator (recorded failure events). A 92% hard threshold with financial credits and a termination right creates exposure to credits and termination driven by factors outside Whitmore’s control. The 24-month conformance warranty (§8.1) compounds the performance commitments.</w:t>
      </w:r>
    </w:p>
    <w:p>
      <w:pPr>
        <w:pStyle w:val="FirstParagraph"/>
      </w:pPr>
      <w:r>
        <w:rPr>
          <w:b/>
          <w:bCs/>
        </w:rPr>
        <w:t xml:space="preserve">Risk Flag #8 — Source-Code Escrow Release Triggers and Post-Release License.</w:t>
      </w:r>
      <w:r>
        <w:t xml:space="preserve"> </w:t>
      </w:r>
      <w:r>
        <w:rPr>
          <w:i/>
          <w:iCs/>
        </w:rPr>
        <w:t xml:space="preserve">Severity: High. Provision: §11.</w:t>
      </w:r>
    </w:p>
    <w:p>
      <w:pPr>
        <w:pStyle w:val="Compact"/>
        <w:numPr>
          <w:ilvl w:val="0"/>
          <w:numId w:val="1010"/>
        </w:numPr>
      </w:pPr>
      <w:r>
        <w:rPr>
          <w:b/>
          <w:bCs/>
        </w:rPr>
        <w:t xml:space="preserve">Issue.</w:t>
      </w:r>
      <w:r>
        <w:t xml:space="preserve"> </w:t>
      </w:r>
      <w:r>
        <w:t xml:space="preserve">Whitmore must deposit complete source code, build tools, and documentation (updated annually and on each major release) with Meridian Escrow Services LLC. Release triggers include (a) insolvency/bankruptcy, (b)</w:t>
      </w:r>
      <w:r>
        <w:t xml:space="preserve"> </w:t>
      </w:r>
      <w:r>
        <w:rPr>
          <w:b/>
          <w:bCs/>
        </w:rPr>
        <w:t xml:space="preserve">material breach uncured for 60 days</w:t>
      </w:r>
      <w:r>
        <w:t xml:space="preserve">, (c) cessation of business, and (d) failure to provide support for 90 consecutive days. On release, KBI receives a</w:t>
      </w:r>
      <w:r>
        <w:t xml:space="preserve"> </w:t>
      </w:r>
      <w:r>
        <w:rPr>
          <w:b/>
          <w:bCs/>
        </w:rPr>
        <w:t xml:space="preserve">perpetual, irrevocable, fully paid-up, royalty-free license to use, modify, compile, and deploy</w:t>
      </w:r>
      <w:r>
        <w:t xml:space="preserve"> </w:t>
      </w:r>
      <w:r>
        <w:t xml:space="preserve">the source code for its internal manufacturing operations (§11.3).</w:t>
      </w:r>
    </w:p>
    <w:p>
      <w:pPr>
        <w:pStyle w:val="Compact"/>
        <w:numPr>
          <w:ilvl w:val="0"/>
          <w:numId w:val="1010"/>
        </w:numPr>
      </w:pPr>
      <w:r>
        <w:rPr>
          <w:b/>
          <w:bCs/>
        </w:rPr>
        <w:t xml:space="preserve">Risk to Whitmore.</w:t>
      </w:r>
      <w:r>
        <w:t xml:space="preserve"> </w:t>
      </w:r>
      <w:r>
        <w:t xml:space="preserve">The deposit scope (complete source code, all modules/libraries/dependencies, build tools, documentation) is Whitmore’s crown-jewel IP. The material-breach release trigger (60 days uncured) is aggressive: it can release source code for a breach that may be curable or that may not warrant forfeiture of Whitmore’s core IP, and it operates separately from (and faster than) the 90-day termination-for-cause cure in §13.2. The post-release license is broad — a perpetual, royalty-free right to use,</w:t>
      </w:r>
      <w:r>
        <w:t xml:space="preserve"> </w:t>
      </w:r>
      <w:r>
        <w:rPr>
          <w:b/>
          <w:bCs/>
        </w:rPr>
        <w:t xml:space="preserve">modify</w:t>
      </w:r>
      <w:r>
        <w:t xml:space="preserve">, compile, and deploy — creating a path by which KBI could obtain a perpetual, royalty-free, modifiable source license to PredictIQ.</w:t>
      </w:r>
    </w:p>
    <w:p>
      <w:pPr>
        <w:pStyle w:val="FirstParagraph"/>
      </w:pPr>
      <w:r>
        <w:rPr>
          <w:b/>
          <w:bCs/>
        </w:rPr>
        <w:t xml:space="preserve">Risk Flag #9 — German Governing Law.</w:t>
      </w:r>
      <w:r>
        <w:t xml:space="preserve"> </w:t>
      </w:r>
      <w:r>
        <w:rPr>
          <w:i/>
          <w:iCs/>
        </w:rPr>
        <w:t xml:space="preserve">Severity: High. Provision: §14.1 (with §14.2).</w:t>
      </w:r>
    </w:p>
    <w:p>
      <w:pPr>
        <w:pStyle w:val="Compact"/>
        <w:numPr>
          <w:ilvl w:val="0"/>
          <w:numId w:val="1011"/>
        </w:numPr>
      </w:pPr>
      <w:r>
        <w:rPr>
          <w:b/>
          <w:bCs/>
        </w:rPr>
        <w:t xml:space="preserve">Issue.</w:t>
      </w:r>
      <w:r>
        <w:t xml:space="preserve"> </w:t>
      </w:r>
      <w:r>
        <w:t xml:space="preserve">The definitive agreement would be governed by German substantive law (without conflicts-of-law principles). Disputes are resolved by ICC arbitration (3 arbitrators, seat Zurich, English language).</w:t>
      </w:r>
    </w:p>
    <w:p>
      <w:pPr>
        <w:pStyle w:val="Compact"/>
        <w:numPr>
          <w:ilvl w:val="0"/>
          <w:numId w:val="1011"/>
        </w:numPr>
      </w:pPr>
      <w:r>
        <w:rPr>
          <w:b/>
          <w:bCs/>
        </w:rPr>
        <w:t xml:space="preserve">Risk to Whitmore.</w:t>
      </w:r>
      <w:r>
        <w:t xml:space="preserve"> </w:t>
      </w:r>
      <w:r>
        <w:t xml:space="preserve">German law for a U.S. licensor raises concerns regarding (a) the enforceability of the uncapped IP indemnification (§9.1) and the liability cap (§10.1) under German law principles (e.g., limitations on liability for gross negligence and certain direct damages); (b) the treatment of the performance-accuracy credits and termination penalties (which may be analyzed as</w:t>
      </w:r>
      <w:r>
        <w:t xml:space="preserve"> </w:t>
      </w:r>
      <w:r>
        <w:rPr>
          <w:i/>
          <w:iCs/>
        </w:rPr>
        <w:t xml:space="preserve">Vertragsstrafe</w:t>
      </w:r>
      <w:r>
        <w:t xml:space="preserve"> </w:t>
      </w:r>
      <w:r>
        <w:t xml:space="preserve">or penalty clauses); and (c) general differences from U.S. common law that affect Whitmore’s risk allocation. The arbitral seat (Zurich) and English-language proceedings are reasonable; the governing-law selection is the principal concern. Management has requested specialist advice and has expressed interest in Washington state law or a neutral jurisdiction (e.g., England or Switzerland) as governing law.</w:t>
      </w:r>
    </w:p>
    <w:bookmarkEnd w:id="26"/>
    <w:bookmarkStart w:id="27" w:name="v.d-medium-risk-flags"/>
    <w:p>
      <w:pPr>
        <w:pStyle w:val="Heading3"/>
      </w:pPr>
      <w:r>
        <w:t xml:space="preserve">V.D Medium Risk Flags</w:t>
      </w:r>
    </w:p>
    <w:p>
      <w:pPr>
        <w:pStyle w:val="FirstParagraph"/>
      </w:pPr>
      <w:r>
        <w:rPr>
          <w:b/>
          <w:bCs/>
        </w:rPr>
        <w:t xml:space="preserve">Risk Flag #10 — Implementation Cash-Flow Mismatch.</w:t>
      </w:r>
      <w:r>
        <w:t xml:space="preserve"> </w:t>
      </w:r>
      <w:r>
        <w:rPr>
          <w:i/>
          <w:iCs/>
        </w:rPr>
        <w:t xml:space="preserve">Severity: Medium. Provisions: §5.1, §5.3.</w:t>
      </w:r>
    </w:p>
    <w:p>
      <w:pPr>
        <w:pStyle w:val="Compact"/>
        <w:numPr>
          <w:ilvl w:val="0"/>
          <w:numId w:val="1012"/>
        </w:numPr>
      </w:pPr>
      <w:r>
        <w:rPr>
          <w:b/>
          <w:bCs/>
        </w:rPr>
        <w:t xml:space="preserve">Issue.</w:t>
      </w:r>
      <w:r>
        <w:t xml:space="preserve"> </w:t>
      </w:r>
      <w:r>
        <w:t xml:space="preserve">The 30/40/30 license-fee split and the linear monthly implementation fees produce a first-6-month cash shortfall. Management’s analysis: first-6-month inflows of ~$1.84M (signing $1.26M + 6 × $97,222 implementation ≈ $0.58M) against estimated first-6-month implementation costs of $2.5–3.0M (8–12 engineers/consultants, international travel, on-site integration across 12 countries) — a</w:t>
      </w:r>
      <w:r>
        <w:t xml:space="preserve"> </w:t>
      </w:r>
      <w:r>
        <w:rPr>
          <w:b/>
          <w:bCs/>
        </w:rPr>
        <w:t xml:space="preserve">~$0.7M–$1.2M shortfall</w:t>
      </w:r>
      <w:r>
        <w:t xml:space="preserve"> </w:t>
      </w:r>
      <w:r>
        <w:t xml:space="preserve">before the Phase 1 milestone payment ($1.68M) at month 6. The linear implementation fee versus milestone-based delivery also raises ASC 606 revenue-recognition questions for Whitmore’s auditors (Lakeshore Accounting Group LLP).</w:t>
      </w:r>
    </w:p>
    <w:p>
      <w:pPr>
        <w:pStyle w:val="Compact"/>
        <w:numPr>
          <w:ilvl w:val="0"/>
          <w:numId w:val="1012"/>
        </w:numPr>
      </w:pPr>
      <w:r>
        <w:rPr>
          <w:b/>
          <w:bCs/>
        </w:rPr>
        <w:t xml:space="preserve">Risk to Whitmore.</w:t>
      </w:r>
      <w:r>
        <w:t xml:space="preserve"> </w:t>
      </w:r>
      <w:r>
        <w:t xml:space="preserve">Whitmore would be funding a customer’s implementation out of operating reserves. Management confirms Whitmore can absorb the mismatch but prefers a contract structure that avoids it.</w:t>
      </w:r>
    </w:p>
    <w:p>
      <w:pPr>
        <w:pStyle w:val="FirstParagraph"/>
      </w:pPr>
      <w:r>
        <w:rPr>
          <w:b/>
          <w:bCs/>
        </w:rPr>
        <w:t xml:space="preserve">Risk Flag #11 — Termination and Assignment Asymmetries.</w:t>
      </w:r>
      <w:r>
        <w:t xml:space="preserve"> </w:t>
      </w:r>
      <w:r>
        <w:rPr>
          <w:i/>
          <w:iCs/>
        </w:rPr>
        <w:t xml:space="preserve">Severity: Medium. Provisions: §13.3, §16.6.</w:t>
      </w:r>
    </w:p>
    <w:p>
      <w:pPr>
        <w:pStyle w:val="Compact"/>
        <w:numPr>
          <w:ilvl w:val="0"/>
          <w:numId w:val="1013"/>
        </w:numPr>
      </w:pPr>
      <w:r>
        <w:rPr>
          <w:b/>
          <w:bCs/>
        </w:rPr>
        <w:t xml:space="preserve">Issue.</w:t>
      </w:r>
      <w:r>
        <w:t xml:space="preserve"> </w:t>
      </w:r>
      <w:r>
        <w:t xml:space="preserve">Only KBI has a termination-for-convenience right (12 months’ notice, no earlier than the 3rd anniversary) (§13.3); Whitmore has no equivalent exit from a perpetual license. On assignment, KBI may assign freely to affiliates or in connection with a merger, acquisition, or sale of substantially all assets, while Whitmore may not assign without consent (§16.6).</w:t>
      </w:r>
    </w:p>
    <w:p>
      <w:pPr>
        <w:pStyle w:val="Compact"/>
        <w:numPr>
          <w:ilvl w:val="0"/>
          <w:numId w:val="1013"/>
        </w:numPr>
      </w:pPr>
      <w:r>
        <w:rPr>
          <w:b/>
          <w:bCs/>
        </w:rPr>
        <w:t xml:space="preserve">Risk to Whitmore.</w:t>
      </w:r>
      <w:r>
        <w:t xml:space="preserve"> </w:t>
      </w:r>
      <w:r>
        <w:t xml:space="preserve">Whitmore is locked into a perpetual license with no convenience exit, while KBI — the larger, more acquisitive party — can walk (and keep a perpetual wind-down license) and can freely assign (including to a competitor-successor in an M&amp;A scenario). The asymmetry is one-sided.</w:t>
      </w:r>
    </w:p>
    <w:p>
      <w:pPr>
        <w:pStyle w:val="FirstParagraph"/>
      </w:pPr>
      <w:r>
        <w:rPr>
          <w:b/>
          <w:bCs/>
        </w:rPr>
        <w:t xml:space="preserve">Risk Flag #12 — Expansion Pricing Lock-in and MFC Interaction.</w:t>
      </w:r>
      <w:r>
        <w:t xml:space="preserve"> </w:t>
      </w:r>
      <w:r>
        <w:rPr>
          <w:i/>
          <w:iCs/>
        </w:rPr>
        <w:t xml:space="preserve">Severity: Medium. Provisions: §5.7, Side Letter §2.</w:t>
      </w:r>
    </w:p>
    <w:p>
      <w:pPr>
        <w:pStyle w:val="Compact"/>
        <w:numPr>
          <w:ilvl w:val="0"/>
          <w:numId w:val="1014"/>
        </w:numPr>
      </w:pPr>
      <w:r>
        <w:rPr>
          <w:b/>
          <w:bCs/>
        </w:rPr>
        <w:t xml:space="preserve">Issue.</w:t>
      </w:r>
      <w:r>
        <w:t xml:space="preserve"> </w:t>
      </w:r>
      <w:r>
        <w:t xml:space="preserve">Newly acquired KBI facilities get PredictIQ at the same per-facility terms for 5 years, with no additional license fee (§5.7). Combined with the MFC, this caps Whitmore’s pricing upside: any pricing flexibility Whitmore retains elsewhere is constrained by the MFC, and KBI’s expansion pricing is locked at the original per-facility rate.</w:t>
      </w:r>
    </w:p>
    <w:p>
      <w:pPr>
        <w:pStyle w:val="Compact"/>
        <w:numPr>
          <w:ilvl w:val="0"/>
          <w:numId w:val="1014"/>
        </w:numPr>
      </w:pPr>
      <w:r>
        <w:rPr>
          <w:b/>
          <w:bCs/>
        </w:rPr>
        <w:t xml:space="preserve">Risk to Whitmore.</w:t>
      </w:r>
      <w:r>
        <w:t xml:space="preserve"> </w:t>
      </w:r>
      <w:r>
        <w:t xml:space="preserve">Limits pricing leverage on KBI’s growth and, via MFC, on the broader customer base. The interaction should be modeled.</w:t>
      </w:r>
    </w:p>
    <w:p>
      <w:pPr>
        <w:pStyle w:val="FirstParagraph"/>
      </w:pPr>
      <w:r>
        <w:rPr>
          <w:b/>
          <w:bCs/>
        </w:rPr>
        <w:t xml:space="preserve">Risk Flag #13 — 60-Day No-Shop.</w:t>
      </w:r>
      <w:r>
        <w:t xml:space="preserve"> </w:t>
      </w:r>
      <w:r>
        <w:rPr>
          <w:i/>
          <w:iCs/>
        </w:rPr>
        <w:t xml:space="preserve">Severity: Medium. Provision: §16.2.</w:t>
      </w:r>
    </w:p>
    <w:p>
      <w:pPr>
        <w:pStyle w:val="Compact"/>
        <w:numPr>
          <w:ilvl w:val="0"/>
          <w:numId w:val="1015"/>
        </w:numPr>
      </w:pPr>
      <w:r>
        <w:rPr>
          <w:b/>
          <w:bCs/>
        </w:rPr>
        <w:t xml:space="preserve">Issue.</w:t>
      </w:r>
      <w:r>
        <w:t xml:space="preserve"> </w:t>
      </w:r>
      <w:r>
        <w:t xml:space="preserve">For 60 days (through July 28, 2025), Whitmore may not solicit, entertain, or accept third-party proposals for a comparable European industrial licensing transaction. This is binding (§16.1).</w:t>
      </w:r>
    </w:p>
    <w:p>
      <w:pPr>
        <w:pStyle w:val="Compact"/>
        <w:numPr>
          <w:ilvl w:val="0"/>
          <w:numId w:val="1015"/>
        </w:numPr>
      </w:pPr>
      <w:r>
        <w:rPr>
          <w:b/>
          <w:bCs/>
        </w:rPr>
        <w:t xml:space="preserve">Risk to Whitmore.</w:t>
      </w:r>
      <w:r>
        <w:t xml:space="preserve"> </w:t>
      </w:r>
      <w:r>
        <w:t xml:space="preserve">A near-term restriction on European pipeline activity at a moment when Whitmore has active late-stage European prospects. The 60-day window is short and likely acceptable, but it overlaps with the broader exclusivity concern (Risk Flag #2) and should be scoped tightly to</w:t>
      </w:r>
      <w:r>
        <w:t xml:space="preserve"> </w:t>
      </w:r>
      <w:r>
        <w:t xml:space="preserve">“</w:t>
      </w:r>
      <w:r>
        <w:t xml:space="preserve">comparable</w:t>
      </w:r>
      <w:r>
        <w:t xml:space="preserve">”</w:t>
      </w:r>
      <w:r>
        <w:t xml:space="preserve"> </w:t>
      </w:r>
      <w:r>
        <w:t xml:space="preserve">transactions to avoid chilling the active pipeline.</w:t>
      </w:r>
    </w:p>
    <w:bookmarkEnd w:id="27"/>
    <w:bookmarkStart w:id="28" w:name="v.e-low-risk-flags"/>
    <w:p>
      <w:pPr>
        <w:pStyle w:val="Heading3"/>
      </w:pPr>
      <w:r>
        <w:t xml:space="preserve">V.E Low Risk Flags</w:t>
      </w:r>
    </w:p>
    <w:p>
      <w:pPr>
        <w:pStyle w:val="FirstParagraph"/>
      </w:pPr>
      <w:r>
        <w:rPr>
          <w:b/>
          <w:bCs/>
        </w:rPr>
        <w:t xml:space="preserve">Risk Flag #14 — SLA / Performance-Warranty Inconsistency.</w:t>
      </w:r>
      <w:r>
        <w:t xml:space="preserve"> </w:t>
      </w:r>
      <w:r>
        <w:t xml:space="preserve">*Severity: Low. Provisions: §7.2 vs §8.2.**</w:t>
      </w:r>
    </w:p>
    <w:p>
      <w:pPr>
        <w:pStyle w:val="Compact"/>
        <w:numPr>
          <w:ilvl w:val="0"/>
          <w:numId w:val="1016"/>
        </w:numPr>
      </w:pPr>
      <w:r>
        <w:rPr>
          <w:b/>
          <w:bCs/>
        </w:rPr>
        <w:t xml:space="preserve">Issue.</w:t>
      </w:r>
      <w:r>
        <w:t xml:space="preserve"> </w:t>
      </w:r>
      <w:r>
        <w:t xml:space="preserve">Support SLAs are framed as</w:t>
      </w:r>
      <w:r>
        <w:t xml:space="preserve"> </w:t>
      </w:r>
      <w:r>
        <w:t xml:space="preserve">“</w:t>
      </w:r>
      <w:r>
        <w:t xml:space="preserve">commercially reasonable efforts</w:t>
      </w:r>
      <w:r>
        <w:t xml:space="preserve">”</w:t>
      </w:r>
      <w:r>
        <w:t xml:space="preserve"> </w:t>
      </w:r>
      <w:r>
        <w:t xml:space="preserve">targets (§7.2) — favorable to Whitmore — while the 92% prediction-accuracy warranty is a hard commitment with financial penalties (§8.2, §8.3). The inconsistency is favorable on the support side but underscores the asymmetry of the performance warranty.</w:t>
      </w:r>
    </w:p>
    <w:p>
      <w:pPr>
        <w:pStyle w:val="Compact"/>
        <w:numPr>
          <w:ilvl w:val="0"/>
          <w:numId w:val="1016"/>
        </w:numPr>
      </w:pPr>
      <w:r>
        <w:rPr>
          <w:b/>
          <w:bCs/>
        </w:rPr>
        <w:t xml:space="preserve">Risk to Whitmore.</w:t>
      </w:r>
      <w:r>
        <w:t xml:space="preserve"> </w:t>
      </w:r>
      <w:r>
        <w:t xml:space="preserve">Low; primarily a drafting-consistency point. Retain the</w:t>
      </w:r>
      <w:r>
        <w:t xml:space="preserve"> </w:t>
      </w:r>
      <w:r>
        <w:t xml:space="preserve">“</w:t>
      </w:r>
      <w:r>
        <w:t xml:space="preserve">commercially reasonable efforts</w:t>
      </w:r>
      <w:r>
        <w:t xml:space="preserve">”</w:t>
      </w:r>
      <w:r>
        <w:t xml:space="preserve"> </w:t>
      </w:r>
      <w:r>
        <w:t xml:space="preserve">framing for SLAs.</w:t>
      </w:r>
    </w:p>
    <w:p>
      <w:pPr>
        <w:pStyle w:val="FirstParagraph"/>
      </w:pPr>
      <w:r>
        <w:rPr>
          <w:b/>
          <w:bCs/>
        </w:rPr>
        <w:t xml:space="preserve">Risk Flag #15 — Authorized-User / Sublicensing Breadth.</w:t>
      </w:r>
      <w:r>
        <w:t xml:space="preserve"> </w:t>
      </w:r>
      <w:r>
        <w:t xml:space="preserve">*Severity: Low. Provision: §2.**</w:t>
      </w:r>
    </w:p>
    <w:p>
      <w:pPr>
        <w:pStyle w:val="Compact"/>
        <w:numPr>
          <w:ilvl w:val="0"/>
          <w:numId w:val="1017"/>
        </w:numPr>
      </w:pPr>
      <w:r>
        <w:rPr>
          <w:b/>
          <w:bCs/>
        </w:rPr>
        <w:t xml:space="preserve">Issue.</w:t>
      </w:r>
      <w:r>
        <w:t xml:space="preserve"> </w:t>
      </w:r>
      <w:r>
        <w:t xml:space="preserve">“</w:t>
      </w:r>
      <w:r>
        <w:t xml:space="preserve">Authorized users</w:t>
      </w:r>
      <w:r>
        <w:t xml:space="preserve">”</w:t>
      </w:r>
      <w:r>
        <w:t xml:space="preserve"> </w:t>
      </w:r>
      <w:r>
        <w:t xml:space="preserve">includes employees, contractors, and agents, and KBI may permit controlled affiliates and subcontractors performing services at KBI facilities to access PredictIQ.</w:t>
      </w:r>
    </w:p>
    <w:p>
      <w:pPr>
        <w:pStyle w:val="Compact"/>
        <w:numPr>
          <w:ilvl w:val="0"/>
          <w:numId w:val="1017"/>
        </w:numPr>
      </w:pPr>
      <w:r>
        <w:rPr>
          <w:b/>
          <w:bCs/>
        </w:rPr>
        <w:t xml:space="preserve">Risk to Whitmore.</w:t>
      </w:r>
      <w:r>
        <w:t xml:space="preserve"> </w:t>
      </w:r>
      <w:r>
        <w:t xml:space="preserve">Potentially broad usage scope. Should be tied to the 43-facility deployment and to confidentiality obligations no less restrictive than the definitive agreement’s.</w:t>
      </w:r>
    </w:p>
    <w:p>
      <w:pPr>
        <w:pStyle w:val="FirstParagraph"/>
      </w:pPr>
      <w:r>
        <w:rPr>
          <w:b/>
          <w:bCs/>
        </w:rPr>
        <w:t xml:space="preserve">Risk Flag #16 — Cross-Border Tax/VAT and Currency.</w:t>
      </w:r>
      <w:r>
        <w:t xml:space="preserve"> </w:t>
      </w:r>
      <w:r>
        <w:t xml:space="preserve">*Severity: Low. Provisions: §5.5, §5.6.**</w:t>
      </w:r>
    </w:p>
    <w:p>
      <w:pPr>
        <w:pStyle w:val="Compact"/>
        <w:numPr>
          <w:ilvl w:val="0"/>
          <w:numId w:val="1018"/>
        </w:numPr>
      </w:pPr>
      <w:r>
        <w:rPr>
          <w:b/>
          <w:bCs/>
        </w:rPr>
        <w:t xml:space="preserve">Issue.</w:t>
      </w:r>
      <w:r>
        <w:t xml:space="preserve"> </w:t>
      </w:r>
      <w:r>
        <w:t xml:space="preserve">All fees in USD (KBI is a EUR-based entity); KBI bears sales/use/VAT excluding Whitmore income taxes.</w:t>
      </w:r>
    </w:p>
    <w:p>
      <w:pPr>
        <w:pStyle w:val="Compact"/>
        <w:numPr>
          <w:ilvl w:val="0"/>
          <w:numId w:val="1018"/>
        </w:numPr>
      </w:pPr>
      <w:r>
        <w:rPr>
          <w:b/>
          <w:bCs/>
        </w:rPr>
        <w:t xml:space="preserve">Risk to Whitmore.</w:t>
      </w:r>
      <w:r>
        <w:t xml:space="preserve"> </w:t>
      </w:r>
      <w:r>
        <w:t xml:space="preserve">USD pricing is favorable to Whitmore (currency risk sits with KBI). VAT mechanics across 12 EU jurisdictions should be confirmed, including reverse-charge treatment and invoicing compliance.</w:t>
      </w:r>
    </w:p>
    <w:p>
      <w:pPr>
        <w:pStyle w:val="FirstParagraph"/>
      </w:pPr>
      <w:r>
        <w:rPr>
          <w:b/>
          <w:bCs/>
        </w:rPr>
        <w:t xml:space="preserve">Risk Flag #17 — Late-Payment Interest.</w:t>
      </w:r>
      <w:r>
        <w:t xml:space="preserve"> </w:t>
      </w:r>
      <w:r>
        <w:t xml:space="preserve">*Severity: Low. Provision: §5.5.**</w:t>
      </w:r>
    </w:p>
    <w:p>
      <w:pPr>
        <w:pStyle w:val="Compact"/>
        <w:numPr>
          <w:ilvl w:val="0"/>
          <w:numId w:val="1019"/>
        </w:numPr>
      </w:pPr>
      <w:r>
        <w:rPr>
          <w:b/>
          <w:bCs/>
        </w:rPr>
        <w:t xml:space="preserve">Issue.</w:t>
      </w:r>
      <w:r>
        <w:t xml:space="preserve"> </w:t>
      </w:r>
      <w:r>
        <w:t xml:space="preserve">Late interest at 1.5%/month (~18% annualized), capped at the maximum legal rate.</w:t>
      </w:r>
    </w:p>
    <w:p>
      <w:pPr>
        <w:pStyle w:val="Compact"/>
        <w:numPr>
          <w:ilvl w:val="0"/>
          <w:numId w:val="1019"/>
        </w:numPr>
      </w:pPr>
      <w:r>
        <w:rPr>
          <w:b/>
          <w:bCs/>
        </w:rPr>
        <w:t xml:space="preserve">Risk to Whitmore.</w:t>
      </w:r>
      <w:r>
        <w:t xml:space="preserve"> </w:t>
      </w:r>
      <w:r>
        <w:t xml:space="preserve">Favorable to Whitmore if enforceable; the cap protects against usury challenges. Confirm consistency with German law (Risk Flag #9).</w:t>
      </w:r>
    </w:p>
    <w:p>
      <w:r>
        <w:pict>
          <v:rect style="width:0;height:1.5pt" o:hralign="center" o:hrstd="t" o:hr="t"/>
        </w:pict>
      </w:r>
    </w:p>
    <w:bookmarkEnd w:id="28"/>
    <w:bookmarkEnd w:id="29"/>
    <w:bookmarkStart w:id="43" w:name="vi.-negotiation-recommendations"/>
    <w:p>
      <w:pPr>
        <w:pStyle w:val="Heading2"/>
      </w:pPr>
      <w:r>
        <w:t xml:space="preserve">VI. Negotiation Recommendations</w:t>
      </w:r>
    </w:p>
    <w:p>
      <w:pPr>
        <w:pStyle w:val="FirstParagraph"/>
      </w:pPr>
      <w:r>
        <w:t xml:space="preserve">The following recommendations are organized to mirror the risk flags and reflect both our analysis and the positions expressed by Whitmore’s management. We distinguish</w:t>
      </w:r>
      <w:r>
        <w:t xml:space="preserve"> </w:t>
      </w:r>
      <w:r>
        <w:rPr>
          <w:b/>
          <w:bCs/>
        </w:rPr>
        <w:t xml:space="preserve">red lines</w:t>
      </w:r>
      <w:r>
        <w:t xml:space="preserve"> </w:t>
      </w:r>
      <w:r>
        <w:t xml:space="preserve">(terms Whitmore should not accept) from</w:t>
      </w:r>
      <w:r>
        <w:t xml:space="preserve"> </w:t>
      </w:r>
      <w:r>
        <w:rPr>
          <w:b/>
          <w:bCs/>
        </w:rPr>
        <w:t xml:space="preserve">negotiable</w:t>
      </w:r>
      <w:r>
        <w:t xml:space="preserve"> </w:t>
      </w:r>
      <w:r>
        <w:t xml:space="preserve">terms. A consolidated red-line summary appears in Section VII.</w:t>
      </w:r>
    </w:p>
    <w:bookmarkStart w:id="30" w:name="X7988282cd611dc49343b0104862b9ed916520f1"/>
    <w:p>
      <w:pPr>
        <w:pStyle w:val="Heading3"/>
      </w:pPr>
      <w:r>
        <w:t xml:space="preserve">VI.A Data Rights and Model IP (Risk Flags #1, #6) — Red Line</w:t>
      </w:r>
    </w:p>
    <w:p>
      <w:pPr>
        <w:pStyle w:val="Compact"/>
        <w:numPr>
          <w:ilvl w:val="0"/>
          <w:numId w:val="1020"/>
        </w:numPr>
      </w:pPr>
      <w:r>
        <w:rPr>
          <w:b/>
          <w:bCs/>
        </w:rPr>
        <w:t xml:space="preserve">Preserve anonymized/aggregated data use.</w:t>
      </w:r>
      <w:r>
        <w:t xml:space="preserve"> </w:t>
      </w:r>
      <w:r>
        <w:t xml:space="preserve">Reject the blanket prohibition in §4.3(c). Negotiate Whitmore’s</w:t>
      </w:r>
      <w:r>
        <w:t xml:space="preserve"> </w:t>
      </w:r>
      <w:r>
        <w:rPr>
          <w:b/>
          <w:bCs/>
        </w:rPr>
        <w:t xml:space="preserve">retained right to use anonymized and aggregated KBI Data to train and improve PredictIQ’s general ML models</w:t>
      </w:r>
      <w:r>
        <w:t xml:space="preserve">, subject to: (a) industry-standard anonymization techniques (e.g., k-anonymity / differential privacy); (b) a</w:t>
      </w:r>
      <w:r>
        <w:t xml:space="preserve"> </w:t>
      </w:r>
      <w:r>
        <w:rPr>
          <w:b/>
          <w:bCs/>
        </w:rPr>
        <w:t xml:space="preserve">minimum aggregation pool size</w:t>
      </w:r>
      <w:r>
        <w:t xml:space="preserve"> </w:t>
      </w:r>
      <w:r>
        <w:t xml:space="preserve">so that individual KBI data cannot be reverse-identified; (c) contractual prohibitions on re-identification; and (d) optional</w:t>
      </w:r>
      <w:r>
        <w:t xml:space="preserve"> </w:t>
      </w:r>
      <w:r>
        <w:rPr>
          <w:b/>
          <w:bCs/>
        </w:rPr>
        <w:t xml:space="preserve">third-party verification</w:t>
      </w:r>
      <w:r>
        <w:t xml:space="preserve"> </w:t>
      </w:r>
      <w:r>
        <w:t xml:space="preserve">of the anonymization process at KBI’s request. This is consistent with management’s stated position and industry standard.</w:t>
      </w:r>
    </w:p>
    <w:p>
      <w:pPr>
        <w:pStyle w:val="Compact"/>
        <w:numPr>
          <w:ilvl w:val="0"/>
          <w:numId w:val="1020"/>
        </w:numPr>
      </w:pPr>
      <w:r>
        <w:rPr>
          <w:b/>
          <w:bCs/>
        </w:rPr>
        <w:t xml:space="preserve">Restructure the Output Data definition (§4.2).</w:t>
      </w:r>
      <w:r>
        <w:t xml:space="preserve"> </w:t>
      </w:r>
      <w:r>
        <w:rPr>
          <w:b/>
          <w:bCs/>
        </w:rPr>
        <w:t xml:space="preserve">Exclude</w:t>
      </w:r>
      <w:r>
        <w:t xml:space="preserve"> </w:t>
      </w:r>
      <w:r>
        <w:t xml:space="preserve">model weights, parameters, training artifacts, feature-importance rankings, and model configuration data from</w:t>
      </w:r>
      <w:r>
        <w:t xml:space="preserve"> </w:t>
      </w:r>
      <w:r>
        <w:t xml:space="preserve">“</w:t>
      </w:r>
      <w:r>
        <w:t xml:space="preserve">Output Data.</w:t>
      </w:r>
      <w:r>
        <w:t xml:space="preserve">”</w:t>
      </w:r>
      <w:r>
        <w:t xml:space="preserve"> </w:t>
      </w:r>
      <w:r>
        <w:t xml:space="preserve">Clarify that</w:t>
      </w:r>
      <w:r>
        <w:t xml:space="preserve"> </w:t>
      </w:r>
      <w:r>
        <w:rPr>
          <w:b/>
          <w:bCs/>
        </w:rPr>
        <w:t xml:space="preserve">Whitmore retains ownership of its ML models and all model state</w:t>
      </w:r>
      <w:r>
        <w:t xml:space="preserve">, and that KBI owns only (i) its raw KBI Data and (ii) business-facing outputs delivered to KBI (reports, predictions, alerts, dashboards). Add a carve-out confirming that improvements to PredictIQ’s general models derived from anonymized/aggregated data remain Whitmore’s IP.</w:t>
      </w:r>
    </w:p>
    <w:p>
      <w:pPr>
        <w:pStyle w:val="Compact"/>
        <w:numPr>
          <w:ilvl w:val="0"/>
          <w:numId w:val="1020"/>
        </w:numPr>
      </w:pPr>
      <w:r>
        <w:rPr>
          <w:b/>
          <w:bCs/>
        </w:rPr>
        <w:t xml:space="preserve">Narrow KBI-Inspired Improvements (§3.5).</w:t>
      </w:r>
      <w:r>
        <w:t xml:space="preserve"> </w:t>
      </w:r>
      <w:r>
        <w:t xml:space="preserve">Remove the</w:t>
      </w:r>
      <w:r>
        <w:t xml:space="preserve"> </w:t>
      </w:r>
      <w:r>
        <w:t xml:space="preserve">“</w:t>
      </w:r>
      <w:r>
        <w:t xml:space="preserve">inspired by</w:t>
      </w:r>
      <w:r>
        <w:t xml:space="preserve">”</w:t>
      </w:r>
      <w:r>
        <w:t xml:space="preserve"> </w:t>
      </w:r>
      <w:r>
        <w:t xml:space="preserve">language; limit the KBI license to improvements</w:t>
      </w:r>
      <w:r>
        <w:t xml:space="preserve"> </w:t>
      </w:r>
      <w:r>
        <w:rPr>
          <w:b/>
          <w:bCs/>
        </w:rPr>
        <w:t xml:space="preserve">specifically and solely derived from KBI Data</w:t>
      </w:r>
      <w:r>
        <w:t xml:space="preserve"> </w:t>
      </w:r>
      <w:r>
        <w:t xml:space="preserve">(not general model improvements); consider a narrower or time-limited scope; and confirm Whitmore’s ownership of the underlying improvements. Reconcile §3.4 (feedback → Whitmore) with §3.5 so that improvements developed in response to KBI feedback remain Whitmore’s IP, with at most a use license to KBI.</w:t>
      </w:r>
    </w:p>
    <w:p>
      <w:pPr>
        <w:pStyle w:val="Compact"/>
        <w:numPr>
          <w:ilvl w:val="0"/>
          <w:numId w:val="1020"/>
        </w:numPr>
      </w:pPr>
      <w:r>
        <w:rPr>
          <w:b/>
          <w:bCs/>
        </w:rPr>
        <w:t xml:space="preserve">Replace joint ownership of derivatives (§2/§3.3).</w:t>
      </w:r>
      <w:r>
        <w:t xml:space="preserve"> </w:t>
      </w:r>
      <w:r>
        <w:t xml:space="preserve">Replace joint ownership with</w:t>
      </w:r>
      <w:r>
        <w:t xml:space="preserve"> </w:t>
      </w:r>
      <w:r>
        <w:rPr>
          <w:b/>
          <w:bCs/>
        </w:rPr>
        <w:t xml:space="preserve">Whitmore ownership</w:t>
      </w:r>
      <w:r>
        <w:t xml:space="preserve"> </w:t>
      </w:r>
      <w:r>
        <w:t xml:space="preserve">of derivative works, granting KBI a</w:t>
      </w:r>
      <w:r>
        <w:t xml:space="preserve"> </w:t>
      </w:r>
      <w:r>
        <w:rPr>
          <w:b/>
          <w:bCs/>
        </w:rPr>
        <w:t xml:space="preserve">non-exclusive, non-sublicensable license to use such derivatives solely for the permitted MES/SCADA integration</w:t>
      </w:r>
      <w:r>
        <w:t xml:space="preserve">. If joint ownership is insisted upon, narrow it strictly to the integration interface code and remove the unrestricted-sublicensing/exploitation right.</w:t>
      </w:r>
    </w:p>
    <w:bookmarkEnd w:id="30"/>
    <w:bookmarkStart w:id="31" w:name="Xc164b8239653e6b7e9e89386af3ed5919f6ca73"/>
    <w:p>
      <w:pPr>
        <w:pStyle w:val="Heading3"/>
      </w:pPr>
      <w:r>
        <w:t xml:space="preserve">VI.B Exclusivity / Non-Compete (Risk Flag #2) — Red Line</w:t>
      </w:r>
    </w:p>
    <w:p>
      <w:pPr>
        <w:pStyle w:val="Compact"/>
        <w:numPr>
          <w:ilvl w:val="0"/>
          <w:numId w:val="1021"/>
        </w:numPr>
      </w:pPr>
      <w:r>
        <w:rPr>
          <w:b/>
          <w:bCs/>
        </w:rPr>
        <w:t xml:space="preserve">Eliminate the open-ended 30% revenue test (§12.2(b)).</w:t>
      </w:r>
      <w:r>
        <w:t xml:space="preserve"> </w:t>
      </w:r>
      <w:r>
        <w:t xml:space="preserve">This is a management red line. The monitoring obligation is unworkable and the market lockout is unacceptable.</w:t>
      </w:r>
    </w:p>
    <w:p>
      <w:pPr>
        <w:pStyle w:val="Compact"/>
        <w:numPr>
          <w:ilvl w:val="0"/>
          <w:numId w:val="1021"/>
        </w:numPr>
      </w:pPr>
      <w:r>
        <w:rPr>
          <w:b/>
          <w:bCs/>
        </w:rPr>
        <w:t xml:space="preserve">Narrow to a bounded named-company exclusivity.</w:t>
      </w:r>
      <w:r>
        <w:t xml:space="preserve"> </w:t>
      </w:r>
      <w:r>
        <w:t xml:space="preserve">If any exclusivity is acceptable, limit it to a</w:t>
      </w:r>
      <w:r>
        <w:t xml:space="preserve"> </w:t>
      </w:r>
      <w:r>
        <w:rPr>
          <w:b/>
          <w:bCs/>
        </w:rPr>
        <w:t xml:space="preserve">negotiated subset of the 12 Exhibit B entities</w:t>
      </w:r>
      <w:r>
        <w:t xml:space="preserve"> </w:t>
      </w:r>
      <w:r>
        <w:t xml:space="preserve">(or the full list, per management’s fallback), for a</w:t>
      </w:r>
      <w:r>
        <w:t xml:space="preserve"> </w:t>
      </w:r>
      <w:r>
        <w:rPr>
          <w:b/>
          <w:bCs/>
        </w:rPr>
        <w:t xml:space="preserve">shorter period (18 months rather than 3 years)</w:t>
      </w:r>
      <w:r>
        <w:t xml:space="preserve">, with a clear product scope (PredictIQ only, not</w:t>
      </w:r>
      <w:r>
        <w:t xml:space="preserve"> </w:t>
      </w:r>
      <w:r>
        <w:t xml:space="preserve">“</w:t>
      </w:r>
      <w:r>
        <w:t xml:space="preserve">substantially similar</w:t>
      </w:r>
      <w:r>
        <w:t xml:space="preserve">”</w:t>
      </w:r>
      <w:r>
        <w:t xml:space="preserve"> </w:t>
      </w:r>
      <w:r>
        <w:t xml:space="preserve">successor products) and a</w:t>
      </w:r>
      <w:r>
        <w:t xml:space="preserve"> </w:t>
      </w:r>
      <w:r>
        <w:rPr>
          <w:b/>
          <w:bCs/>
        </w:rPr>
        <w:t xml:space="preserve">sunset</w:t>
      </w:r>
      <w:r>
        <w:t xml:space="preserve">. Remove survival post-termination (§12.4) or limit it tightly.</w:t>
      </w:r>
    </w:p>
    <w:p>
      <w:pPr>
        <w:pStyle w:val="Compact"/>
        <w:numPr>
          <w:ilvl w:val="0"/>
          <w:numId w:val="1021"/>
        </w:numPr>
      </w:pPr>
      <w:r>
        <w:rPr>
          <w:b/>
          <w:bCs/>
        </w:rPr>
        <w:t xml:space="preserve">Address the asymmetry.</w:t>
      </w:r>
      <w:r>
        <w:t xml:space="preserve"> </w:t>
      </w:r>
      <w:r>
        <w:t xml:space="preserve">Frame the response in terms of the 5-year KBI expansion right versus the 3-year Whitmore lockout. Consider seeking a reciprocal or time-limited structure. Remove the no-bond / no-irreparable-harm-showing injunctive relief provision (§12.5) or make it mutual and standard.</w:t>
      </w:r>
    </w:p>
    <w:p>
      <w:pPr>
        <w:pStyle w:val="Compact"/>
        <w:numPr>
          <w:ilvl w:val="0"/>
          <w:numId w:val="1021"/>
        </w:numPr>
      </w:pPr>
      <w:r>
        <w:rPr>
          <w:b/>
          <w:bCs/>
        </w:rPr>
        <w:t xml:space="preserve">Quantify for the Board.</w:t>
      </w:r>
      <w:r>
        <w:t xml:space="preserve"> </w:t>
      </w:r>
      <w:r>
        <w:t xml:space="preserve">Use Mr. Kendrick’s one-page European pipeline impact summary (3 active prospects, ~$4–5M potential recurring revenue, 25–30 additional companies within the 30% threshold) alongside the KBI deal economics so the Board can weigh the opportunity cost.</w:t>
      </w:r>
    </w:p>
    <w:bookmarkEnd w:id="31"/>
    <w:bookmarkStart w:id="32" w:name="X2f7e67f046e2a1dffadf7013fe031b2bc0161d0"/>
    <w:p>
      <w:pPr>
        <w:pStyle w:val="Heading3"/>
      </w:pPr>
      <w:r>
        <w:t xml:space="preserve">VI.C MFC Side Letter (Risk Flag #3) — Red Line as Drafted</w:t>
      </w:r>
    </w:p>
    <w:p>
      <w:pPr>
        <w:pStyle w:val="Compact"/>
        <w:numPr>
          <w:ilvl w:val="0"/>
          <w:numId w:val="1022"/>
        </w:numPr>
      </w:pPr>
      <w:r>
        <w:rPr>
          <w:b/>
          <w:bCs/>
        </w:rPr>
        <w:t xml:space="preserve">Reject the MFC as drafted.</w:t>
      </w:r>
      <w:r>
        <w:t xml:space="preserve"> </w:t>
      </w:r>
      <w:r>
        <w:t xml:space="preserve">If Whitmore is to offer any pricing-parity protection, restructure with: (a)</w:t>
      </w:r>
      <w:r>
        <w:t xml:space="preserve"> </w:t>
      </w:r>
      <w:r>
        <w:rPr>
          <w:b/>
          <w:bCs/>
        </w:rPr>
        <w:t xml:space="preserve">meaningful carve-outs</w:t>
      </w:r>
      <w:r>
        <w:t xml:space="preserve"> </w:t>
      </w:r>
      <w:r>
        <w:t xml:space="preserve">— different deal structures/scope/service levels, volume and strategic-partner discounts, different geographies or product tiers, government/education/pilot/POC pricing, and pre-existing arrangements; (b) a</w:t>
      </w:r>
      <w:r>
        <w:t xml:space="preserve"> </w:t>
      </w:r>
      <w:r>
        <w:rPr>
          <w:b/>
          <w:bCs/>
        </w:rPr>
        <w:t xml:space="preserve">sunset</w:t>
      </w:r>
      <w:r>
        <w:t xml:space="preserve"> </w:t>
      </w:r>
      <w:r>
        <w:t xml:space="preserve">(e.g., 3–5 years from execution); (c)</w:t>
      </w:r>
      <w:r>
        <w:t xml:space="preserve"> </w:t>
      </w:r>
      <w:r>
        <w:rPr>
          <w:b/>
          <w:bCs/>
        </w:rPr>
        <w:t xml:space="preserve">prospective-only</w:t>
      </w:r>
      <w:r>
        <w:t xml:space="preserve"> </w:t>
      </w:r>
      <w:r>
        <w:t xml:space="preserve">adjustment (no retroactive reach-back to pre-execution concessions); (d) a narrowed definition of</w:t>
      </w:r>
      <w:r>
        <w:t xml:space="preserve"> </w:t>
      </w:r>
      <w:r>
        <w:t xml:space="preserve">“</w:t>
      </w:r>
      <w:r>
        <w:t xml:space="preserve">Subsequent Licensee</w:t>
      </w:r>
      <w:r>
        <w:t xml:space="preserve">”</w:t>
      </w:r>
      <w:r>
        <w:t xml:space="preserve"> </w:t>
      </w:r>
      <w:r>
        <w:t xml:space="preserve">and</w:t>
      </w:r>
      <w:r>
        <w:t xml:space="preserve"> </w:t>
      </w:r>
      <w:r>
        <w:t xml:space="preserve">“</w:t>
      </w:r>
      <w:r>
        <w:t xml:space="preserve">substantially similar technology</w:t>
      </w:r>
      <w:r>
        <w:t xml:space="preserve">”</w:t>
      </w:r>
      <w:r>
        <w:t xml:space="preserve">; (e) a</w:t>
      </w:r>
      <w:r>
        <w:t xml:space="preserve"> </w:t>
      </w:r>
      <w:r>
        <w:rPr>
          <w:b/>
          <w:bCs/>
        </w:rPr>
        <w:t xml:space="preserve">like-for-like comparability requirement</w:t>
      </w:r>
      <w:r>
        <w:t xml:space="preserve"> </w:t>
      </w:r>
      <w:r>
        <w:t xml:space="preserve">so the effective per-facility price comparison accounts for differences in scope, services, and term; (f) a higher audit threshold, scoped audit, and confidentiality protections for Whitmore’s other customer pricing; and (g)</w:t>
      </w:r>
      <w:r>
        <w:t xml:space="preserve"> </w:t>
      </w:r>
      <w:r>
        <w:rPr>
          <w:b/>
          <w:bCs/>
        </w:rPr>
        <w:t xml:space="preserve">exclusion of the wind-down period</w:t>
      </w:r>
      <w:r>
        <w:t xml:space="preserve"> </w:t>
      </w:r>
      <w:r>
        <w:t xml:space="preserve">(limit the MFC to the active subscription term).</w:t>
      </w:r>
    </w:p>
    <w:p>
      <w:pPr>
        <w:pStyle w:val="Compact"/>
        <w:numPr>
          <w:ilvl w:val="0"/>
          <w:numId w:val="1022"/>
        </w:numPr>
      </w:pPr>
      <w:r>
        <w:rPr>
          <w:b/>
          <w:bCs/>
        </w:rPr>
        <w:t xml:space="preserve">Conditionality.</w:t>
      </w:r>
      <w:r>
        <w:t xml:space="preserve"> </w:t>
      </w:r>
      <w:r>
        <w:t xml:space="preserve">Recognize that KBI has made the MFC a condition of proceeding. Whitmore should be prepared to offer a</w:t>
      </w:r>
      <w:r>
        <w:t xml:space="preserve"> </w:t>
      </w:r>
      <w:r>
        <w:rPr>
          <w:b/>
          <w:bCs/>
        </w:rPr>
        <w:t xml:space="preserve">bounded</w:t>
      </w:r>
      <w:r>
        <w:t xml:space="preserve"> </w:t>
      </w:r>
      <w:r>
        <w:t xml:space="preserve">MFC (per above) as the compromise, or an alternative pricing-protection mechanism, while holding the line on the unacceptable features. The Board should explicitly authorize the acceptable MFC parameters in advance.</w:t>
      </w:r>
    </w:p>
    <w:bookmarkEnd w:id="32"/>
    <w:bookmarkStart w:id="33" w:name="vi.d-ip-indemnification-risk-flag-4-high"/>
    <w:p>
      <w:pPr>
        <w:pStyle w:val="Heading3"/>
      </w:pPr>
      <w:r>
        <w:t xml:space="preserve">VI.D IP Indemnification (Risk Flag #4) — High</w:t>
      </w:r>
    </w:p>
    <w:p>
      <w:pPr>
        <w:pStyle w:val="Compact"/>
        <w:numPr>
          <w:ilvl w:val="0"/>
          <w:numId w:val="1023"/>
        </w:numPr>
      </w:pPr>
      <w:r>
        <w:rPr>
          <w:b/>
          <w:bCs/>
        </w:rPr>
        <w:t xml:space="preserve">Cap the IP indemnity.</w:t>
      </w:r>
      <w:r>
        <w:t xml:space="preserve"> </w:t>
      </w:r>
      <w:r>
        <w:t xml:space="preserve">Negotiate a cap (e.g., a super-cap above the general $15M/2× cap, or alignment with the general cap) and/or obtain</w:t>
      </w:r>
      <w:r>
        <w:t xml:space="preserve"> </w:t>
      </w:r>
      <w:r>
        <w:rPr>
          <w:b/>
          <w:bCs/>
        </w:rPr>
        <w:t xml:space="preserve">IP infringement insurance</w:t>
      </w:r>
      <w:r>
        <w:t xml:space="preserve">. At minimum: (a) retain the</w:t>
      </w:r>
      <w:r>
        <w:t xml:space="preserve"> </w:t>
      </w:r>
      <w:r>
        <w:t xml:space="preserve">“</w:t>
      </w:r>
      <w:r>
        <w:t xml:space="preserve">to Whitmore’s knowledge</w:t>
      </w:r>
      <w:r>
        <w:t xml:space="preserve">”</w:t>
      </w:r>
      <w:r>
        <w:t xml:space="preserve"> </w:t>
      </w:r>
      <w:r>
        <w:t xml:space="preserve">qualifier on the infringement obligation; (b) add a</w:t>
      </w:r>
      <w:r>
        <w:t xml:space="preserve"> </w:t>
      </w:r>
      <w:r>
        <w:rPr>
          <w:b/>
          <w:bCs/>
        </w:rPr>
        <w:t xml:space="preserve">carve-out for infringement arising from KBI’s modifications, derivatives, combinations, or unauthorized use</w:t>
      </w:r>
      <w:r>
        <w:t xml:space="preserve">; (c) preserve Whitmore’s sole control of defense and settlement (subject to KBI consent only for settlements imposing obligations on KBI); and (d) require KBI to promptly notify and cooperate. Given the ML/AI patent landscape, a cap and insurance are strongly recommended.</w:t>
      </w:r>
    </w:p>
    <w:bookmarkEnd w:id="33"/>
    <w:bookmarkStart w:id="34" w:name="Xa676fa7d255295bb7871d5b622c27e5dc360b43"/>
    <w:p>
      <w:pPr>
        <w:pStyle w:val="Heading3"/>
      </w:pPr>
      <w:r>
        <w:t xml:space="preserve">VI.E Recurring-Revenue Protection (Risk Flag #5) — High</w:t>
      </w:r>
    </w:p>
    <w:p>
      <w:pPr>
        <w:pStyle w:val="Compact"/>
        <w:numPr>
          <w:ilvl w:val="0"/>
          <w:numId w:val="1024"/>
        </w:numPr>
      </w:pPr>
      <w:r>
        <w:rPr>
          <w:b/>
          <w:bCs/>
        </w:rPr>
        <w:t xml:space="preserve">Restructure the wind-down license (§13.5).</w:t>
      </w:r>
      <w:r>
        <w:t xml:space="preserve"> </w:t>
      </w:r>
      <w:r>
        <w:t xml:space="preserve">Replace the perpetual wind-down license with a</w:t>
      </w:r>
      <w:r>
        <w:t xml:space="preserve"> </w:t>
      </w:r>
      <w:r>
        <w:rPr>
          <w:b/>
          <w:bCs/>
        </w:rPr>
        <w:t xml:space="preserve">time-limited transition period (e.g., 12–24 months)</w:t>
      </w:r>
      <w:r>
        <w:t xml:space="preserve"> </w:t>
      </w:r>
      <w:r>
        <w:t xml:space="preserve">for data extraction and orderly transition — not perpetual continued use. At minimum,</w:t>
      </w:r>
      <w:r>
        <w:t xml:space="preserve"> </w:t>
      </w:r>
      <w:r>
        <w:rPr>
          <w:b/>
          <w:bCs/>
        </w:rPr>
        <w:t xml:space="preserve">terminate the wind-down license upon KBI’s termination for convenience</w:t>
      </w:r>
      <w:r>
        <w:t xml:space="preserve"> </w:t>
      </w:r>
      <w:r>
        <w:t xml:space="preserve">(so a convenience exit does not confer perpetual use rights). Require continued SaaS subscription payment during any transition.</w:t>
      </w:r>
    </w:p>
    <w:p>
      <w:pPr>
        <w:pStyle w:val="Compact"/>
        <w:numPr>
          <w:ilvl w:val="0"/>
          <w:numId w:val="1024"/>
        </w:numPr>
      </w:pPr>
      <w:r>
        <w:rPr>
          <w:b/>
          <w:bCs/>
        </w:rPr>
        <w:t xml:space="preserve">Reconsider the perpetual-license structure.</w:t>
      </w:r>
      <w:r>
        <w:t xml:space="preserve"> </w:t>
      </w:r>
      <w:r>
        <w:t xml:space="preserve">Consider whether the primary commercial model should be a</w:t>
      </w:r>
      <w:r>
        <w:t xml:space="preserve"> </w:t>
      </w:r>
      <w:r>
        <w:rPr>
          <w:b/>
          <w:bCs/>
        </w:rPr>
        <w:t xml:space="preserve">term-based SaaS subscription</w:t>
      </w:r>
      <w:r>
        <w:t xml:space="preserve"> </w:t>
      </w:r>
      <w:r>
        <w:t xml:space="preserve">(with the perpetual license limited to the on-premises edge modules, if at all) to preserve recurring revenue, rather than a perpetual license plus SaaS. This is a structural point that materially affects the Series C narrative and should be a Board-level decision.</w:t>
      </w:r>
    </w:p>
    <w:bookmarkEnd w:id="34"/>
    <w:bookmarkStart w:id="35" w:name="Xa732ca682f0b2f162a96fe58322025e32b260d8"/>
    <w:p>
      <w:pPr>
        <w:pStyle w:val="Heading3"/>
      </w:pPr>
      <w:r>
        <w:t xml:space="preserve">VI.F Performance Warranty (Risk Flag #7) — High</w:t>
      </w:r>
    </w:p>
    <w:p>
      <w:pPr>
        <w:pStyle w:val="Compact"/>
        <w:numPr>
          <w:ilvl w:val="0"/>
          <w:numId w:val="1025"/>
        </w:numPr>
      </w:pPr>
      <w:r>
        <w:rPr>
          <w:b/>
          <w:bCs/>
        </w:rPr>
        <w:t xml:space="preserve">Soften the performance warranty.</w:t>
      </w:r>
      <w:r>
        <w:t xml:space="preserve"> </w:t>
      </w:r>
      <w:r>
        <w:t xml:space="preserve">Negotiate: (a) a</w:t>
      </w:r>
      <w:r>
        <w:t xml:space="preserve"> </w:t>
      </w:r>
      <w:r>
        <w:rPr>
          <w:b/>
          <w:bCs/>
        </w:rPr>
        <w:t xml:space="preserve">lower accuracy threshold</w:t>
      </w:r>
      <w:r>
        <w:t xml:space="preserve"> </w:t>
      </w:r>
      <w:r>
        <w:t xml:space="preserve">or reframe as a</w:t>
      </w:r>
      <w:r>
        <w:t xml:space="preserve"> </w:t>
      </w:r>
      <w:r>
        <w:rPr>
          <w:b/>
          <w:bCs/>
        </w:rPr>
        <w:t xml:space="preserve">target/SLA rather than a warranty</w:t>
      </w:r>
      <w:r>
        <w:t xml:space="preserve">; (b)</w:t>
      </w:r>
      <w:r>
        <w:t xml:space="preserve"> </w:t>
      </w:r>
      <w:r>
        <w:rPr>
          <w:b/>
          <w:bCs/>
        </w:rPr>
        <w:t xml:space="preserve">exclusions for factors outside Whitmore’s control</w:t>
      </w:r>
      <w:r>
        <w:t xml:space="preserve"> </w:t>
      </w:r>
      <w:r>
        <w:t xml:space="preserve">(data quality, sensor calibration, KBI system availability, environmental conditions, incomplete maintenance logs); (c) an</w:t>
      </w:r>
      <w:r>
        <w:t xml:space="preserve"> </w:t>
      </w:r>
      <w:r>
        <w:rPr>
          <w:b/>
          <w:bCs/>
        </w:rPr>
        <w:t xml:space="preserve">agreed, independent measurement methodology</w:t>
      </w:r>
      <w:r>
        <w:t xml:space="preserve"> </w:t>
      </w:r>
      <w:r>
        <w:t xml:space="preserve">and a defined dataset/denominator (not solely KBI’s maintenance logs); (d)</w:t>
      </w:r>
      <w:r>
        <w:t xml:space="preserve"> </w:t>
      </w:r>
      <w:r>
        <w:rPr>
          <w:b/>
          <w:bCs/>
        </w:rPr>
        <w:t xml:space="preserve">reduced/capped credits</w:t>
      </w:r>
      <w:r>
        <w:t xml:space="preserve"> </w:t>
      </w:r>
      <w:r>
        <w:t xml:space="preserve">and a higher termination threshold (e.g., below 80% for two quarters); (e) a longer measurement window; and (f)</w:t>
      </w:r>
      <w:r>
        <w:t xml:space="preserve"> </w:t>
      </w:r>
      <w:r>
        <w:rPr>
          <w:b/>
          <w:bCs/>
        </w:rPr>
        <w:t xml:space="preserve">mutual obligations</w:t>
      </w:r>
      <w:r>
        <w:t xml:space="preserve"> </w:t>
      </w:r>
      <w:r>
        <w:t xml:space="preserve">requiring KBI to maintain data quality and sensor calibration. Obtain product/engineering input on whether 92% is achievable across 43 diverse facilities before committing.</w:t>
      </w:r>
    </w:p>
    <w:bookmarkEnd w:id="35"/>
    <w:bookmarkStart w:id="36" w:name="vi.g-source-code-escrow-risk-flag-8-high"/>
    <w:p>
      <w:pPr>
        <w:pStyle w:val="Heading3"/>
      </w:pPr>
      <w:r>
        <w:t xml:space="preserve">VI.G Source-Code Escrow (Risk Flag #8) — High</w:t>
      </w:r>
    </w:p>
    <w:p>
      <w:pPr>
        <w:pStyle w:val="Compact"/>
        <w:numPr>
          <w:ilvl w:val="0"/>
          <w:numId w:val="1026"/>
        </w:numPr>
      </w:pPr>
      <w:r>
        <w:rPr>
          <w:b/>
          <w:bCs/>
        </w:rPr>
        <w:t xml:space="preserve">Tighten release triggers (§11.2).</w:t>
      </w:r>
      <w:r>
        <w:t xml:space="preserve"> </w:t>
      </w:r>
      <w:r>
        <w:t xml:space="preserve">Remove or tighten the material-breach trigger (e.g., require a materiality determination, a longer cure period aligned with §13.2, and exclusion of minor/curable breaches); define insolvency/cessation triggers precisely; and add notice and cure. Consider a</w:t>
      </w:r>
      <w:r>
        <w:t xml:space="preserve"> </w:t>
      </w:r>
      <w:r>
        <w:rPr>
          <w:b/>
          <w:bCs/>
        </w:rPr>
        <w:t xml:space="preserve">two-tier escrow</w:t>
      </w:r>
      <w:r>
        <w:t xml:space="preserve"> </w:t>
      </w:r>
      <w:r>
        <w:t xml:space="preserve">(object code / binaries released on softer triggers; full source code only on insolvency/cessation).</w:t>
      </w:r>
    </w:p>
    <w:p>
      <w:pPr>
        <w:pStyle w:val="Compact"/>
        <w:numPr>
          <w:ilvl w:val="0"/>
          <w:numId w:val="1026"/>
        </w:numPr>
      </w:pPr>
      <w:r>
        <w:rPr>
          <w:b/>
          <w:bCs/>
        </w:rPr>
        <w:t xml:space="preserve">Limit the post-release license (§11.3).</w:t>
      </w:r>
      <w:r>
        <w:t xml:space="preserve"> </w:t>
      </w:r>
      <w:r>
        <w:t xml:space="preserve">Replace the perpetual, royalty-free, modifiable source license with a</w:t>
      </w:r>
      <w:r>
        <w:t xml:space="preserve"> </w:t>
      </w:r>
      <w:r>
        <w:rPr>
          <w:b/>
          <w:bCs/>
        </w:rPr>
        <w:t xml:space="preserve">time-limited, internal-use, non-modifiable continuity license</w:t>
      </w:r>
      <w:r>
        <w:t xml:space="preserve"> </w:t>
      </w:r>
      <w:r>
        <w:t xml:space="preserve">(or a license to maintain operations without the right to modify or compete). Verify the deposit scope and the annual verification right (§11.5) are workable.</w:t>
      </w:r>
    </w:p>
    <w:bookmarkEnd w:id="36"/>
    <w:bookmarkStart w:id="37" w:name="vi.h-governing-law-risk-flag-9-high"/>
    <w:p>
      <w:pPr>
        <w:pStyle w:val="Heading3"/>
      </w:pPr>
      <w:r>
        <w:t xml:space="preserve">VI.H Governing Law (Risk Flag #9) — High</w:t>
      </w:r>
    </w:p>
    <w:p>
      <w:pPr>
        <w:pStyle w:val="Compact"/>
        <w:numPr>
          <w:ilvl w:val="0"/>
          <w:numId w:val="1027"/>
        </w:numPr>
      </w:pPr>
      <w:r>
        <w:rPr>
          <w:b/>
          <w:bCs/>
        </w:rPr>
        <w:t xml:space="preserve">Seek a different governing law.</w:t>
      </w:r>
      <w:r>
        <w:t xml:space="preserve"> </w:t>
      </w:r>
      <w:r>
        <w:t xml:space="preserve">Push for</w:t>
      </w:r>
      <w:r>
        <w:t xml:space="preserve"> </w:t>
      </w:r>
      <w:r>
        <w:rPr>
          <w:b/>
          <w:bCs/>
        </w:rPr>
        <w:t xml:space="preserve">Washington state law</w:t>
      </w:r>
      <w:r>
        <w:t xml:space="preserve"> </w:t>
      </w:r>
      <w:r>
        <w:t xml:space="preserve">(Whitmore’s home jurisdiction) or a</w:t>
      </w:r>
      <w:r>
        <w:t xml:space="preserve"> </w:t>
      </w:r>
      <w:r>
        <w:rPr>
          <w:b/>
          <w:bCs/>
        </w:rPr>
        <w:t xml:space="preserve">neutral governing law</w:t>
      </w:r>
      <w:r>
        <w:t xml:space="preserve"> </w:t>
      </w:r>
      <w:r>
        <w:t xml:space="preserve">(e.g., New York or England). If German law remains, obtain specialist advice on: enforceability of the uncapped indemnification and liability cap; treatment of the performance credits/penalties; and data-protection requirements. Note that the ICC arbitral seat (Zurich) and English-language proceedings are acceptable and can be retained regardless of governing law.</w:t>
      </w:r>
    </w:p>
    <w:bookmarkEnd w:id="37"/>
    <w:bookmarkStart w:id="38" w:name="Xd4044b0078ebcc8324894e32144477deeec3666"/>
    <w:p>
      <w:pPr>
        <w:pStyle w:val="Heading3"/>
      </w:pPr>
      <w:r>
        <w:t xml:space="preserve">VI.I Implementation Cash Flow (Risk Flag #10) — Medium</w:t>
      </w:r>
    </w:p>
    <w:p>
      <w:pPr>
        <w:pStyle w:val="Compact"/>
        <w:numPr>
          <w:ilvl w:val="0"/>
          <w:numId w:val="1028"/>
        </w:numPr>
      </w:pPr>
      <w:r>
        <w:rPr>
          <w:b/>
          <w:bCs/>
        </w:rPr>
        <w:t xml:space="preserve">Renegotiate the payment split.</w:t>
      </w:r>
      <w:r>
        <w:t xml:space="preserve"> </w:t>
      </w:r>
      <w:r>
        <w:t xml:space="preserve">Per management’s proposal, move from 30/40/30 to</w:t>
      </w:r>
      <w:r>
        <w:t xml:space="preserve"> </w:t>
      </w:r>
      <w:r>
        <w:rPr>
          <w:b/>
          <w:bCs/>
        </w:rPr>
        <w:t xml:space="preserve">40/30/30</w:t>
      </w:r>
      <w:r>
        <w:t xml:space="preserve"> </w:t>
      </w:r>
      <w:r>
        <w:t xml:space="preserve">— 40% ($1.68M) at signing, 30% ($1.26M) at Phase 1 completion, 30% ($1.26M) at Phase 2 go-live — to front-load cash to match the cost profile.</w:t>
      </w:r>
    </w:p>
    <w:p>
      <w:pPr>
        <w:pStyle w:val="Compact"/>
        <w:numPr>
          <w:ilvl w:val="0"/>
          <w:numId w:val="1028"/>
        </w:numPr>
      </w:pPr>
      <w:r>
        <w:rPr>
          <w:b/>
          <w:bCs/>
        </w:rPr>
        <w:t xml:space="preserve">Front-load implementation fees.</w:t>
      </w:r>
      <w:r>
        <w:t xml:space="preserve"> </w:t>
      </w:r>
      <w:r>
        <w:t xml:space="preserve">Negotiate</w:t>
      </w:r>
      <w:r>
        <w:t xml:space="preserve"> </w:t>
      </w:r>
      <w:r>
        <w:rPr>
          <w:b/>
          <w:bCs/>
        </w:rPr>
        <w:t xml:space="preserve">40% of the implementation fee in the first 6 months</w:t>
      </w:r>
      <w:r>
        <w:t xml:space="preserve"> </w:t>
      </w:r>
      <w:r>
        <w:t xml:space="preserve">rather than a linear monthly spread.</w:t>
      </w:r>
    </w:p>
    <w:p>
      <w:pPr>
        <w:pStyle w:val="Compact"/>
        <w:numPr>
          <w:ilvl w:val="0"/>
          <w:numId w:val="1028"/>
        </w:numPr>
      </w:pPr>
      <w:r>
        <w:rPr>
          <w:b/>
          <w:bCs/>
        </w:rPr>
        <w:t xml:space="preserve">Consider a separate SOW.</w:t>
      </w:r>
      <w:r>
        <w:t xml:space="preserve"> </w:t>
      </w:r>
      <w:r>
        <w:t xml:space="preserve">Per Ms. Yin’s suggestion, break out the implementation services as a</w:t>
      </w:r>
      <w:r>
        <w:t xml:space="preserve"> </w:t>
      </w:r>
      <w:r>
        <w:rPr>
          <w:b/>
          <w:bCs/>
        </w:rPr>
        <w:t xml:space="preserve">separate Statement of Work with milestone-based payments</w:t>
      </w:r>
      <w:r>
        <w:t xml:space="preserve">, improving cash matching and ASC 606 accounting treatment. Flag the revenue-recognition questions to Lakeshore Accounting Group LLP early.</w:t>
      </w:r>
    </w:p>
    <w:bookmarkEnd w:id="38"/>
    <w:bookmarkStart w:id="39" w:name="X392eb518450824669d708b94f68c27d72ab6b16"/>
    <w:p>
      <w:pPr>
        <w:pStyle w:val="Heading3"/>
      </w:pPr>
      <w:r>
        <w:t xml:space="preserve">VI.J Termination and Assignment Asymmetries (Risk Flag #11) — Medium</w:t>
      </w:r>
    </w:p>
    <w:p>
      <w:pPr>
        <w:pStyle w:val="Compact"/>
        <w:numPr>
          <w:ilvl w:val="0"/>
          <w:numId w:val="1029"/>
        </w:numPr>
      </w:pPr>
      <w:r>
        <w:rPr>
          <w:b/>
          <w:bCs/>
        </w:rPr>
        <w:t xml:space="preserve">Seek mutual termination for convenience</w:t>
      </w:r>
      <w:r>
        <w:t xml:space="preserve"> </w:t>
      </w:r>
      <w:r>
        <w:t xml:space="preserve">(or at least align terms), and</w:t>
      </w:r>
      <w:r>
        <w:t xml:space="preserve"> </w:t>
      </w:r>
      <w:r>
        <w:rPr>
          <w:b/>
          <w:bCs/>
        </w:rPr>
        <w:t xml:space="preserve">condition any wind-down license on the manner of termination</w:t>
      </w:r>
      <w:r>
        <w:t xml:space="preserve"> </w:t>
      </w:r>
      <w:r>
        <w:t xml:space="preserve">(no wind-down for convenience termination — see Recommendation 12).</w:t>
      </w:r>
    </w:p>
    <w:p>
      <w:pPr>
        <w:pStyle w:val="Compact"/>
        <w:numPr>
          <w:ilvl w:val="0"/>
          <w:numId w:val="1029"/>
        </w:numPr>
      </w:pPr>
      <w:r>
        <w:rPr>
          <w:b/>
          <w:bCs/>
        </w:rPr>
        <w:t xml:space="preserve">Seek reciprocal assignment rights</w:t>
      </w:r>
      <w:r>
        <w:t xml:space="preserve"> </w:t>
      </w:r>
      <w:r>
        <w:t xml:space="preserve">— at minimum, Whitmore’s right to assign to affiliates and in connection with a merger, acquisition, or sale of substantially all assets, mirroring KBI’s right (§16.6). Address the risk of KBI assigning to a competitor-successor.</w:t>
      </w:r>
    </w:p>
    <w:bookmarkEnd w:id="39"/>
    <w:bookmarkStart w:id="40" w:name="Xdd776983d1788888a0b29b0f0b4c4fb1eb1d8fd"/>
    <w:p>
      <w:pPr>
        <w:pStyle w:val="Heading3"/>
      </w:pPr>
      <w:r>
        <w:t xml:space="preserve">VI.K Expansion Pricing and MFC Interaction (Risk Flag #12) — Medium</w:t>
      </w:r>
    </w:p>
    <w:p>
      <w:pPr>
        <w:pStyle w:val="Compact"/>
        <w:numPr>
          <w:ilvl w:val="0"/>
          <w:numId w:val="1030"/>
        </w:numPr>
      </w:pPr>
      <w:r>
        <w:rPr>
          <w:b/>
          <w:bCs/>
        </w:rPr>
        <w:t xml:space="preserve">Model the interaction</w:t>
      </w:r>
      <w:r>
        <w:t xml:space="preserve"> </w:t>
      </w:r>
      <w:r>
        <w:t xml:space="preserve">and consider whether expansion pricing should carry a modest uplift or be excluded from the MFC comparability base. Ensure the 5-year expansion right does not compound the MFC’s pricing constraint.</w:t>
      </w:r>
    </w:p>
    <w:bookmarkEnd w:id="40"/>
    <w:bookmarkStart w:id="41" w:name="vi.l-no-shop-risk-flag-13-medium"/>
    <w:p>
      <w:pPr>
        <w:pStyle w:val="Heading3"/>
      </w:pPr>
      <w:r>
        <w:t xml:space="preserve">VI.L No-Shop (Risk Flag #13) — Medium</w:t>
      </w:r>
    </w:p>
    <w:p>
      <w:pPr>
        <w:pStyle w:val="Compact"/>
        <w:numPr>
          <w:ilvl w:val="0"/>
          <w:numId w:val="1031"/>
        </w:numPr>
      </w:pPr>
      <w:r>
        <w:rPr>
          <w:b/>
          <w:bCs/>
        </w:rPr>
        <w:t xml:space="preserve">Scope tightly.</w:t>
      </w:r>
      <w:r>
        <w:t xml:space="preserve"> </w:t>
      </w:r>
      <w:r>
        <w:t xml:space="preserve">Ensure</w:t>
      </w:r>
      <w:r>
        <w:t xml:space="preserve"> </w:t>
      </w:r>
      <w:r>
        <w:t xml:space="preserve">“</w:t>
      </w:r>
      <w:r>
        <w:t xml:space="preserve">comparable … European industrial</w:t>
      </w:r>
      <w:r>
        <w:t xml:space="preserve">”</w:t>
      </w:r>
      <w:r>
        <w:t xml:space="preserve"> </w:t>
      </w:r>
      <w:r>
        <w:t xml:space="preserve">is narrowly defined so the 60-day no-shop does not chill the active European pipeline. Confirm the no-shop is limited to the 60-day window and does not extend to non-European or non-comparable opportunities.</w:t>
      </w:r>
    </w:p>
    <w:bookmarkEnd w:id="41"/>
    <w:bookmarkStart w:id="42" w:name="vi.m-low-risk-items-risk-flags-1417"/>
    <w:p>
      <w:pPr>
        <w:pStyle w:val="Heading3"/>
      </w:pPr>
      <w:r>
        <w:t xml:space="preserve">VI.M Low-Risk Items (Risk Flags #14–17)</w:t>
      </w:r>
    </w:p>
    <w:p>
      <w:pPr>
        <w:pStyle w:val="Compact"/>
        <w:numPr>
          <w:ilvl w:val="0"/>
          <w:numId w:val="1032"/>
        </w:numPr>
      </w:pPr>
      <w:r>
        <w:rPr>
          <w:b/>
          <w:bCs/>
        </w:rPr>
        <w:t xml:space="preserve">Retain</w:t>
      </w:r>
      <w:r>
        <w:t xml:space="preserve"> </w:t>
      </w:r>
      <w:r>
        <w:t xml:space="preserve">the</w:t>
      </w:r>
      <w:r>
        <w:t xml:space="preserve"> </w:t>
      </w:r>
      <w:r>
        <w:t xml:space="preserve">“</w:t>
      </w:r>
      <w:r>
        <w:t xml:space="preserve">commercially reasonable efforts</w:t>
      </w:r>
      <w:r>
        <w:t xml:space="preserve">”</w:t>
      </w:r>
      <w:r>
        <w:t xml:space="preserve"> </w:t>
      </w:r>
      <w:r>
        <w:t xml:space="preserve">SLA framing (§7.2);</w:t>
      </w:r>
      <w:r>
        <w:t xml:space="preserve"> </w:t>
      </w:r>
      <w:r>
        <w:rPr>
          <w:b/>
          <w:bCs/>
        </w:rPr>
        <w:t xml:space="preserve">tighten</w:t>
      </w:r>
      <w:r>
        <w:t xml:space="preserve"> </w:t>
      </w:r>
      <w:r>
        <w:t xml:space="preserve">authorized-user/sublicensing scope to the 43-facility deployment and equivalent confidentiality (§2);</w:t>
      </w:r>
      <w:r>
        <w:t xml:space="preserve"> </w:t>
      </w:r>
      <w:r>
        <w:rPr>
          <w:b/>
          <w:bCs/>
        </w:rPr>
        <w:t xml:space="preserve">confirm</w:t>
      </w:r>
      <w:r>
        <w:t xml:space="preserve"> </w:t>
      </w:r>
      <w:r>
        <w:t xml:space="preserve">VAT/reverse-charge mechanics across 12 jurisdictions and USD invoicing (§5.5–5.6); and</w:t>
      </w:r>
      <w:r>
        <w:t xml:space="preserve"> </w:t>
      </w:r>
      <w:r>
        <w:rPr>
          <w:b/>
          <w:bCs/>
        </w:rPr>
        <w:t xml:space="preserve">confirm</w:t>
      </w:r>
      <w:r>
        <w:t xml:space="preserve"> </w:t>
      </w:r>
      <w:r>
        <w:t xml:space="preserve">the late-payment interest rate’s enforceability under the chosen governing law (§5.5).</w:t>
      </w:r>
    </w:p>
    <w:p>
      <w:r>
        <w:pict>
          <v:rect style="width:0;height:1.5pt" o:hralign="center" o:hrstd="t" o:hr="t"/>
        </w:pict>
      </w:r>
    </w:p>
    <w:bookmarkEnd w:id="42"/>
    <w:bookmarkEnd w:id="43"/>
    <w:bookmarkStart w:id="44" w:name="X1594e52d501807aed06dab1724390f0a8f73af3"/>
    <w:p>
      <w:pPr>
        <w:pStyle w:val="Heading2"/>
      </w:pPr>
      <w:r>
        <w:t xml:space="preserve">VII. Recommended Negotiation Posture and Red Lines</w:t>
      </w:r>
    </w:p>
    <w:p>
      <w:pPr>
        <w:pStyle w:val="FirstParagraph"/>
      </w:pPr>
      <w:r>
        <w:rPr>
          <w:b/>
          <w:bCs/>
        </w:rPr>
        <w:t xml:space="preserve">Red lines (do not accept as drafted; fundamental restructuring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Red Line</w:t>
            </w:r>
          </w:p>
        </w:tc>
        <w:tc>
          <w:tcPr/>
          <w:p>
            <w:pPr>
              <w:pStyle w:val="Compact"/>
              <w:jc w:val="left"/>
            </w:pPr>
            <w:r>
              <w:t xml:space="preserve">Management Position</w:t>
            </w:r>
          </w:p>
        </w:tc>
      </w:tr>
      <w:tr>
        <w:tc>
          <w:tcPr/>
          <w:p>
            <w:pPr>
              <w:pStyle w:val="Compact"/>
              <w:jc w:val="left"/>
            </w:pPr>
            <w:r>
              <w:t xml:space="preserve">1</w:t>
            </w:r>
          </w:p>
        </w:tc>
        <w:tc>
          <w:tcPr/>
          <w:p>
            <w:pPr>
              <w:pStyle w:val="Compact"/>
              <w:jc w:val="left"/>
            </w:pPr>
            <w:r>
              <w:t xml:space="preserve">Blanket ban on anonymized/aggregated data use for model improvement (§4.3)</w:t>
            </w:r>
          </w:p>
        </w:tc>
        <w:tc>
          <w:tcPr/>
          <w:p>
            <w:pPr>
              <w:pStyle w:val="Compact"/>
              <w:jc w:val="left"/>
            </w:pPr>
            <w:r>
              <w:t xml:space="preserve">“</w:t>
            </w:r>
            <w:r>
              <w:t xml:space="preserve">Non-negotiable</w:t>
            </w:r>
            <w:r>
              <w:t xml:space="preserve">”</w:t>
            </w:r>
            <w:r>
              <w:t xml:space="preserve"> </w:t>
            </w:r>
            <w:r>
              <w:t xml:space="preserve">(Malhotra)</w:t>
            </w:r>
          </w:p>
        </w:tc>
      </w:tr>
      <w:tr>
        <w:tc>
          <w:tcPr/>
          <w:p>
            <w:pPr>
              <w:pStyle w:val="Compact"/>
              <w:jc w:val="left"/>
            </w:pPr>
            <w:r>
              <w:t xml:space="preserve">2</w:t>
            </w:r>
          </w:p>
        </w:tc>
        <w:tc>
          <w:tcPr/>
          <w:p>
            <w:pPr>
              <w:pStyle w:val="Compact"/>
              <w:jc w:val="left"/>
            </w:pPr>
            <w:r>
              <w:t xml:space="preserve">KBI ownership of model weights/parameters/training artifacts (§4.2)</w:t>
            </w:r>
          </w:p>
        </w:tc>
        <w:tc>
          <w:tcPr/>
          <w:p>
            <w:pPr>
              <w:pStyle w:val="Compact"/>
              <w:jc w:val="left"/>
            </w:pPr>
            <w:r>
              <w:t xml:space="preserve">“</w:t>
            </w:r>
            <w:r>
              <w:t xml:space="preserve">Must be struck or fundamentally restructured</w:t>
            </w:r>
            <w:r>
              <w:t xml:space="preserve">”</w:t>
            </w:r>
            <w:r>
              <w:t xml:space="preserve"> </w:t>
            </w:r>
            <w:r>
              <w:t xml:space="preserve">(Malhotra)</w:t>
            </w:r>
          </w:p>
        </w:tc>
      </w:tr>
      <w:tr>
        <w:tc>
          <w:tcPr/>
          <w:p>
            <w:pPr>
              <w:pStyle w:val="Compact"/>
              <w:jc w:val="left"/>
            </w:pPr>
            <w:r>
              <w:t xml:space="preserve">3</w:t>
            </w:r>
          </w:p>
        </w:tc>
        <w:tc>
          <w:tcPr/>
          <w:p>
            <w:pPr>
              <w:pStyle w:val="Compact"/>
              <w:jc w:val="left"/>
            </w:pPr>
            <w:r>
              <w:t xml:space="preserve">Open-ended 30% revenue exclusivity test (§12.2(b))</w:t>
            </w:r>
          </w:p>
        </w:tc>
        <w:tc>
          <w:tcPr/>
          <w:p>
            <w:pPr>
              <w:pStyle w:val="Compact"/>
              <w:jc w:val="left"/>
            </w:pPr>
            <w:r>
              <w:t xml:space="preserve">“</w:t>
            </w:r>
            <w:r>
              <w:t xml:space="preserve">Has to go entirely</w:t>
            </w:r>
            <w:r>
              <w:t xml:space="preserve">”</w:t>
            </w:r>
            <w:r>
              <w:t xml:space="preserve"> </w:t>
            </w:r>
            <w:r>
              <w:t xml:space="preserve">(Malhotra)</w:t>
            </w:r>
          </w:p>
        </w:tc>
      </w:tr>
      <w:tr>
        <w:tc>
          <w:tcPr/>
          <w:p>
            <w:pPr>
              <w:pStyle w:val="Compact"/>
              <w:jc w:val="left"/>
            </w:pPr>
            <w:r>
              <w:t xml:space="preserve">4</w:t>
            </w:r>
          </w:p>
        </w:tc>
        <w:tc>
          <w:tcPr/>
          <w:p>
            <w:pPr>
              <w:pStyle w:val="Compact"/>
              <w:jc w:val="left"/>
            </w:pPr>
            <w:r>
              <w:t xml:space="preserve">MFC with no carve-outs, no sunset, retroactive, perpetual via wind-down (Side Letter §2)</w:t>
            </w:r>
          </w:p>
        </w:tc>
        <w:tc>
          <w:tcPr/>
          <w:p>
            <w:pPr>
              <w:pStyle w:val="Compact"/>
              <w:jc w:val="left"/>
            </w:pPr>
            <w:r>
              <w:t xml:space="preserve">“</w:t>
            </w:r>
            <w:r>
              <w:t xml:space="preserve">Most aggressive MFC I’ve seen</w:t>
            </w:r>
            <w:r>
              <w:t xml:space="preserve">”</w:t>
            </w:r>
            <w:r>
              <w:t xml:space="preserve"> </w:t>
            </w:r>
            <w:r>
              <w:t xml:space="preserve">(Yin)</w:t>
            </w:r>
          </w:p>
        </w:tc>
      </w:tr>
    </w:tbl>
    <w:p>
      <w:pPr>
        <w:pStyle w:val="BodyText"/>
      </w:pPr>
      <w:r>
        <w:rPr>
          <w:b/>
          <w:bCs/>
        </w:rPr>
        <w:t xml:space="preserve">High-priority renegotiation (material changes required, but not necessarily walk-away):</w:t>
      </w:r>
    </w:p>
    <w:p>
      <w:pPr>
        <w:pStyle w:val="Compact"/>
        <w:numPr>
          <w:ilvl w:val="0"/>
          <w:numId w:val="1033"/>
        </w:numPr>
      </w:pPr>
      <w:r>
        <w:t xml:space="preserve">Uncapped IP indemnification (§9.1) — seek cap and insurance.</w:t>
      </w:r>
    </w:p>
    <w:p>
      <w:pPr>
        <w:pStyle w:val="Compact"/>
        <w:numPr>
          <w:ilvl w:val="0"/>
          <w:numId w:val="1033"/>
        </w:numPr>
      </w:pPr>
      <w:r>
        <w:t xml:space="preserve">Perpetual wind-down license eroding recurring revenue (§13.5) — seek time-limited transition; no wind-down on convenience termination.</w:t>
      </w:r>
    </w:p>
    <w:p>
      <w:pPr>
        <w:pStyle w:val="Compact"/>
        <w:numPr>
          <w:ilvl w:val="0"/>
          <w:numId w:val="1033"/>
        </w:numPr>
      </w:pPr>
      <w:r>
        <w:t xml:space="preserve">Joint ownership of derivatives and feedback/improvements tension (§2/§3.3, §3.4/§3.5) — seek Whitmore ownership with use license to KBI.</w:t>
      </w:r>
    </w:p>
    <w:p>
      <w:pPr>
        <w:pStyle w:val="Compact"/>
        <w:numPr>
          <w:ilvl w:val="0"/>
          <w:numId w:val="1033"/>
        </w:numPr>
      </w:pPr>
      <w:r>
        <w:t xml:space="preserve">92% performance warranty with penalties (§8.2/§8.3) — soften, add exclusions, independent measurement.</w:t>
      </w:r>
    </w:p>
    <w:p>
      <w:pPr>
        <w:pStyle w:val="Compact"/>
        <w:numPr>
          <w:ilvl w:val="0"/>
          <w:numId w:val="1033"/>
        </w:numPr>
      </w:pPr>
      <w:r>
        <w:t xml:space="preserve">Source-code escrow triggers and post-release license (§11) — tighten triggers, limit post-release license.</w:t>
      </w:r>
    </w:p>
    <w:p>
      <w:pPr>
        <w:pStyle w:val="Compact"/>
        <w:numPr>
          <w:ilvl w:val="0"/>
          <w:numId w:val="1033"/>
        </w:numPr>
      </w:pPr>
      <w:r>
        <w:t xml:space="preserve">German governing law (§14.1) — seek Washington or neutral governing law.</w:t>
      </w:r>
    </w:p>
    <w:p>
      <w:pPr>
        <w:pStyle w:val="FirstParagraph"/>
      </w:pPr>
      <w:r>
        <w:rPr>
          <w:b/>
          <w:bCs/>
        </w:rPr>
        <w:t xml:space="preserve">Negotiable (targeted improvements):</w:t>
      </w:r>
    </w:p>
    <w:p>
      <w:pPr>
        <w:pStyle w:val="Compact"/>
        <w:numPr>
          <w:ilvl w:val="0"/>
          <w:numId w:val="1034"/>
        </w:numPr>
      </w:pPr>
      <w:r>
        <w:t xml:space="preserve">Payment split 30/40/30 → 40/30/30; front-load implementation fees; separate SOW (§5).</w:t>
      </w:r>
    </w:p>
    <w:p>
      <w:pPr>
        <w:pStyle w:val="Compact"/>
        <w:numPr>
          <w:ilvl w:val="0"/>
          <w:numId w:val="1034"/>
        </w:numPr>
      </w:pPr>
      <w:r>
        <w:t xml:space="preserve">Mutual termination-for-convenience and assignment rights (§13.3, §16.6).</w:t>
      </w:r>
    </w:p>
    <w:p>
      <w:pPr>
        <w:pStyle w:val="Compact"/>
        <w:numPr>
          <w:ilvl w:val="0"/>
          <w:numId w:val="1034"/>
        </w:numPr>
      </w:pPr>
      <w:r>
        <w:t xml:space="preserve">Expansion-pricing/MFC interaction modeling (§5.7).</w:t>
      </w:r>
    </w:p>
    <w:p>
      <w:pPr>
        <w:pStyle w:val="Compact"/>
        <w:numPr>
          <w:ilvl w:val="0"/>
          <w:numId w:val="1034"/>
        </w:numPr>
      </w:pPr>
      <w:r>
        <w:t xml:space="preserve">No-shop scoping (§16.2).</w:t>
      </w:r>
    </w:p>
    <w:p>
      <w:pPr>
        <w:pStyle w:val="Compact"/>
        <w:numPr>
          <w:ilvl w:val="0"/>
          <w:numId w:val="1034"/>
        </w:numPr>
      </w:pPr>
      <w:r>
        <w:t xml:space="preserve">Low-risk clean-up items (§7.2, §2, §5.5–5.6).</w:t>
      </w:r>
    </w:p>
    <w:p>
      <w:pPr>
        <w:pStyle w:val="FirstParagraph"/>
      </w:pPr>
      <w:r>
        <w:rPr>
          <w:b/>
          <w:bCs/>
        </w:rPr>
        <w:t xml:space="preserve">Strategic posture.</w:t>
      </w:r>
      <w:r>
        <w:t xml:space="preserve"> </w:t>
      </w:r>
      <w:r>
        <w:t xml:space="preserve">Consistent with Mr. Malhotra’s framing: pursue aggressively, but do not trade Whitmore’s core IP or data-driven model-improvement model for a single contract. The deal is transformational</w:t>
      </w:r>
      <w:r>
        <w:t xml:space="preserve"> </w:t>
      </w:r>
      <w:r>
        <w:rPr>
          <w:b/>
          <w:bCs/>
        </w:rPr>
        <w:t xml:space="preserve">only if</w:t>
      </w:r>
      <w:r>
        <w:t xml:space="preserve"> </w:t>
      </w:r>
      <w:r>
        <w:t xml:space="preserve">the terms do not handcuff Whitmore’s future. The Board should authorize management to deliver a substantive, restructured counter-proposal to KBI on or before June 23, 2025, holding the four red lines and seeking the high-priority renegotiations above.</w:t>
      </w:r>
    </w:p>
    <w:p>
      <w:r>
        <w:pict>
          <v:rect style="width:0;height:1.5pt" o:hralign="center" o:hrstd="t" o:hr="t"/>
        </w:pict>
      </w:r>
    </w:p>
    <w:bookmarkEnd w:id="44"/>
    <w:bookmarkStart w:id="45" w:name="viii.-process-and-next-steps"/>
    <w:p>
      <w:pPr>
        <w:pStyle w:val="Heading2"/>
      </w:pPr>
      <w:r>
        <w:t xml:space="preserve">VIII. Process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Board review and approval of negotiation framework (this memorandum)</w:t>
            </w:r>
          </w:p>
        </w:tc>
        <w:tc>
          <w:tcPr/>
          <w:p>
            <w:pPr>
              <w:pStyle w:val="Compact"/>
              <w:jc w:val="left"/>
            </w:pPr>
            <w:r>
              <w:t xml:space="preserve">Board</w:t>
            </w:r>
          </w:p>
        </w:tc>
        <w:tc>
          <w:tcPr/>
          <w:p>
            <w:pPr>
              <w:pStyle w:val="Compact"/>
              <w:jc w:val="left"/>
            </w:pPr>
            <w:r>
              <w:t xml:space="preserve">June 18, 2025</w:t>
            </w:r>
          </w:p>
        </w:tc>
      </w:tr>
      <w:tr>
        <w:tc>
          <w:tcPr/>
          <w:p>
            <w:pPr>
              <w:pStyle w:val="Compact"/>
              <w:jc w:val="left"/>
            </w:pPr>
            <w:r>
              <w:t xml:space="preserve">Thursday alignment call on negotiation red lines</w:t>
            </w:r>
          </w:p>
        </w:tc>
        <w:tc>
          <w:tcPr/>
          <w:p>
            <w:pPr>
              <w:pStyle w:val="Compact"/>
              <w:jc w:val="left"/>
            </w:pPr>
            <w:r>
              <w:t xml:space="preserve">Malhotra, Yin, Kendrick</w:t>
            </w:r>
          </w:p>
        </w:tc>
        <w:tc>
          <w:tcPr/>
          <w:p>
            <w:pPr>
              <w:pStyle w:val="Compact"/>
              <w:jc w:val="left"/>
            </w:pPr>
            <w:r>
              <w:t xml:space="preserve">June 5, 2025 (per management)</w:t>
            </w:r>
          </w:p>
        </w:tc>
      </w:tr>
      <w:tr>
        <w:tc>
          <w:tcPr/>
          <w:p>
            <w:pPr>
              <w:pStyle w:val="Compact"/>
              <w:jc w:val="left"/>
            </w:pPr>
            <w:r>
              <w:t xml:space="preserve">One-page European pipeline impact summary for board deck</w:t>
            </w:r>
          </w:p>
        </w:tc>
        <w:tc>
          <w:tcPr/>
          <w:p>
            <w:pPr>
              <w:pStyle w:val="Compact"/>
              <w:jc w:val="left"/>
            </w:pPr>
            <w:r>
              <w:t xml:space="preserve">Kendrick</w:t>
            </w:r>
          </w:p>
        </w:tc>
        <w:tc>
          <w:tcPr/>
          <w:p>
            <w:pPr>
              <w:pStyle w:val="Compact"/>
              <w:jc w:val="left"/>
            </w:pPr>
            <w:r>
              <w:t xml:space="preserve">On or before June 18</w:t>
            </w:r>
          </w:p>
        </w:tc>
      </w:tr>
      <w:tr>
        <w:tc>
          <w:tcPr/>
          <w:p>
            <w:pPr>
              <w:pStyle w:val="Compact"/>
              <w:jc w:val="left"/>
            </w:pPr>
            <w:r>
              <w:t xml:space="preserve">Detailed cash-flow model of revised 40/30/30 + front-loaded implementation</w:t>
            </w:r>
          </w:p>
        </w:tc>
        <w:tc>
          <w:tcPr/>
          <w:p>
            <w:pPr>
              <w:pStyle w:val="Compact"/>
              <w:jc w:val="left"/>
            </w:pPr>
            <w:r>
              <w:t xml:space="preserve">Kendrick / Finance</w:t>
            </w:r>
          </w:p>
        </w:tc>
        <w:tc>
          <w:tcPr/>
          <w:p>
            <w:pPr>
              <w:pStyle w:val="Compact"/>
              <w:jc w:val="left"/>
            </w:pPr>
            <w:r>
              <w:t xml:space="preserve">On or before June 18</w:t>
            </w:r>
          </w:p>
        </w:tc>
      </w:tr>
      <w:tr>
        <w:tc>
          <w:tcPr/>
          <w:p>
            <w:pPr>
              <w:pStyle w:val="Compact"/>
              <w:jc w:val="left"/>
            </w:pPr>
            <w:r>
              <w:t xml:space="preserve">Specialist advice on German governing law (and alternative jurisdictions)</w:t>
            </w:r>
          </w:p>
        </w:tc>
        <w:tc>
          <w:tcPr/>
          <w:p>
            <w:pPr>
              <w:pStyle w:val="Compact"/>
              <w:jc w:val="left"/>
            </w:pPr>
            <w:r>
              <w:t xml:space="preserve">Ferndale Hale &amp; Seward</w:t>
            </w:r>
          </w:p>
        </w:tc>
        <w:tc>
          <w:tcPr/>
          <w:p>
            <w:pPr>
              <w:pStyle w:val="Compact"/>
              <w:jc w:val="left"/>
            </w:pPr>
            <w:r>
              <w:t xml:space="preserve">On or before June 20</w:t>
            </w:r>
          </w:p>
        </w:tc>
      </w:tr>
      <w:tr>
        <w:tc>
          <w:tcPr/>
          <w:p>
            <w:pPr>
              <w:pStyle w:val="Compact"/>
              <w:jc w:val="left"/>
            </w:pPr>
            <w:r>
              <w:t xml:space="preserve">ASC 606 revenue-recognition review (linear vs. milestone implementation fees)</w:t>
            </w:r>
          </w:p>
        </w:tc>
        <w:tc>
          <w:tcPr/>
          <w:p>
            <w:pPr>
              <w:pStyle w:val="Compact"/>
              <w:jc w:val="left"/>
            </w:pPr>
            <w:r>
              <w:t xml:space="preserve">Yin / Lakeshore Accounting Group LLP</w:t>
            </w:r>
          </w:p>
        </w:tc>
        <w:tc>
          <w:tcPr/>
          <w:p>
            <w:pPr>
              <w:pStyle w:val="Compact"/>
              <w:jc w:val="left"/>
            </w:pPr>
            <w:r>
              <w:t xml:space="preserve">On or before June 20</w:t>
            </w:r>
          </w:p>
        </w:tc>
      </w:tr>
      <w:tr>
        <w:tc>
          <w:tcPr/>
          <w:p>
            <w:pPr>
              <w:pStyle w:val="Compact"/>
              <w:jc w:val="left"/>
            </w:pPr>
            <w:r>
              <w:t xml:space="preserve">IP infringement insurance options (to support capping the IP indemnity)</w:t>
            </w:r>
          </w:p>
        </w:tc>
        <w:tc>
          <w:tcPr/>
          <w:p>
            <w:pPr>
              <w:pStyle w:val="Compact"/>
              <w:jc w:val="left"/>
            </w:pPr>
            <w:r>
              <w:t xml:space="preserve">Yin / Ferndale Hale</w:t>
            </w:r>
          </w:p>
        </w:tc>
        <w:tc>
          <w:tcPr/>
          <w:p>
            <w:pPr>
              <w:pStyle w:val="Compact"/>
              <w:jc w:val="left"/>
            </w:pPr>
            <w:r>
              <w:t xml:space="preserve">On or before June 20</w:t>
            </w:r>
          </w:p>
        </w:tc>
      </w:tr>
      <w:tr>
        <w:tc>
          <w:tcPr/>
          <w:p>
            <w:pPr>
              <w:pStyle w:val="Compact"/>
              <w:jc w:val="left"/>
            </w:pPr>
            <w:r>
              <w:t xml:space="preserve">Deliver substantive counter-proposal to KBI</w:t>
            </w:r>
          </w:p>
        </w:tc>
        <w:tc>
          <w:tcPr/>
          <w:p>
            <w:pPr>
              <w:pStyle w:val="Compact"/>
              <w:jc w:val="left"/>
            </w:pPr>
            <w:r>
              <w:t xml:space="preserve">Yin / Ferndale Hale</w:t>
            </w:r>
          </w:p>
        </w:tc>
        <w:tc>
          <w:tcPr/>
          <w:p>
            <w:pPr>
              <w:pStyle w:val="Compact"/>
              <w:jc w:val="left"/>
            </w:pPr>
            <w:r>
              <w:rPr>
                <w:b/>
                <w:bCs/>
              </w:rPr>
              <w:t xml:space="preserve">On or before June 23, 2025</w:t>
            </w:r>
          </w:p>
        </w:tc>
      </w:tr>
      <w:tr>
        <w:tc>
          <w:tcPr/>
          <w:p>
            <w:pPr>
              <w:pStyle w:val="Compact"/>
              <w:jc w:val="left"/>
            </w:pPr>
            <w:r>
              <w:t xml:space="preserve">Targeted definitive agreement execution</w:t>
            </w:r>
          </w:p>
        </w:tc>
        <w:tc>
          <w:tcPr/>
          <w:p>
            <w:pPr>
              <w:pStyle w:val="Compact"/>
              <w:jc w:val="left"/>
            </w:pPr>
            <w:r>
              <w:t xml:space="preserve">Both parties</w:t>
            </w:r>
          </w:p>
        </w:tc>
        <w:tc>
          <w:tcPr/>
          <w:p>
            <w:pPr>
              <w:pStyle w:val="Compact"/>
              <w:jc w:val="left"/>
            </w:pPr>
            <w:r>
              <w:t xml:space="preserve">August 15, 2025</w:t>
            </w:r>
          </w:p>
        </w:tc>
      </w:tr>
      <w:tr>
        <w:tc>
          <w:tcPr/>
          <w:p>
            <w:pPr>
              <w:pStyle w:val="Compact"/>
              <w:jc w:val="left"/>
            </w:pPr>
            <w:r>
              <w:t xml:space="preserve">Phase 1 implementation start</w:t>
            </w:r>
          </w:p>
        </w:tc>
        <w:tc>
          <w:tcPr/>
          <w:p>
            <w:pPr>
              <w:pStyle w:val="Compact"/>
              <w:jc w:val="left"/>
            </w:pPr>
            <w:r>
              <w:t xml:space="preserve">Both parties</w:t>
            </w:r>
          </w:p>
        </w:tc>
        <w:tc>
          <w:tcPr/>
          <w:p>
            <w:pPr>
              <w:pStyle w:val="Compact"/>
              <w:jc w:val="left"/>
            </w:pPr>
            <w:r>
              <w:t xml:space="preserve">September 15, 2025</w:t>
            </w:r>
          </w:p>
        </w:tc>
      </w:tr>
    </w:tbl>
    <w:p>
      <w:pPr>
        <w:pStyle w:val="BodyText"/>
      </w:pPr>
      <w:r>
        <w:rPr>
          <w:b/>
          <w:bCs/>
        </w:rPr>
        <w:t xml:space="preserve">Open items for definitive-agreement review (flagged for later phases):</w:t>
      </w:r>
      <w:r>
        <w:t xml:space="preserve"> </w:t>
      </w:r>
      <w:r>
        <w:t xml:space="preserve">Exhibit A technical specification and minimum system requirements; Exhibit B named-competitor list (to be negotiated); data-protection addendum (GDPR/German law) and standard contractual clauses for any cross-border data transfers; security and incident-response requirements; audit/verification mechanics for the escrow deposit; and the precise commencement dates for SaaS</w:t>
      </w:r>
      <w:r>
        <w:t xml:space="preserve"> </w:t>
      </w:r>
      <w:r>
        <w:t xml:space="preserve">“</w:t>
      </w:r>
      <w:r>
        <w:t xml:space="preserve">Year 1</w:t>
      </w:r>
      <w:r>
        <w:t xml:space="preserve">”</w:t>
      </w:r>
      <w:r>
        <w:t xml:space="preserve"> </w:t>
      </w:r>
      <w:r>
        <w:t xml:space="preserve">and maintenance.</w:t>
      </w:r>
    </w:p>
    <w:p>
      <w:r>
        <w:pict>
          <v:rect style="width:0;height:1.5pt" o:hralign="center" o:hrstd="t" o:hr="t"/>
        </w:pict>
      </w:r>
    </w:p>
    <w:bookmarkEnd w:id="45"/>
    <w:bookmarkStart w:id="46" w:name="ix.-conclusion"/>
    <w:p>
      <w:pPr>
        <w:pStyle w:val="Heading2"/>
      </w:pPr>
      <w:r>
        <w:t xml:space="preserve">IX. Conclusion</w:t>
      </w:r>
    </w:p>
    <w:p>
      <w:pPr>
        <w:pStyle w:val="FirstParagraph"/>
      </w:pPr>
      <w:r>
        <w:t xml:space="preserve">The KBI opportunity is strategically significant — approximately $9.56M in first-year revenue (~20% of FY 2024 revenue), a flagship European reference account, and a centerpiece of the Series C narrative. However, the Proposed Terms as drafted are KBI-favorable to a degree that would, if accepted, materially impair Whitmore’s core IP, its data-driven product-improvement model, its European go-to-market freedom, and the recurring-revenue economics that make the deal attractive. Three provisions are dealbreakers as drafted (the data-training/Output Data regime, the open-ended exclusivity, and the MFC side letter), and six additional provisions present high-severity exposure.</w:t>
      </w:r>
    </w:p>
    <w:p>
      <w:pPr>
        <w:pStyle w:val="BodyText"/>
      </w:pPr>
      <w:r>
        <w:t xml:space="preserve">We recommend that the Board</w:t>
      </w:r>
      <w:r>
        <w:t xml:space="preserve"> </w:t>
      </w:r>
      <w:r>
        <w:rPr>
          <w:b/>
          <w:bCs/>
        </w:rPr>
        <w:t xml:space="preserve">authorize management to pursue the transaction on a restructured basis</w:t>
      </w:r>
      <w:r>
        <w:t xml:space="preserve">, holding the four red lines identified in Section VII and seeking the high-priority renegotiations set forth in Section VI, with a substantive counter-proposal delivered to KBI on or before June 23, 2025. We are available to support management in preparing the counter-proposal and to coordinate specialist advice on the governing-law and IP-insurance questions.</w:t>
      </w:r>
    </w:p>
    <w:p>
      <w:pPr>
        <w:pStyle w:val="BodyText"/>
      </w:pPr>
      <w:r>
        <w:t xml:space="preserve">This memorandum is preliminary, prepared in anticipation of litigation and at the request of counsel, and should be treated as attorney–client privileged and confidential. It does not constitute a definitive-agreement review.</w:t>
      </w:r>
    </w:p>
    <w:p>
      <w:pPr>
        <w:pStyle w:val="BodyText"/>
      </w:pPr>
      <w:r>
        <w:rPr>
          <w:i/>
          <w:iCs/>
        </w:rPr>
        <w:t xml:space="preserve">Respectfully submitted,</w:t>
      </w:r>
    </w:p>
    <w:p>
      <w:pPr>
        <w:pStyle w:val="BodyText"/>
      </w:pPr>
      <w:r>
        <w:rPr>
          <w:b/>
          <w:bCs/>
        </w:rPr>
        <w:t xml:space="preserve">Ferndale Hale &amp; Seward LLP</w:t>
      </w:r>
    </w:p>
    <w:p>
      <w:pPr>
        <w:pStyle w:val="BodyText"/>
      </w:pPr>
      <w:r>
        <w:t xml:space="preserve">Daniel Cortez</w:t>
      </w:r>
    </w:p>
    <w:p>
      <w:pPr>
        <w:pStyle w:val="BodyText"/>
      </w:pPr>
      <w:r>
        <w:t xml:space="preserve">Priya Venkatesh</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szCs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Key-Terms Extraction and Risk Assessment</dc:title>
  <dc:creator/>
  <cp:keywords/>
  <dcterms:created xsi:type="dcterms:W3CDTF">2026-06-28T18:25:25Z</dcterms:created>
  <dcterms:modified xsi:type="dcterms:W3CDTF">2026-06-28T18:25:25Z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Proposed PredictIQ Technology License Agreement with Kessler-Brandt Industrial GmbH and Related Most-Favored-Customer Side Letter</vt:lpwstr>
  </property>
</Properties>
</file>