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p>
      <w:pPr>
        <w:pStyle w:val="FirstParagraph"/>
      </w:pPr>
      <w:r>
        <w:rPr>
          <w:b/>
          <w:bCs/>
        </w:rPr>
        <w:t xml:space="preserve">Prepared at the request of Whitmore Analytics Inc. in anticipation of negotiation and for Board deliberations. Do not distribute outside the Board, executive management, and Whitmore’s outside professional advisors without General Counsel approval.</w:t>
      </w:r>
    </w:p>
    <w:p>
      <w:r>
        <w:pict>
          <v:rect style="width:0;height:1.5pt" o:hralign="center" o:hrstd="t" o:hr="t"/>
        </w:pict>
      </w:r>
    </w:p>
    <w:bookmarkEnd w:id="20"/>
    <w:bookmarkStart w:id="60" w:name="ferndale-hale-seward-llp"/>
    <w:p>
      <w:pPr>
        <w:pStyle w:val="Heading1"/>
      </w:pPr>
      <w:r>
        <w:t xml:space="preserve">FERNDALE HALE &amp; SEWARD LLP</w:t>
      </w:r>
    </w:p>
    <w:bookmarkStart w:id="21" w:name="memorandum"/>
    <w:p>
      <w:pPr>
        <w:pStyle w:val="Heading2"/>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Board of Directors, Whitmore Analytics Inc.</w:t>
            </w:r>
          </w:p>
        </w:tc>
      </w:tr>
      <w:tr>
        <w:tc>
          <w:tcPr/>
          <w:p>
            <w:pPr>
              <w:pStyle w:val="Compact"/>
              <w:jc w:val="left"/>
            </w:pPr>
            <w:r>
              <w:rPr>
                <w:b/>
                <w:bCs/>
              </w:rPr>
              <w:t xml:space="preserve">CC:</w:t>
            </w:r>
          </w:p>
        </w:tc>
        <w:tc>
          <w:tcPr/>
          <w:p>
            <w:pPr>
              <w:pStyle w:val="Compact"/>
              <w:jc w:val="left"/>
            </w:pPr>
            <w:r>
              <w:t xml:space="preserve">Rajesh Malhotra, Chief Executive Officer; Sarah Yin, General Counsel; Tom Kendrick, Vice President, Sales</w:t>
            </w:r>
          </w:p>
        </w:tc>
      </w:tr>
      <w:tr>
        <w:tc>
          <w:tcPr/>
          <w:p>
            <w:pPr>
              <w:pStyle w:val="Compact"/>
              <w:jc w:val="left"/>
            </w:pPr>
            <w:r>
              <w:rPr>
                <w:b/>
                <w:bCs/>
              </w:rPr>
              <w:t xml:space="preserve">FROM:</w:t>
            </w:r>
          </w:p>
        </w:tc>
        <w:tc>
          <w:tcPr/>
          <w:p>
            <w:pPr>
              <w:pStyle w:val="Compact"/>
              <w:jc w:val="left"/>
            </w:pPr>
            <w:r>
              <w:t xml:space="preserve">Daniel Cortez &amp; Priya Venkatesh, Partners — Ferndale Hale &amp; Seward LLP</w:t>
            </w:r>
          </w:p>
        </w:tc>
      </w:tr>
      <w:tr>
        <w:tc>
          <w:tcPr/>
          <w:p>
            <w:pPr>
              <w:pStyle w:val="Compact"/>
              <w:jc w:val="left"/>
            </w:pPr>
            <w:r>
              <w:rPr>
                <w:b/>
                <w:bCs/>
              </w:rPr>
              <w:t xml:space="preserve">DATE:</w:t>
            </w:r>
          </w:p>
        </w:tc>
        <w:tc>
          <w:tcPr/>
          <w:p>
            <w:pPr>
              <w:pStyle w:val="Compact"/>
              <w:jc w:val="left"/>
            </w:pPr>
            <w:r>
              <w:t xml:space="preserve">June 16, 2025</w:t>
            </w:r>
          </w:p>
        </w:tc>
      </w:tr>
      <w:tr>
        <w:tc>
          <w:tcPr/>
          <w:p>
            <w:pPr>
              <w:pStyle w:val="Compact"/>
              <w:jc w:val="left"/>
            </w:pPr>
            <w:r>
              <w:rPr>
                <w:b/>
                <w:bCs/>
              </w:rPr>
              <w:t xml:space="preserve">RE:</w:t>
            </w:r>
          </w:p>
        </w:tc>
        <w:tc>
          <w:tcPr/>
          <w:p>
            <w:pPr>
              <w:pStyle w:val="Compact"/>
              <w:jc w:val="left"/>
            </w:pPr>
            <w:r>
              <w:t xml:space="preserve">Key-Terms Extraction, Risk Analysis, and Negotiation Recommendations — Proposed PredictIQ Technology License Agreement with Kessler-Brandt Industrial GmbH (Non-Binding Term Sheet and Most-Favored-Customer Side Letter, both dated May 29, 2025)</w:t>
            </w:r>
          </w:p>
        </w:tc>
      </w:tr>
    </w:tbl>
    <w:p>
      <w:r>
        <w:pict>
          <v:rect style="width:0;height:1.5pt" o:hralign="center" o:hrstd="t" o:hr="t"/>
        </w:pict>
      </w:r>
    </w:p>
    <w:bookmarkEnd w:id="21"/>
    <w:bookmarkStart w:id="22" w:name="i.-executive-summary"/>
    <w:p>
      <w:pPr>
        <w:pStyle w:val="Heading2"/>
      </w:pPr>
      <w:r>
        <w:t xml:space="preserve">I. Executive Summary</w:t>
      </w:r>
    </w:p>
    <w:p>
      <w:pPr>
        <w:pStyle w:val="FirstParagraph"/>
      </w:pPr>
      <w:r>
        <w:rPr>
          <w:b/>
          <w:bCs/>
        </w:rPr>
        <w:t xml:space="preserve">The opportunity.</w:t>
      </w:r>
      <w:r>
        <w:t xml:space="preserve"> </w:t>
      </w:r>
      <w:r>
        <w:t xml:space="preserve">Kessler-Brandt Industrial GmbH (</w:t>
      </w:r>
      <w:r>
        <w:t xml:space="preserve">“</w:t>
      </w:r>
      <w:r>
        <w:t xml:space="preserve">KBI</w:t>
      </w:r>
      <w:r>
        <w:t xml:space="preserve">”</w:t>
      </w:r>
      <w:r>
        <w:t xml:space="preserve">) has proposed a perpetual, non-exclusive license of Whitmore’s PredictIQ platform for deployment across up to 43 manufacturing facilities in 12 European countries as the anchor of its</w:t>
      </w:r>
      <w:r>
        <w:t xml:space="preserve"> </w:t>
      </w:r>
      <w:r>
        <w:t xml:space="preserve">“</w:t>
      </w:r>
      <w:r>
        <w:t xml:space="preserve">SmartFactory 2030</w:t>
      </w:r>
      <w:r>
        <w:t xml:space="preserve">”</w:t>
      </w:r>
      <w:r>
        <w:t xml:space="preserve"> </w:t>
      </w:r>
      <w:r>
        <w:t xml:space="preserve">initiative. The deal would generate approximately</w:t>
      </w:r>
      <w:r>
        <w:t xml:space="preserve"> </w:t>
      </w:r>
      <w:r>
        <w:rPr>
          <w:b/>
          <w:bCs/>
        </w:rPr>
        <w:t xml:space="preserve">$9.56 million in first-year revenue</w:t>
      </w:r>
      <w:r>
        <w:t xml:space="preserve"> </w:t>
      </w:r>
      <w:r>
        <w:t xml:space="preserve">(roughly 20% of Whitmore’s FY 2024 revenue of $47.3M), including a recurring SaaS component of $2.85M/year — approximately three times Whitmore’s largest existing SaaS contract. KBI is the reference account that validates PredictIQ in European heavy manufacturing and is expected to be the centerpiece of any Series C narrative to Hollcroft Ventures and other investors. Management is unanimous that the deal is strategically transformational and should be pursued aggressively.</w:t>
      </w:r>
    </w:p>
    <w:p>
      <w:pPr>
        <w:pStyle w:val="BodyText"/>
      </w:pPr>
      <w:r>
        <w:rPr>
          <w:b/>
          <w:bCs/>
        </w:rPr>
        <w:t xml:space="preserve">The problem.</w:t>
      </w:r>
      <w:r>
        <w:t xml:space="preserve"> </w:t>
      </w:r>
      <w:r>
        <w:t xml:space="preserve">The term sheet and accompanying most-favored-customer (</w:t>
      </w:r>
      <w:r>
        <w:t xml:space="preserve">“</w:t>
      </w:r>
      <w:r>
        <w:t xml:space="preserve">MFC</w:t>
      </w:r>
      <w:r>
        <w:t xml:space="preserve">”</w:t>
      </w:r>
      <w:r>
        <w:t xml:space="preserve">) side letter — both prepared by KBI’s counsel (Bergström Hecht Rechtsanwälte, Dr. Luisa Trautmann) — contain several provisions that, if accepted as drafted, would materially compromise Whitmore’s core intellectual property, its business model, and its growth trajectory. Three provisions rise to the level of</w:t>
      </w:r>
      <w:r>
        <w:t xml:space="preserve"> </w:t>
      </w:r>
      <w:r>
        <w:rPr>
          <w:b/>
          <w:bCs/>
        </w:rPr>
        <w:t xml:space="preserve">dealbreakers</w:t>
      </w:r>
      <w:r>
        <w:t xml:space="preserve"> </w:t>
      </w:r>
      <w:r>
        <w:t xml:space="preserve">unless fundamentally restructured:</w:t>
      </w:r>
    </w:p>
    <w:p>
      <w:pPr>
        <w:numPr>
          <w:ilvl w:val="0"/>
          <w:numId w:val="1001"/>
        </w:numPr>
      </w:pPr>
      <w:r>
        <w:rPr>
          <w:b/>
          <w:bCs/>
        </w:rPr>
        <w:t xml:space="preserve">Exclusivity / Non-Compete (Term Sheet §12).</w:t>
      </w:r>
      <w:r>
        <w:t xml:space="preserve"> </w:t>
      </w:r>
      <w:r>
        <w:t xml:space="preserve">A three-year prohibition on licensing PredictIQ (or any</w:t>
      </w:r>
      <w:r>
        <w:t xml:space="preserve"> </w:t>
      </w:r>
      <w:r>
        <w:t xml:space="preserve">“</w:t>
      </w:r>
      <w:r>
        <w:t xml:space="preserve">substantially similar</w:t>
      </w:r>
      <w:r>
        <w:t xml:space="preserve">”</w:t>
      </w:r>
      <w:r>
        <w:t xml:space="preserve"> </w:t>
      </w:r>
      <w:r>
        <w:t xml:space="preserve">successor) to any</w:t>
      </w:r>
      <w:r>
        <w:t xml:space="preserve"> </w:t>
      </w:r>
      <w:r>
        <w:t xml:space="preserve">“</w:t>
      </w:r>
      <w:r>
        <w:t xml:space="preserve">Direct Competitor</w:t>
      </w:r>
      <w:r>
        <w:t xml:space="preserve">”</w:t>
      </w:r>
      <w:r>
        <w:t xml:space="preserve"> </w:t>
      </w:r>
      <w:r>
        <w:t xml:space="preserve">of KBI in European automotive and heavy machinery manufacturing — defined not only by 12 named companies but by an open-ended standard sweeping in</w:t>
      </w:r>
      <w:r>
        <w:t xml:space="preserve"> </w:t>
      </w:r>
      <w:r>
        <w:rPr>
          <w:i/>
          <w:iCs/>
        </w:rPr>
        <w:t xml:space="preserve">any</w:t>
      </w:r>
      <w:r>
        <w:t xml:space="preserve"> </w:t>
      </w:r>
      <w:r>
        <w:t xml:space="preserve">entity deriving more than 30% of revenue from those sectors. Management estimates this could capture 25–30 additional companies, including three active prospects representing $4–5M in potential recurring revenue, and would impose an unworkable affirmative monitoring obligation on every prospective European customer engagement.</w:t>
      </w:r>
    </w:p>
    <w:p>
      <w:pPr>
        <w:numPr>
          <w:ilvl w:val="0"/>
          <w:numId w:val="1001"/>
        </w:numPr>
      </w:pPr>
      <w:r>
        <w:rPr>
          <w:b/>
          <w:bCs/>
        </w:rPr>
        <w:t xml:space="preserve">Data Training Restriction and Output Data Ownership (Term Sheet §§4.2–4.3).</w:t>
      </w:r>
      <w:r>
        <w:t xml:space="preserve"> </w:t>
      </w:r>
      <w:r>
        <w:t xml:space="preserve">A blanket prohibition on Whitmore’s use of KBI data — even in anonymized or aggregated form — to train or improve PredictIQ’s general ML models without KBI’s consent (which may be withheld in KBI’s sole discretion), coupled with a provision deeming all</w:t>
      </w:r>
      <w:r>
        <w:t xml:space="preserve"> </w:t>
      </w:r>
      <w:r>
        <w:t xml:space="preserve">“</w:t>
      </w:r>
      <w:r>
        <w:t xml:space="preserve">Output Data</w:t>
      </w:r>
      <w:r>
        <w:t xml:space="preserve">”</w:t>
      </w:r>
      <w:r>
        <w:t xml:space="preserve"> </w:t>
      </w:r>
      <w:r>
        <w:t xml:space="preserve">(expressly including model weights, parameters, and training artifacts derived from KBI data) the sole and exclusive property of KBI. Together these clauses would deprive PredictIQ of its most valuable training inputs and could be read to transfer ownership of model state generated in the ordinary course of service to KBI — a fundamental threat to the product roadmap.</w:t>
      </w:r>
    </w:p>
    <w:p>
      <w:pPr>
        <w:numPr>
          <w:ilvl w:val="0"/>
          <w:numId w:val="1001"/>
        </w:numPr>
      </w:pPr>
      <w:r>
        <w:rPr>
          <w:b/>
          <w:bCs/>
        </w:rPr>
        <w:t xml:space="preserve">MFC Side Letter.</w:t>
      </w:r>
      <w:r>
        <w:t xml:space="preserve"> </w:t>
      </w:r>
      <w:r>
        <w:t xml:space="preserve">The most aggressive MFC provision we have encountered: no carve-outs, no sunset (it runs for the term</w:t>
      </w:r>
      <w:r>
        <w:t xml:space="preserve"> </w:t>
      </w:r>
      <w:r>
        <w:rPr>
          <w:i/>
          <w:iCs/>
        </w:rPr>
        <w:t xml:space="preserve">and thereafter</w:t>
      </w:r>
      <w:r>
        <w:t xml:space="preserve"> </w:t>
      </w:r>
      <w:r>
        <w:t xml:space="preserve">for so long as KBI retains any license rights — effectively perpetual given the perpetual wind-down license), retroactive adjustment to the date more favorable terms were</w:t>
      </w:r>
      <w:r>
        <w:t xml:space="preserve"> </w:t>
      </w:r>
      <w:r>
        <w:t xml:space="preserve">“</w:t>
      </w:r>
      <w:r>
        <w:t xml:space="preserve">first offered</w:t>
      </w:r>
      <w:r>
        <w:t xml:space="preserve">”</w:t>
      </w:r>
      <w:r>
        <w:t xml:space="preserve"> </w:t>
      </w:r>
      <w:r>
        <w:t xml:space="preserve">to any other licensee, and a scope that reaches</w:t>
      </w:r>
      <w:r>
        <w:t xml:space="preserve"> </w:t>
      </w:r>
      <w:r>
        <w:t xml:space="preserve">“</w:t>
      </w:r>
      <w:r>
        <w:t xml:space="preserve">successor, derivative, or substantially similar technology.</w:t>
      </w:r>
      <w:r>
        <w:t xml:space="preserve">”</w:t>
      </w:r>
      <w:r>
        <w:t xml:space="preserve"> </w:t>
      </w:r>
      <w:r>
        <w:t xml:space="preserve">It is presented as a condition precedent to KBI proceeding.</w:t>
      </w:r>
    </w:p>
    <w:p>
      <w:pPr>
        <w:pStyle w:val="FirstParagraph"/>
      </w:pPr>
      <w:r>
        <w:rPr>
          <w:b/>
          <w:bCs/>
        </w:rPr>
        <w:t xml:space="preserve">Additional high-severity risks</w:t>
      </w:r>
      <w:r>
        <w:t xml:space="preserve"> </w:t>
      </w:r>
      <w:r>
        <w:t xml:space="preserve">include a perpetual, irrevocable post-termination wind-down license (§13.5); uncapped IP indemnification carved out of the liability cap (§9.1); joint ownership of derivative works with an unrestricted right to sublicense (§§2, 3.3); a broad</w:t>
      </w:r>
      <w:r>
        <w:t xml:space="preserve"> </w:t>
      </w:r>
      <w:r>
        <w:t xml:space="preserve">“</w:t>
      </w:r>
      <w:r>
        <w:t xml:space="preserve">KBI-Inspired Improvements</w:t>
      </w:r>
      <w:r>
        <w:t xml:space="preserve">”</w:t>
      </w:r>
      <w:r>
        <w:t xml:space="preserve"> </w:t>
      </w:r>
      <w:r>
        <w:t xml:space="preserve">license that could give KBI royalty-free rights to a large swath of future product development (§3.5); a 92% prediction-accuracy performance warranty with financial penalties and a termination trigger measured against KBI-controlled maintenance logs (§8.2); extensive source-code escrow with release triggers and a post-release perpetual royalty-free license (§11); and German governing law (§14.1), which raises distinct concerns around liability exclusion enforceability and the uncapped indemnity.</w:t>
      </w:r>
    </w:p>
    <w:p>
      <w:pPr>
        <w:pStyle w:val="BodyText"/>
      </w:pPr>
      <w:r>
        <w:rPr>
          <w:b/>
          <w:bCs/>
        </w:rPr>
        <w:t xml:space="preserve">Recommendation.</w:t>
      </w:r>
      <w:r>
        <w:t xml:space="preserve"> </w:t>
      </w:r>
      <w:r>
        <w:t xml:space="preserve">We recommend that the Board authorize management to proceed with negotiations on the basis of a defined set of red lines (set forth in Part V), and to deliver a substantive counter-proposal to KBI on or before the June 23, 2025 response deadline. The deal is worth pursuing, but</w:t>
      </w:r>
      <w:r>
        <w:t xml:space="preserve"> </w:t>
      </w:r>
      <w:r>
        <w:rPr>
          <w:b/>
          <w:bCs/>
        </w:rPr>
        <w:t xml:space="preserve">not on the terms as drafted.</w:t>
      </w:r>
      <w:r>
        <w:t xml:space="preserve"> </w:t>
      </w:r>
      <w:r>
        <w:t xml:space="preserve">The three dealbreaker provisions, the wind-down license, the IP indemnity, and the MFC side letter must be restructured before execution of a definitive agreement. We also recommend engaging German-law specialist counsel and flagging the ASC 606 revenue-recognition implications to Whitmore’s auditors (Lakeshore Accounting Group LLP) before the counter-proposal is finalized.</w:t>
      </w:r>
    </w:p>
    <w:p>
      <w:r>
        <w:pict>
          <v:rect style="width:0;height:1.5pt" o:hralign="center" o:hrstd="t" o:hr="t"/>
        </w:pict>
      </w:r>
    </w:p>
    <w:bookmarkEnd w:id="22"/>
    <w:bookmarkStart w:id="28" w:name="Xe1b569b3f0ef4723c8727c8c533b0622574c9bd"/>
    <w:p>
      <w:pPr>
        <w:pStyle w:val="Heading2"/>
      </w:pPr>
      <w:r>
        <w:t xml:space="preserve">II. Transaction Overview and Key Commercial Terms</w:t>
      </w:r>
    </w:p>
    <w:bookmarkStart w:id="23" w:name="a.-parties"/>
    <w:p>
      <w:pPr>
        <w:pStyle w:val="Heading3"/>
      </w:pPr>
      <w:r>
        <w:t xml:space="preserve">A. 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Entity</w:t>
            </w:r>
          </w:p>
        </w:tc>
        <w:tc>
          <w:tcPr/>
          <w:p>
            <w:pPr>
              <w:pStyle w:val="Compact"/>
              <w:jc w:val="left"/>
            </w:pPr>
            <w:r>
              <w:t xml:space="preserve">Key Personnel</w:t>
            </w:r>
          </w:p>
        </w:tc>
      </w:tr>
      <w:tr>
        <w:tc>
          <w:tcPr/>
          <w:p>
            <w:pPr>
              <w:pStyle w:val="Compact"/>
              <w:jc w:val="left"/>
            </w:pPr>
            <w:r>
              <w:rPr>
                <w:b/>
                <w:bCs/>
              </w:rPr>
              <w:t xml:space="preserve">Licensor</w:t>
            </w:r>
          </w:p>
        </w:tc>
        <w:tc>
          <w:tcPr/>
          <w:p>
            <w:pPr>
              <w:pStyle w:val="Compact"/>
              <w:jc w:val="left"/>
            </w:pPr>
            <w:r>
              <w:t xml:space="preserve">Whitmore Analytics Inc. (Delaware corporation; Seattle, WA)</w:t>
            </w:r>
          </w:p>
        </w:tc>
        <w:tc>
          <w:tcPr/>
          <w:p>
            <w:pPr>
              <w:pStyle w:val="Compact"/>
              <w:jc w:val="left"/>
            </w:pPr>
            <w:r>
              <w:t xml:space="preserve">Rajesh Malhotra, CEO; Sarah Yin, General Counsel</w:t>
            </w:r>
          </w:p>
        </w:tc>
      </w:tr>
      <w:tr>
        <w:tc>
          <w:tcPr/>
          <w:p>
            <w:pPr>
              <w:pStyle w:val="Compact"/>
              <w:jc w:val="left"/>
            </w:pPr>
            <w:r>
              <w:rPr>
                <w:b/>
                <w:bCs/>
              </w:rPr>
              <w:t xml:space="preserve">Licensee</w:t>
            </w:r>
          </w:p>
        </w:tc>
        <w:tc>
          <w:tcPr/>
          <w:p>
            <w:pPr>
              <w:pStyle w:val="Compact"/>
              <w:jc w:val="left"/>
            </w:pPr>
            <w:r>
              <w:t xml:space="preserve">Kessler-Brandt Industrial GmbH (German GmbH; Munich; HRB 247891)</w:t>
            </w:r>
          </w:p>
        </w:tc>
        <w:tc>
          <w:tcPr/>
          <w:p>
            <w:pPr>
              <w:pStyle w:val="Compact"/>
              <w:jc w:val="left"/>
            </w:pPr>
            <w:r>
              <w:t xml:space="preserve">Dr. Markus Fiedler, CTO; Annika Solberg, VP, Digital Transformation</w:t>
            </w:r>
          </w:p>
        </w:tc>
      </w:tr>
      <w:tr>
        <w:tc>
          <w:tcPr/>
          <w:p>
            <w:pPr>
              <w:pStyle w:val="Compact"/>
              <w:jc w:val="left"/>
            </w:pPr>
            <w:r>
              <w:rPr>
                <w:b/>
                <w:bCs/>
              </w:rPr>
              <w:t xml:space="preserve">KBI’s counsel</w:t>
            </w:r>
          </w:p>
        </w:tc>
        <w:tc>
          <w:tcPr/>
          <w:p>
            <w:pPr>
              <w:pStyle w:val="Compact"/>
              <w:jc w:val="left"/>
            </w:pPr>
            <w:r>
              <w:t xml:space="preserve">Bergström Hecht Rechtsanwälte (Munich)</w:t>
            </w:r>
          </w:p>
        </w:tc>
        <w:tc>
          <w:tcPr/>
          <w:p>
            <w:pPr>
              <w:pStyle w:val="Compact"/>
              <w:jc w:val="left"/>
            </w:pPr>
            <w:r>
              <w:t xml:space="preserve">Dr. Luisa Trautmann, Lead Partner</w:t>
            </w:r>
          </w:p>
        </w:tc>
      </w:tr>
      <w:tr>
        <w:tc>
          <w:tcPr/>
          <w:p>
            <w:pPr>
              <w:pStyle w:val="Compact"/>
              <w:jc w:val="left"/>
            </w:pPr>
            <w:r>
              <w:rPr>
                <w:b/>
                <w:bCs/>
              </w:rPr>
              <w:t xml:space="preserve">Whitmore’s counsel</w:t>
            </w:r>
          </w:p>
        </w:tc>
        <w:tc>
          <w:tcPr/>
          <w:p>
            <w:pPr>
              <w:pStyle w:val="Compact"/>
              <w:jc w:val="left"/>
            </w:pPr>
            <w:r>
              <w:t xml:space="preserve">Ferndale Hale &amp; Seward LLP</w:t>
            </w:r>
          </w:p>
        </w:tc>
        <w:tc>
          <w:tcPr/>
          <w:p>
            <w:pPr>
              <w:pStyle w:val="Compact"/>
              <w:jc w:val="left"/>
            </w:pPr>
            <w:r>
              <w:t xml:space="preserve">Daniel Cortez &amp; Priya Venkatesh (this engagement)</w:t>
            </w:r>
          </w:p>
        </w:tc>
      </w:tr>
    </w:tbl>
    <w:p>
      <w:pPr>
        <w:pStyle w:val="BodyText"/>
      </w:pPr>
      <w:r>
        <w:t xml:space="preserve">KBI is a global industrial conglomerate with approximately</w:t>
      </w:r>
      <w:r>
        <w:t xml:space="preserve"> </w:t>
      </w:r>
      <w:r>
        <w:rPr>
          <w:b/>
          <w:bCs/>
        </w:rPr>
        <w:t xml:space="preserve">€8.2 billion</w:t>
      </w:r>
      <w:r>
        <w:t xml:space="preserve"> </w:t>
      </w:r>
      <w:r>
        <w:t xml:space="preserve">in annual revenue. Whitmore holds</w:t>
      </w:r>
      <w:r>
        <w:t xml:space="preserve"> </w:t>
      </w:r>
      <w:r>
        <w:rPr>
          <w:b/>
          <w:bCs/>
        </w:rPr>
        <w:t xml:space="preserve">14 issued U.S. utility patents and 3 pending PCT applications</w:t>
      </w:r>
      <w:r>
        <w:t xml:space="preserve"> </w:t>
      </w:r>
      <w:r>
        <w:t xml:space="preserve">covering PredictIQ’s core algorithms, and was founded in 2017.</w:t>
      </w:r>
    </w:p>
    <w:bookmarkEnd w:id="23"/>
    <w:bookmarkStart w:id="24" w:name="b.-transaction-structure"/>
    <w:p>
      <w:pPr>
        <w:pStyle w:val="Heading3"/>
      </w:pPr>
      <w:r>
        <w:t xml:space="preserve">B. Transaction Structure</w:t>
      </w:r>
    </w:p>
    <w:p>
      <w:pPr>
        <w:pStyle w:val="FirstParagraph"/>
      </w:pPr>
      <w:r>
        <w:t xml:space="preserve">The proposed transaction contemplates: (i) a</w:t>
      </w:r>
      <w:r>
        <w:t xml:space="preserve"> </w:t>
      </w:r>
      <w:r>
        <w:rPr>
          <w:b/>
          <w:bCs/>
        </w:rPr>
        <w:t xml:space="preserve">perpetual, non-exclusive, worldwide</w:t>
      </w:r>
      <w:r>
        <w:t xml:space="preserve"> </w:t>
      </w:r>
      <w:r>
        <w:t xml:space="preserve">technology license for the PredictIQ platform; (ii) an initial</w:t>
      </w:r>
      <w:r>
        <w:t xml:space="preserve"> </w:t>
      </w:r>
      <w:r>
        <w:rPr>
          <w:b/>
          <w:bCs/>
        </w:rPr>
        <w:t xml:space="preserve">18-month implementation phase</w:t>
      </w:r>
      <w:r>
        <w:t xml:space="preserve"> </w:t>
      </w:r>
      <w:r>
        <w:t xml:space="preserve">followed by ongoing production use; (iii) a</w:t>
      </w:r>
      <w:r>
        <w:t xml:space="preserve"> </w:t>
      </w:r>
      <w:r>
        <w:rPr>
          <w:b/>
          <w:bCs/>
        </w:rPr>
        <w:t xml:space="preserve">SaaS subscription</w:t>
      </w:r>
      <w:r>
        <w:t xml:space="preserve"> </w:t>
      </w:r>
      <w:r>
        <w:t xml:space="preserve">for the cloud-hosted analytics engine; and (iv) an</w:t>
      </w:r>
      <w:r>
        <w:t xml:space="preserve"> </w:t>
      </w:r>
      <w:r>
        <w:rPr>
          <w:b/>
          <w:bCs/>
        </w:rPr>
        <w:t xml:space="preserve">on-premises deployment license</w:t>
      </w:r>
      <w:r>
        <w:t xml:space="preserve"> </w:t>
      </w:r>
      <w:r>
        <w:t xml:space="preserve">for edge-computing modules at KBI factory sites. Deployment scope: up to</w:t>
      </w:r>
      <w:r>
        <w:t xml:space="preserve"> </w:t>
      </w:r>
      <w:r>
        <w:rPr>
          <w:b/>
          <w:bCs/>
        </w:rPr>
        <w:t xml:space="preserve">43 facilities across 12 European countries</w:t>
      </w:r>
      <w:r>
        <w:t xml:space="preserve">, with a</w:t>
      </w:r>
      <w:r>
        <w:t xml:space="preserve"> </w:t>
      </w:r>
      <w:r>
        <w:rPr>
          <w:b/>
          <w:bCs/>
        </w:rPr>
        <w:t xml:space="preserve">5-year expansion right</w:t>
      </w:r>
      <w:r>
        <w:t xml:space="preserve"> </w:t>
      </w:r>
      <w:r>
        <w:t xml:space="preserve">to newly acquired facilities at the same per-facility terms.</w:t>
      </w:r>
    </w:p>
    <w:bookmarkEnd w:id="24"/>
    <w:bookmarkStart w:id="25" w:name="c.-headline-economics-year-1"/>
    <w:p>
      <w:pPr>
        <w:pStyle w:val="Heading3"/>
      </w:pPr>
      <w:r>
        <w:t xml:space="preserve">C. Headline Economics (Year 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Component</w:t>
            </w:r>
          </w:p>
        </w:tc>
        <w:tc>
          <w:tcPr/>
          <w:p>
            <w:pPr>
              <w:pStyle w:val="Compact"/>
              <w:jc w:val="left"/>
            </w:pPr>
            <w:r>
              <w:t xml:space="preserve">Amount</w:t>
            </w:r>
          </w:p>
        </w:tc>
        <w:tc>
          <w:tcPr/>
          <w:p>
            <w:pPr>
              <w:pStyle w:val="Compact"/>
              <w:jc w:val="left"/>
            </w:pPr>
            <w:r>
              <w:t xml:space="preserve">Timing / Notes</w:t>
            </w:r>
          </w:p>
        </w:tc>
      </w:tr>
      <w:tr>
        <w:tc>
          <w:tcPr/>
          <w:p>
            <w:pPr>
              <w:pStyle w:val="Compact"/>
              <w:jc w:val="left"/>
            </w:pPr>
            <w:r>
              <w:t xml:space="preserve">Initial License Fee</w:t>
            </w:r>
          </w:p>
        </w:tc>
        <w:tc>
          <w:tcPr/>
          <w:p>
            <w:pPr>
              <w:pStyle w:val="Compact"/>
              <w:jc w:val="left"/>
            </w:pPr>
            <w:r>
              <w:rPr>
                <w:b/>
                <w:bCs/>
              </w:rPr>
              <w:t xml:space="preserve">$4,200,000</w:t>
            </w:r>
          </w:p>
        </w:tc>
        <w:tc>
          <w:tcPr/>
          <w:p>
            <w:pPr>
              <w:pStyle w:val="Compact"/>
              <w:jc w:val="left"/>
            </w:pPr>
            <w:r>
              <w:t xml:space="preserve">30% ($1.26M) at execution; 40% ($1.68M) at Phase 1 completion (Mar 15, 2026); 30% ($1.26M) at Phase 2 go-live (Mar 15, 2027)</w:t>
            </w:r>
          </w:p>
        </w:tc>
      </w:tr>
      <w:tr>
        <w:tc>
          <w:tcPr/>
          <w:p>
            <w:pPr>
              <w:pStyle w:val="Compact"/>
              <w:jc w:val="left"/>
            </w:pPr>
            <w:r>
              <w:t xml:space="preserve">Annual SaaS Subscription</w:t>
            </w:r>
          </w:p>
        </w:tc>
        <w:tc>
          <w:tcPr/>
          <w:p>
            <w:pPr>
              <w:pStyle w:val="Compact"/>
              <w:jc w:val="left"/>
            </w:pPr>
            <w:r>
              <w:rPr>
                <w:b/>
                <w:bCs/>
              </w:rPr>
              <w:t xml:space="preserve">$2,850,000/yr</w:t>
            </w:r>
            <w:r>
              <w:t xml:space="preserve"> </w:t>
            </w:r>
            <w:r>
              <w:t xml:space="preserve">(Yrs 1–3)</w:t>
            </w:r>
          </w:p>
        </w:tc>
        <w:tc>
          <w:tcPr/>
          <w:p>
            <w:pPr>
              <w:pStyle w:val="Compact"/>
              <w:jc w:val="left"/>
            </w:pPr>
            <w:r>
              <w:t xml:space="preserve">Quarterly in advance ($712,500/qtr); 3% annual escalation from Yr 4 (Yr 4: $2,935,500; Yr 5: $3,023,565)</w:t>
            </w:r>
          </w:p>
        </w:tc>
      </w:tr>
      <w:tr>
        <w:tc>
          <w:tcPr/>
          <w:p>
            <w:pPr>
              <w:pStyle w:val="Compact"/>
              <w:jc w:val="left"/>
            </w:pPr>
            <w:r>
              <w:t xml:space="preserve">Implementation Services</w:t>
            </w:r>
          </w:p>
        </w:tc>
        <w:tc>
          <w:tcPr/>
          <w:p>
            <w:pPr>
              <w:pStyle w:val="Compact"/>
              <w:jc w:val="left"/>
            </w:pPr>
            <w:r>
              <w:rPr>
                <w:b/>
                <w:bCs/>
              </w:rPr>
              <w:t xml:space="preserve">$1,750,000</w:t>
            </w:r>
          </w:p>
        </w:tc>
        <w:tc>
          <w:tcPr/>
          <w:p>
            <w:pPr>
              <w:pStyle w:val="Compact"/>
              <w:jc w:val="left"/>
            </w:pPr>
            <w:r>
              <w:t xml:space="preserve">Equal monthly installments over 18 months ($97,222.22/mo)</w:t>
            </w:r>
          </w:p>
        </w:tc>
      </w:tr>
      <w:tr>
        <w:tc>
          <w:tcPr/>
          <w:p>
            <w:pPr>
              <w:pStyle w:val="Compact"/>
              <w:jc w:val="left"/>
            </w:pPr>
            <w:r>
              <w:t xml:space="preserve">Annual Maintenance &amp; Support</w:t>
            </w:r>
          </w:p>
        </w:tc>
        <w:tc>
          <w:tcPr/>
          <w:p>
            <w:pPr>
              <w:pStyle w:val="Compact"/>
              <w:jc w:val="left"/>
            </w:pPr>
            <w:r>
              <w:rPr>
                <w:b/>
                <w:bCs/>
              </w:rPr>
              <w:t xml:space="preserve">$756,000/yr</w:t>
            </w:r>
            <w:r>
              <w:t xml:space="preserve"> </w:t>
            </w:r>
            <w:r>
              <w:t xml:space="preserve">(Yr 1)</w:t>
            </w:r>
          </w:p>
        </w:tc>
        <w:tc>
          <w:tcPr/>
          <w:p>
            <w:pPr>
              <w:pStyle w:val="Compact"/>
              <w:jc w:val="left"/>
            </w:pPr>
            <w:r>
              <w:t xml:space="preserve">Annually in advance; 4% annual escalation from Yr 2 (Yr 2: $786,240; Yr 3: $817,689.60)</w:t>
            </w:r>
          </w:p>
        </w:tc>
      </w:tr>
      <w:tr>
        <w:tc>
          <w:tcPr/>
          <w:p>
            <w:pPr>
              <w:pStyle w:val="Compact"/>
              <w:jc w:val="left"/>
            </w:pPr>
            <w:r>
              <w:rPr>
                <w:b/>
                <w:bCs/>
              </w:rPr>
              <w:t xml:space="preserve">Total Year 1 (per KBI side letter)</w:t>
            </w:r>
          </w:p>
        </w:tc>
        <w:tc>
          <w:tcPr/>
          <w:p>
            <w:pPr>
              <w:pStyle w:val="Compact"/>
              <w:jc w:val="left"/>
            </w:pPr>
            <w:r>
              <w:rPr>
                <w:b/>
                <w:bCs/>
              </w:rPr>
              <w:t xml:space="preserve">≈ $9,556,000</w:t>
            </w:r>
          </w:p>
        </w:tc>
        <w:tc>
          <w:tcPr/>
          <w:p>
            <w:pPr>
              <w:pStyle w:val="Compact"/>
              <w:jc w:val="left"/>
            </w:pPr>
            <w:r>
              <w:t xml:space="preserve">≈ 20% of Whitmore FY 2024 revenue ($47.3M)</w:t>
            </w:r>
          </w:p>
        </w:tc>
      </w:tr>
    </w:tbl>
    <w:p>
      <w:pPr>
        <w:pStyle w:val="BodyText"/>
      </w:pPr>
      <w:r>
        <w:t xml:space="preserve">All fees are in U.S. dollars; payment due within 30 days of invoice; late interest at 1.5%/month (or the legal maximum). Fees are exclusive of taxes (KBI bears sales/use/VAT). A five-year fee projection appears at Appendix A.</w:t>
      </w:r>
    </w:p>
    <w:bookmarkEnd w:id="25"/>
    <w:bookmarkStart w:id="26" w:name="d.-key-milestones"/>
    <w:p>
      <w:pPr>
        <w:pStyle w:val="Heading3"/>
      </w:pPr>
      <w:r>
        <w:t xml:space="preserve">D. Key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Term sheet / MFC side letter dated</w:t>
            </w:r>
          </w:p>
        </w:tc>
        <w:tc>
          <w:tcPr/>
          <w:p>
            <w:pPr>
              <w:pStyle w:val="Compact"/>
              <w:jc w:val="left"/>
            </w:pPr>
            <w:r>
              <w:t xml:space="preserve">May 29, 2025</w:t>
            </w:r>
          </w:p>
        </w:tc>
      </w:tr>
      <w:tr>
        <w:tc>
          <w:tcPr/>
          <w:p>
            <w:pPr>
              <w:pStyle w:val="Compact"/>
              <w:jc w:val="left"/>
            </w:pPr>
            <w:r>
              <w:t xml:space="preserve">Whitmore receives documents</w:t>
            </w:r>
          </w:p>
        </w:tc>
        <w:tc>
          <w:tcPr/>
          <w:p>
            <w:pPr>
              <w:pStyle w:val="Compact"/>
              <w:jc w:val="left"/>
            </w:pPr>
            <w:r>
              <w:t xml:space="preserve">June 2, 2025</w:t>
            </w:r>
          </w:p>
        </w:tc>
      </w:tr>
      <w:tr>
        <w:tc>
          <w:tcPr/>
          <w:p>
            <w:pPr>
              <w:pStyle w:val="Compact"/>
              <w:jc w:val="left"/>
            </w:pPr>
            <w:r>
              <w:rPr>
                <w:b/>
                <w:bCs/>
              </w:rPr>
              <w:t xml:space="preserve">Board-ready memo due (this memo)</w:t>
            </w:r>
          </w:p>
        </w:tc>
        <w:tc>
          <w:tcPr/>
          <w:p>
            <w:pPr>
              <w:pStyle w:val="Compact"/>
              <w:jc w:val="left"/>
            </w:pPr>
            <w:r>
              <w:rPr>
                <w:b/>
                <w:bCs/>
              </w:rPr>
              <w:t xml:space="preserve">June 16, 2025</w:t>
            </w:r>
          </w:p>
        </w:tc>
      </w:tr>
      <w:tr>
        <w:tc>
          <w:tcPr/>
          <w:p>
            <w:pPr>
              <w:pStyle w:val="Compact"/>
              <w:jc w:val="left"/>
            </w:pPr>
            <w:r>
              <w:rPr>
                <w:b/>
                <w:bCs/>
              </w:rPr>
              <w:t xml:space="preserve">Whitmore Board meeting</w:t>
            </w:r>
          </w:p>
        </w:tc>
        <w:tc>
          <w:tcPr/>
          <w:p>
            <w:pPr>
              <w:pStyle w:val="Compact"/>
              <w:jc w:val="left"/>
            </w:pPr>
            <w:r>
              <w:rPr>
                <w:b/>
                <w:bCs/>
              </w:rPr>
              <w:t xml:space="preserve">June 18, 2025</w:t>
            </w:r>
          </w:p>
        </w:tc>
      </w:tr>
      <w:tr>
        <w:tc>
          <w:tcPr/>
          <w:p>
            <w:pPr>
              <w:pStyle w:val="Compact"/>
              <w:jc w:val="left"/>
            </w:pPr>
            <w:r>
              <w:rPr>
                <w:b/>
                <w:bCs/>
              </w:rPr>
              <w:t xml:space="preserve">KBI requested response deadline</w:t>
            </w:r>
          </w:p>
        </w:tc>
        <w:tc>
          <w:tcPr/>
          <w:p>
            <w:pPr>
              <w:pStyle w:val="Compact"/>
              <w:jc w:val="left"/>
            </w:pPr>
            <w:r>
              <w:rPr>
                <w:b/>
                <w:bCs/>
              </w:rPr>
              <w:t xml:space="preserve">June 23, 2025</w:t>
            </w:r>
          </w:p>
        </w:tc>
      </w:tr>
      <w:tr>
        <w:tc>
          <w:tcPr/>
          <w:p>
            <w:pPr>
              <w:pStyle w:val="Compact"/>
              <w:jc w:val="left"/>
            </w:pPr>
            <w:r>
              <w:t xml:space="preserve">Binding 60-day no-shop expires (§16.2)</w:t>
            </w:r>
          </w:p>
        </w:tc>
        <w:tc>
          <w:tcPr/>
          <w:p>
            <w:pPr>
              <w:pStyle w:val="Compact"/>
              <w:jc w:val="left"/>
            </w:pPr>
            <w:r>
              <w:t xml:space="preserve">July 28, 2025</w:t>
            </w:r>
          </w:p>
        </w:tc>
      </w:tr>
      <w:tr>
        <w:tc>
          <w:tcPr/>
          <w:p>
            <w:pPr>
              <w:pStyle w:val="Compact"/>
              <w:jc w:val="left"/>
            </w:pPr>
            <w:r>
              <w:t xml:space="preserve">Targeted definitive agreement execution</w:t>
            </w:r>
          </w:p>
        </w:tc>
        <w:tc>
          <w:tcPr/>
          <w:p>
            <w:pPr>
              <w:pStyle w:val="Compact"/>
              <w:jc w:val="left"/>
            </w:pPr>
            <w:r>
              <w:t xml:space="preserve">August 15, 2025</w:t>
            </w:r>
          </w:p>
        </w:tc>
      </w:tr>
      <w:tr>
        <w:tc>
          <w:tcPr/>
          <w:p>
            <w:pPr>
              <w:pStyle w:val="Compact"/>
              <w:jc w:val="left"/>
            </w:pPr>
            <w:r>
              <w:t xml:space="preserve">Phase 1 implementation start (10 pilot facilities)</w:t>
            </w:r>
          </w:p>
        </w:tc>
        <w:tc>
          <w:tcPr/>
          <w:p>
            <w:pPr>
              <w:pStyle w:val="Compact"/>
              <w:jc w:val="left"/>
            </w:pPr>
            <w:r>
              <w:t xml:space="preserve">September 15, 2025</w:t>
            </w:r>
          </w:p>
        </w:tc>
      </w:tr>
      <w:tr>
        <w:tc>
          <w:tcPr/>
          <w:p>
            <w:pPr>
              <w:pStyle w:val="Compact"/>
              <w:jc w:val="left"/>
            </w:pPr>
            <w:r>
              <w:t xml:space="preserve">Phase 1 completion target</w:t>
            </w:r>
          </w:p>
        </w:tc>
        <w:tc>
          <w:tcPr/>
          <w:p>
            <w:pPr>
              <w:pStyle w:val="Compact"/>
              <w:jc w:val="left"/>
            </w:pPr>
            <w:r>
              <w:t xml:space="preserve">March 15, 2026</w:t>
            </w:r>
          </w:p>
        </w:tc>
      </w:tr>
      <w:tr>
        <w:tc>
          <w:tcPr/>
          <w:p>
            <w:pPr>
              <w:pStyle w:val="Compact"/>
              <w:jc w:val="left"/>
            </w:pPr>
            <w:r>
              <w:t xml:space="preserve">Phase 2 go-live target (remaining 33 facilities)</w:t>
            </w:r>
          </w:p>
        </w:tc>
        <w:tc>
          <w:tcPr/>
          <w:p>
            <w:pPr>
              <w:pStyle w:val="Compact"/>
              <w:jc w:val="left"/>
            </w:pPr>
            <w:r>
              <w:t xml:space="preserve">March 15, 2027</w:t>
            </w:r>
          </w:p>
        </w:tc>
      </w:tr>
    </w:tbl>
    <w:bookmarkEnd w:id="26"/>
    <w:bookmarkStart w:id="27" w:name="X0464fd462f402845487144a35acac334b317b3f"/>
    <w:p>
      <w:pPr>
        <w:pStyle w:val="Heading3"/>
      </w:pPr>
      <w:r>
        <w:t xml:space="preserve">E. Strategic Context (from internal communications)</w:t>
      </w:r>
    </w:p>
    <w:p>
      <w:pPr>
        <w:pStyle w:val="Compact"/>
        <w:numPr>
          <w:ilvl w:val="0"/>
          <w:numId w:val="1002"/>
        </w:numPr>
      </w:pPr>
      <w:r>
        <w:t xml:space="preserve">This would be Whitmore’s</w:t>
      </w:r>
      <w:r>
        <w:t xml:space="preserve"> </w:t>
      </w:r>
      <w:r>
        <w:rPr>
          <w:b/>
          <w:bCs/>
        </w:rPr>
        <w:t xml:space="preserve">largest single licensing deal by a wide margin</w:t>
      </w:r>
      <w:r>
        <w:t xml:space="preserve"> </w:t>
      </w:r>
      <w:r>
        <w:t xml:space="preserve">and the most powerful proof point available in European heavy manufacturing.</w:t>
      </w:r>
    </w:p>
    <w:p>
      <w:pPr>
        <w:pStyle w:val="Compact"/>
        <w:numPr>
          <w:ilvl w:val="0"/>
          <w:numId w:val="1002"/>
        </w:numPr>
      </w:pPr>
      <w:r>
        <w:t xml:space="preserve">The recurring SaaS component ($2.85M/yr) would be Whitmore’s</w:t>
      </w:r>
      <w:r>
        <w:t xml:space="preserve"> </w:t>
      </w:r>
      <w:r>
        <w:rPr>
          <w:b/>
          <w:bCs/>
        </w:rPr>
        <w:t xml:space="preserve">largest SaaS contract by a factor of three</w:t>
      </w:r>
      <w:r>
        <w:t xml:space="preserve">.</w:t>
      </w:r>
    </w:p>
    <w:p>
      <w:pPr>
        <w:pStyle w:val="Compact"/>
        <w:numPr>
          <w:ilvl w:val="0"/>
          <w:numId w:val="1002"/>
        </w:numPr>
      </w:pPr>
      <w:r>
        <w:t xml:space="preserve">Hollcroft Ventures has been asking about the path to a</w:t>
      </w:r>
      <w:r>
        <w:t xml:space="preserve"> </w:t>
      </w:r>
      <w:r>
        <w:rPr>
          <w:b/>
          <w:bCs/>
        </w:rPr>
        <w:t xml:space="preserve">Series C</w:t>
      </w:r>
      <w:r>
        <w:t xml:space="preserve">; this deal would materially strengthen the growth story and could catalyze a Series C process later this year or early next.</w:t>
      </w:r>
    </w:p>
    <w:p>
      <w:pPr>
        <w:pStyle w:val="Compact"/>
        <w:numPr>
          <w:ilvl w:val="0"/>
          <w:numId w:val="1002"/>
        </w:numPr>
      </w:pPr>
      <w:r>
        <w:t xml:space="preserve">Management’s stated red lines (CEO Malhotra): Whitmore will not sign a deal that compromises its core IP or its model-improvement flywheel; anonymized/aggregated data use for model improvement is non-negotiable; the open-ended exclusivity definition must be removed.</w:t>
      </w:r>
    </w:p>
    <w:p>
      <w:r>
        <w:pict>
          <v:rect style="width:0;height:1.5pt" o:hralign="center" o:hrstd="t" o:hr="t"/>
        </w:pict>
      </w:r>
    </w:p>
    <w:bookmarkEnd w:id="27"/>
    <w:bookmarkEnd w:id="28"/>
    <w:bookmarkStart w:id="45" w:name="iii.-key-terms-extraction"/>
    <w:p>
      <w:pPr>
        <w:pStyle w:val="Heading2"/>
      </w:pPr>
      <w:r>
        <w:t xml:space="preserve">III. Key-Terms Extraction</w:t>
      </w:r>
    </w:p>
    <w:p>
      <w:pPr>
        <w:pStyle w:val="FirstParagraph"/>
      </w:pPr>
      <w:r>
        <w:t xml:space="preserve">The following is a section-by-section extraction of the material terms of the term sheet and MFC side letter. This Part is descriptive; risk analysis follows in Part IV and recommendations in Part V.</w:t>
      </w:r>
    </w:p>
    <w:bookmarkStart w:id="29" w:name="a.-license-grant-term-sheet-2"/>
    <w:p>
      <w:pPr>
        <w:pStyle w:val="Heading3"/>
      </w:pPr>
      <w:r>
        <w:t xml:space="preserve">A. License Grant (Term Sheet §2)</w:t>
      </w:r>
    </w:p>
    <w:p>
      <w:pPr>
        <w:pStyle w:val="Compact"/>
        <w:numPr>
          <w:ilvl w:val="0"/>
          <w:numId w:val="1003"/>
        </w:numPr>
      </w:pPr>
      <w:r>
        <w:rPr>
          <w:b/>
          <w:bCs/>
        </w:rPr>
        <w:t xml:space="preserve">Grant:</w:t>
      </w:r>
      <w:r>
        <w:t xml:space="preserve"> </w:t>
      </w:r>
      <w:r>
        <w:t xml:space="preserve">Perpetual, non-exclusive, worldwide license to use, execute, display, and operate PredictIQ (software, algorithms, documentation, APIs, edge modules) in connection with KBI’s manufacturing operations.</w:t>
      </w:r>
    </w:p>
    <w:p>
      <w:pPr>
        <w:pStyle w:val="Compact"/>
        <w:numPr>
          <w:ilvl w:val="0"/>
          <w:numId w:val="1003"/>
        </w:numPr>
      </w:pPr>
      <w:r>
        <w:rPr>
          <w:b/>
          <w:bCs/>
        </w:rPr>
        <w:t xml:space="preserve">Scope:</w:t>
      </w:r>
      <w:r>
        <w:t xml:space="preserve"> </w:t>
      </w:r>
      <w:r>
        <w:t xml:space="preserve">Covers both the cloud-hosted SaaS analytics engine and on-premises edge-computing modules.</w:t>
      </w:r>
    </w:p>
    <w:p>
      <w:pPr>
        <w:pStyle w:val="Compact"/>
        <w:numPr>
          <w:ilvl w:val="0"/>
          <w:numId w:val="1003"/>
        </w:numPr>
      </w:pPr>
      <w:r>
        <w:rPr>
          <w:b/>
          <w:bCs/>
        </w:rPr>
        <w:t xml:space="preserve">Authorized users:</w:t>
      </w:r>
      <w:r>
        <w:t xml:space="preserve"> </w:t>
      </w:r>
      <w:r>
        <w:t xml:space="preserve">KBI employees, contractors, and agents, subject to confidentiality obligations.</w:t>
      </w:r>
    </w:p>
    <w:p>
      <w:pPr>
        <w:pStyle w:val="Compact"/>
        <w:numPr>
          <w:ilvl w:val="0"/>
          <w:numId w:val="1003"/>
        </w:numPr>
      </w:pPr>
      <w:r>
        <w:rPr>
          <w:b/>
          <w:bCs/>
        </w:rPr>
        <w:t xml:space="preserve">Sublicensing:</w:t>
      </w:r>
      <w:r>
        <w:t xml:space="preserve"> </w:t>
      </w:r>
      <w:r>
        <w:t xml:space="preserve">No sublicensing to third parties, except that KBI may permit controlled affiliates and subcontractors performing services at KBI facilities to access PredictIQ.</w:t>
      </w:r>
    </w:p>
    <w:p>
      <w:pPr>
        <w:pStyle w:val="Compact"/>
        <w:numPr>
          <w:ilvl w:val="0"/>
          <w:numId w:val="1003"/>
        </w:numPr>
      </w:pPr>
      <w:r>
        <w:rPr>
          <w:b/>
          <w:bCs/>
        </w:rPr>
        <w:t xml:space="preserve">Derivative works:</w:t>
      </w:r>
      <w:r>
        <w:t xml:space="preserve"> </w:t>
      </w:r>
      <w:r>
        <w:t xml:space="preserve">KBI may create derivative works from the</w:t>
      </w:r>
      <w:r>
        <w:t xml:space="preserve"> </w:t>
      </w:r>
      <w:r>
        <w:rPr>
          <w:b/>
          <w:bCs/>
        </w:rPr>
        <w:t xml:space="preserve">API layer</w:t>
      </w:r>
      <w:r>
        <w:t xml:space="preserve"> </w:t>
      </w:r>
      <w:r>
        <w:t xml:space="preserve">for integration with KBI’s MES/SCADA systems. Any such derivative works are</w:t>
      </w:r>
      <w:r>
        <w:t xml:space="preserve"> </w:t>
      </w:r>
      <w:r>
        <w:rPr>
          <w:b/>
          <w:bCs/>
        </w:rPr>
        <w:t xml:space="preserve">jointly owned</w:t>
      </w:r>
      <w:r>
        <w:t xml:space="preserve"> </w:t>
      </w:r>
      <w:r>
        <w:t xml:space="preserve">by KBI and Whitmore, with each party having the</w:t>
      </w:r>
      <w:r>
        <w:t xml:space="preserve"> </w:t>
      </w:r>
      <w:r>
        <w:rPr>
          <w:b/>
          <w:bCs/>
        </w:rPr>
        <w:t xml:space="preserve">unrestricted right to use, modify, sublicense, and otherwise exploit</w:t>
      </w:r>
      <w:r>
        <w:t xml:space="preserve"> </w:t>
      </w:r>
      <w:r>
        <w:t xml:space="preserve">without the other’s consent or any obligation to account.</w:t>
      </w:r>
    </w:p>
    <w:p>
      <w:pPr>
        <w:pStyle w:val="Compact"/>
        <w:numPr>
          <w:ilvl w:val="0"/>
          <w:numId w:val="1003"/>
        </w:numPr>
      </w:pPr>
      <w:r>
        <w:rPr>
          <w:b/>
          <w:bCs/>
        </w:rPr>
        <w:t xml:space="preserve">Expansion right:</w:t>
      </w:r>
      <w:r>
        <w:t xml:space="preserve"> </w:t>
      </w:r>
      <w:r>
        <w:t xml:space="preserve">For 5 years post-execution, KBI may deploy PredictIQ at newly acquired facilities at the same per-facility terms, with no additional license fee (pro rata based on 43 facilities).</w:t>
      </w:r>
    </w:p>
    <w:p>
      <w:pPr>
        <w:pStyle w:val="Compact"/>
        <w:numPr>
          <w:ilvl w:val="0"/>
          <w:numId w:val="1003"/>
        </w:numPr>
      </w:pPr>
      <w:r>
        <w:rPr>
          <w:b/>
          <w:bCs/>
        </w:rPr>
        <w:t xml:space="preserve">Restrictions:</w:t>
      </w:r>
      <w:r>
        <w:t xml:space="preserve"> </w:t>
      </w:r>
      <w:r>
        <w:t xml:space="preserve">No reverse engineering/decompiling (except as permitted by law); no use for third-party benefit; no removal of proprietary notices.</w:t>
      </w:r>
    </w:p>
    <w:bookmarkEnd w:id="29"/>
    <w:bookmarkStart w:id="30" w:name="X214f6fcf6f89f8e3f58777e76a3d28043fb2643"/>
    <w:p>
      <w:pPr>
        <w:pStyle w:val="Heading3"/>
      </w:pPr>
      <w:r>
        <w:t xml:space="preserve">B. Intellectual Property Ownership (Term Sheet §3)</w:t>
      </w:r>
    </w:p>
    <w:p>
      <w:pPr>
        <w:pStyle w:val="Compact"/>
        <w:numPr>
          <w:ilvl w:val="0"/>
          <w:numId w:val="1004"/>
        </w:numPr>
      </w:pPr>
      <w:r>
        <w:rPr>
          <w:b/>
          <w:bCs/>
        </w:rPr>
        <w:t xml:space="preserve">§3.1 Whitmore IP:</w:t>
      </w:r>
      <w:r>
        <w:t xml:space="preserve"> </w:t>
      </w:r>
      <w:r>
        <w:t xml:space="preserve">Whitmore retains all right, title, and interest in PredictIQ, including the 14 issued U.S. patents, 3 pending PCT applications, source/object code, models, and trade secrets.</w:t>
      </w:r>
    </w:p>
    <w:p>
      <w:pPr>
        <w:pStyle w:val="Compact"/>
        <w:numPr>
          <w:ilvl w:val="0"/>
          <w:numId w:val="1004"/>
        </w:numPr>
      </w:pPr>
      <w:r>
        <w:rPr>
          <w:b/>
          <w:bCs/>
        </w:rPr>
        <w:t xml:space="preserve">§3.2 KBI IP:</w:t>
      </w:r>
      <w:r>
        <w:t xml:space="preserve"> </w:t>
      </w:r>
      <w:r>
        <w:t xml:space="preserve">KBI retains all rights in its proprietary systems, data, processes, and know-how (MES, SCADA, operational data).</w:t>
      </w:r>
    </w:p>
    <w:p>
      <w:pPr>
        <w:pStyle w:val="Compact"/>
        <w:numPr>
          <w:ilvl w:val="0"/>
          <w:numId w:val="1004"/>
        </w:numPr>
      </w:pPr>
      <w:r>
        <w:rPr>
          <w:b/>
          <w:bCs/>
        </w:rPr>
        <w:t xml:space="preserve">§3.3 Derivative works:</w:t>
      </w:r>
      <w:r>
        <w:t xml:space="preserve"> </w:t>
      </w:r>
      <w:r>
        <w:t xml:space="preserve">Reiterates joint ownership with unrestricted exploitation rights (cross-references §2).</w:t>
      </w:r>
    </w:p>
    <w:p>
      <w:pPr>
        <w:pStyle w:val="Compact"/>
        <w:numPr>
          <w:ilvl w:val="0"/>
          <w:numId w:val="1004"/>
        </w:numPr>
      </w:pPr>
      <w:r>
        <w:rPr>
          <w:b/>
          <w:bCs/>
        </w:rPr>
        <w:t xml:space="preserve">§3.4 Feedback:</w:t>
      </w:r>
      <w:r>
        <w:t xml:space="preserve"> </w:t>
      </w:r>
      <w:r>
        <w:t xml:space="preserve">All feedback, suggestions, enhancement requests, and improvements communicated by KBI become the</w:t>
      </w:r>
      <w:r>
        <w:t xml:space="preserve"> </w:t>
      </w:r>
      <w:r>
        <w:rPr>
          <w:b/>
          <w:bCs/>
        </w:rPr>
        <w:t xml:space="preserve">sole and exclusive property of Whitmore</w:t>
      </w:r>
      <w:r>
        <w:t xml:space="preserve">; KBI assigns all rights to Whitmore, which may use them without restriction or obligation.</w:t>
      </w:r>
    </w:p>
    <w:p>
      <w:pPr>
        <w:pStyle w:val="Compact"/>
        <w:numPr>
          <w:ilvl w:val="0"/>
          <w:numId w:val="1004"/>
        </w:numPr>
      </w:pPr>
      <w:r>
        <w:rPr>
          <w:b/>
          <w:bCs/>
        </w:rPr>
        <w:t xml:space="preserve">§3.5 KBI-Inspired Improvements:</w:t>
      </w:r>
      <w:r>
        <w:t xml:space="preserve"> </w:t>
      </w:r>
      <w:r>
        <w:t xml:space="preserve">Notwithstanding §3.4, any improvements, enhancements, or modifications to PredictIQ that are</w:t>
      </w:r>
      <w:r>
        <w:t xml:space="preserve"> </w:t>
      </w:r>
      <w:r>
        <w:t xml:space="preserve">“</w:t>
      </w:r>
      <w:r>
        <w:t xml:space="preserve">derived from or inspired by</w:t>
      </w:r>
      <w:r>
        <w:t xml:space="preserve">”</w:t>
      </w:r>
      <w:r>
        <w:t xml:space="preserve"> </w:t>
      </w:r>
      <w:r>
        <w:t xml:space="preserve">KBI’s operational data, manufacturing processes, or use of PredictIQ (</w:t>
      </w:r>
      <w:r>
        <w:t xml:space="preserve">“</w:t>
      </w:r>
      <w:r>
        <w:t xml:space="preserve">KBI-Inspired Improvements</w:t>
      </w:r>
      <w:r>
        <w:t xml:space="preserve">”</w:t>
      </w:r>
      <w:r>
        <w:t xml:space="preserve">) are licensed back to KBI on a</w:t>
      </w:r>
      <w:r>
        <w:t xml:space="preserve"> </w:t>
      </w:r>
      <w:r>
        <w:rPr>
          <w:b/>
          <w:bCs/>
        </w:rPr>
        <w:t xml:space="preserve">perpetual, irrevocable, royalty-free, non-exclusive</w:t>
      </w:r>
      <w:r>
        <w:t xml:space="preserve"> </w:t>
      </w:r>
      <w:r>
        <w:t xml:space="preserve">basis for use within its manufacturing operations — regardless of whether developed in response to KBI feedback.</w:t>
      </w:r>
    </w:p>
    <w:bookmarkEnd w:id="30"/>
    <w:bookmarkStart w:id="31" w:name="c.-data-rights-term-sheet-4"/>
    <w:p>
      <w:pPr>
        <w:pStyle w:val="Heading3"/>
      </w:pPr>
      <w:r>
        <w:t xml:space="preserve">C. Data Rights (Term Sheet §4)</w:t>
      </w:r>
    </w:p>
    <w:p>
      <w:pPr>
        <w:pStyle w:val="Compact"/>
        <w:numPr>
          <w:ilvl w:val="0"/>
          <w:numId w:val="1005"/>
        </w:numPr>
      </w:pPr>
      <w:r>
        <w:rPr>
          <w:b/>
          <w:bCs/>
        </w:rPr>
        <w:t xml:space="preserve">§4.1 KBI Data:</w:t>
      </w:r>
      <w:r>
        <w:t xml:space="preserve"> </w:t>
      </w:r>
      <w:r>
        <w:t xml:space="preserve">All data input into or processed by PredictIQ (operational data, sensor readings, telemetry, maintenance records, etc.); KBI retains all rights.</w:t>
      </w:r>
    </w:p>
    <w:p>
      <w:pPr>
        <w:pStyle w:val="Compact"/>
        <w:numPr>
          <w:ilvl w:val="0"/>
          <w:numId w:val="1005"/>
        </w:numPr>
      </w:pPr>
      <w:r>
        <w:rPr>
          <w:b/>
          <w:bCs/>
        </w:rPr>
        <w:t xml:space="preserve">§4.2 Output Data:</w:t>
      </w:r>
      <w:r>
        <w:t xml:space="preserve"> </w:t>
      </w:r>
      <w:r>
        <w:t xml:space="preserve">All outputs generated by PredictIQ when processing KBI Data — expressly including</w:t>
      </w:r>
      <w:r>
        <w:t xml:space="preserve"> </w:t>
      </w:r>
      <w:r>
        <w:rPr>
          <w:b/>
          <w:bCs/>
        </w:rPr>
        <w:t xml:space="preserve">model weights, parameters, training artifacts, feature-importance rankings, and model configuration data</w:t>
      </w:r>
      <w:r>
        <w:t xml:space="preserve"> </w:t>
      </w:r>
      <w:r>
        <w:t xml:space="preserve">derived from KBI Data — are the</w:t>
      </w:r>
      <w:r>
        <w:t xml:space="preserve"> </w:t>
      </w:r>
      <w:r>
        <w:rPr>
          <w:b/>
          <w:bCs/>
        </w:rPr>
        <w:t xml:space="preserve">sole and exclusive property of KBI</w:t>
      </w:r>
      <w:r>
        <w:t xml:space="preserve">.</w:t>
      </w:r>
    </w:p>
    <w:p>
      <w:pPr>
        <w:pStyle w:val="Compact"/>
        <w:numPr>
          <w:ilvl w:val="0"/>
          <w:numId w:val="1005"/>
        </w:numPr>
      </w:pPr>
      <w:r>
        <w:rPr>
          <w:b/>
          <w:bCs/>
        </w:rPr>
        <w:t xml:space="preserve">§4.3 Restrictions on use of KBI Data:</w:t>
      </w:r>
      <w:r>
        <w:t xml:space="preserve"> </w:t>
      </w:r>
      <w:r>
        <w:t xml:space="preserve">Whitmore shall not use KBI Data (or data derived therefrom) for any purpose other than performing its obligations — specifically prohibiting (a) training/tuning/improving general-purpose ML models; (b) developing/improving products for third parties; and (c) creating anonymized, aggregated, or de-identified datasets. For the avoidance of doubt,</w:t>
      </w:r>
      <w:r>
        <w:t xml:space="preserve"> </w:t>
      </w:r>
      <w:r>
        <w:rPr>
          <w:b/>
          <w:bCs/>
        </w:rPr>
        <w:t xml:space="preserve">no use of KBI Data in anonymized or aggregated form</w:t>
      </w:r>
      <w:r>
        <w:t xml:space="preserve"> </w:t>
      </w:r>
      <w:r>
        <w:t xml:space="preserve">to train or improve general models</w:t>
      </w:r>
      <w:r>
        <w:t xml:space="preserve"> </w:t>
      </w:r>
      <w:r>
        <w:rPr>
          <w:b/>
          <w:bCs/>
        </w:rPr>
        <w:t xml:space="preserve">without KBI’s prior written consent</w:t>
      </w:r>
      <w:r>
        <w:t xml:space="preserve">, which may be withheld in KBI’s sole discretion.</w:t>
      </w:r>
    </w:p>
    <w:p>
      <w:pPr>
        <w:pStyle w:val="Compact"/>
        <w:numPr>
          <w:ilvl w:val="0"/>
          <w:numId w:val="1005"/>
        </w:numPr>
      </w:pPr>
      <w:r>
        <w:rPr>
          <w:b/>
          <w:bCs/>
        </w:rPr>
        <w:t xml:space="preserve">§4.4 Return/deletion:</w:t>
      </w:r>
      <w:r>
        <w:t xml:space="preserve"> </w:t>
      </w:r>
      <w:r>
        <w:t xml:space="preserve">Upon termination, Whitmore must return or securely delete all KBI Data and Output Data at KBI’s election and certify in writing.</w:t>
      </w:r>
    </w:p>
    <w:p>
      <w:pPr>
        <w:pStyle w:val="Compact"/>
        <w:numPr>
          <w:ilvl w:val="0"/>
          <w:numId w:val="1005"/>
        </w:numPr>
      </w:pPr>
      <w:r>
        <w:rPr>
          <w:b/>
          <w:bCs/>
        </w:rPr>
        <w:t xml:space="preserve">§4.5 Compliance:</w:t>
      </w:r>
      <w:r>
        <w:t xml:space="preserve"> </w:t>
      </w:r>
      <w:r>
        <w:t xml:space="preserve">Both parties to comply with GDPR and applicable German data-protection laws.</w:t>
      </w:r>
    </w:p>
    <w:bookmarkEnd w:id="31"/>
    <w:bookmarkStart w:id="32" w:name="d.-fees-and-payment-term-sheet-5"/>
    <w:p>
      <w:pPr>
        <w:pStyle w:val="Heading3"/>
      </w:pPr>
      <w:r>
        <w:t xml:space="preserve">D. Fees and Payment (Term Sheet §5)</w:t>
      </w:r>
    </w:p>
    <w:p>
      <w:pPr>
        <w:pStyle w:val="Compact"/>
        <w:numPr>
          <w:ilvl w:val="0"/>
          <w:numId w:val="1006"/>
        </w:numPr>
      </w:pPr>
      <w:r>
        <w:rPr>
          <w:b/>
          <w:bCs/>
        </w:rPr>
        <w:t xml:space="preserve">§5.1 Initial License Fee:</w:t>
      </w:r>
      <w:r>
        <w:t xml:space="preserve"> </w:t>
      </w:r>
      <w:r>
        <w:t xml:space="preserve">$4,200,000 in three installments (30% / 40% / 30% at execution / Phase 1 completion / Phase 2 go-live).</w:t>
      </w:r>
    </w:p>
    <w:p>
      <w:pPr>
        <w:pStyle w:val="Compact"/>
        <w:numPr>
          <w:ilvl w:val="0"/>
          <w:numId w:val="1006"/>
        </w:numPr>
      </w:pPr>
      <w:r>
        <w:rPr>
          <w:b/>
          <w:bCs/>
        </w:rPr>
        <w:t xml:space="preserve">§5.2 Annual SaaS Subscription:</w:t>
      </w:r>
      <w:r>
        <w:t xml:space="preserve"> </w:t>
      </w:r>
      <w:r>
        <w:t xml:space="preserve">$2,850,000/yr (Yrs 1–3), quarterly in advance; 3% annual escalation from Year 4.</w:t>
      </w:r>
    </w:p>
    <w:p>
      <w:pPr>
        <w:pStyle w:val="Compact"/>
        <w:numPr>
          <w:ilvl w:val="0"/>
          <w:numId w:val="1006"/>
        </w:numPr>
      </w:pPr>
      <w:r>
        <w:rPr>
          <w:b/>
          <w:bCs/>
        </w:rPr>
        <w:t xml:space="preserve">§5.3 Implementation Services Fee:</w:t>
      </w:r>
      <w:r>
        <w:t xml:space="preserve"> </w:t>
      </w:r>
      <w:r>
        <w:t xml:space="preserve">$1,750,000, monthly over 18 months.</w:t>
      </w:r>
    </w:p>
    <w:p>
      <w:pPr>
        <w:pStyle w:val="Compact"/>
        <w:numPr>
          <w:ilvl w:val="0"/>
          <w:numId w:val="1006"/>
        </w:numPr>
      </w:pPr>
      <w:r>
        <w:rPr>
          <w:b/>
          <w:bCs/>
        </w:rPr>
        <w:t xml:space="preserve">§5.4 Annual Maintenance &amp; Support:</w:t>
      </w:r>
      <w:r>
        <w:t xml:space="preserve"> </w:t>
      </w:r>
      <w:r>
        <w:t xml:space="preserve">18% of the Initial License Fee = $756,000/yr (Yr 1); 4% annual escalation from Year 2; payable annually in advance.</w:t>
      </w:r>
    </w:p>
    <w:p>
      <w:pPr>
        <w:pStyle w:val="Compact"/>
        <w:numPr>
          <w:ilvl w:val="0"/>
          <w:numId w:val="1006"/>
        </w:numPr>
      </w:pPr>
      <w:r>
        <w:rPr>
          <w:b/>
          <w:bCs/>
        </w:rPr>
        <w:t xml:space="preserve">§5.5 Currency/terms:</w:t>
      </w:r>
      <w:r>
        <w:t xml:space="preserve"> </w:t>
      </w:r>
      <w:r>
        <w:t xml:space="preserve">USD; net 30; late interest 1.5%/month or legal max.</w:t>
      </w:r>
    </w:p>
    <w:p>
      <w:pPr>
        <w:pStyle w:val="Compact"/>
        <w:numPr>
          <w:ilvl w:val="0"/>
          <w:numId w:val="1006"/>
        </w:numPr>
      </w:pPr>
      <w:r>
        <w:rPr>
          <w:b/>
          <w:bCs/>
        </w:rPr>
        <w:t xml:space="preserve">§5.6 Taxes:</w:t>
      </w:r>
      <w:r>
        <w:t xml:space="preserve"> </w:t>
      </w:r>
      <w:r>
        <w:t xml:space="preserve">Exclusive of taxes; KBI bears sales/use/VAT (excluding Whitmore’s income taxes).</w:t>
      </w:r>
    </w:p>
    <w:p>
      <w:pPr>
        <w:pStyle w:val="Compact"/>
        <w:numPr>
          <w:ilvl w:val="0"/>
          <w:numId w:val="1006"/>
        </w:numPr>
      </w:pPr>
      <w:r>
        <w:rPr>
          <w:b/>
          <w:bCs/>
        </w:rPr>
        <w:t xml:space="preserve">§5.7 Expansion pricing:</w:t>
      </w:r>
      <w:r>
        <w:t xml:space="preserve"> </w:t>
      </w:r>
      <w:r>
        <w:t xml:space="preserve">Same per-facility terms for newly acquired facilities during the 5-year expansion period; no additional license fee; pro rata on 43 facilities.</w:t>
      </w:r>
    </w:p>
    <w:bookmarkEnd w:id="32"/>
    <w:bookmarkStart w:id="33" w:name="e.-implementation-services-term-sheet-6"/>
    <w:p>
      <w:pPr>
        <w:pStyle w:val="Heading3"/>
      </w:pPr>
      <w:r>
        <w:t xml:space="preserve">E. Implementation Services (Term Sheet §6)</w:t>
      </w:r>
    </w:p>
    <w:p>
      <w:pPr>
        <w:pStyle w:val="Compact"/>
        <w:numPr>
          <w:ilvl w:val="0"/>
          <w:numId w:val="1007"/>
        </w:numPr>
      </w:pPr>
      <w:r>
        <w:rPr>
          <w:b/>
          <w:bCs/>
        </w:rPr>
        <w:t xml:space="preserve">§6.1 Scope:</w:t>
      </w:r>
      <w:r>
        <w:t xml:space="preserve"> </w:t>
      </w:r>
      <w:r>
        <w:t xml:space="preserve">On-site edge-module deployment, SCADA/MES integration, data-ingestion configuration, model calibration/training, end-user training, and UAT at each facility.</w:t>
      </w:r>
    </w:p>
    <w:p>
      <w:pPr>
        <w:pStyle w:val="Compact"/>
        <w:numPr>
          <w:ilvl w:val="0"/>
          <w:numId w:val="1007"/>
        </w:numPr>
      </w:pPr>
      <w:r>
        <w:rPr>
          <w:b/>
          <w:bCs/>
        </w:rPr>
        <w:t xml:space="preserve">§6.2 Phases:</w:t>
      </w:r>
      <w:r>
        <w:t xml:space="preserve"> </w:t>
      </w:r>
      <w:r>
        <w:t xml:space="preserve">Phase 1 (Months 1–6): 10 pilot facilities (start Sept 15, 2025; complete Mar 15, 2026). Phase 2 (Months 7–18): remaining 33 facilities (complete Mar 15, 2027).</w:t>
      </w:r>
    </w:p>
    <w:p>
      <w:pPr>
        <w:pStyle w:val="Compact"/>
        <w:numPr>
          <w:ilvl w:val="0"/>
          <w:numId w:val="1007"/>
        </w:numPr>
      </w:pPr>
      <w:r>
        <w:rPr>
          <w:b/>
          <w:bCs/>
        </w:rPr>
        <w:t xml:space="preserve">§6.3 KBI responsibilities:</w:t>
      </w:r>
      <w:r>
        <w:t xml:space="preserve"> </w:t>
      </w:r>
      <w:r>
        <w:t xml:space="preserve">Reasonable access; designated project manager; SCADA/MES systems operational and meeting Whitmore’s published minimum requirements.</w:t>
      </w:r>
    </w:p>
    <w:p>
      <w:pPr>
        <w:pStyle w:val="Compact"/>
        <w:numPr>
          <w:ilvl w:val="0"/>
          <w:numId w:val="1007"/>
        </w:numPr>
      </w:pPr>
      <w:r>
        <w:rPr>
          <w:b/>
          <w:bCs/>
        </w:rPr>
        <w:t xml:space="preserve">§6.4 Change orders:</w:t>
      </w:r>
      <w:r>
        <w:t xml:space="preserve"> </w:t>
      </w:r>
      <w:r>
        <w:t xml:space="preserve">Written, signed by both parties, fees agreed before work.</w:t>
      </w:r>
    </w:p>
    <w:p>
      <w:pPr>
        <w:pStyle w:val="Compact"/>
        <w:numPr>
          <w:ilvl w:val="0"/>
          <w:numId w:val="1007"/>
        </w:numPr>
      </w:pPr>
      <w:r>
        <w:rPr>
          <w:b/>
          <w:bCs/>
        </w:rPr>
        <w:t xml:space="preserve">§6.5 Acceptance:</w:t>
      </w:r>
      <w:r>
        <w:t xml:space="preserve"> </w:t>
      </w:r>
      <w:r>
        <w:t xml:space="preserve">30-day UAT per facility;</w:t>
      </w:r>
      <w:r>
        <w:t xml:space="preserve"> </w:t>
      </w:r>
      <w:r>
        <w:rPr>
          <w:b/>
          <w:bCs/>
        </w:rPr>
        <w:t xml:space="preserve">deemed accepted</w:t>
      </w:r>
      <w:r>
        <w:t xml:space="preserve"> </w:t>
      </w:r>
      <w:r>
        <w:t xml:space="preserve">if KBI gives no written notice of material non-conformance within the UAT period.</w:t>
      </w:r>
    </w:p>
    <w:bookmarkEnd w:id="33"/>
    <w:bookmarkStart w:id="34" w:name="f.-maintenance-and-support-term-sheet-7"/>
    <w:p>
      <w:pPr>
        <w:pStyle w:val="Heading3"/>
      </w:pPr>
      <w:r>
        <w:t xml:space="preserve">F. Maintenance and Support (Term Sheet §7)</w:t>
      </w:r>
    </w:p>
    <w:p>
      <w:pPr>
        <w:pStyle w:val="Compact"/>
        <w:numPr>
          <w:ilvl w:val="0"/>
          <w:numId w:val="1008"/>
        </w:numPr>
      </w:pPr>
      <w:r>
        <w:rPr>
          <w:b/>
          <w:bCs/>
        </w:rPr>
        <w:t xml:space="preserve">§7.1 Scope:</w:t>
      </w:r>
      <w:r>
        <w:t xml:space="preserve"> </w:t>
      </w:r>
      <w:r>
        <w:t xml:space="preserve">Bug fixes, updates/patches, 24/7 support, annual major upgrades.</w:t>
      </w:r>
    </w:p>
    <w:p>
      <w:pPr>
        <w:pStyle w:val="Compact"/>
        <w:numPr>
          <w:ilvl w:val="0"/>
          <w:numId w:val="1008"/>
        </w:numPr>
      </w:pPr>
      <w:r>
        <w:rPr>
          <w:b/>
          <w:bCs/>
        </w:rPr>
        <w:t xml:space="preserve">§7.2 Service levels (commercially reasonable efforts):</w:t>
      </w:r>
      <w:r>
        <w:t xml:space="preserve"> </w:t>
      </w:r>
      <w:r>
        <w:t xml:space="preserve">Critical — 4 hr response / 24 hr resolution; High — 8 hr / 72 hr; Medium/Low — 2 business days / as reasonably practicable.</w:t>
      </w:r>
    </w:p>
    <w:p>
      <w:pPr>
        <w:pStyle w:val="Compact"/>
        <w:numPr>
          <w:ilvl w:val="0"/>
          <w:numId w:val="1008"/>
        </w:numPr>
      </w:pPr>
      <w:r>
        <w:rPr>
          <w:b/>
          <w:bCs/>
        </w:rPr>
        <w:t xml:space="preserve">§7.3 Fee:</w:t>
      </w:r>
      <w:r>
        <w:t xml:space="preserve"> </w:t>
      </w:r>
      <w:r>
        <w:t xml:space="preserve">$756,000/yr, escalating 4% annually.</w:t>
      </w:r>
    </w:p>
    <w:p>
      <w:pPr>
        <w:pStyle w:val="Compact"/>
        <w:numPr>
          <w:ilvl w:val="0"/>
          <w:numId w:val="1008"/>
        </w:numPr>
      </w:pPr>
      <w:r>
        <w:rPr>
          <w:b/>
          <w:bCs/>
        </w:rPr>
        <w:t xml:space="preserve">§7.4 Term:</w:t>
      </w:r>
      <w:r>
        <w:t xml:space="preserve"> </w:t>
      </w:r>
      <w:r>
        <w:t xml:space="preserve">Commences at Phase 1 go-live; continues for the duration of the license.</w:t>
      </w:r>
    </w:p>
    <w:p>
      <w:pPr>
        <w:pStyle w:val="Compact"/>
        <w:numPr>
          <w:ilvl w:val="0"/>
          <w:numId w:val="1008"/>
        </w:numPr>
      </w:pPr>
      <w:r>
        <w:rPr>
          <w:b/>
          <w:bCs/>
        </w:rPr>
        <w:t xml:space="preserve">§7.5 Suspension:</w:t>
      </w:r>
      <w:r>
        <w:t xml:space="preserve"> </w:t>
      </w:r>
      <w:r>
        <w:t xml:space="preserve">Whitmore may suspend support on non-payment, subject to 30 days’ written notice.</w:t>
      </w:r>
    </w:p>
    <w:bookmarkEnd w:id="34"/>
    <w:bookmarkStart w:id="35" w:name="g.-warranties-term-sheet-8"/>
    <w:p>
      <w:pPr>
        <w:pStyle w:val="Heading3"/>
      </w:pPr>
      <w:r>
        <w:t xml:space="preserve">G. Warranties (Term Sheet §8)</w:t>
      </w:r>
    </w:p>
    <w:p>
      <w:pPr>
        <w:pStyle w:val="Compact"/>
        <w:numPr>
          <w:ilvl w:val="0"/>
          <w:numId w:val="1009"/>
        </w:numPr>
      </w:pPr>
      <w:r>
        <w:rPr>
          <w:b/>
          <w:bCs/>
        </w:rPr>
        <w:t xml:space="preserve">§8.1 Conformance warranty:</w:t>
      </w:r>
      <w:r>
        <w:t xml:space="preserve"> </w:t>
      </w:r>
      <w:r>
        <w:t xml:space="preserve">PredictIQ performs materially per documentation for 24 months from each facility’s go-live.</w:t>
      </w:r>
    </w:p>
    <w:p>
      <w:pPr>
        <w:pStyle w:val="Compact"/>
        <w:numPr>
          <w:ilvl w:val="0"/>
          <w:numId w:val="1009"/>
        </w:numPr>
      </w:pPr>
      <w:r>
        <w:rPr>
          <w:b/>
          <w:bCs/>
        </w:rPr>
        <w:t xml:space="preserve">§8.2 Performance warranty:</w:t>
      </w:r>
      <w:r>
        <w:t xml:space="preserve"> </w:t>
      </w:r>
      <w:r>
        <w:t xml:space="preserve">PredictIQ achieves</w:t>
      </w:r>
      <w:r>
        <w:t xml:space="preserve"> </w:t>
      </w:r>
      <w:r>
        <w:rPr>
          <w:b/>
          <w:bCs/>
        </w:rPr>
        <w:t xml:space="preserve">≥ 92% prediction accuracy</w:t>
      </w:r>
      <w:r>
        <w:t xml:space="preserve"> </w:t>
      </w:r>
      <w:r>
        <w:t xml:space="preserve">on a rolling 90-day basis across all deployed facilities.</w:t>
      </w:r>
      <w:r>
        <w:t xml:space="preserve"> </w:t>
      </w:r>
      <w:r>
        <w:t xml:space="preserve">“</w:t>
      </w:r>
      <w:r>
        <w:t xml:space="preserve">Prediction accuracy</w:t>
      </w:r>
      <w:r>
        <w:t xml:space="preserve">”</w:t>
      </w:r>
      <w:r>
        <w:t xml:space="preserve"> </w:t>
      </w:r>
      <w:r>
        <w:t xml:space="preserve">= percentage of equipment-failure events correctly predicted at least 48 hours in advance, measured against actual failures recorded in KBI’s maintenance logs.</w:t>
      </w:r>
    </w:p>
    <w:p>
      <w:pPr>
        <w:pStyle w:val="Compact"/>
        <w:numPr>
          <w:ilvl w:val="0"/>
          <w:numId w:val="1009"/>
        </w:numPr>
      </w:pPr>
      <w:r>
        <w:rPr>
          <w:b/>
          <w:bCs/>
        </w:rPr>
        <w:t xml:space="preserve">§8.3 Performance remedies:</w:t>
      </w:r>
      <w:r>
        <w:t xml:space="preserve"> </w:t>
      </w:r>
      <w:r>
        <w:t xml:space="preserve">(a) credit of 5% of the quarterly SaaS fee ($35,625) per percentage point below 92%; (b) if accuracy falls below 85% for two consecutive quarters, KBI may terminate for cause (§13).</w:t>
      </w:r>
    </w:p>
    <w:p>
      <w:pPr>
        <w:pStyle w:val="Compact"/>
        <w:numPr>
          <w:ilvl w:val="0"/>
          <w:numId w:val="1009"/>
        </w:numPr>
      </w:pPr>
      <w:r>
        <w:rPr>
          <w:b/>
          <w:bCs/>
        </w:rPr>
        <w:t xml:space="preserve">§8.4 IP warranty:</w:t>
      </w:r>
      <w:r>
        <w:t xml:space="preserve"> </w:t>
      </w:r>
      <w:r>
        <w:t xml:space="preserve">Whitmore owns/is authorized to license PredictIQ; no third-party infringement to Whitmore’s knowledge; full right to grant the licenses.</w:t>
      </w:r>
    </w:p>
    <w:p>
      <w:pPr>
        <w:pStyle w:val="Compact"/>
        <w:numPr>
          <w:ilvl w:val="0"/>
          <w:numId w:val="1009"/>
        </w:numPr>
      </w:pPr>
      <w:r>
        <w:rPr>
          <w:b/>
          <w:bCs/>
        </w:rPr>
        <w:t xml:space="preserve">§8.5 Disclaimer:</w:t>
      </w:r>
      <w:r>
        <w:t xml:space="preserve"> </w:t>
      </w:r>
      <w:r>
        <w:t xml:space="preserve">All other warranties disclaimed (merchantability, fitness, non-infringement).</w:t>
      </w:r>
    </w:p>
    <w:bookmarkEnd w:id="35"/>
    <w:bookmarkStart w:id="36" w:name="h.-indemnification-term-sheet-9"/>
    <w:p>
      <w:pPr>
        <w:pStyle w:val="Heading3"/>
      </w:pPr>
      <w:r>
        <w:t xml:space="preserve">H. Indemnification (Term Sheet §9)</w:t>
      </w:r>
    </w:p>
    <w:p>
      <w:pPr>
        <w:pStyle w:val="Compact"/>
        <w:numPr>
          <w:ilvl w:val="0"/>
          <w:numId w:val="1010"/>
        </w:numPr>
      </w:pPr>
      <w:r>
        <w:rPr>
          <w:b/>
          <w:bCs/>
        </w:rPr>
        <w:t xml:space="preserve">§9.1 IP indemnification by Whitmore:</w:t>
      </w:r>
      <w:r>
        <w:t xml:space="preserve"> </w:t>
      </w:r>
      <w:r>
        <w:t xml:space="preserve">Defend/indemnify KBI from third-party IP-infringement claims arising from authorized use.</w:t>
      </w:r>
      <w:r>
        <w:t xml:space="preserve"> </w:t>
      </w:r>
      <w:r>
        <w:rPr>
          <w:b/>
          <w:bCs/>
        </w:rPr>
        <w:t xml:space="preserve">Not subject to any limitation of liability or cap (uncapped).</w:t>
      </w:r>
    </w:p>
    <w:p>
      <w:pPr>
        <w:pStyle w:val="Compact"/>
        <w:numPr>
          <w:ilvl w:val="0"/>
          <w:numId w:val="1010"/>
        </w:numPr>
      </w:pPr>
      <w:r>
        <w:rPr>
          <w:b/>
          <w:bCs/>
        </w:rPr>
        <w:t xml:space="preserve">§9.2 Infringement remedies:</w:t>
      </w:r>
      <w:r>
        <w:t xml:space="preserve"> </w:t>
      </w:r>
      <w:r>
        <w:t xml:space="preserve">At Whitmore’s sole option/expense: (a) procure right to continue use; (b) modify to be non-infringing; or (c) replace with non-infringing equivalent.</w:t>
      </w:r>
    </w:p>
    <w:p>
      <w:pPr>
        <w:pStyle w:val="Compact"/>
        <w:numPr>
          <w:ilvl w:val="0"/>
          <w:numId w:val="1010"/>
        </w:numPr>
      </w:pPr>
      <w:r>
        <w:rPr>
          <w:b/>
          <w:bCs/>
        </w:rPr>
        <w:t xml:space="preserve">§9.3 KBI indemnification:</w:t>
      </w:r>
      <w:r>
        <w:t xml:space="preserve"> </w:t>
      </w:r>
      <w:r>
        <w:t xml:space="preserve">KBI indemnifies Whitmore for unauthorized use and for claims arising from KBI Data/proprietary systems (to the extent not arising from PredictIQ itself).</w:t>
      </w:r>
    </w:p>
    <w:p>
      <w:pPr>
        <w:pStyle w:val="Compact"/>
        <w:numPr>
          <w:ilvl w:val="0"/>
          <w:numId w:val="1010"/>
        </w:numPr>
      </w:pPr>
      <w:r>
        <w:rPr>
          <w:b/>
          <w:bCs/>
        </w:rPr>
        <w:t xml:space="preserve">§9.4 Procedures:</w:t>
      </w:r>
      <w:r>
        <w:t xml:space="preserve"> </w:t>
      </w:r>
      <w:r>
        <w:t xml:space="preserve">Prompt notice; sole control of defense/settlement to indemnifying party; reasonable cooperation at indemnifying party’s expense.</w:t>
      </w:r>
    </w:p>
    <w:bookmarkEnd w:id="36"/>
    <w:bookmarkStart w:id="37" w:name="i.-limitation-of-liability-term-sheet-10"/>
    <w:p>
      <w:pPr>
        <w:pStyle w:val="Heading3"/>
      </w:pPr>
      <w:r>
        <w:t xml:space="preserve">I. Limitation of Liability (Term Sheet §10)</w:t>
      </w:r>
    </w:p>
    <w:p>
      <w:pPr>
        <w:pStyle w:val="Compact"/>
        <w:numPr>
          <w:ilvl w:val="0"/>
          <w:numId w:val="1011"/>
        </w:numPr>
      </w:pPr>
      <w:r>
        <w:rPr>
          <w:b/>
          <w:bCs/>
        </w:rPr>
        <w:t xml:space="preserve">§10.1 General cap:</w:t>
      </w:r>
      <w:r>
        <w:t xml:space="preserve"> </w:t>
      </w:r>
      <w:r>
        <w:t xml:space="preserve">The greater of (I) 2× total fees paid/payable by KBI in the 12 months preceding the event, or (II)</w:t>
      </w:r>
      <w:r>
        <w:t xml:space="preserve"> </w:t>
      </w:r>
      <w:r>
        <w:rPr>
          <w:b/>
          <w:bCs/>
        </w:rPr>
        <w:t xml:space="preserve">$15,000,000</w:t>
      </w:r>
      <w:r>
        <w:t xml:space="preserve">.</w:t>
      </w:r>
    </w:p>
    <w:p>
      <w:pPr>
        <w:pStyle w:val="Compact"/>
        <w:numPr>
          <w:ilvl w:val="0"/>
          <w:numId w:val="1011"/>
        </w:numPr>
      </w:pPr>
      <w:r>
        <w:rPr>
          <w:b/>
          <w:bCs/>
        </w:rPr>
        <w:t xml:space="preserve">§10.2 Consequential damages exclusion:</w:t>
      </w:r>
      <w:r>
        <w:t xml:space="preserve"> </w:t>
      </w:r>
      <w:r>
        <w:t xml:space="preserve">No indirect/incidental/special/consequential/punitive damages, including lost profits, loss of data, loss of goodwill, or business interruption.</w:t>
      </w:r>
    </w:p>
    <w:p>
      <w:pPr>
        <w:pStyle w:val="Compact"/>
        <w:numPr>
          <w:ilvl w:val="0"/>
          <w:numId w:val="1011"/>
        </w:numPr>
      </w:pPr>
      <w:r>
        <w:rPr>
          <w:b/>
          <w:bCs/>
        </w:rPr>
        <w:t xml:space="preserve">§10.3 Exceptions (caps do not apply):</w:t>
      </w:r>
      <w:r>
        <w:t xml:space="preserve"> </w:t>
      </w:r>
      <w:r>
        <w:t xml:space="preserve">(A) Whitmore’s IP indemnification (§9.1); (B) either party’s breach of confidentiality (§15); (C) willful misconduct or fraud.</w:t>
      </w:r>
    </w:p>
    <w:bookmarkEnd w:id="37"/>
    <w:bookmarkStart w:id="38" w:name="j.-source-code-escrow-term-sheet-11"/>
    <w:p>
      <w:pPr>
        <w:pStyle w:val="Heading3"/>
      </w:pPr>
      <w:r>
        <w:t xml:space="preserve">J. Source Code Escrow (Term Sheet §11)</w:t>
      </w:r>
    </w:p>
    <w:p>
      <w:pPr>
        <w:pStyle w:val="Compact"/>
        <w:numPr>
          <w:ilvl w:val="0"/>
          <w:numId w:val="1012"/>
        </w:numPr>
      </w:pPr>
      <w:r>
        <w:rPr>
          <w:b/>
          <w:bCs/>
        </w:rPr>
        <w:t xml:space="preserve">§11.1 Deposit:</w:t>
      </w:r>
      <w:r>
        <w:t xml:space="preserve"> </w:t>
      </w:r>
      <w:r>
        <w:t xml:space="preserve">Within 60 days of execution, deposit with Meridian Escrow Services LLC (San Jose, CA): complete source code (all modules, libraries, dependencies), build tools/compilers/scripts, complete technical documentation; updated at least annually and upon each major release.</w:t>
      </w:r>
    </w:p>
    <w:p>
      <w:pPr>
        <w:pStyle w:val="Compact"/>
        <w:numPr>
          <w:ilvl w:val="0"/>
          <w:numId w:val="1012"/>
        </w:numPr>
      </w:pPr>
      <w:r>
        <w:rPr>
          <w:b/>
          <w:bCs/>
        </w:rPr>
        <w:t xml:space="preserve">§11.2 Release conditions:</w:t>
      </w:r>
      <w:r>
        <w:t xml:space="preserve"> </w:t>
      </w:r>
      <w:r>
        <w:t xml:space="preserve">(a) Whitmore insolvency/bankruptcy; (b) material breach uncured for 60 days following written notice; (c) cessation of business; (d) failure to provide maintenance/support for 90 consecutive days.</w:t>
      </w:r>
    </w:p>
    <w:p>
      <w:pPr>
        <w:pStyle w:val="Compact"/>
        <w:numPr>
          <w:ilvl w:val="0"/>
          <w:numId w:val="1012"/>
        </w:numPr>
      </w:pPr>
      <w:r>
        <w:rPr>
          <w:b/>
          <w:bCs/>
        </w:rPr>
        <w:t xml:space="preserve">§11.3 Post-release license:</w:t>
      </w:r>
      <w:r>
        <w:t xml:space="preserve"> </w:t>
      </w:r>
      <w:r>
        <w:t xml:space="preserve">Upon release, KBI receives a perpetual, irrevocable, fully paid-up, royalty-free license to use, modify, compile, and deploy the source code for its internal manufacturing operations.</w:t>
      </w:r>
    </w:p>
    <w:p>
      <w:pPr>
        <w:pStyle w:val="Compact"/>
        <w:numPr>
          <w:ilvl w:val="0"/>
          <w:numId w:val="1012"/>
        </w:numPr>
      </w:pPr>
      <w:r>
        <w:rPr>
          <w:b/>
          <w:bCs/>
        </w:rPr>
        <w:t xml:space="preserve">§11.4 Escrow fees:</w:t>
      </w:r>
      <w:r>
        <w:t xml:space="preserve"> </w:t>
      </w:r>
      <w:r>
        <w:t xml:space="preserve">Borne equally.</w:t>
      </w:r>
    </w:p>
    <w:p>
      <w:pPr>
        <w:pStyle w:val="Compact"/>
        <w:numPr>
          <w:ilvl w:val="0"/>
          <w:numId w:val="1012"/>
        </w:numPr>
      </w:pPr>
      <w:r>
        <w:rPr>
          <w:b/>
          <w:bCs/>
        </w:rPr>
        <w:t xml:space="preserve">§11.5 Verification:</w:t>
      </w:r>
      <w:r>
        <w:t xml:space="preserve"> </w:t>
      </w:r>
      <w:r>
        <w:t xml:space="preserve">KBI may request verification no more than once per calendar year.</w:t>
      </w:r>
    </w:p>
    <w:bookmarkEnd w:id="38"/>
    <w:bookmarkStart w:id="39" w:name="k.-exclusivity-non-compete-term-sheet-12"/>
    <w:p>
      <w:pPr>
        <w:pStyle w:val="Heading3"/>
      </w:pPr>
      <w:r>
        <w:t xml:space="preserve">K. Exclusivity / Non-Compete (Term Sheet §12)</w:t>
      </w:r>
    </w:p>
    <w:p>
      <w:pPr>
        <w:pStyle w:val="Compact"/>
        <w:numPr>
          <w:ilvl w:val="0"/>
          <w:numId w:val="1013"/>
        </w:numPr>
      </w:pPr>
      <w:r>
        <w:rPr>
          <w:b/>
          <w:bCs/>
        </w:rPr>
        <w:t xml:space="preserve">§12.1 Exclusivity period:</w:t>
      </w:r>
      <w:r>
        <w:t xml:space="preserve"> </w:t>
      </w:r>
      <w:r>
        <w:t xml:space="preserve">Three years from the effective date; Whitmore shall not license/sublicense/sell/make available PredictIQ (or any substantially similar predictive-maintenance technology) to any Direct Competitor of KBI in European automotive and heavy machinery manufacturing.</w:t>
      </w:r>
    </w:p>
    <w:p>
      <w:pPr>
        <w:pStyle w:val="Compact"/>
        <w:numPr>
          <w:ilvl w:val="0"/>
          <w:numId w:val="1013"/>
        </w:numPr>
      </w:pPr>
      <w:r>
        <w:rPr>
          <w:b/>
          <w:bCs/>
        </w:rPr>
        <w:t xml:space="preserve">§12.2 Direct Competitor:</w:t>
      </w:r>
      <w:r>
        <w:t xml:space="preserve"> </w:t>
      </w:r>
      <w:r>
        <w:t xml:space="preserve">(a) the 12 entities listed in Exhibit B; and (b) any entity deriving more than 30% of annual revenue from manufacture of automotive vehicles/components, heavy machinery, or heavy industrial equipment in Europe (EEA + UK + Switzerland).</w:t>
      </w:r>
    </w:p>
    <w:p>
      <w:pPr>
        <w:pStyle w:val="Compact"/>
        <w:numPr>
          <w:ilvl w:val="0"/>
          <w:numId w:val="1013"/>
        </w:numPr>
      </w:pPr>
      <w:r>
        <w:rPr>
          <w:b/>
          <w:bCs/>
        </w:rPr>
        <w:t xml:space="preserve">§12.3 Scope:</w:t>
      </w:r>
      <w:r>
        <w:t xml:space="preserve"> </w:t>
      </w:r>
      <w:r>
        <w:t xml:space="preserve">Applies to PredictIQ and any successor/replacement with substantially similar functionality.</w:t>
      </w:r>
    </w:p>
    <w:p>
      <w:pPr>
        <w:pStyle w:val="Compact"/>
        <w:numPr>
          <w:ilvl w:val="0"/>
          <w:numId w:val="1013"/>
        </w:numPr>
      </w:pPr>
      <w:r>
        <w:rPr>
          <w:b/>
          <w:bCs/>
        </w:rPr>
        <w:t xml:space="preserve">§12.4 Survival:</w:t>
      </w:r>
      <w:r>
        <w:t xml:space="preserve"> </w:t>
      </w:r>
      <w:r>
        <w:t xml:space="preserve">Survives termination; continues for the remainder of the Exclusivity Period.</w:t>
      </w:r>
    </w:p>
    <w:p>
      <w:pPr>
        <w:pStyle w:val="Compact"/>
        <w:numPr>
          <w:ilvl w:val="0"/>
          <w:numId w:val="1013"/>
        </w:numPr>
      </w:pPr>
      <w:r>
        <w:rPr>
          <w:b/>
          <w:bCs/>
        </w:rPr>
        <w:t xml:space="preserve">§12.5 Remedies:</w:t>
      </w:r>
      <w:r>
        <w:t xml:space="preserve"> </w:t>
      </w:r>
      <w:r>
        <w:t xml:space="preserve">Injunctive relief available; KBI need not demonstrate irreparable harm or post a bond.</w:t>
      </w:r>
    </w:p>
    <w:bookmarkEnd w:id="39"/>
    <w:bookmarkStart w:id="40" w:name="l.-term-and-termination-term-sheet-13"/>
    <w:p>
      <w:pPr>
        <w:pStyle w:val="Heading3"/>
      </w:pPr>
      <w:r>
        <w:t xml:space="preserve">L. Term and Termination (Term Sheet §13)</w:t>
      </w:r>
    </w:p>
    <w:p>
      <w:pPr>
        <w:pStyle w:val="Compact"/>
        <w:numPr>
          <w:ilvl w:val="0"/>
          <w:numId w:val="1014"/>
        </w:numPr>
      </w:pPr>
      <w:r>
        <w:rPr>
          <w:b/>
          <w:bCs/>
        </w:rPr>
        <w:t xml:space="preserve">§13.1 Term:</w:t>
      </w:r>
      <w:r>
        <w:t xml:space="preserve"> </w:t>
      </w:r>
      <w:r>
        <w:t xml:space="preserve">Perpetual, subject to termination.</w:t>
      </w:r>
    </w:p>
    <w:p>
      <w:pPr>
        <w:pStyle w:val="Compact"/>
        <w:numPr>
          <w:ilvl w:val="0"/>
          <w:numId w:val="1014"/>
        </w:numPr>
      </w:pPr>
      <w:r>
        <w:rPr>
          <w:b/>
          <w:bCs/>
        </w:rPr>
        <w:t xml:space="preserve">§13.2 Termination for cause:</w:t>
      </w:r>
      <w:r>
        <w:t xml:space="preserve"> </w:t>
      </w:r>
      <w:r>
        <w:t xml:space="preserve">90 days’ notice; material breach uncured for 60 days.</w:t>
      </w:r>
    </w:p>
    <w:p>
      <w:pPr>
        <w:pStyle w:val="Compact"/>
        <w:numPr>
          <w:ilvl w:val="0"/>
          <w:numId w:val="1014"/>
        </w:numPr>
      </w:pPr>
      <w:r>
        <w:rPr>
          <w:b/>
          <w:bCs/>
        </w:rPr>
        <w:t xml:space="preserve">§13.3 Termination for convenience (KBI only):</w:t>
      </w:r>
      <w:r>
        <w:t xml:space="preserve"> </w:t>
      </w:r>
      <w:r>
        <w:t xml:space="preserve">12 months’ prior notice, no earlier than the 3rd anniversary.</w:t>
      </w:r>
    </w:p>
    <w:p>
      <w:pPr>
        <w:pStyle w:val="Compact"/>
        <w:numPr>
          <w:ilvl w:val="0"/>
          <w:numId w:val="1014"/>
        </w:numPr>
      </w:pPr>
      <w:r>
        <w:rPr>
          <w:b/>
          <w:bCs/>
        </w:rPr>
        <w:t xml:space="preserve">§13.4 Termination for performance failure:</w:t>
      </w:r>
      <w:r>
        <w:t xml:space="preserve"> </w:t>
      </w:r>
      <w:r>
        <w:t xml:space="preserve">If accuracy &lt; 85% for two consecutive quarters, upon 30 days’ notice.</w:t>
      </w:r>
    </w:p>
    <w:p>
      <w:pPr>
        <w:pStyle w:val="Compact"/>
        <w:numPr>
          <w:ilvl w:val="0"/>
          <w:numId w:val="1014"/>
        </w:numPr>
      </w:pPr>
      <w:r>
        <w:rPr>
          <w:b/>
          <w:bCs/>
        </w:rPr>
        <w:t xml:space="preserve">§13.5 Wind-down license:</w:t>
      </w:r>
      <w:r>
        <w:t xml:space="preserve"> </w:t>
      </w:r>
      <w:r>
        <w:t xml:space="preserve">Upon termination/expiration for</w:t>
      </w:r>
      <w:r>
        <w:t xml:space="preserve"> </w:t>
      </w:r>
      <w:r>
        <w:rPr>
          <w:b/>
          <w:bCs/>
        </w:rPr>
        <w:t xml:space="preserve">any reason</w:t>
      </w:r>
      <w:r>
        <w:t xml:space="preserve"> </w:t>
      </w:r>
      <w:r>
        <w:t xml:space="preserve">(including KBI’s convenience), KBI retains a</w:t>
      </w:r>
      <w:r>
        <w:t xml:space="preserve"> </w:t>
      </w:r>
      <w:r>
        <w:rPr>
          <w:b/>
          <w:bCs/>
        </w:rPr>
        <w:t xml:space="preserve">perpetual, non-exclusive, irrevocable</w:t>
      </w:r>
      <w:r>
        <w:t xml:space="preserve"> </w:t>
      </w:r>
      <w:r>
        <w:t xml:space="preserve">license to continue using the version of PredictIQ deployed as of the termination date, subject to continued payment of the Annual Maintenance &amp; Support Fee.</w:t>
      </w:r>
    </w:p>
    <w:p>
      <w:pPr>
        <w:pStyle w:val="Compact"/>
        <w:numPr>
          <w:ilvl w:val="0"/>
          <w:numId w:val="1014"/>
        </w:numPr>
      </w:pPr>
      <w:r>
        <w:rPr>
          <w:b/>
          <w:bCs/>
        </w:rPr>
        <w:t xml:space="preserve">§13.6 Effects of termination:</w:t>
      </w:r>
      <w:r>
        <w:t xml:space="preserve"> </w:t>
      </w:r>
      <w:r>
        <w:t xml:space="preserve">KBI’s rights to new SaaS features/updates/deployments cease; outstanding fees become due; confidential information returned/destroyed (subject to wind-down license); §§3, 4, 9, 10, 11, 12, 15, 16 survive.</w:t>
      </w:r>
    </w:p>
    <w:p>
      <w:pPr>
        <w:pStyle w:val="Compact"/>
        <w:numPr>
          <w:ilvl w:val="0"/>
          <w:numId w:val="1014"/>
        </w:numPr>
      </w:pPr>
      <w:r>
        <w:rPr>
          <w:b/>
          <w:bCs/>
        </w:rPr>
        <w:t xml:space="preserve">§13.7 No refunds:</w:t>
      </w:r>
      <w:r>
        <w:t xml:space="preserve"> </w:t>
      </w:r>
      <w:r>
        <w:t xml:space="preserve">Fees paid are non-refundable.</w:t>
      </w:r>
    </w:p>
    <w:bookmarkEnd w:id="40"/>
    <w:bookmarkStart w:id="41" w:name="X1e5914b9956fbd5593b3a83333e64ba2e713486"/>
    <w:p>
      <w:pPr>
        <w:pStyle w:val="Heading3"/>
      </w:pPr>
      <w:r>
        <w:t xml:space="preserve">M. Governing Law and Dispute Resolution (Term Sheet §14)</w:t>
      </w:r>
    </w:p>
    <w:p>
      <w:pPr>
        <w:pStyle w:val="Compact"/>
        <w:numPr>
          <w:ilvl w:val="0"/>
          <w:numId w:val="1015"/>
        </w:numPr>
      </w:pPr>
      <w:r>
        <w:rPr>
          <w:b/>
          <w:bCs/>
        </w:rPr>
        <w:t xml:space="preserve">§14.1 Governing law:</w:t>
      </w:r>
      <w:r>
        <w:t xml:space="preserve"> </w:t>
      </w:r>
      <w:r>
        <w:t xml:space="preserve">Germany (without regard to conflicts of law).</w:t>
      </w:r>
    </w:p>
    <w:p>
      <w:pPr>
        <w:pStyle w:val="Compact"/>
        <w:numPr>
          <w:ilvl w:val="0"/>
          <w:numId w:val="1015"/>
        </w:numPr>
      </w:pPr>
      <w:r>
        <w:rPr>
          <w:b/>
          <w:bCs/>
        </w:rPr>
        <w:t xml:space="preserve">§14.2 Arbitration:</w:t>
      </w:r>
      <w:r>
        <w:t xml:space="preserve"> </w:t>
      </w:r>
      <w:r>
        <w:t xml:space="preserve">ICC Rules; three arbitrators; seat Zurich; English language.</w:t>
      </w:r>
    </w:p>
    <w:p>
      <w:pPr>
        <w:pStyle w:val="Compact"/>
        <w:numPr>
          <w:ilvl w:val="0"/>
          <w:numId w:val="1015"/>
        </w:numPr>
      </w:pPr>
      <w:r>
        <w:rPr>
          <w:b/>
          <w:bCs/>
        </w:rPr>
        <w:t xml:space="preserve">§14.3 Interim measures:</w:t>
      </w:r>
      <w:r>
        <w:t xml:space="preserve"> </w:t>
      </w:r>
      <w:r>
        <w:t xml:space="preserve">Either party may seek interim/injunctive relief from courts for IP, confidentiality, or status-quo matters.</w:t>
      </w:r>
    </w:p>
    <w:p>
      <w:pPr>
        <w:pStyle w:val="Compact"/>
        <w:numPr>
          <w:ilvl w:val="0"/>
          <w:numId w:val="1015"/>
        </w:numPr>
      </w:pPr>
      <w:r>
        <w:rPr>
          <w:b/>
          <w:bCs/>
        </w:rPr>
        <w:t xml:space="preserve">§14.4 Costs:</w:t>
      </w:r>
      <w:r>
        <w:t xml:space="preserve"> </w:t>
      </w:r>
      <w:r>
        <w:t xml:space="preserve">Each party bears its own costs/fees; arbitration costs allocated by the tribunal.</w:t>
      </w:r>
    </w:p>
    <w:bookmarkEnd w:id="41"/>
    <w:bookmarkStart w:id="42" w:name="n.-confidentiality-term-sheet-15"/>
    <w:p>
      <w:pPr>
        <w:pStyle w:val="Heading3"/>
      </w:pPr>
      <w:r>
        <w:t xml:space="preserve">N. Confidentiality (Term Sheet §15)</w:t>
      </w:r>
    </w:p>
    <w:p>
      <w:pPr>
        <w:pStyle w:val="Compact"/>
        <w:numPr>
          <w:ilvl w:val="0"/>
          <w:numId w:val="1016"/>
        </w:numPr>
      </w:pPr>
      <w:r>
        <w:t xml:space="preserve">Mutual confidentiality; standard exceptions (public, prior known, independently developed, rightfully received from third party); permitted disclosure to advisors and as required by law; survives termination for 5 years; return/destroy on termination (subject to archival copies and the wind-down license).</w:t>
      </w:r>
    </w:p>
    <w:bookmarkEnd w:id="42"/>
    <w:bookmarkStart w:id="43" w:name="o.-miscellaneous-term-sheet-16"/>
    <w:p>
      <w:pPr>
        <w:pStyle w:val="Heading3"/>
      </w:pPr>
      <w:r>
        <w:t xml:space="preserve">O. Miscellaneous (Term Sheet §16)</w:t>
      </w:r>
    </w:p>
    <w:p>
      <w:pPr>
        <w:pStyle w:val="Compact"/>
        <w:numPr>
          <w:ilvl w:val="0"/>
          <w:numId w:val="1017"/>
        </w:numPr>
      </w:pPr>
      <w:r>
        <w:rPr>
          <w:b/>
          <w:bCs/>
        </w:rPr>
        <w:t xml:space="preserve">§16.1 Non-binding</w:t>
      </w:r>
      <w:r>
        <w:t xml:space="preserve"> </w:t>
      </w:r>
      <w:r>
        <w:t xml:space="preserve">except §§15 and 16 (which are binding).</w:t>
      </w:r>
    </w:p>
    <w:p>
      <w:pPr>
        <w:pStyle w:val="Compact"/>
        <w:numPr>
          <w:ilvl w:val="0"/>
          <w:numId w:val="1017"/>
        </w:numPr>
      </w:pPr>
      <w:r>
        <w:rPr>
          <w:b/>
          <w:bCs/>
        </w:rPr>
        <w:t xml:space="preserve">§16.2 Exclusivity of negotiations (no-shop):</w:t>
      </w:r>
      <w:r>
        <w:t xml:space="preserve"> </w:t>
      </w:r>
      <w:r>
        <w:t xml:space="preserve">60 days from the term-sheet date (through July 28, 2025), Whitmore negotiates exclusively with KBI and will not solicit/entertain/accept third-party proposals for a comparable European industrial transaction.</w:t>
      </w:r>
      <w:r>
        <w:t xml:space="preserve"> </w:t>
      </w:r>
      <w:r>
        <w:rPr>
          <w:b/>
          <w:bCs/>
        </w:rPr>
        <w:t xml:space="preserve">Binding.</w:t>
      </w:r>
    </w:p>
    <w:p>
      <w:pPr>
        <w:pStyle w:val="Compact"/>
        <w:numPr>
          <w:ilvl w:val="0"/>
          <w:numId w:val="1017"/>
        </w:numPr>
      </w:pPr>
      <w:r>
        <w:rPr>
          <w:b/>
          <w:bCs/>
        </w:rPr>
        <w:t xml:space="preserve">§16.3 Entire understanding:</w:t>
      </w:r>
      <w:r>
        <w:t xml:space="preserve"> </w:t>
      </w:r>
      <w:r>
        <w:t xml:space="preserve">Term sheet plus the MFC side letter.</w:t>
      </w:r>
    </w:p>
    <w:p>
      <w:pPr>
        <w:pStyle w:val="Compact"/>
        <w:numPr>
          <w:ilvl w:val="0"/>
          <w:numId w:val="1017"/>
        </w:numPr>
      </w:pPr>
      <w:r>
        <w:rPr>
          <w:b/>
          <w:bCs/>
        </w:rPr>
        <w:t xml:space="preserve">§16.4 Expenses:</w:t>
      </w:r>
      <w:r>
        <w:t xml:space="preserve"> </w:t>
      </w:r>
      <w:r>
        <w:t xml:space="preserve">Each party bears its own.</w:t>
      </w:r>
    </w:p>
    <w:p>
      <w:pPr>
        <w:pStyle w:val="Compact"/>
        <w:numPr>
          <w:ilvl w:val="0"/>
          <w:numId w:val="1017"/>
        </w:numPr>
      </w:pPr>
      <w:r>
        <w:rPr>
          <w:b/>
          <w:bCs/>
        </w:rPr>
        <w:t xml:space="preserve">§16.6 Assignment:</w:t>
      </w:r>
      <w:r>
        <w:t xml:space="preserve"> </w:t>
      </w:r>
      <w:r>
        <w:t xml:space="preserve">No assignment without consent, except KBI may assign to affiliates or in connection with a merger/acquisition/sale of substantially all assets.</w:t>
      </w:r>
    </w:p>
    <w:p>
      <w:pPr>
        <w:pStyle w:val="Compact"/>
        <w:numPr>
          <w:ilvl w:val="0"/>
          <w:numId w:val="1017"/>
        </w:numPr>
      </w:pPr>
      <w:r>
        <w:rPr>
          <w:b/>
          <w:bCs/>
        </w:rPr>
        <w:t xml:space="preserve">§16.7 Response deadline:</w:t>
      </w:r>
      <w:r>
        <w:t xml:space="preserve"> </w:t>
      </w:r>
      <w:r>
        <w:t xml:space="preserve">June 23, 2025.</w:t>
      </w:r>
    </w:p>
    <w:bookmarkEnd w:id="43"/>
    <w:bookmarkStart w:id="44" w:name="p.-mfc-side-letter-dated-may-29-2025"/>
    <w:p>
      <w:pPr>
        <w:pStyle w:val="Heading3"/>
      </w:pPr>
      <w:r>
        <w:t xml:space="preserve">P. MFC Side Letter (dated May 29, 2025)</w:t>
      </w:r>
    </w:p>
    <w:p>
      <w:pPr>
        <w:pStyle w:val="Compact"/>
        <w:numPr>
          <w:ilvl w:val="0"/>
          <w:numId w:val="1018"/>
        </w:numPr>
      </w:pPr>
      <w:r>
        <w:rPr>
          <w:b/>
          <w:bCs/>
        </w:rPr>
        <w:t xml:space="preserve">Condition precedent:</w:t>
      </w:r>
      <w:r>
        <w:t xml:space="preserve"> </w:t>
      </w:r>
      <w:r>
        <w:t xml:space="preserve">KBI’s willingness to proceed is expressly conditioned on Whitmore’s acceptance of the MFC provision; KBI’s adherence to the timeline (including the Sept 15, 2025 Phase 1 start) is contingent on acceptance by June 23, 2025.</w:t>
      </w:r>
    </w:p>
    <w:p>
      <w:pPr>
        <w:pStyle w:val="Compact"/>
        <w:numPr>
          <w:ilvl w:val="0"/>
          <w:numId w:val="1018"/>
        </w:numPr>
      </w:pPr>
      <w:r>
        <w:rPr>
          <w:b/>
          <w:bCs/>
        </w:rPr>
        <w:t xml:space="preserve">§2(a) MFC commitment:</w:t>
      </w:r>
      <w:r>
        <w:t xml:space="preserve"> </w:t>
      </w:r>
      <w:r>
        <w:t xml:space="preserve">If at any time during the term (or thereafter, for so long as KBI retains any license rights, including any post-termination wind-down license) Whitmore enters any agreement/amendment/arrangement with any third party (</w:t>
      </w:r>
      <w:r>
        <w:t xml:space="preserve">“</w:t>
      </w:r>
      <w:r>
        <w:t xml:space="preserve">Subsequent Licensee</w:t>
      </w:r>
      <w:r>
        <w:t xml:space="preserve">”</w:t>
      </w:r>
      <w:r>
        <w:t xml:space="preserve">) for the license/subscription/use of PredictIQ or any</w:t>
      </w:r>
      <w:r>
        <w:t xml:space="preserve"> </w:t>
      </w:r>
      <w:r>
        <w:rPr>
          <w:b/>
          <w:bCs/>
        </w:rPr>
        <w:t xml:space="preserve">successor, derivative, or substantially similar technology</w:t>
      </w:r>
      <w:r>
        <w:t xml:space="preserve"> </w:t>
      </w:r>
      <w:r>
        <w:t xml:space="preserve">on terms resulting in a lower effective per-facility price than KBI’s, Whitmore must notify KBI within 30 days and</w:t>
      </w:r>
      <w:r>
        <w:t xml:space="preserve"> </w:t>
      </w:r>
      <w:r>
        <w:rPr>
          <w:b/>
          <w:bCs/>
        </w:rPr>
        <w:t xml:space="preserve">retroactively adjust</w:t>
      </w:r>
      <w:r>
        <w:t xml:space="preserve"> </w:t>
      </w:r>
      <w:r>
        <w:t xml:space="preserve">KBI’s pricing to match, effective as of the date the more favorable terms were first offered to the Subsequent Licensee.</w:t>
      </w:r>
    </w:p>
    <w:p>
      <w:pPr>
        <w:pStyle w:val="Compact"/>
        <w:numPr>
          <w:ilvl w:val="0"/>
          <w:numId w:val="1018"/>
        </w:numPr>
      </w:pPr>
      <w:r>
        <w:rPr>
          <w:b/>
          <w:bCs/>
        </w:rPr>
        <w:t xml:space="preserve">§2(b) Effective per-facility price:</w:t>
      </w:r>
      <w:r>
        <w:t xml:space="preserve"> </w:t>
      </w:r>
      <w:r>
        <w:t xml:space="preserve">Total annual fees (license, subscription, maintenance, implementation/professional services — one-time or recurring) divided by the number of facilities deployed/authorized.</w:t>
      </w:r>
    </w:p>
    <w:p>
      <w:pPr>
        <w:pStyle w:val="Compact"/>
        <w:numPr>
          <w:ilvl w:val="0"/>
          <w:numId w:val="1018"/>
        </w:numPr>
      </w:pPr>
      <w:r>
        <w:rPr>
          <w:b/>
          <w:bCs/>
        </w:rPr>
        <w:t xml:space="preserve">§2(c) Retroactive adjustment/credit:</w:t>
      </w:r>
      <w:r>
        <w:t xml:space="preserve"> </w:t>
      </w:r>
      <w:r>
        <w:t xml:space="preserve">Applied retroactively to the date Whitmore first offered/agreed the more favorable terms; credit equal to aggregate overpayment, applied against KBI’s next payments.</w:t>
      </w:r>
    </w:p>
    <w:p>
      <w:pPr>
        <w:pStyle w:val="Compact"/>
        <w:numPr>
          <w:ilvl w:val="0"/>
          <w:numId w:val="1018"/>
        </w:numPr>
      </w:pPr>
      <w:r>
        <w:rPr>
          <w:b/>
          <w:bCs/>
        </w:rPr>
        <w:t xml:space="preserve">§2(d) Audit right:</w:t>
      </w:r>
      <w:r>
        <w:t xml:space="preserve"> </w:t>
      </w:r>
      <w:r>
        <w:t xml:space="preserve">Once per calendar year, at KBI’s expense unless the audit reveals a discrepancy of ≥ 5%, in which case at Whitmore’s expense; Whitmore must maintain complete records.</w:t>
      </w:r>
    </w:p>
    <w:p>
      <w:pPr>
        <w:pStyle w:val="Compact"/>
        <w:numPr>
          <w:ilvl w:val="0"/>
          <w:numId w:val="1018"/>
        </w:numPr>
      </w:pPr>
      <w:r>
        <w:rPr>
          <w:b/>
          <w:bCs/>
        </w:rPr>
        <w:t xml:space="preserve">§5 Confidentiality / §6 Governing law (Germany).</w:t>
      </w:r>
      <w:r>
        <w:t xml:space="preserve"> </w:t>
      </w:r>
      <w:r>
        <w:t xml:space="preserve">The side letter is non-binding in itself but is a</w:t>
      </w:r>
      <w:r>
        <w:t xml:space="preserve"> </w:t>
      </w:r>
      <w:r>
        <w:t xml:space="preserve">“</w:t>
      </w:r>
      <w:r>
        <w:t xml:space="preserve">material element</w:t>
      </w:r>
      <w:r>
        <w:t xml:space="preserve">”</w:t>
      </w:r>
      <w:r>
        <w:t xml:space="preserve"> </w:t>
      </w:r>
      <w:r>
        <w:t xml:space="preserve">of KBI’s proposal and is expected to be incorporated verbatim into the definitive agreement.</w:t>
      </w:r>
    </w:p>
    <w:p>
      <w:r>
        <w:pict>
          <v:rect style="width:0;height:1.5pt" o:hralign="center" o:hrstd="t" o:hr="t"/>
        </w:pict>
      </w:r>
    </w:p>
    <w:bookmarkEnd w:id="44"/>
    <w:bookmarkEnd w:id="45"/>
    <w:bookmarkStart w:id="49" w:name="iv.-risk-flags"/>
    <w:p>
      <w:pPr>
        <w:pStyle w:val="Heading2"/>
      </w:pPr>
      <w:r>
        <w:t xml:space="preserve">IV. Risk Flags</w:t>
      </w:r>
    </w:p>
    <w:p>
      <w:pPr>
        <w:pStyle w:val="FirstParagraph"/>
      </w:pPr>
      <w:r>
        <w:t xml:space="preserve">Risks are ranked by severity.</w:t>
      </w:r>
      <w:r>
        <w:t xml:space="preserve"> </w:t>
      </w:r>
      <w:r>
        <w:rPr>
          <w:b/>
          <w:bCs/>
        </w:rPr>
        <w:t xml:space="preserve">Critical</w:t>
      </w:r>
      <w:r>
        <w:t xml:space="preserve"> </w:t>
      </w:r>
      <w:r>
        <w:t xml:space="preserve">items are dealbreakers that must be restructured before execution.</w:t>
      </w:r>
      <w:r>
        <w:t xml:space="preserve"> </w:t>
      </w:r>
      <w:r>
        <w:rPr>
          <w:b/>
          <w:bCs/>
        </w:rPr>
        <w:t xml:space="preserve">High</w:t>
      </w:r>
      <w:r>
        <w:t xml:space="preserve"> </w:t>
      </w:r>
      <w:r>
        <w:t xml:space="preserve">items require material negotiation.</w:t>
      </w:r>
      <w:r>
        <w:t xml:space="preserve"> </w:t>
      </w:r>
      <w:r>
        <w:rPr>
          <w:b/>
          <w:bCs/>
        </w:rPr>
        <w:t xml:space="preserve">Medium</w:t>
      </w:r>
      <w:r>
        <w:t xml:space="preserve"> </w:t>
      </w:r>
      <w:r>
        <w:t xml:space="preserve">items require attention and targeted edits.</w:t>
      </w:r>
    </w:p>
    <w:bookmarkStart w:id="46" w:name="critical"/>
    <w:p>
      <w:pPr>
        <w:pStyle w:val="Heading3"/>
      </w:pPr>
      <w:r>
        <w:t xml:space="preserve">CRITICAL</w:t>
      </w:r>
    </w:p>
    <w:p>
      <w:pPr>
        <w:pStyle w:val="FirstParagraph"/>
      </w:pPr>
      <w:r>
        <w:rPr>
          <w:b/>
          <w:bCs/>
        </w:rPr>
        <w:t xml:space="preserve">C1. Exclusivity / Non-Compete — open-ended market lockout (§12).</w:t>
      </w:r>
      <w:r>
        <w:t xml:space="preserve"> </w:t>
      </w:r>
      <w:r>
        <w:t xml:space="preserve">The three-year exclusivity prohibits licensing PredictIQ (or any</w:t>
      </w:r>
      <w:r>
        <w:t xml:space="preserve"> </w:t>
      </w:r>
      <w:r>
        <w:t xml:space="preserve">“</w:t>
      </w:r>
      <w:r>
        <w:t xml:space="preserve">substantially similar</w:t>
      </w:r>
      <w:r>
        <w:t xml:space="preserve">”</w:t>
      </w:r>
      <w:r>
        <w:t xml:space="preserve"> </w:t>
      </w:r>
      <w:r>
        <w:t xml:space="preserve">successor) to any</w:t>
      </w:r>
      <w:r>
        <w:t xml:space="preserve"> </w:t>
      </w:r>
      <w:r>
        <w:t xml:space="preserve">“</w:t>
      </w:r>
      <w:r>
        <w:t xml:space="preserve">Direct Competitor,</w:t>
      </w:r>
      <w:r>
        <w:t xml:space="preserve">”</w:t>
      </w:r>
      <w:r>
        <w:t xml:space="preserve"> </w:t>
      </w:r>
      <w:r>
        <w:t xml:space="preserve">defined to include</w:t>
      </w:r>
      <w:r>
        <w:t xml:space="preserve"> </w:t>
      </w:r>
      <w:r>
        <w:rPr>
          <w:i/>
          <w:iCs/>
        </w:rPr>
        <w:t xml:space="preserve">any</w:t>
      </w:r>
      <w:r>
        <w:t xml:space="preserve"> </w:t>
      </w:r>
      <w:r>
        <w:t xml:space="preserve">entity deriving more than 30% of revenue from automotive/heavy-machinery manufacturing in the EEA, UK, or Switzerland — not merely the 12 named Exhibit B companies. Management estimates this captures 25–30 additional companies, including three active prospects representing $4–5M in potential recurring SaaS revenue (≈10% of current total revenue). The provision (i) creates an affirmative, practically unworkable monitoring obligation — Whitmore would need to determine every prospective European customer’s revenue mix, which is impossible for privately held, subsidiary, or non-disaggregating entities, creating perpetual inadvertent-breach risk; (ii) is asymmetric — KBI locks in favorable economics for up to 5 years (expansion right) while Whitmore is locked out of a major market segment for 3 years; (iii) survives termination; and (iv) is backed by injunctive relief with no irreparable-harm showing or bond required.</w:t>
      </w:r>
      <w:r>
        <w:t xml:space="preserve"> </w:t>
      </w:r>
      <w:r>
        <w:rPr>
          <w:i/>
          <w:iCs/>
        </w:rPr>
        <w:t xml:space="preserve">Impact: direct threat to European growth plan and Series C narrative.</w:t>
      </w:r>
    </w:p>
    <w:p>
      <w:pPr>
        <w:pStyle w:val="BodyText"/>
      </w:pPr>
      <w:r>
        <w:rPr>
          <w:b/>
          <w:bCs/>
        </w:rPr>
        <w:t xml:space="preserve">C2. Data training restriction + Output Data ownership — threat to core IP and product roadmap (§§4.2–4.3).</w:t>
      </w:r>
      <w:r>
        <w:t xml:space="preserve"> </w:t>
      </w:r>
      <w:r>
        <w:t xml:space="preserve">Two interlocking provisions. First, §4.3 prohibits Whitmore from using KBI Data — even anonymized or aggregated — to train or improve general ML models without KBI’s consent (withholdable in sole discretion). KBI would be Whitmore’s largest deployment by facility count (43 facilities, 12 countries, diverse environments); blocking even anonymized use deprives PredictIQ of uniquely valuable training inputs that improve accuracy for</w:t>
      </w:r>
      <w:r>
        <w:t xml:space="preserve"> </w:t>
      </w:r>
      <w:r>
        <w:rPr>
          <w:i/>
          <w:iCs/>
        </w:rPr>
        <w:t xml:space="preserve">all</w:t>
      </w:r>
      <w:r>
        <w:t xml:space="preserve"> </w:t>
      </w:r>
      <w:r>
        <w:t xml:space="preserve">customers — effectively letting the largest customer degrade the product for everyone else. Second, §4.2 deems</w:t>
      </w:r>
      <w:r>
        <w:t xml:space="preserve"> </w:t>
      </w:r>
      <w:r>
        <w:t xml:space="preserve">“</w:t>
      </w:r>
      <w:r>
        <w:t xml:space="preserve">Output Data</w:t>
      </w:r>
      <w:r>
        <w:t xml:space="preserve">”</w:t>
      </w:r>
      <w:r>
        <w:t xml:space="preserve"> </w:t>
      </w:r>
      <w:r>
        <w:t xml:space="preserve">— expressly including</w:t>
      </w:r>
      <w:r>
        <w:t xml:space="preserve"> </w:t>
      </w:r>
      <w:r>
        <w:rPr>
          <w:b/>
          <w:bCs/>
        </w:rPr>
        <w:t xml:space="preserve">model weights, parameters, and training artifacts derived from KBI Data</w:t>
      </w:r>
      <w:r>
        <w:t xml:space="preserve"> </w:t>
      </w:r>
      <w:r>
        <w:t xml:space="preserve">— the sole and exclusive property of KBI. Read together, these clauses could mean that model state shaped by KBI data in the ordinary course of service becomes KBI’s property, and Whitmore cannot use the underlying learnings to improve its general models.</w:t>
      </w:r>
      <w:r>
        <w:t xml:space="preserve"> </w:t>
      </w:r>
      <w:r>
        <w:rPr>
          <w:i/>
          <w:iCs/>
        </w:rPr>
        <w:t xml:space="preserve">Impact: undermines the two pillars of Whitmore’s value — its algorithms and its data-driven model improvement flywheel.</w:t>
      </w:r>
    </w:p>
    <w:p>
      <w:pPr>
        <w:pStyle w:val="BodyText"/>
      </w:pPr>
      <w:r>
        <w:rPr>
          <w:b/>
          <w:bCs/>
        </w:rPr>
        <w:t xml:space="preserve">C3. MFC side letter — perpetual, retroactive, uncarved pricing straitjacket.</w:t>
      </w:r>
      <w:r>
        <w:t xml:space="preserve"> </w:t>
      </w:r>
      <w:r>
        <w:t xml:space="preserve">The MFC has no carve-outs (it reaches any agreement with any third party for PredictIQ or any</w:t>
      </w:r>
      <w:r>
        <w:t xml:space="preserve"> </w:t>
      </w:r>
      <w:r>
        <w:t xml:space="preserve">“</w:t>
      </w:r>
      <w:r>
        <w:t xml:space="preserve">successor, derivative, or substantially similar technology</w:t>
      </w:r>
      <w:r>
        <w:t xml:space="preserve">”</w:t>
      </w:r>
      <w:r>
        <w:t xml:space="preserve">), no sunset (it runs during the term and thereafter for so long as KBI retains any license rights — effectively perpetual given the perpetual wind-down license), and retroactive adjustment to the date more favorable terms were</w:t>
      </w:r>
      <w:r>
        <w:t xml:space="preserve"> </w:t>
      </w:r>
      <w:r>
        <w:t xml:space="preserve">“</w:t>
      </w:r>
      <w:r>
        <w:t xml:space="preserve">first offered</w:t>
      </w:r>
      <w:r>
        <w:t xml:space="preserve">”</w:t>
      </w:r>
      <w:r>
        <w:t xml:space="preserve"> </w:t>
      </w:r>
      <w:r>
        <w:t xml:space="preserve">to a Subsequent Licensee. The</w:t>
      </w:r>
      <w:r>
        <w:t xml:space="preserve"> </w:t>
      </w:r>
      <w:r>
        <w:t xml:space="preserve">“</w:t>
      </w:r>
      <w:r>
        <w:t xml:space="preserve">effective per-facility price</w:t>
      </w:r>
      <w:r>
        <w:t xml:space="preserve">”</w:t>
      </w:r>
      <w:r>
        <w:t xml:space="preserve"> </w:t>
      </w:r>
      <w:r>
        <w:t xml:space="preserve">formula bundles all fee types (license, subscription, maintenance, implementation) divided by facility count, inviting apples-to-oranges comparisons across deployments of different scope, service mix, and geography. The annual audit right (with cost-shift to Whitmore at a 5% discrepancy) imposes ongoing record-keeping and disclosure of other customers’ pricing.</w:t>
      </w:r>
      <w:r>
        <w:t xml:space="preserve"> </w:t>
      </w:r>
      <w:r>
        <w:rPr>
          <w:i/>
          <w:iCs/>
        </w:rPr>
        <w:t xml:space="preserve">Impact: constrains Whitmore’s pricing flexibility across its entire product line indefinitely and creates perpetual retroactive-refund exposure.</w:t>
      </w:r>
    </w:p>
    <w:bookmarkEnd w:id="46"/>
    <w:bookmarkStart w:id="47" w:name="high"/>
    <w:p>
      <w:pPr>
        <w:pStyle w:val="Heading3"/>
      </w:pPr>
      <w:r>
        <w:t xml:space="preserve">HIGH</w:t>
      </w:r>
    </w:p>
    <w:p>
      <w:pPr>
        <w:pStyle w:val="FirstParagraph"/>
      </w:pPr>
      <w:r>
        <w:rPr>
          <w:b/>
          <w:bCs/>
        </w:rPr>
        <w:t xml:space="preserve">H1. Perpetual wind-down license (§13.5).</w:t>
      </w:r>
      <w:r>
        <w:t xml:space="preserve"> </w:t>
      </w:r>
      <w:r>
        <w:t xml:space="preserve">Upon termination for</w:t>
      </w:r>
      <w:r>
        <w:t xml:space="preserve"> </w:t>
      </w:r>
      <w:r>
        <w:rPr>
          <w:b/>
          <w:bCs/>
        </w:rPr>
        <w:t xml:space="preserve">any reason</w:t>
      </w:r>
      <w:r>
        <w:t xml:space="preserve"> </w:t>
      </w:r>
      <w:r>
        <w:t xml:space="preserve">— including KBI’s own termination for convenience after year 3 — KBI retains a</w:t>
      </w:r>
      <w:r>
        <w:t xml:space="preserve"> </w:t>
      </w:r>
      <w:r>
        <w:rPr>
          <w:b/>
          <w:bCs/>
        </w:rPr>
        <w:t xml:space="preserve">perpetual, non-exclusive, irrevocable</w:t>
      </w:r>
      <w:r>
        <w:t xml:space="preserve"> </w:t>
      </w:r>
      <w:r>
        <w:t xml:space="preserve">license to continue using the deployed version of PredictIQ, subject only to continued payment of the maintenance fee. (We note management’s internal summary characterized this as a 24-month wind-down; the term sheet as drafted is in fact</w:t>
      </w:r>
      <w:r>
        <w:t xml:space="preserve"> </w:t>
      </w:r>
      <w:r>
        <w:rPr>
          <w:b/>
          <w:bCs/>
        </w:rPr>
        <w:t xml:space="preserve">perpetual</w:t>
      </w:r>
      <w:r>
        <w:t xml:space="preserve">, which is more severe.) This undermines the recurring-revenue model: KBI can stop paying the $2.85M/yr SaaS subscription yet continue using PredictIQ indefinitely for the cost of maintenance. Combined with the no-refund provision (§13.7) and KBI-only termination for convenience (§13.3), the economics strongly favor KBI.</w:t>
      </w:r>
      <w:r>
        <w:t xml:space="preserve"> </w:t>
      </w:r>
      <w:r>
        <w:rPr>
          <w:i/>
          <w:iCs/>
        </w:rPr>
        <w:t xml:space="preserve">Impact: erosion of recurring revenue and lock-in value.</w:t>
      </w:r>
    </w:p>
    <w:p>
      <w:pPr>
        <w:pStyle w:val="BodyText"/>
      </w:pPr>
      <w:r>
        <w:rPr>
          <w:b/>
          <w:bCs/>
        </w:rPr>
        <w:t xml:space="preserve">H2. Uncapped IP indemnification (§9.1).</w:t>
      </w:r>
      <w:r>
        <w:t xml:space="preserve"> </w:t>
      </w:r>
      <w:r>
        <w:t xml:space="preserve">Whitmore’s IP indemnity is expressly carved out of the liability cap (§10.3(A)) and is uncapped. Given the complexity and volatility of the ML/AI patent landscape, uncapped infringement exposure is significant. The asymmetry is compounded by the IP warranty in §8.4 being only</w:t>
      </w:r>
      <w:r>
        <w:t xml:space="preserve"> </w:t>
      </w:r>
      <w:r>
        <w:t xml:space="preserve">“</w:t>
      </w:r>
      <w:r>
        <w:t xml:space="preserve">to Whitmore’s knowledge</w:t>
      </w:r>
      <w:r>
        <w:t xml:space="preserve">”</w:t>
      </w:r>
      <w:r>
        <w:t xml:space="preserve"> </w:t>
      </w:r>
      <w:r>
        <w:t xml:space="preserve">(a knowledge qualifier) while the indemnity is uncapped — i.e., a soft warranty giving rise to hard, unlimited exposure.</w:t>
      </w:r>
      <w:r>
        <w:t xml:space="preserve"> </w:t>
      </w:r>
      <w:r>
        <w:rPr>
          <w:i/>
          <w:iCs/>
        </w:rPr>
        <w:t xml:space="preserve">Impact: open-ended third-party IP claim exposure.</w:t>
      </w:r>
    </w:p>
    <w:p>
      <w:pPr>
        <w:pStyle w:val="BodyText"/>
      </w:pPr>
      <w:r>
        <w:rPr>
          <w:b/>
          <w:bCs/>
        </w:rPr>
        <w:t xml:space="preserve">H3. Joint ownership of derivative works with unrestricted sublicense right (§§2, 3.3).</w:t>
      </w:r>
      <w:r>
        <w:t xml:space="preserve"> </w:t>
      </w:r>
      <w:r>
        <w:t xml:space="preserve">Derivative works created from the API layer are jointly owned, with each party having the</w:t>
      </w:r>
      <w:r>
        <w:t xml:space="preserve"> </w:t>
      </w:r>
      <w:r>
        <w:t xml:space="preserve">“</w:t>
      </w:r>
      <w:r>
        <w:t xml:space="preserve">unrestricted right to use, modify, sublicense, and otherwise exploit … without the consent of, or any obligation to account to, the other party.</w:t>
      </w:r>
      <w:r>
        <w:t xml:space="preserve">”</w:t>
      </w:r>
      <w:r>
        <w:t xml:space="preserve"> </w:t>
      </w:r>
      <w:r>
        <w:t xml:space="preserve">This (i) creates a potential technology-leakage path — KBI could sublicense derivative works to third parties; (ii) is complicated by conflicting default rules on joint ownership across jurisdictions (under German law, joint owners generally must act by mutual consent for exploitation, whereas U.S. law permits independent exploitation subject to accounting — the</w:t>
      </w:r>
      <w:r>
        <w:t xml:space="preserve"> </w:t>
      </w:r>
      <w:r>
        <w:t xml:space="preserve">“</w:t>
      </w:r>
      <w:r>
        <w:t xml:space="preserve">no obligation to account</w:t>
      </w:r>
      <w:r>
        <w:t xml:space="preserve">”</w:t>
      </w:r>
      <w:r>
        <w:t xml:space="preserve"> </w:t>
      </w:r>
      <w:r>
        <w:t xml:space="preserve">language resolves this in KBI’s favor); and (iii) sits in tension with the feedback clause (§3.4) and the KBI-Inspired Improvements clause (§3.5).</w:t>
      </w:r>
      <w:r>
        <w:t xml:space="preserve"> </w:t>
      </w:r>
      <w:r>
        <w:rPr>
          <w:i/>
          <w:iCs/>
        </w:rPr>
        <w:t xml:space="preserve">Impact: IP leakage and structural ambiguity.</w:t>
      </w:r>
    </w:p>
    <w:p>
      <w:pPr>
        <w:pStyle w:val="BodyText"/>
      </w:pPr>
      <w:r>
        <w:rPr>
          <w:b/>
          <w:bCs/>
        </w:rPr>
        <w:t xml:space="preserve">H4. KBI-Inspired Improvements license (§3.5).</w:t>
      </w:r>
      <w:r>
        <w:t xml:space="preserve"> </w:t>
      </w:r>
      <w:r>
        <w:t xml:space="preserve">Any improvement</w:t>
      </w:r>
      <w:r>
        <w:t xml:space="preserve"> </w:t>
      </w:r>
      <w:r>
        <w:t xml:space="preserve">“</w:t>
      </w:r>
      <w:r>
        <w:t xml:space="preserve">derived from or inspired by</w:t>
      </w:r>
      <w:r>
        <w:t xml:space="preserve">”</w:t>
      </w:r>
      <w:r>
        <w:t xml:space="preserve"> </w:t>
      </w:r>
      <w:r>
        <w:t xml:space="preserve">KBI’s data, processes, or use of PredictIQ is licensed back to KBI royalty-free, perpetually, and irrevocably. Because KBI will be Whitmore’s largest and most diverse deployment, a substantial portion of PredictIQ’s ordinary product roadmap improvements could be argued to be</w:t>
      </w:r>
      <w:r>
        <w:t xml:space="preserve"> </w:t>
      </w:r>
      <w:r>
        <w:t xml:space="preserve">“</w:t>
      </w:r>
      <w:r>
        <w:t xml:space="preserve">inspired by</w:t>
      </w:r>
      <w:r>
        <w:t xml:space="preserve">”</w:t>
      </w:r>
      <w:r>
        <w:t xml:space="preserve"> </w:t>
      </w:r>
      <w:r>
        <w:t xml:space="preserve">KBI’s use — effectively giving KBI a free, perpetual license to a large swath of Whitmore’s future product development. The</w:t>
      </w:r>
      <w:r>
        <w:t xml:space="preserve"> </w:t>
      </w:r>
      <w:r>
        <w:t xml:space="preserve">“</w:t>
      </w:r>
      <w:r>
        <w:t xml:space="preserve">inspired by</w:t>
      </w:r>
      <w:r>
        <w:t xml:space="preserve">”</w:t>
      </w:r>
      <w:r>
        <w:t xml:space="preserve"> </w:t>
      </w:r>
      <w:r>
        <w:t xml:space="preserve">standard is vague and overbroad.</w:t>
      </w:r>
      <w:r>
        <w:t xml:space="preserve"> </w:t>
      </w:r>
      <w:r>
        <w:rPr>
          <w:i/>
          <w:iCs/>
        </w:rPr>
        <w:t xml:space="preserve">Impact: dilution of Whitmore’s future IP and competitive moat.</w:t>
      </w:r>
    </w:p>
    <w:p>
      <w:pPr>
        <w:pStyle w:val="BodyText"/>
      </w:pPr>
      <w:r>
        <w:rPr>
          <w:b/>
          <w:bCs/>
        </w:rPr>
        <w:t xml:space="preserve">H5. Performance warranty — 92% accuracy with penalties and termination trigger (§8.2–8.3).</w:t>
      </w:r>
      <w:r>
        <w:t xml:space="preserve"> </w:t>
      </w:r>
      <w:r>
        <w:t xml:space="preserve">The 92% rolling-90-day accuracy warranty is a hard commitment, but the metric depends heavily on factors outside Whitmore’s control: data quality, sensor calibration, environmental variables, and the completeness/accuracy of KBI’s maintenance logs (which also serve as the measurement baseline — KBI effectively controls both the input conditions and the scoring yardstick). Remedies include a per-point credit ($35,625/point/quarter) and a termination-for-cause right if accuracy falls below 85% for two consecutive quarters. There is no ramp-up period, no condition tying the metric to KBI’s fulfillment of its §6.3 responsibilities, and no jointly agreed measurement methodology.</w:t>
      </w:r>
      <w:r>
        <w:t xml:space="preserve"> </w:t>
      </w:r>
      <w:r>
        <w:rPr>
          <w:i/>
          <w:iCs/>
        </w:rPr>
        <w:t xml:space="preserve">Impact: financial and existential exposure to metrics Whitmore does not fully control.</w:t>
      </w:r>
    </w:p>
    <w:p>
      <w:pPr>
        <w:pStyle w:val="BodyText"/>
      </w:pPr>
      <w:r>
        <w:rPr>
          <w:b/>
          <w:bCs/>
        </w:rPr>
        <w:t xml:space="preserve">H6. Source-code escrow — extensive deposit, broad release triggers, post-release royalty-free license (§11).</w:t>
      </w:r>
      <w:r>
        <w:t xml:space="preserve"> </w:t>
      </w:r>
      <w:r>
        <w:t xml:space="preserve">Whitmore must deposit complete source code, all modules/libraries/dependencies, build tools, and compilers within 60 days. Release triggers include a material breach uncured for 60 days and a 90-day failure to provide support — the latter could be triggered by circumstances partly outside Whitmore’s control. Upon release, KBI gets a perpetual, irrevocable, royalty-free license to use, modify, compile, and deploy the source code. Two concerns: (i) the deposit scope may include third-party licensed components that Whitmore lacks rights to escrow; and (ii) the post-release license effectively transfers the crown jewels on triggers that are not limited to Whitmore’s insolvency.</w:t>
      </w:r>
      <w:r>
        <w:t xml:space="preserve"> </w:t>
      </w:r>
      <w:r>
        <w:rPr>
          <w:i/>
          <w:iCs/>
        </w:rPr>
        <w:t xml:space="preserve">Impact: loss of source-code confidentiality and competitive protection.</w:t>
      </w:r>
    </w:p>
    <w:p>
      <w:pPr>
        <w:pStyle w:val="BodyText"/>
      </w:pPr>
      <w:r>
        <w:rPr>
          <w:b/>
          <w:bCs/>
        </w:rPr>
        <w:t xml:space="preserve">H7. German governing law (§14.1).</w:t>
      </w:r>
      <w:r>
        <w:t xml:space="preserve"> </w:t>
      </w:r>
      <w:r>
        <w:t xml:space="preserve">German substantive law raises distinct issues: (i) enforceability of broad liability exclusions is more constrained than under U.S. law (e.g., liability for gross negligence and intentional conduct generally cannot be excluded); (ii) the uncapped IP indemnity and the performance-penalty structure interact differently under German contract principles; (iii) if the definitive agreement is treated as containing pre-formulated general terms, German AGB control (§§305–310 BGB) may apply to non-negotiated terms, with ambiguities construed against the drafter; and (iv) German law may not uphold certain U.S.-style remedies (e.g., the no-bond injunctive relief in §12.5). Management has asked whether to push for Washington (state) law or a neutral jurisdiction (England or Switzerland).</w:t>
      </w:r>
      <w:r>
        <w:t xml:space="preserve"> </w:t>
      </w:r>
      <w:r>
        <w:rPr>
          <w:i/>
          <w:iCs/>
        </w:rPr>
        <w:t xml:space="preserve">Impact: liability exposure and remedy enforceability.</w:t>
      </w:r>
    </w:p>
    <w:bookmarkEnd w:id="47"/>
    <w:bookmarkStart w:id="48" w:name="medium"/>
    <w:p>
      <w:pPr>
        <w:pStyle w:val="Heading3"/>
      </w:pPr>
      <w:r>
        <w:t xml:space="preserve">MEDIUM</w:t>
      </w:r>
    </w:p>
    <w:p>
      <w:pPr>
        <w:pStyle w:val="FirstParagraph"/>
      </w:pPr>
      <w:r>
        <w:rPr>
          <w:b/>
          <w:bCs/>
        </w:rPr>
        <w:t xml:space="preserve">M1. Implementation cash-flow mismatch (§§5.1, 5.3).</w:t>
      </w:r>
      <w:r>
        <w:t xml:space="preserve"> </w:t>
      </w:r>
      <w:r>
        <w:t xml:space="preserve">First-6-month inflows are approximately $1.84M (30% license signing payment $1.26M + 6 months implementation ≈ $0.58M) against estimated implementation costs of $2.5–3.0M, creating a potential $0.7–1.2M shortfall before the Phase 1 milestone payment. The term sheet is also ambiguous as to when the SaaS subscription commences (maintenance commences at Phase 1 go-live per §7.4, but SaaS commencement is unspecified), which affects both cash flow and ASC 606 revenue recognition.</w:t>
      </w:r>
      <w:r>
        <w:t xml:space="preserve"> </w:t>
      </w:r>
      <w:r>
        <w:rPr>
          <w:i/>
          <w:iCs/>
        </w:rPr>
        <w:t xml:space="preserve">Impact: short-term working-capital strain; accounting treatment questions.</w:t>
      </w:r>
    </w:p>
    <w:p>
      <w:pPr>
        <w:pStyle w:val="BodyText"/>
      </w:pPr>
      <w:r>
        <w:rPr>
          <w:b/>
          <w:bCs/>
        </w:rPr>
        <w:t xml:space="preserve">M2. Liability cap structure (§10.1).</w:t>
      </w:r>
      <w:r>
        <w:t xml:space="preserve"> </w:t>
      </w:r>
      <w:r>
        <w:t xml:space="preserve">The cap is the greater of 2× trailing-12-month fees or $15M. In Year 1 (fees ≈ $9.56M), 2× ≈ $19M governs; in later years (SaaS + maintenance ≈ $3.6M/yr), the $15M floor governs — a high absolute cap for a company of Whitmore’s size. The consequential-damages exclusion (§10.2) is helpful, but the principal exposure runs through the uncapped carve-outs (IP indemnity, confidentiality breach, willful misconduct/fraud).</w:t>
      </w:r>
      <w:r>
        <w:t xml:space="preserve"> </w:t>
      </w:r>
      <w:r>
        <w:rPr>
          <w:i/>
          <w:iCs/>
        </w:rPr>
        <w:t xml:space="preserve">Impact: elevated absolute exposure in out-years.</w:t>
      </w:r>
    </w:p>
    <w:p>
      <w:pPr>
        <w:pStyle w:val="BodyText"/>
      </w:pPr>
      <w:r>
        <w:rPr>
          <w:b/>
          <w:bCs/>
        </w:rPr>
        <w:t xml:space="preserve">M3. Asymmetric termination rights (§13.3).</w:t>
      </w:r>
      <w:r>
        <w:t xml:space="preserve"> </w:t>
      </w:r>
      <w:r>
        <w:t xml:space="preserve">Only KBI has a termination-for-convenience right (12 months’ notice, not before the 3rd anniversary). Whitmore has no corresponding right. Combined with the perpetual wind-down license and no-refund rule, KBI holds disproportionate exit flexibility.</w:t>
      </w:r>
      <w:r>
        <w:t xml:space="preserve"> </w:t>
      </w:r>
      <w:r>
        <w:rPr>
          <w:i/>
          <w:iCs/>
        </w:rPr>
        <w:t xml:space="preserve">Impact: one-sided exit economics.</w:t>
      </w:r>
    </w:p>
    <w:p>
      <w:pPr>
        <w:pStyle w:val="BodyText"/>
      </w:pPr>
      <w:r>
        <w:rPr>
          <w:b/>
          <w:bCs/>
        </w:rPr>
        <w:t xml:space="preserve">M4. Asymmetric assignment (§16.6).</w:t>
      </w:r>
      <w:r>
        <w:t xml:space="preserve"> </w:t>
      </w:r>
      <w:r>
        <w:t xml:space="preserve">KBI may assign to affiliates or in connection with a merger/acquisition/sale of substantially all assets without consent; Whitmore may not assign without consent.</w:t>
      </w:r>
      <w:r>
        <w:t xml:space="preserve"> </w:t>
      </w:r>
      <w:r>
        <w:rPr>
          <w:i/>
          <w:iCs/>
        </w:rPr>
        <w:t xml:space="preserve">Impact: one-sided transferability; relevant to Whitmore’s own future financing/M&amp;A.</w:t>
      </w:r>
    </w:p>
    <w:p>
      <w:pPr>
        <w:pStyle w:val="BodyText"/>
      </w:pPr>
      <w:r>
        <w:rPr>
          <w:b/>
          <w:bCs/>
        </w:rPr>
        <w:t xml:space="preserve">M5. Binding 60-day no-shop (§16.2).</w:t>
      </w:r>
      <w:r>
        <w:t xml:space="preserve"> </w:t>
      </w:r>
      <w:r>
        <w:t xml:space="preserve">The no-shop (through July 28, 2025) is binding even though the remainder of the term sheet is non-binding. It restricts Whitmore from soliciting, entertaining, or accepting third-party proposals for a comparable European industrial transaction during the window — a constraint that bites hardest given the exclusivity concerns in C1.</w:t>
      </w:r>
      <w:r>
        <w:t xml:space="preserve"> </w:t>
      </w:r>
      <w:r>
        <w:rPr>
          <w:i/>
          <w:iCs/>
        </w:rPr>
        <w:t xml:space="preserve">Impact: limited negotiating optionality during a tight timeline.</w:t>
      </w:r>
    </w:p>
    <w:p>
      <w:pPr>
        <w:pStyle w:val="BodyText"/>
      </w:pPr>
      <w:r>
        <w:rPr>
          <w:b/>
          <w:bCs/>
        </w:rPr>
        <w:t xml:space="preserve">M6. Perpetual license / perpetual term structure (§§2, 13.1).</w:t>
      </w:r>
      <w:r>
        <w:t xml:space="preserve"> </w:t>
      </w:r>
      <w:r>
        <w:t xml:space="preserve">Both the license grant and the agreement term are perpetual. A perpetual SaaS license is unusual and muddies the recurring-revenue model — it is unclear whether the SaaS subscription is for the cloud</w:t>
      </w:r>
      <w:r>
        <w:t xml:space="preserve"> </w:t>
      </w:r>
      <w:r>
        <w:rPr>
          <w:i/>
          <w:iCs/>
        </w:rPr>
        <w:t xml:space="preserve">service</w:t>
      </w:r>
      <w:r>
        <w:t xml:space="preserve"> </w:t>
      </w:r>
      <w:r>
        <w:t xml:space="preserve">(which can be term-based) while the on-premises license is perpetual, or whether the entire arrangement is perpetual.</w:t>
      </w:r>
      <w:r>
        <w:t xml:space="preserve"> </w:t>
      </w:r>
      <w:r>
        <w:rPr>
          <w:i/>
          <w:iCs/>
        </w:rPr>
        <w:t xml:space="preserve">Impact: revenue-model and recognition ambiguity.</w:t>
      </w:r>
    </w:p>
    <w:p>
      <w:pPr>
        <w:pStyle w:val="BodyText"/>
      </w:pPr>
      <w:r>
        <w:rPr>
          <w:b/>
          <w:bCs/>
        </w:rPr>
        <w:t xml:space="preserve">M7. One-sided injunctive relief for exclusivity breach (§12.5).</w:t>
      </w:r>
      <w:r>
        <w:t xml:space="preserve"> </w:t>
      </w:r>
      <w:r>
        <w:t xml:space="preserve">KBI need not show irreparable harm or post a bond to obtain injunctive relief for an exclusivity breach — making enforcement easy and exposing Whitmore to immediate injunctions on disputed facts.</w:t>
      </w:r>
      <w:r>
        <w:t xml:space="preserve"> </w:t>
      </w:r>
      <w:r>
        <w:rPr>
          <w:i/>
          <w:iCs/>
        </w:rPr>
        <w:t xml:space="preserve">Impact: enforcement asymmetry compounding C1.</w:t>
      </w:r>
    </w:p>
    <w:p>
      <w:pPr>
        <w:pStyle w:val="BodyText"/>
      </w:pPr>
      <w:r>
        <w:rPr>
          <w:b/>
          <w:bCs/>
        </w:rPr>
        <w:t xml:space="preserve">M8. Expansion right + MFC interaction (§§2, 5.7, side letter).</w:t>
      </w:r>
      <w:r>
        <w:t xml:space="preserve"> </w:t>
      </w:r>
      <w:r>
        <w:t xml:space="preserve">The 5-year expansion right locks in current per-facility pricing for newly acquired facilities, and the MFC extends pricing parity across the product line. Together they materially constrain Whitmore’s ability to adjust pricing upward or to offer differentiated pricing to new market segments.</w:t>
      </w:r>
      <w:r>
        <w:t xml:space="preserve"> </w:t>
      </w:r>
      <w:r>
        <w:rPr>
          <w:i/>
          <w:iCs/>
        </w:rPr>
        <w:t xml:space="preserve">Impact: pricing inflexibility over a 5-year horizon.</w:t>
      </w:r>
    </w:p>
    <w:p>
      <w:pPr>
        <w:pStyle w:val="BodyText"/>
      </w:pPr>
      <w:r>
        <w:rPr>
          <w:b/>
          <w:bCs/>
        </w:rPr>
        <w:t xml:space="preserve">M9. Soft SLAs vs. hard performance warranty (§7.2 vs. §8.2).</w:t>
      </w:r>
      <w:r>
        <w:t xml:space="preserve"> </w:t>
      </w:r>
      <w:r>
        <w:t xml:space="preserve">Support service levels are only</w:t>
      </w:r>
      <w:r>
        <w:t xml:space="preserve"> </w:t>
      </w:r>
      <w:r>
        <w:t xml:space="preserve">“</w:t>
      </w:r>
      <w:r>
        <w:t xml:space="preserve">commercially reasonable efforts</w:t>
      </w:r>
      <w:r>
        <w:t xml:space="preserve">”</w:t>
      </w:r>
      <w:r>
        <w:t xml:space="preserve"> </w:t>
      </w:r>
      <w:r>
        <w:t xml:space="preserve">(favorable to Whitmore), while the 92% accuracy warranty is a hard commitment with penalties. The inconsistency is favorable on support but unfavorable on the performance metric.</w:t>
      </w:r>
      <w:r>
        <w:t xml:space="preserve"> </w:t>
      </w:r>
      <w:r>
        <w:rPr>
          <w:i/>
          <w:iCs/>
        </w:rPr>
        <w:t xml:space="preserve">Impact: mixed; primarily a coherence/drafting issue.</w:t>
      </w:r>
    </w:p>
    <w:p>
      <w:pPr>
        <w:pStyle w:val="BodyText"/>
      </w:pPr>
      <w:r>
        <w:rPr>
          <w:b/>
          <w:bCs/>
        </w:rPr>
        <w:t xml:space="preserve">M10. MFC audit and record-keeping burden (side letter §2(d)).</w:t>
      </w:r>
      <w:r>
        <w:t xml:space="preserve"> </w:t>
      </w:r>
      <w:r>
        <w:t xml:space="preserve">Annual audit right with cost-shift to Whitmore at a 5% discrepancy, plus a duty to maintain complete records of all PredictIQ licensing arrangements, creates ongoing administrative burden and exposes other customers’ pricing to a third-party auditor.</w:t>
      </w:r>
      <w:r>
        <w:t xml:space="preserve"> </w:t>
      </w:r>
      <w:r>
        <w:rPr>
          <w:i/>
          <w:iCs/>
        </w:rPr>
        <w:t xml:space="preserve">Impact: operational burden and confidentiality of third-party pricing.</w:t>
      </w:r>
    </w:p>
    <w:p>
      <w:r>
        <w:pict>
          <v:rect style="width:0;height:1.5pt" o:hralign="center" o:hrstd="t" o:hr="t"/>
        </w:pict>
      </w:r>
    </w:p>
    <w:bookmarkEnd w:id="48"/>
    <w:bookmarkEnd w:id="49"/>
    <w:bookmarkStart w:id="54" w:name="v.-negotiation-recommendations"/>
    <w:p>
      <w:pPr>
        <w:pStyle w:val="Heading2"/>
      </w:pPr>
      <w:r>
        <w:t xml:space="preserve">V. Negotiation Recommendations</w:t>
      </w:r>
    </w:p>
    <w:p>
      <w:pPr>
        <w:pStyle w:val="FirstParagraph"/>
      </w:pPr>
      <w:r>
        <w:t xml:space="preserve">The following recommendations are prioritized and, where indicated, track management’s stated red lines. We recommend the Board approve a counter-proposal framework along these lines and authorize management to deliver it on or before June 23, 2025.</w:t>
      </w:r>
    </w:p>
    <w:bookmarkStart w:id="50" w:name="X07c93c6903e7fd67a253e115175ff07a379102d"/>
    <w:p>
      <w:pPr>
        <w:pStyle w:val="Heading3"/>
      </w:pPr>
      <w:r>
        <w:t xml:space="preserve">Priority 1 — Dealbreakers (must restructure before execution)</w:t>
      </w:r>
    </w:p>
    <w:p>
      <w:pPr>
        <w:pStyle w:val="FirstParagraph"/>
      </w:pPr>
      <w:r>
        <w:rPr>
          <w:b/>
          <w:bCs/>
        </w:rPr>
        <w:t xml:space="preserve">R1. Exclusivity (§12) — narrow drastically.</w:t>
      </w:r>
      <w:r>
        <w:t xml:space="preserve"> </w:t>
      </w:r>
      <w:r>
        <w:rPr>
          <w:i/>
          <w:iCs/>
        </w:rPr>
        <w:t xml:space="preserve">(Management red line.)</w:t>
      </w:r>
      <w:r>
        <w:t xml:space="preserve"> </w:t>
      </w:r>
      <w:r>
        <w:t xml:space="preserve">-</w:t>
      </w:r>
      <w:r>
        <w:t xml:space="preserve"> </w:t>
      </w:r>
      <w:r>
        <w:rPr>
          <w:b/>
          <w:bCs/>
        </w:rPr>
        <w:t xml:space="preserve">Strike entirely</w:t>
      </w:r>
      <w:r>
        <w:t xml:space="preserve"> </w:t>
      </w:r>
      <w:r>
        <w:t xml:space="preserve">the open-ended 30% revenue-threshold definition in §12.2(b). It is commercially unworkable and a non-starter.</w:t>
      </w:r>
      <w:r>
        <w:t xml:space="preserve"> </w:t>
      </w:r>
      <w:r>
        <w:t xml:space="preserve">-</w:t>
      </w:r>
      <w:r>
        <w:t xml:space="preserve"> </w:t>
      </w:r>
      <w:r>
        <w:rPr>
          <w:b/>
          <w:bCs/>
        </w:rPr>
        <w:t xml:space="preserve">Cap exclusivity at the 12 named Exhibit B entities only</w:t>
      </w:r>
      <w:r>
        <w:t xml:space="preserve"> </w:t>
      </w:r>
      <w:r>
        <w:t xml:space="preserve">(no open-ended category), and</w:t>
      </w:r>
      <w:r>
        <w:t xml:space="preserve"> </w:t>
      </w:r>
      <w:r>
        <w:rPr>
          <w:b/>
          <w:bCs/>
        </w:rPr>
        <w:t xml:space="preserve">reduce the period from 3 years to 18 months</w:t>
      </w:r>
      <w:r>
        <w:t xml:space="preserve"> </w:t>
      </w:r>
      <w:r>
        <w:t xml:space="preserve">(management’s position).</w:t>
      </w:r>
      <w:r>
        <w:t xml:space="preserve"> </w:t>
      </w:r>
      <w:r>
        <w:t xml:space="preserve">-</w:t>
      </w:r>
      <w:r>
        <w:t xml:space="preserve"> </w:t>
      </w:r>
      <w:r>
        <w:rPr>
          <w:b/>
          <w:bCs/>
        </w:rPr>
        <w:t xml:space="preserve">Narrow the product scope</w:t>
      </w:r>
      <w:r>
        <w:t xml:space="preserve">: limit to PredictIQ as configured for KBI, and remove or tightly confine the</w:t>
      </w:r>
      <w:r>
        <w:t xml:space="preserve"> </w:t>
      </w:r>
      <w:r>
        <w:t xml:space="preserve">“</w:t>
      </w:r>
      <w:r>
        <w:t xml:space="preserve">successor or replacement product … substantially similar</w:t>
      </w:r>
      <w:r>
        <w:t xml:space="preserve">”</w:t>
      </w:r>
      <w:r>
        <w:t xml:space="preserve"> </w:t>
      </w:r>
      <w:r>
        <w:t xml:space="preserve">sweep in §12.3.</w:t>
      </w:r>
      <w:r>
        <w:t xml:space="preserve"> </w:t>
      </w:r>
      <w:r>
        <w:t xml:space="preserve">-</w:t>
      </w:r>
      <w:r>
        <w:t xml:space="preserve"> </w:t>
      </w:r>
      <w:r>
        <w:rPr>
          <w:b/>
          <w:bCs/>
        </w:rPr>
        <w:t xml:space="preserve">Add consideration for exclusivity</w:t>
      </w:r>
      <w:r>
        <w:t xml:space="preserve">: tie any remaining exclusivity to KBI’s continued compliance with minimum deployment/fee commitments (e.g., if KBI does not deploy at a minimum number of facilities or maintain minimum spend, exclusivity lapses).</w:t>
      </w:r>
      <w:r>
        <w:t xml:space="preserve"> </w:t>
      </w:r>
      <w:r>
        <w:t xml:space="preserve">-</w:t>
      </w:r>
      <w:r>
        <w:t xml:space="preserve"> </w:t>
      </w:r>
      <w:r>
        <w:rPr>
          <w:b/>
          <w:bCs/>
        </w:rPr>
        <w:t xml:space="preserve">Rebalance remedies</w:t>
      </w:r>
      <w:r>
        <w:t xml:space="preserve">: require KBI to demonstrate irreparable harm and permit the court to require a bond before injunctive relief (§12.5); add liquidated damages as the primary remedy with a defined cap.</w:t>
      </w:r>
      <w:r>
        <w:t xml:space="preserve"> </w:t>
      </w:r>
      <w:r>
        <w:t xml:space="preserve">-</w:t>
      </w:r>
      <w:r>
        <w:t xml:space="preserve"> </w:t>
      </w:r>
      <w:r>
        <w:rPr>
          <w:b/>
          <w:bCs/>
        </w:rPr>
        <w:t xml:space="preserve">Do not permit survival beyond termination</w:t>
      </w:r>
      <w:r>
        <w:t xml:space="preserve"> </w:t>
      </w:r>
      <w:r>
        <w:t xml:space="preserve">unless tied to a minimum-commitment breach by Whitmore; consider limiting survival to the unexpired period only on KBI’s breach.</w:t>
      </w:r>
      <w:r>
        <w:t xml:space="preserve"> </w:t>
      </w:r>
      <w:r>
        <w:t xml:space="preserve">-</w:t>
      </w:r>
      <w:r>
        <w:t xml:space="preserve"> </w:t>
      </w:r>
      <w:r>
        <w:rPr>
          <w:b/>
          <w:bCs/>
        </w:rPr>
        <w:t xml:space="preserve">Quantify for the Board</w:t>
      </w:r>
      <w:r>
        <w:t xml:space="preserve"> </w:t>
      </w:r>
      <w:r>
        <w:t xml:space="preserve">(per CEO request): present the 3 active prospects ($4–5M recurring), the 25–30 additional companies within the 30% threshold, and the KBI deal economics side by side.</w:t>
      </w:r>
    </w:p>
    <w:p>
      <w:pPr>
        <w:pStyle w:val="BodyText"/>
      </w:pPr>
      <w:r>
        <w:rPr>
          <w:b/>
          <w:bCs/>
        </w:rPr>
        <w:t xml:space="preserve">R2. Data rights / Output Data (§§4.2–4.3) — preserve the model-improvement flywheel.</w:t>
      </w:r>
      <w:r>
        <w:t xml:space="preserve"> </w:t>
      </w:r>
      <w:r>
        <w:rPr>
          <w:i/>
          <w:iCs/>
        </w:rPr>
        <w:t xml:space="preserve">(Management red line.)</w:t>
      </w:r>
      <w:r>
        <w:t xml:space="preserve"> </w:t>
      </w:r>
      <w:r>
        <w:t xml:space="preserve">-</w:t>
      </w:r>
      <w:r>
        <w:t xml:space="preserve"> </w:t>
      </w:r>
      <w:r>
        <w:rPr>
          <w:b/>
          <w:bCs/>
        </w:rPr>
        <w:t xml:space="preserve">Insist on Whitmore’s right to use anonymized and aggregated KBI Data to train and improve general ML models.</w:t>
      </w:r>
      <w:r>
        <w:t xml:space="preserve"> </w:t>
      </w:r>
      <w:r>
        <w:t xml:space="preserve">This is non-negotiable.</w:t>
      </w:r>
      <w:r>
        <w:t xml:space="preserve"> </w:t>
      </w:r>
      <w:r>
        <w:t xml:space="preserve">-</w:t>
      </w:r>
      <w:r>
        <w:t xml:space="preserve"> </w:t>
      </w:r>
      <w:r>
        <w:rPr>
          <w:b/>
          <w:bCs/>
        </w:rPr>
        <w:t xml:space="preserve">Propose a middle-ground framework</w:t>
      </w:r>
      <w:r>
        <w:t xml:space="preserve">: (i) industry-standard anonymization techniques (e.g., k-anonymity / differential privacy); (ii) a minimum aggregation pool size so individual KBI data cannot be reverse-identified; (iii) contractual commitments that anonymized/aggregated outputs will not be re-identified; and (iv) optional third-party verification of the anonymization process at KBI’s request.</w:t>
      </w:r>
      <w:r>
        <w:t xml:space="preserve"> </w:t>
      </w:r>
      <w:r>
        <w:t xml:space="preserve">-</w:t>
      </w:r>
      <w:r>
        <w:t xml:space="preserve"> </w:t>
      </w:r>
      <w:r>
        <w:rPr>
          <w:b/>
          <w:bCs/>
        </w:rPr>
        <w:t xml:space="preserve">Strike or fundamentally restructure §4.2 Output Data ownership</w:t>
      </w:r>
      <w:r>
        <w:t xml:space="preserve">: KBI should own its raw KBI Data and the specific predictions, reports, and alerts delivered to it — but</w:t>
      </w:r>
      <w:r>
        <w:t xml:space="preserve"> </w:t>
      </w:r>
      <w:r>
        <w:rPr>
          <w:b/>
          <w:bCs/>
        </w:rPr>
        <w:t xml:space="preserve">model weights, parameters, and training artifacts generated in the ordinary course of providing services must remain Whitmore’s property.</w:t>
      </w:r>
      <w:r>
        <w:t xml:space="preserve"> </w:t>
      </w:r>
      <w:r>
        <w:t xml:space="preserve">Clarify that aggregate, anonymized, statistical insights derived across the customer base are Whitmore’s.</w:t>
      </w:r>
      <w:r>
        <w:t xml:space="preserve"> </w:t>
      </w:r>
      <w:r>
        <w:t xml:space="preserve">-</w:t>
      </w:r>
      <w:r>
        <w:t xml:space="preserve"> </w:t>
      </w:r>
      <w:r>
        <w:rPr>
          <w:b/>
          <w:bCs/>
        </w:rPr>
        <w:t xml:space="preserve">Address GDPR through a separate Data Processing Agreement</w:t>
      </w:r>
      <w:r>
        <w:t xml:space="preserve"> </w:t>
      </w:r>
      <w:r>
        <w:t xml:space="preserve">rather than over-broad contractual use restrictions that exceed GDPR requirements.</w:t>
      </w:r>
      <w:r>
        <w:t xml:space="preserve"> </w:t>
      </w:r>
      <w:r>
        <w:t xml:space="preserve">-</w:t>
      </w:r>
      <w:r>
        <w:t xml:space="preserve"> </w:t>
      </w:r>
      <w:r>
        <w:rPr>
          <w:b/>
          <w:bCs/>
        </w:rPr>
        <w:t xml:space="preserve">Add a carve-out</w:t>
      </w:r>
      <w:r>
        <w:t xml:space="preserve"> </w:t>
      </w:r>
      <w:r>
        <w:t xml:space="preserve">for use of non-identifiable, aggregated statistical data that cannot be traced to KBI.</w:t>
      </w:r>
    </w:p>
    <w:p>
      <w:pPr>
        <w:pStyle w:val="BodyText"/>
      </w:pPr>
      <w:r>
        <w:rPr>
          <w:b/>
          <w:bCs/>
        </w:rPr>
        <w:t xml:space="preserve">R3. MFC side letter — add carve-outs, sunset, and limits.</w:t>
      </w:r>
      <w:r>
        <w:t xml:space="preserve"> </w:t>
      </w:r>
      <w:r>
        <w:t xml:space="preserve">-</w:t>
      </w:r>
      <w:r>
        <w:t xml:space="preserve"> </w:t>
      </w:r>
      <w:r>
        <w:rPr>
          <w:b/>
          <w:bCs/>
        </w:rPr>
        <w:t xml:space="preserve">Insert standard carve-outs</w:t>
      </w:r>
      <w:r>
        <w:t xml:space="preserve">: (a) different deployment scope/scale or facility count; (b) different service levels/SLA tiers; (c) volume/enterprise discounts tied to materially larger commitments; (d) government, education, or non-profit pricing; (e) distressed, liquidation, or bankruptcy sales; (f) different geographies outside Europe; (g) different product editions/modules; (h) promotional/introductory offers to open new market segments; (i) pricing to affiliates; (j) pricing under pre-existing agreements predating the KBI agreement.</w:t>
      </w:r>
      <w:r>
        <w:t xml:space="preserve"> </w:t>
      </w:r>
      <w:r>
        <w:t xml:space="preserve">-</w:t>
      </w:r>
      <w:r>
        <w:t xml:space="preserve"> </w:t>
      </w:r>
      <w:r>
        <w:rPr>
          <w:b/>
          <w:bCs/>
        </w:rPr>
        <w:t xml:space="preserve">Add a sunset</w:t>
      </w:r>
      <w:r>
        <w:t xml:space="preserve"> </w:t>
      </w:r>
      <w:r>
        <w:t xml:space="preserve">(e.g., 3–5 years from execution), and</w:t>
      </w:r>
      <w:r>
        <w:t xml:space="preserve"> </w:t>
      </w:r>
      <w:r>
        <w:rPr>
          <w:b/>
          <w:bCs/>
        </w:rPr>
        <w:t xml:space="preserve">remove the</w:t>
      </w:r>
      <w:r>
        <w:rPr>
          <w:b/>
          <w:bCs/>
        </w:rPr>
        <w:t xml:space="preserve"> </w:t>
      </w:r>
      <w:r>
        <w:rPr>
          <w:b/>
          <w:bCs/>
        </w:rPr>
        <w:t xml:space="preserve">“</w:t>
      </w:r>
      <w:r>
        <w:rPr>
          <w:b/>
          <w:bCs/>
        </w:rPr>
        <w:t xml:space="preserve">thereafter … for so long as KBI retains any license rights</w:t>
      </w:r>
      <w:r>
        <w:rPr>
          <w:b/>
          <w:bCs/>
        </w:rPr>
        <w:t xml:space="preserve">”</w:t>
      </w:r>
      <w:r>
        <w:t xml:space="preserve"> </w:t>
      </w:r>
      <w:r>
        <w:t xml:space="preserve">perpetual tail — especially given the perpetual wind-down license, which would otherwise make the MFC perpetual.</w:t>
      </w:r>
      <w:r>
        <w:t xml:space="preserve"> </w:t>
      </w:r>
      <w:r>
        <w:t xml:space="preserve">-</w:t>
      </w:r>
      <w:r>
        <w:t xml:space="preserve"> </w:t>
      </w:r>
      <w:r>
        <w:rPr>
          <w:b/>
          <w:bCs/>
        </w:rPr>
        <w:t xml:space="preserve">Limit retroactivity</w:t>
      </w:r>
      <w:r>
        <w:t xml:space="preserve">: make adjustments prospective only, or cap any look-back (e.g., 12 months).</w:t>
      </w:r>
      <w:r>
        <w:t xml:space="preserve"> </w:t>
      </w:r>
      <w:r>
        <w:t xml:space="preserve">-</w:t>
      </w:r>
      <w:r>
        <w:t xml:space="preserve"> </w:t>
      </w:r>
      <w:r>
        <w:rPr>
          <w:b/>
          <w:bCs/>
        </w:rPr>
        <w:t xml:space="preserve">Narrow scope</w:t>
      </w:r>
      <w:r>
        <w:t xml:space="preserve"> </w:t>
      </w:r>
      <w:r>
        <w:t xml:space="preserve">to PredictIQ only; remove</w:t>
      </w:r>
      <w:r>
        <w:t xml:space="preserve"> </w:t>
      </w:r>
      <w:r>
        <w:t xml:space="preserve">“</w:t>
      </w:r>
      <w:r>
        <w:t xml:space="preserve">successor, derivative, or substantially similar technology.</w:t>
      </w:r>
      <w:r>
        <w:t xml:space="preserve">”</w:t>
      </w:r>
      <w:r>
        <w:t xml:space="preserve"> </w:t>
      </w:r>
      <w:r>
        <w:t xml:space="preserve">-</w:t>
      </w:r>
      <w:r>
        <w:t xml:space="preserve"> </w:t>
      </w:r>
      <w:r>
        <w:rPr>
          <w:b/>
          <w:bCs/>
        </w:rPr>
        <w:t xml:space="preserve">Add a materiality threshold</w:t>
      </w:r>
      <w:r>
        <w:t xml:space="preserve"> </w:t>
      </w:r>
      <w:r>
        <w:t xml:space="preserve">(e.g., adjustments only where the per-facility price differs by more than X%) and</w:t>
      </w:r>
      <w:r>
        <w:t xml:space="preserve"> </w:t>
      </w:r>
      <w:r>
        <w:rPr>
          <w:b/>
          <w:bCs/>
        </w:rPr>
        <w:t xml:space="preserve">raise the audit cost-shift threshold</w:t>
      </w:r>
      <w:r>
        <w:t xml:space="preserve"> </w:t>
      </w:r>
      <w:r>
        <w:t xml:space="preserve">above 5%.</w:t>
      </w:r>
      <w:r>
        <w:t xml:space="preserve"> </w:t>
      </w:r>
      <w:r>
        <w:t xml:space="preserve">-</w:t>
      </w:r>
      <w:r>
        <w:t xml:space="preserve"> </w:t>
      </w:r>
      <w:r>
        <w:rPr>
          <w:b/>
          <w:bCs/>
        </w:rPr>
        <w:t xml:space="preserve">Protect third-party pricing confidentiality</w:t>
      </w:r>
      <w:r>
        <w:t xml:space="preserve">: require the auditor to access only aggregated/redacted data and to be bound by confidentiality; prohibit disclosure of other customers’ identities or specific pricing to KBI.</w:t>
      </w:r>
      <w:r>
        <w:t xml:space="preserve"> </w:t>
      </w:r>
      <w:r>
        <w:t xml:space="preserve">-</w:t>
      </w:r>
      <w:r>
        <w:t xml:space="preserve"> </w:t>
      </w:r>
      <w:r>
        <w:rPr>
          <w:b/>
          <w:bCs/>
        </w:rPr>
        <w:t xml:space="preserve">Reconsider whether an MFC is acceptable at all</w:t>
      </w:r>
      <w:r>
        <w:t xml:space="preserve"> </w:t>
      </w:r>
      <w:r>
        <w:t xml:space="preserve">given the expansion right (R8) and exclusivity (R1) — the combination is highly constraining. If KBI insists on an MFC as a condition precedent, use it as leverage to extract concessions on C1/C2.</w:t>
      </w:r>
    </w:p>
    <w:bookmarkEnd w:id="50"/>
    <w:bookmarkStart w:id="51" w:name="priority-2-high-severity-restructuring"/>
    <w:p>
      <w:pPr>
        <w:pStyle w:val="Heading3"/>
      </w:pPr>
      <w:r>
        <w:t xml:space="preserve">Priority 2 — High-severity restructuring</w:t>
      </w:r>
    </w:p>
    <w:p>
      <w:pPr>
        <w:pStyle w:val="FirstParagraph"/>
      </w:pPr>
      <w:r>
        <w:rPr>
          <w:b/>
          <w:bCs/>
        </w:rPr>
        <w:t xml:space="preserve">R4. Wind-down license (§13.5) — convert to a limited transition license.</w:t>
      </w:r>
      <w:r>
        <w:t xml:space="preserve"> </w:t>
      </w:r>
      <w:r>
        <w:t xml:space="preserve">- Replace the</w:t>
      </w:r>
      <w:r>
        <w:t xml:space="preserve"> </w:t>
      </w:r>
      <w:r>
        <w:rPr>
          <w:b/>
          <w:bCs/>
        </w:rPr>
        <w:t xml:space="preserve">perpetual, irrevocable</w:t>
      </w:r>
      <w:r>
        <w:t xml:space="preserve"> </w:t>
      </w:r>
      <w:r>
        <w:t xml:space="preserve">wind-down license with a</w:t>
      </w:r>
      <w:r>
        <w:t xml:space="preserve"> </w:t>
      </w:r>
      <w:r>
        <w:rPr>
          <w:b/>
          <w:bCs/>
        </w:rPr>
        <w:t xml:space="preserve">fixed-term (12–24 months) transition license</w:t>
      </w:r>
      <w:r>
        <w:t xml:space="preserve">, purpose-limited to winding down or migrating off PredictIQ.</w:t>
      </w:r>
      <w:r>
        <w:t xml:space="preserve"> </w:t>
      </w:r>
      <w:r>
        <w:t xml:space="preserve">-</w:t>
      </w:r>
      <w:r>
        <w:t xml:space="preserve"> </w:t>
      </w:r>
      <w:r>
        <w:rPr>
          <w:b/>
          <w:bCs/>
        </w:rPr>
        <w:t xml:space="preserve">Exclude termination for convenience</w:t>
      </w:r>
      <w:r>
        <w:t xml:space="preserve"> </w:t>
      </w:r>
      <w:r>
        <w:t xml:space="preserve">from wind-down rights (or require a buyout payment if KBI wishes to retain use after a convenience termination).</w:t>
      </w:r>
      <w:r>
        <w:t xml:space="preserve"> </w:t>
      </w:r>
      <w:r>
        <w:t xml:space="preserve">-</w:t>
      </w:r>
      <w:r>
        <w:t xml:space="preserve"> </w:t>
      </w:r>
      <w:r>
        <w:rPr>
          <w:b/>
          <w:bCs/>
        </w:rPr>
        <w:t xml:space="preserve">Limit the wind-down license to the on-premises edge modules</w:t>
      </w:r>
      <w:r>
        <w:t xml:space="preserve">; the cloud SaaS cannot be</w:t>
      </w:r>
      <w:r>
        <w:t xml:space="preserve"> </w:t>
      </w:r>
      <w:r>
        <w:t xml:space="preserve">“</w:t>
      </w:r>
      <w:r>
        <w:t xml:space="preserve">wound down</w:t>
      </w:r>
      <w:r>
        <w:t xml:space="preserve">”</w:t>
      </w:r>
      <w:r>
        <w:t xml:space="preserve"> </w:t>
      </w:r>
      <w:r>
        <w:t xml:space="preserve">without Whitmore’s ongoing hosting and should cease on termination.</w:t>
      </w:r>
      <w:r>
        <w:t xml:space="preserve"> </w:t>
      </w:r>
      <w:r>
        <w:t xml:space="preserve">- Remove</w:t>
      </w:r>
      <w:r>
        <w:t xml:space="preserve"> </w:t>
      </w:r>
      <w:r>
        <w:t xml:space="preserve">“</w:t>
      </w:r>
      <w:r>
        <w:t xml:space="preserve">irrevocable</w:t>
      </w:r>
      <w:r>
        <w:t xml:space="preserve">”</w:t>
      </w:r>
      <w:r>
        <w:t xml:space="preserve">; tie continued use to ongoing payment of an appropriate wind-down fee (not merely the maintenance fee).</w:t>
      </w:r>
    </w:p>
    <w:p>
      <w:pPr>
        <w:pStyle w:val="BodyText"/>
      </w:pPr>
      <w:r>
        <w:rPr>
          <w:b/>
          <w:bCs/>
        </w:rPr>
        <w:t xml:space="preserve">R5. IP indemnification (§9.1) — cap and qualify.</w:t>
      </w:r>
      <w:r>
        <w:t xml:space="preserve"> </w:t>
      </w:r>
      <w:r>
        <w:t xml:space="preserve">-</w:t>
      </w:r>
      <w:r>
        <w:t xml:space="preserve"> </w:t>
      </w:r>
      <w:r>
        <w:rPr>
          <w:b/>
          <w:bCs/>
        </w:rPr>
        <w:t xml:space="preserve">Cap the IP indemnity</w:t>
      </w:r>
      <w:r>
        <w:t xml:space="preserve"> </w:t>
      </w:r>
      <w:r>
        <w:t xml:space="preserve">(e.g., at the general liability cap or a dedicated IP cap such as 2× annual fees or $15M).</w:t>
      </w:r>
      <w:r>
        <w:t xml:space="preserve"> </w:t>
      </w:r>
      <w:r>
        <w:t xml:space="preserve">-</w:t>
      </w:r>
      <w:r>
        <w:t xml:space="preserve"> </w:t>
      </w:r>
      <w:r>
        <w:rPr>
          <w:b/>
          <w:bCs/>
        </w:rPr>
        <w:t xml:space="preserve">Add a knowledge qualifier</w:t>
      </w:r>
      <w:r>
        <w:t xml:space="preserve"> </w:t>
      </w:r>
      <w:r>
        <w:t xml:space="preserve">consistent with the §8.4 IP warranty, and</w:t>
      </w:r>
      <w:r>
        <w:t xml:space="preserve"> </w:t>
      </w:r>
      <w:r>
        <w:rPr>
          <w:b/>
          <w:bCs/>
        </w:rPr>
        <w:t xml:space="preserve">add standard exclusions</w:t>
      </w:r>
      <w:r>
        <w:t xml:space="preserve"> </w:t>
      </w:r>
      <w:r>
        <w:t xml:space="preserve">(claims arising from KBI’s unauthorized modifications, combinations with third-party systems, or use outside the documentation).</w:t>
      </w:r>
      <w:r>
        <w:t xml:space="preserve"> </w:t>
      </w:r>
      <w:r>
        <w:t xml:space="preserve">-</w:t>
      </w:r>
      <w:r>
        <w:t xml:space="preserve"> </w:t>
      </w:r>
      <w:r>
        <w:rPr>
          <w:b/>
          <w:bCs/>
        </w:rPr>
        <w:t xml:space="preserve">Add cure obligations</w:t>
      </w:r>
      <w:r>
        <w:t xml:space="preserve"> </w:t>
      </w:r>
      <w:r>
        <w:t xml:space="preserve">(the §9.2 infringement remedies) as a precondition to indemnity, and a duty to mitigate.</w:t>
      </w:r>
      <w:r>
        <w:t xml:space="preserve"> </w:t>
      </w:r>
      <w:r>
        <w:t xml:space="preserve">-</w:t>
      </w:r>
      <w:r>
        <w:t xml:space="preserve"> </w:t>
      </w:r>
      <w:r>
        <w:rPr>
          <w:b/>
          <w:bCs/>
        </w:rPr>
        <w:t xml:space="preserve">Seek reciprocal IP indemnity</w:t>
      </w:r>
      <w:r>
        <w:t xml:space="preserve"> </w:t>
      </w:r>
      <w:r>
        <w:t xml:space="preserve">from KBI for claims arising from KBI Data or KBI’s proprietary content.</w:t>
      </w:r>
      <w:r>
        <w:t xml:space="preserve"> </w:t>
      </w:r>
      <w:r>
        <w:t xml:space="preserve">- Reconsider uncapped exposure in light of German law (R9).</w:t>
      </w:r>
    </w:p>
    <w:p>
      <w:pPr>
        <w:pStyle w:val="BodyText"/>
      </w:pPr>
      <w:r>
        <w:rPr>
          <w:b/>
          <w:bCs/>
        </w:rPr>
        <w:t xml:space="preserve">R6. Derivative works / feedback / improvements (§§2, 3.3–3.5) — restructure ownership.</w:t>
      </w:r>
      <w:r>
        <w:t xml:space="preserve"> </w:t>
      </w:r>
      <w:r>
        <w:t xml:space="preserve">-</w:t>
      </w:r>
      <w:r>
        <w:t xml:space="preserve"> </w:t>
      </w:r>
      <w:r>
        <w:rPr>
          <w:b/>
          <w:bCs/>
        </w:rPr>
        <w:t xml:space="preserve">Replace joint ownership</w:t>
      </w:r>
      <w:r>
        <w:t xml:space="preserve"> </w:t>
      </w:r>
      <w:r>
        <w:t xml:space="preserve">with Whitmore ownership of derivative works, granting KBI a</w:t>
      </w:r>
      <w:r>
        <w:t xml:space="preserve"> </w:t>
      </w:r>
      <w:r>
        <w:rPr>
          <w:b/>
          <w:bCs/>
        </w:rPr>
        <w:t xml:space="preserve">non-exclusive, non-transferable license to use them for its internal integration purposes only</w:t>
      </w:r>
      <w:r>
        <w:t xml:space="preserve"> </w:t>
      </w:r>
      <w:r>
        <w:t xml:space="preserve">(no sublicense to third parties). If joint ownership is unavoidable, add restrictions: no third-party sublicense, use limited to KBI’s internal manufacturing, jurisdictional clarity on exploitation rights, and a mutual accounting obligation.</w:t>
      </w:r>
      <w:r>
        <w:t xml:space="preserve"> </w:t>
      </w:r>
      <w:r>
        <w:t xml:space="preserve">-</w:t>
      </w:r>
      <w:r>
        <w:t xml:space="preserve"> </w:t>
      </w:r>
      <w:r>
        <w:rPr>
          <w:b/>
          <w:bCs/>
        </w:rPr>
        <w:t xml:space="preserve">Reconcile §3.4 (feedback → Whitmore) and §3.5 (KBI-Inspired Improvements → KBI license)</w:t>
      </w:r>
      <w:r>
        <w:t xml:space="preserve"> </w:t>
      </w:r>
      <w:r>
        <w:t xml:space="preserve">to remove the internal contradiction flagged by management.</w:t>
      </w:r>
      <w:r>
        <w:t xml:space="preserve"> </w:t>
      </w:r>
      <w:r>
        <w:t xml:space="preserve">-</w:t>
      </w:r>
      <w:r>
        <w:t xml:space="preserve"> </w:t>
      </w:r>
      <w:r>
        <w:rPr>
          <w:b/>
          <w:bCs/>
        </w:rPr>
        <w:t xml:space="preserve">Narrow §3.5</w:t>
      </w:r>
      <w:r>
        <w:t xml:space="preserve">: limit</w:t>
      </w:r>
      <w:r>
        <w:t xml:space="preserve"> </w:t>
      </w:r>
      <w:r>
        <w:t xml:space="preserve">“</w:t>
      </w:r>
      <w:r>
        <w:t xml:space="preserve">KBI-Inspired Improvements</w:t>
      </w:r>
      <w:r>
        <w:t xml:space="preserve">”</w:t>
      </w:r>
      <w:r>
        <w:t xml:space="preserve"> </w:t>
      </w:r>
      <w:r>
        <w:t xml:space="preserve">to improvements</w:t>
      </w:r>
      <w:r>
        <w:t xml:space="preserve"> </w:t>
      </w:r>
      <w:r>
        <w:rPr>
          <w:i/>
          <w:iCs/>
        </w:rPr>
        <w:t xml:space="preserve">specifically and predominantly</w:t>
      </w:r>
      <w:r>
        <w:t xml:space="preserve"> </w:t>
      </w:r>
      <w:r>
        <w:t xml:space="preserve">derived from KBI’s confidential data and unique to KBI’s environment — exclude general product roadmap improvements and improvements derived from anonymized/aggregated data across the customer base. Require a high, specific bar and a defined identification process.</w:t>
      </w:r>
    </w:p>
    <w:p>
      <w:pPr>
        <w:pStyle w:val="BodyText"/>
      </w:pPr>
      <w:r>
        <w:rPr>
          <w:b/>
          <w:bCs/>
        </w:rPr>
        <w:t xml:space="preserve">R7. Performance warranty (§8.2–8.3) — add conditions and controls.</w:t>
      </w:r>
      <w:r>
        <w:t xml:space="preserve"> </w:t>
      </w:r>
      <w:r>
        <w:t xml:space="preserve">-</w:t>
      </w:r>
      <w:r>
        <w:t xml:space="preserve"> </w:t>
      </w:r>
      <w:r>
        <w:rPr>
          <w:b/>
          <w:bCs/>
        </w:rPr>
        <w:t xml:space="preserve">Add conditions precedent</w:t>
      </w:r>
      <w:r>
        <w:t xml:space="preserve">: the 92% metric applies only when KBI has met its §6.3 responsibilities (data quality, sensor calibration, systems meeting minimum requirements, timely and complete maintenance logs).</w:t>
      </w:r>
      <w:r>
        <w:t xml:space="preserve"> </w:t>
      </w:r>
      <w:r>
        <w:t xml:space="preserve">-</w:t>
      </w:r>
      <w:r>
        <w:t xml:space="preserve"> </w:t>
      </w:r>
      <w:r>
        <w:rPr>
          <w:b/>
          <w:bCs/>
        </w:rPr>
        <w:t xml:space="preserve">Adopt a jointly agreed measurement methodology</w:t>
      </w:r>
      <w:r>
        <w:t xml:space="preserve"> </w:t>
      </w:r>
      <w:r>
        <w:t xml:space="preserve">with independent verification and a defined dispute mechanism.</w:t>
      </w:r>
      <w:r>
        <w:t xml:space="preserve"> </w:t>
      </w:r>
      <w:r>
        <w:t xml:space="preserve">-</w:t>
      </w:r>
      <w:r>
        <w:t xml:space="preserve"> </w:t>
      </w:r>
      <w:r>
        <w:rPr>
          <w:b/>
          <w:bCs/>
        </w:rPr>
        <w:t xml:space="preserve">Add a ramp-up period</w:t>
      </w:r>
      <w:r>
        <w:t xml:space="preserve"> </w:t>
      </w:r>
      <w:r>
        <w:t xml:space="preserve">(e.g., a lower threshold during the first 6–12 months post-go-live at each facility) and a</w:t>
      </w:r>
      <w:r>
        <w:t xml:space="preserve"> </w:t>
      </w:r>
      <w:r>
        <w:rPr>
          <w:b/>
          <w:bCs/>
        </w:rPr>
        <w:t xml:space="preserve">remediation/cure period</w:t>
      </w:r>
      <w:r>
        <w:t xml:space="preserve"> </w:t>
      </w:r>
      <w:r>
        <w:t xml:space="preserve">before credits or termination accrue.</w:t>
      </w:r>
      <w:r>
        <w:t xml:space="preserve"> </w:t>
      </w:r>
      <w:r>
        <w:t xml:space="preserve">-</w:t>
      </w:r>
      <w:r>
        <w:t xml:space="preserve"> </w:t>
      </w:r>
      <w:r>
        <w:rPr>
          <w:b/>
          <w:bCs/>
        </w:rPr>
        <w:t xml:space="preserve">Cap total performance credits</w:t>
      </w:r>
      <w:r>
        <w:t xml:space="preserve"> </w:t>
      </w:r>
      <w:r>
        <w:t xml:space="preserve">per year and</w:t>
      </w:r>
      <w:r>
        <w:t xml:space="preserve"> </w:t>
      </w:r>
      <w:r>
        <w:rPr>
          <w:b/>
          <w:bCs/>
        </w:rPr>
        <w:t xml:space="preserve">add a cure right</w:t>
      </w:r>
      <w:r>
        <w:t xml:space="preserve"> </w:t>
      </w:r>
      <w:r>
        <w:t xml:space="preserve">before the §13.4 termination trigger.</w:t>
      </w:r>
      <w:r>
        <w:t xml:space="preserve"> </w:t>
      </w:r>
      <w:r>
        <w:t xml:space="preserve">-</w:t>
      </w:r>
      <w:r>
        <w:t xml:space="preserve"> </w:t>
      </w:r>
      <w:r>
        <w:rPr>
          <w:b/>
          <w:bCs/>
        </w:rPr>
        <w:t xml:space="preserve">Clarify the definition</w:t>
      </w:r>
      <w:r>
        <w:t xml:space="preserve"> </w:t>
      </w:r>
      <w:r>
        <w:t xml:space="preserve">to exclude events outside Whitmore’s control and to specify how</w:t>
      </w:r>
      <w:r>
        <w:t xml:space="preserve"> </w:t>
      </w:r>
      <w:r>
        <w:t xml:space="preserve">“</w:t>
      </w:r>
      <w:r>
        <w:t xml:space="preserve">actual failure events</w:t>
      </w:r>
      <w:r>
        <w:t xml:space="preserve">”</w:t>
      </w:r>
      <w:r>
        <w:t xml:space="preserve"> </w:t>
      </w:r>
      <w:r>
        <w:t xml:space="preserve">are recorded and validated.</w:t>
      </w:r>
    </w:p>
    <w:p>
      <w:pPr>
        <w:pStyle w:val="BodyText"/>
      </w:pPr>
      <w:r>
        <w:rPr>
          <w:b/>
          <w:bCs/>
        </w:rPr>
        <w:t xml:space="preserve">R8. Source-code escrow (§11) — narrow scope and triggers.</w:t>
      </w:r>
      <w:r>
        <w:t xml:space="preserve"> </w:t>
      </w:r>
      <w:r>
        <w:t xml:space="preserve">-</w:t>
      </w:r>
      <w:r>
        <w:t xml:space="preserve"> </w:t>
      </w:r>
      <w:r>
        <w:rPr>
          <w:b/>
          <w:bCs/>
        </w:rPr>
        <w:t xml:space="preserve">Exclude third-party licensed components</w:t>
      </w:r>
      <w:r>
        <w:t xml:space="preserve"> </w:t>
      </w:r>
      <w:r>
        <w:t xml:space="preserve">from the deposit (Whitmore may lack escrow rights).</w:t>
      </w:r>
      <w:r>
        <w:t xml:space="preserve"> </w:t>
      </w:r>
      <w:r>
        <w:t xml:space="preserve">-</w:t>
      </w:r>
      <w:r>
        <w:t xml:space="preserve"> </w:t>
      </w:r>
      <w:r>
        <w:rPr>
          <w:b/>
          <w:bCs/>
        </w:rPr>
        <w:t xml:space="preserve">Tighten release triggers</w:t>
      </w:r>
      <w:r>
        <w:t xml:space="preserve">: limit the</w:t>
      </w:r>
      <w:r>
        <w:t xml:space="preserve"> </w:t>
      </w:r>
      <w:r>
        <w:t xml:space="preserve">“</w:t>
      </w:r>
      <w:r>
        <w:t xml:space="preserve">material breach</w:t>
      </w:r>
      <w:r>
        <w:t xml:space="preserve">”</w:t>
      </w:r>
      <w:r>
        <w:t xml:space="preserve"> </w:t>
      </w:r>
      <w:r>
        <w:t xml:space="preserve">trigger to IP-related or repeated/uncured breaches after a longer cure period; limit the</w:t>
      </w:r>
      <w:r>
        <w:t xml:space="preserve"> </w:t>
      </w:r>
      <w:r>
        <w:t xml:space="preserve">“</w:t>
      </w:r>
      <w:r>
        <w:t xml:space="preserve">failure to provide support</w:t>
      </w:r>
      <w:r>
        <w:t xml:space="preserve">”</w:t>
      </w:r>
      <w:r>
        <w:t xml:space="preserve"> </w:t>
      </w:r>
      <w:r>
        <w:t xml:space="preserve">trigger to willful refusal (not circumstances outside Whitmore’s control).</w:t>
      </w:r>
      <w:r>
        <w:t xml:space="preserve"> </w:t>
      </w:r>
      <w:r>
        <w:t xml:space="preserve">-</w:t>
      </w:r>
      <w:r>
        <w:t xml:space="preserve"> </w:t>
      </w:r>
      <w:r>
        <w:rPr>
          <w:b/>
          <w:bCs/>
        </w:rPr>
        <w:t xml:space="preserve">Limit the post-release license</w:t>
      </w:r>
      <w:r>
        <w:t xml:space="preserve"> </w:t>
      </w:r>
      <w:r>
        <w:t xml:space="preserve">to internal, non-transferable use tied strictly to the release event, and add a re-deposit/return obligation if a release is later determined to have been improper.</w:t>
      </w:r>
      <w:r>
        <w:t xml:space="preserve"> </w:t>
      </w:r>
      <w:r>
        <w:t xml:space="preserve">-</w:t>
      </w:r>
      <w:r>
        <w:t xml:space="preserve"> </w:t>
      </w:r>
      <w:r>
        <w:rPr>
          <w:b/>
          <w:bCs/>
        </w:rPr>
        <w:t xml:space="preserve">Consider a two-tier escrow</w:t>
      </w:r>
      <w:r>
        <w:t xml:space="preserve">: object code deposited routinely; source code released only on insolvency/cessation (not on ordinary breach).</w:t>
      </w:r>
    </w:p>
    <w:p>
      <w:pPr>
        <w:pStyle w:val="BodyText"/>
      </w:pPr>
      <w:r>
        <w:rPr>
          <w:b/>
          <w:bCs/>
        </w:rPr>
        <w:t xml:space="preserve">R9. Governing law / dispute resolution (§14) — seek a more favorable forum.</w:t>
      </w:r>
      <w:r>
        <w:t xml:space="preserve"> </w:t>
      </w:r>
      <w:r>
        <w:t xml:space="preserve">-</w:t>
      </w:r>
      <w:r>
        <w:t xml:space="preserve"> </w:t>
      </w:r>
      <w:r>
        <w:rPr>
          <w:b/>
          <w:bCs/>
        </w:rPr>
        <w:t xml:space="preserve">Push for Washington (state) law</w:t>
      </w:r>
      <w:r>
        <w:t xml:space="preserve"> </w:t>
      </w:r>
      <w:r>
        <w:t xml:space="preserve">(Whitmore’s domicile) or a</w:t>
      </w:r>
      <w:r>
        <w:t xml:space="preserve"> </w:t>
      </w:r>
      <w:r>
        <w:rPr>
          <w:b/>
          <w:bCs/>
        </w:rPr>
        <w:t xml:space="preserve">neutral jurisdiction</w:t>
      </w:r>
      <w:r>
        <w:t xml:space="preserve"> </w:t>
      </w:r>
      <w:r>
        <w:t xml:space="preserve">(England or Switzerland), per management’s direction.</w:t>
      </w:r>
      <w:r>
        <w:t xml:space="preserve"> </w:t>
      </w:r>
      <w:r>
        <w:t xml:space="preserve">- If German law remains,</w:t>
      </w:r>
      <w:r>
        <w:t xml:space="preserve"> </w:t>
      </w:r>
      <w:r>
        <w:rPr>
          <w:b/>
          <w:bCs/>
        </w:rPr>
        <w:t xml:space="preserve">engage German-law specialist counsel</w:t>
      </w:r>
      <w:r>
        <w:t xml:space="preserve"> </w:t>
      </w:r>
      <w:r>
        <w:t xml:space="preserve">to assess: (i) AGB control exposure for non-negotiated terms; (ii) enforceability of the liability exclusions, the uncapped indemnity, and the performance penalties; (iii) the no-bond injunctive relief provision; and (iv) interaction with the perpetual license/wind-down structure.</w:t>
      </w:r>
      <w:r>
        <w:t xml:space="preserve"> </w:t>
      </w:r>
      <w:r>
        <w:t xml:space="preserve">- Consider retaining ICC arbitration but with a seat aligned to the chosen governing law.</w:t>
      </w:r>
    </w:p>
    <w:bookmarkEnd w:id="51"/>
    <w:bookmarkStart w:id="52" w:name="priority-3-medium-severity-edits"/>
    <w:p>
      <w:pPr>
        <w:pStyle w:val="Heading3"/>
      </w:pPr>
      <w:r>
        <w:t xml:space="preserve">Priority 3 — Medium-severity edits</w:t>
      </w:r>
    </w:p>
    <w:p>
      <w:pPr>
        <w:pStyle w:val="FirstParagraph"/>
      </w:pPr>
      <w:r>
        <w:rPr>
          <w:b/>
          <w:bCs/>
        </w:rPr>
        <w:t xml:space="preserve">R10. Implementation cash flow (§§5.1, 5.3) — front-load payments.</w:t>
      </w:r>
      <w:r>
        <w:t xml:space="preserve"> </w:t>
      </w:r>
      <w:r>
        <w:rPr>
          <w:i/>
          <w:iCs/>
        </w:rPr>
        <w:t xml:space="preserve">(Management position.)</w:t>
      </w:r>
      <w:r>
        <w:t xml:space="preserve"> </w:t>
      </w:r>
      <w:r>
        <w:t xml:space="preserve">-</w:t>
      </w:r>
      <w:r>
        <w:t xml:space="preserve"> </w:t>
      </w:r>
      <w:r>
        <w:rPr>
          <w:b/>
          <w:bCs/>
        </w:rPr>
        <w:t xml:space="preserve">Restructure the license-fee installments to 40/30/30</w:t>
      </w:r>
      <w:r>
        <w:t xml:space="preserve"> </w:t>
      </w:r>
      <w:r>
        <w:t xml:space="preserve">(40% = $1.68M at signing; 30% = $1.26M at Phase 1 completion; 30% = $1.26M at Phase 2 go-live), reversing the current 30/40/30 split to match Whitmore’s cost profile.</w:t>
      </w:r>
      <w:r>
        <w:t xml:space="preserve"> </w:t>
      </w:r>
      <w:r>
        <w:t xml:space="preserve">-</w:t>
      </w:r>
      <w:r>
        <w:t xml:space="preserve"> </w:t>
      </w:r>
      <w:r>
        <w:rPr>
          <w:b/>
          <w:bCs/>
        </w:rPr>
        <w:t xml:space="preserve">Front-load the implementation fee</w:t>
      </w:r>
      <w:r>
        <w:t xml:space="preserve"> </w:t>
      </w:r>
      <w:r>
        <w:t xml:space="preserve">(e.g., 40% payable in the first 6 months rather than linearly monthly).</w:t>
      </w:r>
      <w:r>
        <w:t xml:space="preserve"> </w:t>
      </w:r>
      <w:r>
        <w:t xml:space="preserve">-</w:t>
      </w:r>
      <w:r>
        <w:t xml:space="preserve"> </w:t>
      </w:r>
      <w:r>
        <w:rPr>
          <w:b/>
          <w:bCs/>
        </w:rPr>
        <w:t xml:space="preserve">Break out implementation as a separate Statement of Work</w:t>
      </w:r>
      <w:r>
        <w:t xml:space="preserve"> </w:t>
      </w:r>
      <w:r>
        <w:t xml:space="preserve">with milestone-based payments (per GC’s structural suggestion) for cleaner cash management and ASC 606 treatment.</w:t>
      </w:r>
      <w:r>
        <w:t xml:space="preserve"> </w:t>
      </w:r>
      <w:r>
        <w:t xml:space="preserve">-</w:t>
      </w:r>
      <w:r>
        <w:t xml:space="preserve"> </w:t>
      </w:r>
      <w:r>
        <w:rPr>
          <w:b/>
          <w:bCs/>
        </w:rPr>
        <w:t xml:space="preserve">Clarify when the SaaS subscription commences</w:t>
      </w:r>
      <w:r>
        <w:t xml:space="preserve"> </w:t>
      </w:r>
      <w:r>
        <w:t xml:space="preserve">(e.g., at Phase 1 go-live, consistent with maintenance) to remove cash-flow and revenue-recognition ambiguity.</w:t>
      </w:r>
      <w:r>
        <w:t xml:space="preserve"> </w:t>
      </w:r>
      <w:r>
        <w:t xml:space="preserve">-</w:t>
      </w:r>
      <w:r>
        <w:t xml:space="preserve"> </w:t>
      </w:r>
      <w:r>
        <w:rPr>
          <w:b/>
          <w:bCs/>
        </w:rPr>
        <w:t xml:space="preserve">Flag ASC 606 implications to Lakeshore Accounting Group LLP</w:t>
      </w:r>
      <w:r>
        <w:t xml:space="preserve"> </w:t>
      </w:r>
      <w:r>
        <w:t xml:space="preserve">before finalizing the counter-proposal.</w:t>
      </w:r>
    </w:p>
    <w:p>
      <w:pPr>
        <w:pStyle w:val="BodyText"/>
      </w:pPr>
      <w:r>
        <w:rPr>
          <w:b/>
          <w:bCs/>
        </w:rPr>
        <w:t xml:space="preserve">R11. Liability cap (§10.1) — recalibrate.</w:t>
      </w:r>
      <w:r>
        <w:t xml:space="preserve"> </w:t>
      </w:r>
      <w:r>
        <w:t xml:space="preserve">- Reconsider the $15M floor (consider a lower absolute cap or a multiple-of-fees structure without the high floor), while preserving the consequential-damages exclusion.</w:t>
      </w:r>
      <w:r>
        <w:t xml:space="preserve"> </w:t>
      </w:r>
      <w:r>
        <w:t xml:space="preserve">- Ensure the cap and exclusions are</w:t>
      </w:r>
      <w:r>
        <w:t xml:space="preserve"> </w:t>
      </w:r>
      <w:r>
        <w:rPr>
          <w:b/>
          <w:bCs/>
        </w:rPr>
        <w:t xml:space="preserve">mutual</w:t>
      </w:r>
      <w:r>
        <w:t xml:space="preserve"> </w:t>
      </w:r>
      <w:r>
        <w:t xml:space="preserve">and robustly drafted.</w:t>
      </w:r>
    </w:p>
    <w:p>
      <w:pPr>
        <w:pStyle w:val="BodyText"/>
      </w:pPr>
      <w:r>
        <w:rPr>
          <w:b/>
          <w:bCs/>
        </w:rPr>
        <w:t xml:space="preserve">R12. Termination and assignment (§§13.3, 16.6) — rebalance.</w:t>
      </w:r>
      <w:r>
        <w:t xml:space="preserve"> </w:t>
      </w:r>
      <w:r>
        <w:t xml:space="preserve">-</w:t>
      </w:r>
      <w:r>
        <w:t xml:space="preserve"> </w:t>
      </w:r>
      <w:r>
        <w:rPr>
          <w:b/>
          <w:bCs/>
        </w:rPr>
        <w:t xml:space="preserve">Seek reciprocal termination-for-convenience rights</w:t>
      </w:r>
      <w:r>
        <w:t xml:space="preserve">, or remove KBI’s convenience right given the perpetual wind-down license.</w:t>
      </w:r>
      <w:r>
        <w:t xml:space="preserve"> </w:t>
      </w:r>
      <w:r>
        <w:t xml:space="preserve">-</w:t>
      </w:r>
      <w:r>
        <w:t xml:space="preserve"> </w:t>
      </w:r>
      <w:r>
        <w:rPr>
          <w:b/>
          <w:bCs/>
        </w:rPr>
        <w:t xml:space="preserve">Seek reciprocal assignment rights</w:t>
      </w:r>
      <w:r>
        <w:t xml:space="preserve"> </w:t>
      </w:r>
      <w:r>
        <w:t xml:space="preserve">(affiliates and M&amp;A) so Whitmore retains flexibility for future financing or corporate transactions.</w:t>
      </w:r>
    </w:p>
    <w:p>
      <w:pPr>
        <w:pStyle w:val="BodyText"/>
      </w:pPr>
      <w:r>
        <w:rPr>
          <w:b/>
          <w:bCs/>
        </w:rPr>
        <w:t xml:space="preserve">R13. No-shop (§16.2) — manage the constraint.</w:t>
      </w:r>
      <w:r>
        <w:t xml:space="preserve"> </w:t>
      </w:r>
      <w:r>
        <w:t xml:space="preserve">- Acknowledge the binding 60-day no-shop in the response; ensure Whitmore can meet the June 23 response and August 15 execution timeline. Consider seeking a narrower no-shop (limited to KBI’s named competitors or to the specific transaction) if the breadth proves problematic.</w:t>
      </w:r>
    </w:p>
    <w:p>
      <w:pPr>
        <w:pStyle w:val="BodyText"/>
      </w:pPr>
      <w:r>
        <w:rPr>
          <w:b/>
          <w:bCs/>
        </w:rPr>
        <w:t xml:space="preserve">R14. License/term structure (§§2, 13.1) — clarify.</w:t>
      </w:r>
      <w:r>
        <w:t xml:space="preserve"> </w:t>
      </w:r>
      <w:r>
        <w:t xml:space="preserve">- Clarify that the</w:t>
      </w:r>
      <w:r>
        <w:t xml:space="preserve"> </w:t>
      </w:r>
      <w:r>
        <w:rPr>
          <w:b/>
          <w:bCs/>
        </w:rPr>
        <w:t xml:space="preserve">on-premises edge-module license is perpetual</w:t>
      </w:r>
      <w:r>
        <w:t xml:space="preserve"> </w:t>
      </w:r>
      <w:r>
        <w:t xml:space="preserve">while the</w:t>
      </w:r>
      <w:r>
        <w:t xml:space="preserve"> </w:t>
      </w:r>
      <w:r>
        <w:rPr>
          <w:b/>
          <w:bCs/>
        </w:rPr>
        <w:t xml:space="preserve">cloud SaaS subscription is term-based</w:t>
      </w:r>
      <w:r>
        <w:t xml:space="preserve"> </w:t>
      </w:r>
      <w:r>
        <w:t xml:space="preserve">(renewable), preserving the recurring-revenue model and aligning revenue recognition.</w:t>
      </w:r>
    </w:p>
    <w:p>
      <w:pPr>
        <w:pStyle w:val="BodyText"/>
      </w:pPr>
      <w:r>
        <w:rPr>
          <w:b/>
          <w:bCs/>
        </w:rPr>
        <w:t xml:space="preserve">R15. SLA coherence (§7.2) — align with the performance warranty.</w:t>
      </w:r>
      <w:r>
        <w:t xml:space="preserve"> </w:t>
      </w:r>
      <w:r>
        <w:t xml:space="preserve">- Either elevate support SLAs to hard commitments with corresponding credits, or soften the performance warranty to a</w:t>
      </w:r>
      <w:r>
        <w:t xml:space="preserve"> </w:t>
      </w:r>
      <w:r>
        <w:t xml:space="preserve">“</w:t>
      </w:r>
      <w:r>
        <w:t xml:space="preserve">commercially reasonable efforts</w:t>
      </w:r>
      <w:r>
        <w:t xml:space="preserve">”</w:t>
      </w:r>
      <w:r>
        <w:t xml:space="preserve"> </w:t>
      </w:r>
      <w:r>
        <w:t xml:space="preserve">standard with a target (not a hard 92% commitment). At minimum, ensure the two regimes are internally consistent.</w:t>
      </w:r>
    </w:p>
    <w:bookmarkEnd w:id="52"/>
    <w:bookmarkStart w:id="53" w:name="cross-cutting"/>
    <w:p>
      <w:pPr>
        <w:pStyle w:val="Heading3"/>
      </w:pPr>
      <w:r>
        <w:t xml:space="preserve">Cross-cutting</w:t>
      </w:r>
    </w:p>
    <w:p>
      <w:pPr>
        <w:pStyle w:val="FirstParagraph"/>
      </w:pPr>
      <w:r>
        <w:rPr>
          <w:b/>
          <w:bCs/>
        </w:rPr>
        <w:t xml:space="preserve">R16. Use the deal’s leverage.</w:t>
      </w:r>
      <w:r>
        <w:t xml:space="preserve"> </w:t>
      </w:r>
      <w:r>
        <w:t xml:space="preserve">KBI has framed both the MFC and the timeline as conditions precedent and has set a tight June 23 deadline. Whitmore’s leverage is real: this is KBI’s anchor initiative (SmartFactory 2030), the deal is large for both sides, and KBI’s counsel has overreached on several provisions (exclusivity, data, MFC, wind-down). We recommend a confident, substantive counter-proposal that conveys enthusiasm for the partnership while firmly restructuring the dealbreaker terms. The August 15 execution target and September 15 Phase 1 start provide runway, but not much — prompt, well-organized counter-positions are essential.</w:t>
      </w:r>
    </w:p>
    <w:p>
      <w:r>
        <w:pict>
          <v:rect style="width:0;height:1.5pt" o:hralign="center" o:hrstd="t" o:hr="t"/>
        </w:pict>
      </w:r>
    </w:p>
    <w:bookmarkEnd w:id="53"/>
    <w:bookmarkEnd w:id="54"/>
    <w:bookmarkStart w:id="55" w:name="vi.-process-timeline-and-next-steps"/>
    <w:p>
      <w:pPr>
        <w:pStyle w:val="Heading2"/>
      </w:pPr>
      <w:r>
        <w:t xml:space="preserve">VI. Process, Timeline, and Next Steps</w:t>
      </w:r>
    </w:p>
    <w:p>
      <w:pPr>
        <w:pStyle w:val="Compact"/>
        <w:numPr>
          <w:ilvl w:val="0"/>
          <w:numId w:val="1019"/>
        </w:numPr>
      </w:pPr>
      <w:r>
        <w:rPr>
          <w:b/>
          <w:bCs/>
        </w:rPr>
        <w:t xml:space="preserve">June 16, 2025 (today):</w:t>
      </w:r>
      <w:r>
        <w:t xml:space="preserve"> </w:t>
      </w:r>
      <w:r>
        <w:t xml:space="preserve">Deliver this memo to the Board and management.</w:t>
      </w:r>
    </w:p>
    <w:p>
      <w:pPr>
        <w:pStyle w:val="Compact"/>
        <w:numPr>
          <w:ilvl w:val="0"/>
          <w:numId w:val="1019"/>
        </w:numPr>
      </w:pPr>
      <w:r>
        <w:rPr>
          <w:b/>
          <w:bCs/>
        </w:rPr>
        <w:t xml:space="preserve">June 18, 2025 — Board meeting:</w:t>
      </w:r>
      <w:r>
        <w:t xml:space="preserve"> </w:t>
      </w:r>
      <w:r>
        <w:t xml:space="preserve">Seek Board approval of the negotiation framework and red lines set forth in Part V.</w:t>
      </w:r>
    </w:p>
    <w:p>
      <w:pPr>
        <w:pStyle w:val="Compact"/>
        <w:numPr>
          <w:ilvl w:val="0"/>
          <w:numId w:val="1019"/>
        </w:numPr>
      </w:pPr>
      <w:r>
        <w:rPr>
          <w:b/>
          <w:bCs/>
        </w:rPr>
        <w:t xml:space="preserve">June 17–22, 2025:</w:t>
      </w:r>
      <w:r>
        <w:t xml:space="preserve"> </w:t>
      </w:r>
      <w:r>
        <w:t xml:space="preserve">Finalize the written counter-proposal, incorporating German-law specialist input (R9) and ASC 606 guidance from Lakeshore Accounting Group (R10).</w:t>
      </w:r>
    </w:p>
    <w:p>
      <w:pPr>
        <w:pStyle w:val="Compact"/>
        <w:numPr>
          <w:ilvl w:val="0"/>
          <w:numId w:val="1019"/>
        </w:numPr>
      </w:pPr>
      <w:r>
        <w:rPr>
          <w:b/>
          <w:bCs/>
        </w:rPr>
        <w:t xml:space="preserve">June 23, 2025:</w:t>
      </w:r>
      <w:r>
        <w:t xml:space="preserve"> </w:t>
      </w:r>
      <w:r>
        <w:t xml:space="preserve">Deliver Whitmore’s substantive written response to KBI (term sheet + MFC side letter) before the deadline.</w:t>
      </w:r>
    </w:p>
    <w:p>
      <w:pPr>
        <w:pStyle w:val="Compact"/>
        <w:numPr>
          <w:ilvl w:val="0"/>
          <w:numId w:val="1019"/>
        </w:numPr>
      </w:pPr>
      <w:r>
        <w:rPr>
          <w:b/>
          <w:bCs/>
        </w:rPr>
        <w:t xml:space="preserve">June 23 – August 15, 2025:</w:t>
      </w:r>
      <w:r>
        <w:t xml:space="preserve"> </w:t>
      </w:r>
      <w:r>
        <w:t xml:space="preserve">Negotiate the definitive agreement; target execution by August 15, 2025.</w:t>
      </w:r>
    </w:p>
    <w:p>
      <w:pPr>
        <w:pStyle w:val="Compact"/>
        <w:numPr>
          <w:ilvl w:val="0"/>
          <w:numId w:val="1019"/>
        </w:numPr>
      </w:pPr>
      <w:r>
        <w:rPr>
          <w:b/>
          <w:bCs/>
        </w:rPr>
        <w:t xml:space="preserve">September 15, 2025:</w:t>
      </w:r>
      <w:r>
        <w:t xml:space="preserve"> </w:t>
      </w:r>
      <w:r>
        <w:t xml:space="preserve">Phase 1 implementation start (contingent on MFC/timeline resolution).</w:t>
      </w:r>
    </w:p>
    <w:p>
      <w:pPr>
        <w:pStyle w:val="FirstParagraph"/>
      </w:pPr>
      <w:r>
        <w:t xml:space="preserve">We recommend a Thursday alignment call among management and counsel to confirm red lines before the counter-proposal is finalized, as management has proposed.</w:t>
      </w:r>
    </w:p>
    <w:p>
      <w:r>
        <w:pict>
          <v:rect style="width:0;height:1.5pt" o:hralign="center" o:hrstd="t" o:hr="t"/>
        </w:pict>
      </w:r>
    </w:p>
    <w:bookmarkEnd w:id="55"/>
    <w:bookmarkStart w:id="56" w:name="vii.-items-requiring-specialist-review"/>
    <w:p>
      <w:pPr>
        <w:pStyle w:val="Heading2"/>
      </w:pPr>
      <w:r>
        <w:t xml:space="preserve">VII. Items Requiring Specialist Review</w:t>
      </w:r>
    </w:p>
    <w:p>
      <w:pPr>
        <w:pStyle w:val="Compact"/>
        <w:numPr>
          <w:ilvl w:val="0"/>
          <w:numId w:val="1020"/>
        </w:numPr>
      </w:pPr>
      <w:r>
        <w:rPr>
          <w:b/>
          <w:bCs/>
        </w:rPr>
        <w:t xml:space="preserve">German-law specialist counsel:</w:t>
      </w:r>
      <w:r>
        <w:t xml:space="preserve"> </w:t>
      </w:r>
      <w:r>
        <w:t xml:space="preserve">governing-law enforceability, AGB control, uncapped indemnity, performance penalties, no-bond injunctive relief, and the perpetual license/wind-down structure (R9).</w:t>
      </w:r>
    </w:p>
    <w:p>
      <w:pPr>
        <w:pStyle w:val="Compact"/>
        <w:numPr>
          <w:ilvl w:val="0"/>
          <w:numId w:val="1020"/>
        </w:numPr>
      </w:pPr>
      <w:r>
        <w:rPr>
          <w:b/>
          <w:bCs/>
        </w:rPr>
        <w:t xml:space="preserve">Lakeshore Accounting Group LLP (auditors):</w:t>
      </w:r>
      <w:r>
        <w:t xml:space="preserve"> </w:t>
      </w:r>
      <w:r>
        <w:t xml:space="preserve">ASC 606 revenue-recognition treatment of the license-fee installment structure, the linear vs. milestone-based implementation fees, the perpetual SaaS license, and the separate-SOW structure (R10).</w:t>
      </w:r>
    </w:p>
    <w:p>
      <w:pPr>
        <w:pStyle w:val="Compact"/>
        <w:numPr>
          <w:ilvl w:val="0"/>
          <w:numId w:val="1020"/>
        </w:numPr>
      </w:pPr>
      <w:r>
        <w:rPr>
          <w:b/>
          <w:bCs/>
        </w:rPr>
        <w:t xml:space="preserve">Technical/product review:</w:t>
      </w:r>
      <w:r>
        <w:t xml:space="preserve"> </w:t>
      </w:r>
      <w:r>
        <w:t xml:space="preserve">feasibility and measurement methodology for the 92% accuracy warranty, including data-quality and sensor-calibration dependencies (R7); escrow deposit scope and third-party component rights (R8).</w:t>
      </w:r>
    </w:p>
    <w:p>
      <w:pPr>
        <w:pStyle w:val="Compact"/>
        <w:numPr>
          <w:ilvl w:val="0"/>
          <w:numId w:val="1020"/>
        </w:numPr>
      </w:pPr>
      <w:r>
        <w:rPr>
          <w:b/>
          <w:bCs/>
        </w:rPr>
        <w:t xml:space="preserve">Housekeeping:</w:t>
      </w:r>
      <w:r>
        <w:t xml:space="preserve"> </w:t>
      </w:r>
      <w:r>
        <w:t xml:space="preserve">The MFC side letter refers to Whitmore’s outside counsel as</w:t>
      </w:r>
      <w:r>
        <w:t xml:space="preserve"> </w:t>
      </w:r>
      <w:r>
        <w:t xml:space="preserve">“</w:t>
      </w:r>
      <w:r>
        <w:t xml:space="preserve">Fenwick Hale &amp; Seward LLP,</w:t>
      </w:r>
      <w:r>
        <w:t xml:space="preserve">”</w:t>
      </w:r>
      <w:r>
        <w:t xml:space="preserve"> </w:t>
      </w:r>
      <w:r>
        <w:t xml:space="preserve">whereas Whitmore’s records and this engagement use</w:t>
      </w:r>
      <w:r>
        <w:t xml:space="preserve"> </w:t>
      </w:r>
      <w:r>
        <w:t xml:space="preserve">“</w:t>
      </w:r>
      <w:r>
        <w:t xml:space="preserve">Ferndale Hale &amp; Seward LLP.</w:t>
      </w:r>
      <w:r>
        <w:t xml:space="preserve">”</w:t>
      </w:r>
      <w:r>
        <w:t xml:space="preserve"> </w:t>
      </w:r>
      <w:r>
        <w:t xml:space="preserve">We recommend confirming the correct firm name with KBI’s counsel to avoid errors in notices and confidentiality designations.</w:t>
      </w:r>
    </w:p>
    <w:p>
      <w:r>
        <w:pict>
          <v:rect style="width:0;height:1.5pt" o:hralign="center" o:hrstd="t" o:hr="t"/>
        </w:pict>
      </w:r>
    </w:p>
    <w:bookmarkEnd w:id="56"/>
    <w:bookmarkStart w:id="57" w:name="X962013b3ecb453e356fa39428c72d00a8be28d6"/>
    <w:p>
      <w:pPr>
        <w:pStyle w:val="Heading2"/>
      </w:pPr>
      <w:r>
        <w:t xml:space="preserve">Appendix A — Fee Schedule and Five-Year Economics (Illustrative)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Component</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r>
      <w:tr>
        <w:tc>
          <w:tcPr/>
          <w:p>
            <w:pPr>
              <w:pStyle w:val="Compact"/>
              <w:jc w:val="left"/>
            </w:pPr>
            <w:r>
              <w:t xml:space="preserve">Initial License Fee</w:t>
            </w:r>
          </w:p>
        </w:tc>
        <w:tc>
          <w:tcPr/>
          <w:p>
            <w:pPr>
              <w:pStyle w:val="Compact"/>
              <w:jc w:val="left"/>
            </w:pPr>
            <w:r>
              <w:t xml:space="preserve">$4,200,000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SaaS Subscription</w:t>
            </w:r>
          </w:p>
        </w:tc>
        <w:tc>
          <w:tcPr/>
          <w:p>
            <w:pPr>
              <w:pStyle w:val="Compact"/>
              <w:jc w:val="left"/>
            </w:pPr>
            <w:r>
              <w:t xml:space="preserve">$2,850,000</w:t>
            </w:r>
          </w:p>
        </w:tc>
        <w:tc>
          <w:tcPr/>
          <w:p>
            <w:pPr>
              <w:pStyle w:val="Compact"/>
              <w:jc w:val="left"/>
            </w:pPr>
            <w:r>
              <w:t xml:space="preserve">$2,850,000</w:t>
            </w:r>
          </w:p>
        </w:tc>
        <w:tc>
          <w:tcPr/>
          <w:p>
            <w:pPr>
              <w:pStyle w:val="Compact"/>
              <w:jc w:val="left"/>
            </w:pPr>
            <w:r>
              <w:t xml:space="preserve">$2,850,000</w:t>
            </w:r>
          </w:p>
        </w:tc>
        <w:tc>
          <w:tcPr/>
          <w:p>
            <w:pPr>
              <w:pStyle w:val="Compact"/>
              <w:jc w:val="left"/>
            </w:pPr>
            <w:r>
              <w:t xml:space="preserve">$2,935,500</w:t>
            </w:r>
          </w:p>
        </w:tc>
        <w:tc>
          <w:tcPr/>
          <w:p>
            <w:pPr>
              <w:pStyle w:val="Compact"/>
              <w:jc w:val="left"/>
            </w:pPr>
            <w:r>
              <w:t xml:space="preserve">$3,023,565</w:t>
            </w:r>
          </w:p>
        </w:tc>
      </w:tr>
      <w:tr>
        <w:tc>
          <w:tcPr/>
          <w:p>
            <w:pPr>
              <w:pStyle w:val="Compact"/>
              <w:jc w:val="left"/>
            </w:pPr>
            <w:r>
              <w:t xml:space="preserve">Implementation Services</w:t>
            </w:r>
          </w:p>
        </w:tc>
        <w:tc>
          <w:tcPr/>
          <w:p>
            <w:pPr>
              <w:pStyle w:val="Compact"/>
              <w:jc w:val="left"/>
            </w:pPr>
            <w:r>
              <w:t xml:space="preserve">$1,750,000¹</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Maintenance &amp; Support</w:t>
            </w:r>
          </w:p>
        </w:tc>
        <w:tc>
          <w:tcPr/>
          <w:p>
            <w:pPr>
              <w:pStyle w:val="Compact"/>
              <w:jc w:val="left"/>
            </w:pPr>
            <w:r>
              <w:t xml:space="preserve">$756,000</w:t>
            </w:r>
          </w:p>
        </w:tc>
        <w:tc>
          <w:tcPr/>
          <w:p>
            <w:pPr>
              <w:pStyle w:val="Compact"/>
              <w:jc w:val="left"/>
            </w:pPr>
            <w:r>
              <w:t xml:space="preserve">$786,240</w:t>
            </w:r>
          </w:p>
        </w:tc>
        <w:tc>
          <w:tcPr/>
          <w:p>
            <w:pPr>
              <w:pStyle w:val="Compact"/>
              <w:jc w:val="left"/>
            </w:pPr>
            <w:r>
              <w:t xml:space="preserve">$817,689.60</w:t>
            </w:r>
          </w:p>
        </w:tc>
        <w:tc>
          <w:tcPr/>
          <w:p>
            <w:pPr>
              <w:pStyle w:val="Compact"/>
              <w:jc w:val="left"/>
            </w:pPr>
            <w:r>
              <w:t xml:space="preserve">$850,396²</w:t>
            </w:r>
          </w:p>
        </w:tc>
        <w:tc>
          <w:tcPr/>
          <w:p>
            <w:pPr>
              <w:pStyle w:val="Compact"/>
              <w:jc w:val="left"/>
            </w:pPr>
            <w:r>
              <w:t xml:space="preserve">$884,412²</w:t>
            </w:r>
          </w:p>
        </w:tc>
      </w:tr>
      <w:tr>
        <w:tc>
          <w:tcPr/>
          <w:p>
            <w:pPr>
              <w:pStyle w:val="Compact"/>
              <w:jc w:val="left"/>
            </w:pPr>
            <w:r>
              <w:rPr>
                <w:b/>
                <w:bCs/>
              </w:rPr>
              <w:t xml:space="preserve">Illustrative annual total</w:t>
            </w:r>
          </w:p>
        </w:tc>
        <w:tc>
          <w:tcPr/>
          <w:p>
            <w:pPr>
              <w:pStyle w:val="Compact"/>
              <w:jc w:val="left"/>
            </w:pPr>
            <w:r>
              <w:rPr>
                <w:b/>
                <w:bCs/>
              </w:rPr>
              <w:t xml:space="preserve">≈ $9,556,000</w:t>
            </w:r>
          </w:p>
        </w:tc>
        <w:tc>
          <w:tcPr/>
          <w:p>
            <w:pPr>
              <w:pStyle w:val="Compact"/>
              <w:jc w:val="left"/>
            </w:pPr>
            <w:r>
              <w:rPr>
                <w:b/>
                <w:bCs/>
              </w:rPr>
              <w:t xml:space="preserve">≈ $3,636,240</w:t>
            </w:r>
          </w:p>
        </w:tc>
        <w:tc>
          <w:tcPr/>
          <w:p>
            <w:pPr>
              <w:pStyle w:val="Compact"/>
              <w:jc w:val="left"/>
            </w:pPr>
            <w:r>
              <w:rPr>
                <w:b/>
                <w:bCs/>
              </w:rPr>
              <w:t xml:space="preserve">≈ $3,667,690</w:t>
            </w:r>
          </w:p>
        </w:tc>
        <w:tc>
          <w:tcPr/>
          <w:p>
            <w:pPr>
              <w:pStyle w:val="Compact"/>
              <w:jc w:val="left"/>
            </w:pPr>
            <w:r>
              <w:rPr>
                <w:b/>
                <w:bCs/>
              </w:rPr>
              <w:t xml:space="preserve">≈ $3,785,896</w:t>
            </w:r>
          </w:p>
        </w:tc>
        <w:tc>
          <w:tcPr/>
          <w:p>
            <w:pPr>
              <w:pStyle w:val="Compact"/>
              <w:jc w:val="left"/>
            </w:pPr>
            <w:r>
              <w:rPr>
                <w:b/>
                <w:bCs/>
              </w:rPr>
              <w:t xml:space="preserve">≈ $3,907,977</w:t>
            </w:r>
          </w:p>
        </w:tc>
      </w:tr>
    </w:tbl>
    <w:p>
      <w:pPr>
        <w:pStyle w:val="BodyText"/>
      </w:pPr>
      <w:r>
        <w:rPr>
          <w:i/>
          <w:iCs/>
        </w:rPr>
        <w:t xml:space="preserve">Notes:</w:t>
      </w:r>
      <w:r>
        <w:t xml:space="preserve"> </w:t>
      </w:r>
      <w:r>
        <w:t xml:space="preserve">(1) Implementation services are paid monthly over 18 months (Sept 2025–Mar 2027); the $1.75M is shown in Year 1 per KBI’s side-letter characterization of first-year revenue. (2) Year 4–5 maintenance figures apply the 4% annual escalation to the Year 3 figure and are approximate. Figures are illustrative for Board discussion and are not a revenue-recognition opinion; actual timing and recognition are subject to ASC 606 analysis by Lakeshore Accounting Group LLP. All amounts in USD.</w:t>
      </w:r>
    </w:p>
    <w:bookmarkEnd w:id="57"/>
    <w:bookmarkStart w:id="58" w:name="appendix-b-key-dates-and-milestones"/>
    <w:p>
      <w:pPr>
        <w:pStyle w:val="Heading2"/>
      </w:pPr>
      <w:r>
        <w:t xml:space="preserve">Appendix B — Key Dates and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May 29, 2025</w:t>
            </w:r>
          </w:p>
        </w:tc>
        <w:tc>
          <w:tcPr/>
          <w:p>
            <w:pPr>
              <w:pStyle w:val="Compact"/>
              <w:jc w:val="left"/>
            </w:pPr>
            <w:r>
              <w:t xml:space="preserve">Term sheet and MFC side letter dated</w:t>
            </w:r>
          </w:p>
        </w:tc>
      </w:tr>
      <w:tr>
        <w:tc>
          <w:tcPr/>
          <w:p>
            <w:pPr>
              <w:pStyle w:val="Compact"/>
              <w:jc w:val="left"/>
            </w:pPr>
            <w:r>
              <w:t xml:space="preserve">June 2, 2025</w:t>
            </w:r>
          </w:p>
        </w:tc>
        <w:tc>
          <w:tcPr/>
          <w:p>
            <w:pPr>
              <w:pStyle w:val="Compact"/>
              <w:jc w:val="left"/>
            </w:pPr>
            <w:r>
              <w:t xml:space="preserve">Documents received by Whitmore</w:t>
            </w:r>
          </w:p>
        </w:tc>
      </w:tr>
      <w:tr>
        <w:tc>
          <w:tcPr/>
          <w:p>
            <w:pPr>
              <w:pStyle w:val="Compact"/>
              <w:jc w:val="left"/>
            </w:pPr>
            <w:r>
              <w:t xml:space="preserve">June 16, 2025</w:t>
            </w:r>
          </w:p>
        </w:tc>
        <w:tc>
          <w:tcPr/>
          <w:p>
            <w:pPr>
              <w:pStyle w:val="Compact"/>
              <w:jc w:val="left"/>
            </w:pPr>
            <w:r>
              <w:t xml:space="preserve">Board-ready memo due (this memo)</w:t>
            </w:r>
          </w:p>
        </w:tc>
      </w:tr>
      <w:tr>
        <w:tc>
          <w:tcPr/>
          <w:p>
            <w:pPr>
              <w:pStyle w:val="Compact"/>
              <w:jc w:val="left"/>
            </w:pPr>
            <w:r>
              <w:t xml:space="preserve">June 18, 2025</w:t>
            </w:r>
          </w:p>
        </w:tc>
        <w:tc>
          <w:tcPr/>
          <w:p>
            <w:pPr>
              <w:pStyle w:val="Compact"/>
              <w:jc w:val="left"/>
            </w:pPr>
            <w:r>
              <w:t xml:space="preserve">Whitmore Board meeting</w:t>
            </w:r>
          </w:p>
        </w:tc>
      </w:tr>
      <w:tr>
        <w:tc>
          <w:tcPr/>
          <w:p>
            <w:pPr>
              <w:pStyle w:val="Compact"/>
              <w:jc w:val="left"/>
            </w:pPr>
            <w:r>
              <w:t xml:space="preserve">June 23, 2025</w:t>
            </w:r>
          </w:p>
        </w:tc>
        <w:tc>
          <w:tcPr/>
          <w:p>
            <w:pPr>
              <w:pStyle w:val="Compact"/>
              <w:jc w:val="left"/>
            </w:pPr>
            <w:r>
              <w:t xml:space="preserve">KBI requested response deadline</w:t>
            </w:r>
          </w:p>
        </w:tc>
      </w:tr>
      <w:tr>
        <w:tc>
          <w:tcPr/>
          <w:p>
            <w:pPr>
              <w:pStyle w:val="Compact"/>
              <w:jc w:val="left"/>
            </w:pPr>
            <w:r>
              <w:t xml:space="preserve">July 28, 2025</w:t>
            </w:r>
          </w:p>
        </w:tc>
        <w:tc>
          <w:tcPr/>
          <w:p>
            <w:pPr>
              <w:pStyle w:val="Compact"/>
              <w:jc w:val="left"/>
            </w:pPr>
            <w:r>
              <w:t xml:space="preserve">Binding 60-day no-shop expires (§16.2)</w:t>
            </w:r>
          </w:p>
        </w:tc>
      </w:tr>
      <w:tr>
        <w:tc>
          <w:tcPr/>
          <w:p>
            <w:pPr>
              <w:pStyle w:val="Compact"/>
              <w:jc w:val="left"/>
            </w:pPr>
            <w:r>
              <w:t xml:space="preserve">August 15, 2025</w:t>
            </w:r>
          </w:p>
        </w:tc>
        <w:tc>
          <w:tcPr/>
          <w:p>
            <w:pPr>
              <w:pStyle w:val="Compact"/>
              <w:jc w:val="left"/>
            </w:pPr>
            <w:r>
              <w:t xml:space="preserve">Targeted definitive agreement execution</w:t>
            </w:r>
          </w:p>
        </w:tc>
      </w:tr>
      <w:tr>
        <w:tc>
          <w:tcPr/>
          <w:p>
            <w:pPr>
              <w:pStyle w:val="Compact"/>
              <w:jc w:val="left"/>
            </w:pPr>
            <w:r>
              <w:t xml:space="preserve">September 15, 2025</w:t>
            </w:r>
          </w:p>
        </w:tc>
        <w:tc>
          <w:tcPr/>
          <w:p>
            <w:pPr>
              <w:pStyle w:val="Compact"/>
              <w:jc w:val="left"/>
            </w:pPr>
            <w:r>
              <w:t xml:space="preserve">Phase 1 implementation start (10 pilot facilities)</w:t>
            </w:r>
          </w:p>
        </w:tc>
      </w:tr>
      <w:tr>
        <w:tc>
          <w:tcPr/>
          <w:p>
            <w:pPr>
              <w:pStyle w:val="Compact"/>
              <w:jc w:val="left"/>
            </w:pPr>
            <w:r>
              <w:t xml:space="preserve">March 15, 2026</w:t>
            </w:r>
          </w:p>
        </w:tc>
        <w:tc>
          <w:tcPr/>
          <w:p>
            <w:pPr>
              <w:pStyle w:val="Compact"/>
              <w:jc w:val="left"/>
            </w:pPr>
            <w:r>
              <w:t xml:space="preserve">Phase 1 completion target</w:t>
            </w:r>
          </w:p>
        </w:tc>
      </w:tr>
      <w:tr>
        <w:tc>
          <w:tcPr/>
          <w:p>
            <w:pPr>
              <w:pStyle w:val="Compact"/>
              <w:jc w:val="left"/>
            </w:pPr>
            <w:r>
              <w:t xml:space="preserve">March 15, 2027</w:t>
            </w:r>
          </w:p>
        </w:tc>
        <w:tc>
          <w:tcPr/>
          <w:p>
            <w:pPr>
              <w:pStyle w:val="Compact"/>
              <w:jc w:val="left"/>
            </w:pPr>
            <w:r>
              <w:t xml:space="preserve">Phase 2 go-live target (remaining 33 facilities)</w:t>
            </w:r>
          </w:p>
        </w:tc>
      </w:tr>
    </w:tbl>
    <w:bookmarkEnd w:id="58"/>
    <w:bookmarkStart w:id="59" w:name="appendix-c-party-and-counsel-contacts"/>
    <w:p>
      <w:pPr>
        <w:pStyle w:val="Heading2"/>
      </w:pPr>
      <w:r>
        <w:t xml:space="preserve">Appendix C — Party and Counsel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Contact</w:t>
            </w:r>
          </w:p>
        </w:tc>
      </w:tr>
      <w:tr>
        <w:tc>
          <w:tcPr/>
          <w:p>
            <w:pPr>
              <w:pStyle w:val="Compact"/>
              <w:jc w:val="left"/>
            </w:pPr>
            <w:r>
              <w:t xml:space="preserve">Whitmore Analytics Inc.</w:t>
            </w:r>
          </w:p>
        </w:tc>
        <w:tc>
          <w:tcPr/>
          <w:p>
            <w:pPr>
              <w:pStyle w:val="Compact"/>
              <w:jc w:val="left"/>
            </w:pPr>
            <w:r>
              <w:t xml:space="preserve">Licensor</w:t>
            </w:r>
          </w:p>
        </w:tc>
        <w:tc>
          <w:tcPr/>
          <w:p>
            <w:pPr>
              <w:pStyle w:val="Compact"/>
              <w:jc w:val="left"/>
            </w:pPr>
            <w:r>
              <w:t xml:space="preserve">Rajesh Malhotra (CEO); Sarah Yin (GC); Tom Kendrick (VP, Sales) — Seattle, WA</w:t>
            </w:r>
          </w:p>
        </w:tc>
      </w:tr>
      <w:tr>
        <w:tc>
          <w:tcPr/>
          <w:p>
            <w:pPr>
              <w:pStyle w:val="Compact"/>
              <w:jc w:val="left"/>
            </w:pPr>
            <w:r>
              <w:t xml:space="preserve">Ferndale Hale &amp; Seward LLP</w:t>
            </w:r>
          </w:p>
        </w:tc>
        <w:tc>
          <w:tcPr/>
          <w:p>
            <w:pPr>
              <w:pStyle w:val="Compact"/>
              <w:jc w:val="left"/>
            </w:pPr>
            <w:r>
              <w:t xml:space="preserve">Whitmore’s outside counsel</w:t>
            </w:r>
          </w:p>
        </w:tc>
        <w:tc>
          <w:tcPr/>
          <w:p>
            <w:pPr>
              <w:pStyle w:val="Compact"/>
              <w:jc w:val="left"/>
            </w:pPr>
            <w:r>
              <w:t xml:space="preserve">Daniel Cortez &amp; Priya Venkatesh (this engagement)</w:t>
            </w:r>
          </w:p>
        </w:tc>
      </w:tr>
      <w:tr>
        <w:tc>
          <w:tcPr/>
          <w:p>
            <w:pPr>
              <w:pStyle w:val="Compact"/>
              <w:jc w:val="left"/>
            </w:pPr>
            <w:r>
              <w:t xml:space="preserve">Lakeshore Accounting Group LLP</w:t>
            </w:r>
          </w:p>
        </w:tc>
        <w:tc>
          <w:tcPr/>
          <w:p>
            <w:pPr>
              <w:pStyle w:val="Compact"/>
              <w:jc w:val="left"/>
            </w:pPr>
            <w:r>
              <w:t xml:space="preserve">Whitmore’s auditors</w:t>
            </w:r>
          </w:p>
        </w:tc>
        <w:tc>
          <w:tcPr/>
          <w:p>
            <w:pPr>
              <w:pStyle w:val="Compact"/>
              <w:jc w:val="left"/>
            </w:pPr>
            <w:r>
              <w:t xml:space="preserve">ASC 606 review (flagged)</w:t>
            </w:r>
          </w:p>
        </w:tc>
      </w:tr>
      <w:tr>
        <w:tc>
          <w:tcPr/>
          <w:p>
            <w:pPr>
              <w:pStyle w:val="Compact"/>
              <w:jc w:val="left"/>
            </w:pPr>
            <w:r>
              <w:t xml:space="preserve">Kessler-Brandt Industrial GmbH</w:t>
            </w:r>
          </w:p>
        </w:tc>
        <w:tc>
          <w:tcPr/>
          <w:p>
            <w:pPr>
              <w:pStyle w:val="Compact"/>
              <w:jc w:val="left"/>
            </w:pPr>
            <w:r>
              <w:t xml:space="preserve">Licensee</w:t>
            </w:r>
          </w:p>
        </w:tc>
        <w:tc>
          <w:tcPr/>
          <w:p>
            <w:pPr>
              <w:pStyle w:val="Compact"/>
              <w:jc w:val="left"/>
            </w:pPr>
            <w:r>
              <w:t xml:space="preserve">Dr. Markus Fiedler (CTO); Annika Solberg (VP, Digital Transformation) — Munich</w:t>
            </w:r>
          </w:p>
        </w:tc>
      </w:tr>
      <w:tr>
        <w:tc>
          <w:tcPr/>
          <w:p>
            <w:pPr>
              <w:pStyle w:val="Compact"/>
              <w:jc w:val="left"/>
            </w:pPr>
            <w:r>
              <w:t xml:space="preserve">Bergström Hecht Rechtsanwälte</w:t>
            </w:r>
          </w:p>
        </w:tc>
        <w:tc>
          <w:tcPr/>
          <w:p>
            <w:pPr>
              <w:pStyle w:val="Compact"/>
              <w:jc w:val="left"/>
            </w:pPr>
            <w:r>
              <w:t xml:space="preserve">KBI’s outside counsel</w:t>
            </w:r>
          </w:p>
        </w:tc>
        <w:tc>
          <w:tcPr/>
          <w:p>
            <w:pPr>
              <w:pStyle w:val="Compact"/>
              <w:jc w:val="left"/>
            </w:pPr>
            <w:r>
              <w:t xml:space="preserve">Dr. Luisa Trautmann (Lead Partner) — Munich</w:t>
            </w:r>
          </w:p>
        </w:tc>
      </w:tr>
      <w:tr>
        <w:tc>
          <w:tcPr/>
          <w:p>
            <w:pPr>
              <w:pStyle w:val="Compact"/>
              <w:jc w:val="left"/>
            </w:pPr>
            <w:r>
              <w:t xml:space="preserve">Meridian Escrow Services LLC</w:t>
            </w:r>
          </w:p>
        </w:tc>
        <w:tc>
          <w:tcPr/>
          <w:p>
            <w:pPr>
              <w:pStyle w:val="Compact"/>
              <w:jc w:val="left"/>
            </w:pPr>
            <w:r>
              <w:t xml:space="preserve">Escrow agent</w:t>
            </w:r>
          </w:p>
        </w:tc>
        <w:tc>
          <w:tcPr/>
          <w:p>
            <w:pPr>
              <w:pStyle w:val="Compact"/>
              <w:jc w:val="left"/>
            </w:pPr>
            <w:r>
              <w:t xml:space="preserve">San Jose, CA (§11)</w:t>
            </w:r>
          </w:p>
        </w:tc>
      </w:tr>
    </w:tbl>
    <w:p>
      <w:r>
        <w:pict>
          <v:rect style="width:0;height:1.5pt" o:hralign="center" o:hrstd="t" o:hr="t"/>
        </w:pict>
      </w:r>
    </w:p>
    <w:p>
      <w:pPr>
        <w:pStyle w:val="FirstParagraph"/>
      </w:pPr>
      <w:r>
        <w:rPr>
          <w:i/>
          <w:iCs/>
        </w:rPr>
        <w:t xml:space="preserve">This memorandum is privileged and confidential. It reflects our preliminary analysis based on the non-binding term sheet and MFC side letter dated May 29, 2025, and Whitmore’s internal communications. It is not a final legal opinion and does not address all provisions of the anticipated definitive agreement. We will supplement this analysis as negotiations develop and as specialist reviews (German law; ASC 606) are completed.</w:t>
      </w:r>
    </w:p>
    <w:bookmarkEnd w:id="59"/>
    <w:bookmarkEnd w:id="60"/>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680"/>
        <w:tab w:val="right" w:pos="9360"/>
      </w:tabs>
    </w:pPr>
    <w:r/>
    <w:r>
      <w:rPr>
        <w:rFonts w:ascii="Calibri" w:hAnsi="Calibri"/>
        <w:color w:val="595959"/>
        <w:sz w:val="16"/>
      </w:rPr>
      <w:t>Privileged &amp; Confidential — Attorney Work Product</w:t>
    </w:r>
    <w:r>
      <w:tab/>
    </w:r>
    <w:r>
      <w:rPr>
        <w:rFonts w:ascii="Calibri" w:hAnsi="Calibri"/>
        <w:color w:val="595959"/>
        <w:sz w:val="16"/>
      </w:rPr>
      <w:fldChar w:fldCharType="begin"/>
      <w:instrText xml:space="preserve">PAGE</w:instrText>
      <w:fldChar w:fldCharType="end"/>
    </w:r>
    <w:r>
      <w:tab/>
    </w:r>
    <w:r>
      <w:rPr>
        <w:rFonts w:ascii="Calibri" w:hAnsi="Calibri"/>
        <w:color w:val="595959"/>
        <w:sz w:val="16"/>
      </w:rPr>
      <w:t>Ferndale Hale &amp; Seward LLP  |  Privileged &amp; Confidential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BFBFBF"/>
      </w:pBdr>
    </w:pPr>
    <w:r/>
    <w:r>
      <w:rPr>
        <w:rFonts w:ascii="Calibri" w:hAnsi="Calibri"/>
        <w:i/>
        <w:color w:val="808080"/>
        <w:sz w:val="16"/>
      </w:rPr>
      <w:t>Whitmore Analytics Inc. — Board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9" w:lineRule="auto"/>
    </w:pPr>
    <w:rPr>
      <w:rFonts w:ascii="Calibri" w:cs="Calibri" w:eastAsia="Calibri" w:hAnsi="Calibri"/>
      <w:color w:val="212121"/>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Calibri" w:asciiTheme="majorHAnsi" w:cs="Calibri" w:cstheme="majorBidi" w:eastAsia="Calibri" w:eastAsiaTheme="majorEastAsia" w:hAnsi="Calibri" w:hAnsiTheme="majorHAnsi"/>
      <w:b/>
      <w:bCs/>
      <w:color w:val="1F3A5F"/>
      <w:sz w:val="30"/>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Calibri" w:asciiTheme="majorHAnsi" w:cs="Calibri" w:cstheme="majorBidi" w:eastAsia="Calibri" w:eastAsiaTheme="majorEastAsia" w:hAnsi="Calibri" w:hAnsiTheme="majorHAnsi"/>
      <w:b/>
      <w:bCs/>
      <w:color w:val="1F3A5F"/>
      <w:sz w:val="25"/>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Calibri" w:asciiTheme="majorHAnsi" w:cs="Calibri" w:cstheme="majorBidi" w:eastAsia="Calibri" w:eastAsiaTheme="majorEastAsia" w:hAnsi="Calibri" w:hAnsiTheme="majorHAnsi"/>
      <w:b/>
      <w:bCs/>
      <w:color w:val="1F3A5F"/>
      <w:sz w:val="22"/>
    </w:rPr>
  </w:style>
  <w:style w:styleId="Heading4" w:type="paragraph">
    <w:name w:val="heading 4"/>
    <w:basedOn w:val="Normal"/>
    <w:next w:val="Normal"/>
    <w:link w:val="Heading4Char"/>
    <w:uiPriority w:val="9"/>
    <w:semiHidden/>
    <w:unhideWhenUsed/>
    <w:qFormat/>
    <w:rsid w:val="00FC693F"/>
    <w:pPr>
      <w:keepNext/>
      <w:keepLines/>
      <w:spacing w:after="40" w:before="120"/>
      <w:outlineLvl w:val="3"/>
    </w:pPr>
    <w:rPr>
      <w:rFonts w:ascii="Calibri" w:asciiTheme="majorHAnsi" w:cs="Calibri" w:cstheme="majorBidi" w:eastAsia="Calibri" w:eastAsiaTheme="majorEastAsia" w:hAnsi="Calibri" w:hAnsiTheme="majorHAnsi"/>
      <w:b/>
      <w:bCs/>
      <w:i/>
      <w:iCs/>
      <w:color w:val="1F3A5F"/>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40" w:lineRule="auto"/>
      <w:contextualSpacing/>
    </w:pPr>
    <w:rPr>
      <w:rFonts w:ascii="Calibri" w:asciiTheme="majorHAnsi" w:cs="Calibri" w:cstheme="majorBidi" w:eastAsia="Calibri" w:eastAsiaTheme="majorEastAsia" w:hAnsi="Calibri" w:hAnsiTheme="majorHAnsi"/>
      <w:b/>
      <w:color w:val="1F3A5F"/>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rPr>
      <w:rFonts w:ascii="Calibri" w:cs="Calibri" w:eastAsia="Calibri" w:hAnsi="Calibri"/>
      <w:sz w:val="19"/>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2026-06-28T21:52:14Z</dcterms:created>
  <dcterms:modified xsi:type="dcterms:W3CDTF">2026-06-28T21:52:14Z</dcterms:modified>
</cp:coreProperties>
</file>

<file path=docProps/custom.xml><?xml version="1.0" encoding="utf-8"?>
<Properties xmlns="http://schemas.openxmlformats.org/officeDocument/2006/custom-properties" xmlns:vt="http://schemas.openxmlformats.org/officeDocument/2006/docPropsVTypes"/>
</file>