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Key-Terms</w:t>
      </w:r>
      <w:r>
        <w:t xml:space="preserve"> </w:t>
      </w:r>
      <w:r>
        <w:t xml:space="preserve">Extraction</w:t>
      </w:r>
      <w:r>
        <w:t xml:space="preserve"> </w:t>
      </w:r>
      <w:r>
        <w:t xml:space="preserve">and</w:t>
      </w:r>
      <w:r>
        <w:t xml:space="preserve"> </w:t>
      </w:r>
      <w:r>
        <w:t xml:space="preserve">Risk</w:t>
      </w:r>
      <w:r>
        <w:t xml:space="preserve"> </w:t>
      </w:r>
      <w:r>
        <w:t xml:space="preserve">Analysis</w:t>
      </w:r>
      <w:r>
        <w:t xml:space="preserve"> </w:t>
      </w:r>
      <w:r>
        <w:t xml:space="preserve">Memorandum</w:t>
      </w:r>
    </w:p>
    <w:p>
      <w:pPr>
        <w:pStyle w:val="Subtitle"/>
      </w:pPr>
      <w:r>
        <w:t xml:space="preserve">Proposed</w:t>
      </w:r>
      <w:r>
        <w:t xml:space="preserve"> </w:t>
      </w:r>
      <w:r>
        <w:t xml:space="preserve">PredictIQ</w:t>
      </w:r>
      <w:r>
        <w:t xml:space="preserve"> </w:t>
      </w:r>
      <w:r>
        <w:t xml:space="preserve">Technology</w:t>
      </w:r>
      <w:r>
        <w:t xml:space="preserve"> </w:t>
      </w:r>
      <w:r>
        <w:t xml:space="preserve">License</w:t>
      </w:r>
      <w:r>
        <w:t xml:space="preserve"> </w:t>
      </w:r>
      <w:r>
        <w:t xml:space="preserve">—</w:t>
      </w:r>
      <w:r>
        <w:t xml:space="preserve"> </w:t>
      </w:r>
      <w:r>
        <w:t xml:space="preserve">Kessler-Brandt</w:t>
      </w:r>
      <w:r>
        <w:t xml:space="preserve"> </w:t>
      </w:r>
      <w:r>
        <w:t xml:space="preserve">Industrial</w:t>
      </w:r>
      <w:r>
        <w:t xml:space="preserve"> </w:t>
      </w:r>
      <w:r>
        <w:t xml:space="preserve">GmbH</w:t>
      </w:r>
      <w:r>
        <w:t xml:space="preserve"> </w:t>
      </w:r>
      <w:r>
        <w:t xml:space="preserve">/</w:t>
      </w:r>
      <w:r>
        <w:t xml:space="preserve"> </w:t>
      </w:r>
      <w:r>
        <w:t xml:space="preserve">Whitmore</w:t>
      </w:r>
      <w:r>
        <w:t xml:space="preserve"> </w:t>
      </w:r>
      <w:r>
        <w:t xml:space="preserve">Analytics</w:t>
      </w:r>
      <w:r>
        <w:t xml:space="preserve"> </w:t>
      </w:r>
      <w:r>
        <w:t xml:space="preserve">Inc.</w:t>
      </w:r>
    </w:p>
    <w:p>
      <w:pPr>
        <w:pStyle w:val="FirstParagraph"/>
      </w:pPr>
      <w:r>
        <w:rPr>
          <w:b/>
          <w:bCs/>
        </w:rPr>
        <w:t xml:space="preserve">PRIVILEGED &amp; CONFIDENTIAL — ATTORNEY-CLIENT PRIVILEGED — ATTORNEY WORK PRODUCT</w:t>
      </w:r>
    </w:p>
    <w:p>
      <w:pPr>
        <w:pStyle w:val="BodyText"/>
      </w:pPr>
      <w:r>
        <w:rPr>
          <w:b/>
          <w:bCs/>
        </w:rPr>
        <w:t xml:space="preserve">PREPARED AT THE REQUEST OF COUNSEL FOR THE BOARD OF DIRECTORS</w:t>
      </w:r>
    </w:p>
    <w:p>
      <w:pPr>
        <w:pStyle w:val="BodyText"/>
      </w:pPr>
      <w:r>
        <w:rPr>
          <w:b/>
          <w:bCs/>
        </w:rPr>
        <w:t xml:space="preserve">DELIBERATIVE MATERIAL — NOT FOR DISTRIBUTION BEYOND THE BOARD AND NAMED RECIPIENTS</w:t>
      </w:r>
    </w:p>
    <w:p>
      <w:pPr>
        <w:pStyle w:val="BodyText"/>
      </w:pPr>
      <w:r>
        <w:rPr>
          <w:b/>
          <w:bCs/>
        </w:rPr>
        <w:t xml:space="preserve">TO:</w:t>
      </w:r>
      <w:r>
        <w:t xml:space="preserve"> </w:t>
      </w:r>
      <w:r>
        <w:t xml:space="preserve">Board of Directors, Whitmore Analytics Inc.; Rajesh Malhotra, Chief Executive Officer; Sarah Yin, General Counsel; Tom Kendrick, Vice President, Sales</w:t>
      </w:r>
    </w:p>
    <w:p>
      <w:pPr>
        <w:pStyle w:val="BodyText"/>
      </w:pPr>
      <w:r>
        <w:rPr>
          <w:b/>
          <w:bCs/>
        </w:rPr>
        <w:t xml:space="preserve">FROM:</w:t>
      </w:r>
      <w:r>
        <w:t xml:space="preserve"> </w:t>
      </w:r>
      <w:r>
        <w:t xml:space="preserve">Ferndale Hale &amp; Seward LLP — Daniel Cortez, Partner; Priya Venkatesh, Partner</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Key-terms extraction, risk flags, and negotiation recommendations — proposed PredictIQ Technology License between Kessler-Brandt Industrial GmbH (</w:t>
      </w:r>
      <w:r>
        <w:t xml:space="preserve">“</w:t>
      </w:r>
      <w:r>
        <w:t xml:space="preserve">KBI</w:t>
      </w:r>
      <w:r>
        <w:t xml:space="preserve">”</w:t>
      </w:r>
      <w:r>
        <w:t xml:space="preserve">) and Whitmore Analytics Inc. (</w:t>
      </w:r>
      <w:r>
        <w:t xml:space="preserve">“</w:t>
      </w:r>
      <w:r>
        <w:t xml:space="preserve">Whitmore</w:t>
      </w:r>
      <w:r>
        <w:t xml:space="preserve">”</w:t>
      </w:r>
      <w:r>
        <w:t xml:space="preserve">), comprising the non-binding term sheet dated May 29, 2025 (the</w:t>
      </w:r>
      <w:r>
        <w:t xml:space="preserve"> </w:t>
      </w:r>
      <w:r>
        <w:t xml:space="preserve">“</w:t>
      </w:r>
      <w:r>
        <w:t xml:space="preserve">Term Sheet</w:t>
      </w:r>
      <w:r>
        <w:t xml:space="preserve">”</w:t>
      </w:r>
      <w:r>
        <w:t xml:space="preserve">) and the Most-Favored-Customer side letter dated May 29, 2025 (the</w:t>
      </w:r>
      <w:r>
        <w:t xml:space="preserve"> </w:t>
      </w:r>
      <w:r>
        <w:t xml:space="preserve">“</w:t>
      </w:r>
      <w:r>
        <w:t xml:space="preserve">MFC Side Letter</w:t>
      </w:r>
      <w:r>
        <w:t xml:space="preserve">”</w:t>
      </w:r>
      <w:r>
        <w:t xml:space="preserve">)</w:t>
      </w:r>
    </w:p>
    <w:p>
      <w:pPr>
        <w:pStyle w:val="BodyText"/>
      </w:pPr>
      <w:r>
        <w:rPr>
          <w:b/>
          <w:bCs/>
        </w:rPr>
        <w:t xml:space="preserve">PRIVILEGE NOTE:</w:t>
      </w:r>
      <w:r>
        <w:t xml:space="preserve"> </w:t>
      </w:r>
      <w:r>
        <w:t xml:space="preserve">This memorandum is prepared at the request of Whitmore’s General Counsel in anticipation of the June 18, 2025 board meeting, to assist the Board in approving a negotiation framework ahead of KBI’s June 23, 2025 response deadline. It constitutes attorney-client privileged communication and attorney work product and should be handled accordingly. It is based solely on the Term Sheet, the MFC Side Letter, and the internal email thread of June 3, 2025 among Messrs. Malhotra and Kendrick and Ms. Yin; it does not reflect independent diligence on KBI or technical validation of PredictIQ’s performance claims.</w:t>
      </w:r>
    </w:p>
    <w:p>
      <w:r>
        <w:pict>
          <v:rect style="width:0;height:1.5pt" o:hralign="center" o:hrstd="t" o:hr="t"/>
        </w:pict>
      </w:r>
    </w:p>
    <w:bookmarkStart w:id="23" w:name="i.-executive-summary"/>
    <w:p>
      <w:pPr>
        <w:pStyle w:val="Heading1"/>
      </w:pPr>
      <w:r>
        <w:t xml:space="preserve">I. Executive Summary</w:t>
      </w:r>
    </w:p>
    <w:bookmarkStart w:id="20" w:name="a.-deal-snapshot"/>
    <w:p>
      <w:pPr>
        <w:pStyle w:val="Heading2"/>
      </w:pPr>
      <w:r>
        <w:t xml:space="preserve">A. Deal snapshot</w:t>
      </w:r>
    </w:p>
    <w:tbl>
      <w:tblPr>
        <w:tblStyle w:val="Table"/>
        <w:tblW w:type="dxa" w:w="9360"/>
        <w:jc w:val="left"/>
        <w:tblLayout w:type="fixed"/>
        <w:tblLook w:firstRow="1" w:lastRow="0" w:firstColumn="0" w:lastColumn="0" w:noHBand="0" w:noVBand="0" w:val="0020"/>
      </w:tblPr>
      <w:tblGrid>
        <w:gridCol w:w="2621"/>
        <w:gridCol w:w="6739"/>
      </w:tblGrid>
      <w:tr>
        <w:trPr>
          <w:tblHeader w:val="on"/>
        </w:trPr>
        <w:tc>
          <w:tcPr>
            <w:tcW w:w="2621" w:type="dxa"/>
          </w:tcPr>
          <w:p>
            <w:pPr>
              <w:pStyle w:val="Compact"/>
              <w:jc w:val="left"/>
            </w:pPr>
            <w:r>
              <w:t xml:space="preserve">Item</w:t>
            </w:r>
          </w:p>
        </w:tc>
        <w:tc>
          <w:tcPr>
            <w:tcW w:w="6739" w:type="dxa"/>
          </w:tcPr>
          <w:p>
            <w:pPr>
              <w:pStyle w:val="Compact"/>
              <w:jc w:val="left"/>
            </w:pPr>
            <w:r>
              <w:t xml:space="preserve">Detail</w:t>
            </w:r>
          </w:p>
        </w:tc>
      </w:tr>
      <w:tr>
        <w:tc>
          <w:tcPr>
            <w:tcW w:w="2621" w:type="dxa"/>
          </w:tcPr>
          <w:p>
            <w:pPr>
              <w:pStyle w:val="Compact"/>
              <w:jc w:val="left"/>
            </w:pPr>
            <w:r>
              <w:t xml:space="preserve">Counterparty</w:t>
            </w:r>
          </w:p>
        </w:tc>
        <w:tc>
          <w:tcPr>
            <w:tcW w:w="6739" w:type="dxa"/>
          </w:tcPr>
          <w:p>
            <w:pPr>
              <w:pStyle w:val="Compact"/>
              <w:jc w:val="left"/>
            </w:pPr>
            <w:r>
              <w:t xml:space="preserve">Kessler-Brandt Industrial GmbH — German GmbH (HRB 247891, Munich); ~€8.2B annual revenue; 43 manufacturing facilities across 12 European countries</w:t>
            </w:r>
          </w:p>
        </w:tc>
      </w:tr>
      <w:tr>
        <w:tc>
          <w:tcPr>
            <w:tcW w:w="2621" w:type="dxa"/>
          </w:tcPr>
          <w:p>
            <w:pPr>
              <w:pStyle w:val="Compact"/>
              <w:jc w:val="left"/>
            </w:pPr>
            <w:r>
              <w:t xml:space="preserve">Asset</w:t>
            </w:r>
          </w:p>
        </w:tc>
        <w:tc>
          <w:tcPr>
            <w:tcW w:w="6739" w:type="dxa"/>
          </w:tcPr>
          <w:p>
            <w:pPr>
              <w:pStyle w:val="Compact"/>
              <w:jc w:val="left"/>
            </w:pPr>
            <w:r>
              <w:t xml:space="preserve">PredictIQ platform — cloud-native SaaS analytics engine + on-premises edge-computing modules; 14 issued U.S. utility patents and 3 pending PCT applications</w:t>
            </w:r>
          </w:p>
        </w:tc>
      </w:tr>
      <w:tr>
        <w:tc>
          <w:tcPr>
            <w:tcW w:w="2621" w:type="dxa"/>
          </w:tcPr>
          <w:p>
            <w:pPr>
              <w:pStyle w:val="Compact"/>
              <w:jc w:val="left"/>
            </w:pPr>
            <w:r>
              <w:t xml:space="preserve">Structure</w:t>
            </w:r>
          </w:p>
        </w:tc>
        <w:tc>
          <w:tcPr>
            <w:tcW w:w="6739" w:type="dxa"/>
          </w:tcPr>
          <w:p>
            <w:pPr>
              <w:pStyle w:val="Compact"/>
              <w:jc w:val="left"/>
            </w:pPr>
            <w:r>
              <w:t xml:space="preserve">Perpetual, non-exclusive, worldwide license + 18-month implementation (43 facilities) + annual SaaS subscription + annual maintenance/support + source-code escrow + 3-year exclusivity/non-compete + MFC pricing</w:t>
            </w:r>
          </w:p>
        </w:tc>
      </w:tr>
      <w:tr>
        <w:tc>
          <w:tcPr>
            <w:tcW w:w="2621" w:type="dxa"/>
          </w:tcPr>
          <w:p>
            <w:pPr>
              <w:pStyle w:val="Compact"/>
              <w:jc w:val="left"/>
            </w:pPr>
            <w:r>
              <w:t xml:space="preserve">Headline first-year contract value</w:t>
            </w:r>
          </w:p>
        </w:tc>
        <w:tc>
          <w:tcPr>
            <w:tcW w:w="6739" w:type="dxa"/>
          </w:tcPr>
          <w:p>
            <w:pPr>
              <w:pStyle w:val="Compact"/>
              <w:jc w:val="left"/>
            </w:pPr>
            <w:r>
              <w:t xml:space="preserve">~$9.56M (≈20% of Whitmore’s FY2024 revenue of $47.3M)</w:t>
            </w:r>
          </w:p>
        </w:tc>
      </w:tr>
      <w:tr>
        <w:tc>
          <w:tcPr>
            <w:tcW w:w="2621" w:type="dxa"/>
          </w:tcPr>
          <w:p>
            <w:pPr>
              <w:pStyle w:val="Compact"/>
              <w:jc w:val="left"/>
            </w:pPr>
            <w:r>
              <w:t xml:space="preserve">Estimated 5-year contract value</w:t>
            </w:r>
          </w:p>
        </w:tc>
        <w:tc>
          <w:tcPr>
            <w:tcW w:w="6739" w:type="dxa"/>
          </w:tcPr>
          <w:p>
            <w:pPr>
              <w:pStyle w:val="Compact"/>
              <w:jc w:val="left"/>
            </w:pPr>
            <w:r>
              <w:t xml:space="preserve">~$24.55M, perpetual thereafter with escalating recurring fees</w:t>
            </w:r>
          </w:p>
        </w:tc>
      </w:tr>
      <w:tr>
        <w:tc>
          <w:tcPr>
            <w:tcW w:w="2621" w:type="dxa"/>
          </w:tcPr>
          <w:p>
            <w:pPr>
              <w:pStyle w:val="Compact"/>
              <w:jc w:val="left"/>
            </w:pPr>
            <w:r>
              <w:t xml:space="preserve">Targeted definitive-agreement execution</w:t>
            </w:r>
          </w:p>
        </w:tc>
        <w:tc>
          <w:tcPr>
            <w:tcW w:w="6739" w:type="dxa"/>
          </w:tcPr>
          <w:p>
            <w:pPr>
              <w:pStyle w:val="Compact"/>
              <w:jc w:val="left"/>
            </w:pPr>
            <w:r>
              <w:t xml:space="preserve">August 15, 2025</w:t>
            </w:r>
          </w:p>
        </w:tc>
      </w:tr>
      <w:tr>
        <w:tc>
          <w:tcPr>
            <w:tcW w:w="2621" w:type="dxa"/>
          </w:tcPr>
          <w:p>
            <w:pPr>
              <w:pStyle w:val="Compact"/>
              <w:jc w:val="left"/>
            </w:pPr>
            <w:r>
              <w:t xml:space="preserve">Phase 1 implementation start</w:t>
            </w:r>
          </w:p>
        </w:tc>
        <w:tc>
          <w:tcPr>
            <w:tcW w:w="6739" w:type="dxa"/>
          </w:tcPr>
          <w:p>
            <w:pPr>
              <w:pStyle w:val="Compact"/>
              <w:jc w:val="left"/>
            </w:pPr>
            <w:r>
              <w:t xml:space="preserve">September 15, 2025</w:t>
            </w:r>
          </w:p>
        </w:tc>
      </w:tr>
      <w:tr>
        <w:tc>
          <w:tcPr>
            <w:tcW w:w="2621" w:type="dxa"/>
          </w:tcPr>
          <w:p>
            <w:pPr>
              <w:pStyle w:val="Compact"/>
              <w:jc w:val="left"/>
            </w:pPr>
            <w:r>
              <w:t xml:space="preserve">KBI response deadline</w:t>
            </w:r>
          </w:p>
        </w:tc>
        <w:tc>
          <w:tcPr>
            <w:tcW w:w="6739" w:type="dxa"/>
          </w:tcPr>
          <w:p>
            <w:pPr>
              <w:pStyle w:val="Compact"/>
              <w:jc w:val="left"/>
            </w:pPr>
            <w:r>
              <w:t xml:space="preserve">June 23, 2025</w:t>
            </w:r>
          </w:p>
        </w:tc>
      </w:tr>
      <w:tr>
        <w:tc>
          <w:tcPr>
            <w:tcW w:w="2621" w:type="dxa"/>
          </w:tcPr>
          <w:p>
            <w:pPr>
              <w:pStyle w:val="Compact"/>
              <w:jc w:val="left"/>
            </w:pPr>
            <w:r>
              <w:t xml:space="preserve">Binding portions of Term Sheet</w:t>
            </w:r>
          </w:p>
        </w:tc>
        <w:tc>
          <w:tcPr>
            <w:tcW w:w="6739" w:type="dxa"/>
          </w:tcPr>
          <w:p>
            <w:pPr>
              <w:pStyle w:val="Compact"/>
              <w:jc w:val="left"/>
            </w:pPr>
            <w:r>
              <w:t xml:space="preserve">Sections 15 (Confidentiality) and 16 (Miscellaneous), including the 60-day exclusive-negotiation no-shop through July 28, 2025</w:t>
            </w:r>
          </w:p>
        </w:tc>
      </w:tr>
    </w:tbl>
    <w:bookmarkEnd w:id="20"/>
    <w:bookmarkStart w:id="21" w:name="b.-bottom-line"/>
    <w:p>
      <w:pPr>
        <w:pStyle w:val="Heading2"/>
      </w:pPr>
      <w:r>
        <w:t xml:space="preserve">B. Bottom line</w:t>
      </w:r>
    </w:p>
    <w:p>
      <w:pPr>
        <w:pStyle w:val="FirstParagraph"/>
      </w:pPr>
      <w:r>
        <w:t xml:space="preserve">The KBI opportunity is strategically significant — it would be Whitmore’s largest single licensing deal by a wide margin, the flagship European reference account that</w:t>
      </w:r>
      <w:r>
        <w:t xml:space="preserve"> </w:t>
      </w:r>
      <w:r>
        <w:t xml:space="preserve">“</w:t>
      </w:r>
      <w:r>
        <w:t xml:space="preserve">opens the continent,</w:t>
      </w:r>
      <w:r>
        <w:t xml:space="preserve">”</w:t>
      </w:r>
      <w:r>
        <w:t xml:space="preserve"> </w:t>
      </w:r>
      <w:r>
        <w:t xml:space="preserve">and a likely catalyst for a Series C round with Hollcroft Ventures.</w:t>
      </w:r>
      <w:r>
        <w:t xml:space="preserve"> </w:t>
      </w:r>
      <w:r>
        <w:rPr>
          <w:b/>
          <w:bCs/>
        </w:rPr>
        <w:t xml:space="preserve">We recommend that Whitmore pursue the transaction, but not on the terms as drafted.</w:t>
      </w:r>
      <w:r>
        <w:t xml:space="preserve"> </w:t>
      </w:r>
      <w:r>
        <w:t xml:space="preserve">Several provisions are materially adverse to Whitmore’s core intellectual property, business model, and growth trajectory and must be restructured before execution.</w:t>
      </w:r>
    </w:p>
    <w:p>
      <w:pPr>
        <w:pStyle w:val="Compact"/>
        <w:numPr>
          <w:ilvl w:val="0"/>
          <w:numId w:val="1001"/>
        </w:numPr>
      </w:pPr>
      <w:r>
        <w:rPr>
          <w:b/>
          <w:bCs/>
        </w:rPr>
        <w:t xml:space="preserve">Three issues are dealbreakers as written</w:t>
      </w:r>
      <w:r>
        <w:t xml:space="preserve"> </w:t>
      </w:r>
      <w:r>
        <w:t xml:space="preserve">and align with management’s stated red lines: (1) the breadth of the exclusivity/non-compete (Section 12); (2) the data-training restriction combined with KBI’s claimed ownership of</w:t>
      </w:r>
      <w:r>
        <w:t xml:space="preserve"> </w:t>
      </w:r>
      <w:r>
        <w:t xml:space="preserve">“</w:t>
      </w:r>
      <w:r>
        <w:t xml:space="preserve">Output Data</w:t>
      </w:r>
      <w:r>
        <w:t xml:space="preserve">”</w:t>
      </w:r>
      <w:r>
        <w:t xml:space="preserve"> </w:t>
      </w:r>
      <w:r>
        <w:t xml:space="preserve">including model weights and training artifacts (Sections 4.2–4.3); and (3) the MFC Side Letter, which is the most aggressive MFC provision we have reviewed and is expressly conditioned by KBI on acceptance.</w:t>
      </w:r>
    </w:p>
    <w:p>
      <w:pPr>
        <w:pStyle w:val="Compact"/>
        <w:numPr>
          <w:ilvl w:val="0"/>
          <w:numId w:val="1001"/>
        </w:numPr>
      </w:pPr>
      <w:r>
        <w:rPr>
          <w:b/>
          <w:bCs/>
        </w:rPr>
        <w:t xml:space="preserve">A further set of high-severity provisions</w:t>
      </w:r>
      <w:r>
        <w:t xml:space="preserve"> </w:t>
      </w:r>
      <w:r>
        <w:t xml:space="preserve">requires substantive negotiation: uncapped IP indemnification (Section 9.1); the 92% performance warranty with financial penalties and a for-cause termination trigger (Sections 8.2–8.3, 13.4); source-code escrow release triggers and the post-release license (Section 11); the perpetual post-termination wind-down license (Section 13.5); German governing law (Section 14.1); and the interaction of the derivative-works, feedback, and KBI-Inspired Improvements clauses (Sections 2, 3.3–3.5).</w:t>
      </w:r>
    </w:p>
    <w:p>
      <w:pPr>
        <w:pStyle w:val="Compact"/>
        <w:numPr>
          <w:ilvl w:val="0"/>
          <w:numId w:val="1001"/>
        </w:numPr>
      </w:pPr>
      <w:r>
        <w:rPr>
          <w:b/>
          <w:bCs/>
        </w:rPr>
        <w:t xml:space="preserve">Commercial/operational items</w:t>
      </w:r>
      <w:r>
        <w:t xml:space="preserve"> </w:t>
      </w:r>
      <w:r>
        <w:t xml:space="preserve">— the implementation cash-flow mismatch and revenue-recognition treatment — are manageable but should be restructured (40/30/30 license split, front-loaded implementation fees, and a separate implementation SOW).</w:t>
      </w:r>
    </w:p>
    <w:p>
      <w:pPr>
        <w:pStyle w:val="FirstParagraph"/>
      </w:pPr>
      <w:r>
        <w:t xml:space="preserve">Section VI below sets out a prioritized risk register; Section VII sets out a concrete counter-proposal framework, including management’s red lines and our recommended fallback positions.</w:t>
      </w:r>
    </w:p>
    <w:bookmarkEnd w:id="21"/>
    <w:bookmarkStart w:id="22" w:name="c.-top-risks-at-a-glance"/>
    <w:p>
      <w:pPr>
        <w:pStyle w:val="Heading2"/>
      </w:pPr>
      <w:r>
        <w:t xml:space="preserve">C. Top risks at a glance</w:t>
      </w:r>
    </w:p>
    <w:tbl>
      <w:tblPr>
        <w:tblStyle w:val="Table"/>
        <w:tblW w:type="dxa" w:w="9360"/>
        <w:jc w:val="left"/>
        <w:tblLayout w:type="fixed"/>
        <w:tblLook w:firstRow="1" w:lastRow="0" w:firstColumn="0" w:lastColumn="0" w:noHBand="0" w:noVBand="0" w:val="0020"/>
      </w:tblPr>
      <w:tblGrid>
        <w:gridCol w:w="468"/>
        <w:gridCol w:w="1591"/>
        <w:gridCol w:w="4306"/>
        <w:gridCol w:w="1030"/>
        <w:gridCol w:w="1965"/>
      </w:tblGrid>
      <w:tr>
        <w:trPr>
          <w:tblHeader w:val="on"/>
        </w:trPr>
        <w:tc>
          <w:tcPr>
            <w:tcW w:w="468" w:type="dxa"/>
          </w:tcPr>
          <w:p>
            <w:pPr>
              <w:pStyle w:val="Compact"/>
              <w:jc w:val="left"/>
            </w:pPr>
            <w:r>
              <w:t xml:space="preserve">#</w:t>
            </w:r>
          </w:p>
        </w:tc>
        <w:tc>
          <w:tcPr>
            <w:tcW w:w="1591" w:type="dxa"/>
          </w:tcPr>
          <w:p>
            <w:pPr>
              <w:pStyle w:val="Compact"/>
              <w:jc w:val="left"/>
            </w:pPr>
            <w:r>
              <w:t xml:space="preserve">Provision</w:t>
            </w:r>
          </w:p>
        </w:tc>
        <w:tc>
          <w:tcPr>
            <w:tcW w:w="4306" w:type="dxa"/>
          </w:tcPr>
          <w:p>
            <w:pPr>
              <w:pStyle w:val="Compact"/>
              <w:jc w:val="left"/>
            </w:pPr>
            <w:r>
              <w:t xml:space="preserve">Issue</w:t>
            </w:r>
          </w:p>
        </w:tc>
        <w:tc>
          <w:tcPr>
            <w:tcW w:w="1030" w:type="dxa"/>
          </w:tcPr>
          <w:p>
            <w:pPr>
              <w:pStyle w:val="Compact"/>
              <w:jc w:val="left"/>
            </w:pPr>
            <w:r>
              <w:t xml:space="preserve">Severity</w:t>
            </w:r>
          </w:p>
        </w:tc>
        <w:tc>
          <w:tcPr>
            <w:tcW w:w="1965" w:type="dxa"/>
          </w:tcPr>
          <w:p>
            <w:pPr>
              <w:pStyle w:val="Compact"/>
              <w:jc w:val="left"/>
            </w:pPr>
            <w:r>
              <w:t xml:space="preserve">Mgmt red line?</w:t>
            </w:r>
          </w:p>
        </w:tc>
      </w:tr>
      <w:tr>
        <w:tc>
          <w:tcPr>
            <w:tcW w:w="468" w:type="dxa"/>
          </w:tcPr>
          <w:p>
            <w:pPr>
              <w:pStyle w:val="Compact"/>
              <w:jc w:val="left"/>
            </w:pPr>
            <w:r>
              <w:t xml:space="preserve">1</w:t>
            </w:r>
          </w:p>
        </w:tc>
        <w:tc>
          <w:tcPr>
            <w:tcW w:w="1591" w:type="dxa"/>
          </w:tcPr>
          <w:p>
            <w:pPr>
              <w:pStyle w:val="Compact"/>
              <w:jc w:val="left"/>
            </w:pPr>
            <w:r>
              <w:t xml:space="preserve">Exclusivity / Non-Compete (§12)</w:t>
            </w:r>
          </w:p>
        </w:tc>
        <w:tc>
          <w:tcPr>
            <w:tcW w:w="4306" w:type="dxa"/>
          </w:tcPr>
          <w:p>
            <w:pPr>
              <w:pStyle w:val="Compact"/>
              <w:jc w:val="left"/>
            </w:pPr>
            <w:r>
              <w:t xml:space="preserve">3-year term; open-ended 30%-revenue definition sweeps in 25–30+ companies beyond 12 named; unworkable monitoring obligation; survives termination; injunctive relief without bond</w:t>
            </w:r>
          </w:p>
        </w:tc>
        <w:tc>
          <w:tcPr>
            <w:tcW w:w="1030" w:type="dxa"/>
          </w:tcPr>
          <w:p>
            <w:pPr>
              <w:pStyle w:val="Compact"/>
              <w:jc w:val="left"/>
            </w:pPr>
            <w:r>
              <w:rPr>
                <w:b/>
                <w:bCs/>
              </w:rPr>
              <w:t xml:space="preserve">Critical</w:t>
            </w:r>
          </w:p>
        </w:tc>
        <w:tc>
          <w:tcPr>
            <w:tcW w:w="1965" w:type="dxa"/>
          </w:tcPr>
          <w:p>
            <w:pPr>
              <w:pStyle w:val="Compact"/>
              <w:jc w:val="left"/>
            </w:pPr>
            <w:r>
              <w:t xml:space="preserve">Yes</w:t>
            </w:r>
          </w:p>
        </w:tc>
      </w:tr>
      <w:tr>
        <w:tc>
          <w:tcPr>
            <w:tcW w:w="468" w:type="dxa"/>
          </w:tcPr>
          <w:p>
            <w:pPr>
              <w:pStyle w:val="Compact"/>
              <w:jc w:val="left"/>
            </w:pPr>
            <w:r>
              <w:t xml:space="preserve">2</w:t>
            </w:r>
          </w:p>
        </w:tc>
        <w:tc>
          <w:tcPr>
            <w:tcW w:w="1591" w:type="dxa"/>
          </w:tcPr>
          <w:p>
            <w:pPr>
              <w:pStyle w:val="Compact"/>
              <w:jc w:val="left"/>
            </w:pPr>
            <w:r>
              <w:t xml:space="preserve">Data training ban + Output Data ownership (§4.2–4.3)</w:t>
            </w:r>
          </w:p>
        </w:tc>
        <w:tc>
          <w:tcPr>
            <w:tcW w:w="4306" w:type="dxa"/>
          </w:tcPr>
          <w:p>
            <w:pPr>
              <w:pStyle w:val="Compact"/>
              <w:jc w:val="left"/>
            </w:pPr>
            <w:r>
              <w:t xml:space="preserve">Blanket ban on using KBI data (even anonymized/aggregated) to improve general models; KBI claims sole ownership of model weights, parameters, and training artifacts</w:t>
            </w:r>
          </w:p>
        </w:tc>
        <w:tc>
          <w:tcPr>
            <w:tcW w:w="1030" w:type="dxa"/>
          </w:tcPr>
          <w:p>
            <w:pPr>
              <w:pStyle w:val="Compact"/>
              <w:jc w:val="left"/>
            </w:pPr>
            <w:r>
              <w:rPr>
                <w:b/>
                <w:bCs/>
              </w:rPr>
              <w:t xml:space="preserve">Critical</w:t>
            </w:r>
          </w:p>
        </w:tc>
        <w:tc>
          <w:tcPr>
            <w:tcW w:w="1965" w:type="dxa"/>
          </w:tcPr>
          <w:p>
            <w:pPr>
              <w:pStyle w:val="Compact"/>
              <w:jc w:val="left"/>
            </w:pPr>
            <w:r>
              <w:t xml:space="preserve">Yes</w:t>
            </w:r>
          </w:p>
        </w:tc>
      </w:tr>
      <w:tr>
        <w:tc>
          <w:tcPr>
            <w:tcW w:w="468" w:type="dxa"/>
          </w:tcPr>
          <w:p>
            <w:pPr>
              <w:pStyle w:val="Compact"/>
              <w:jc w:val="left"/>
            </w:pPr>
            <w:r>
              <w:t xml:space="preserve">3</w:t>
            </w:r>
          </w:p>
        </w:tc>
        <w:tc>
          <w:tcPr>
            <w:tcW w:w="1591" w:type="dxa"/>
          </w:tcPr>
          <w:p>
            <w:pPr>
              <w:pStyle w:val="Compact"/>
              <w:jc w:val="left"/>
            </w:pPr>
            <w:r>
              <w:t xml:space="preserve">MFC Side Letter (§2)</w:t>
            </w:r>
          </w:p>
        </w:tc>
        <w:tc>
          <w:tcPr>
            <w:tcW w:w="4306" w:type="dxa"/>
          </w:tcPr>
          <w:p>
            <w:pPr>
              <w:pStyle w:val="Compact"/>
              <w:jc w:val="left"/>
            </w:pPr>
            <w:r>
              <w:t xml:space="preserve">No sunset, no carve-outs, retroactive look-back with credits, audit right, sweeps in</w:t>
            </w:r>
            <w:r>
              <w:t xml:space="preserve"> </w:t>
            </w:r>
            <w:r>
              <w:t xml:space="preserve">“</w:t>
            </w:r>
            <w:r>
              <w:t xml:space="preserve">substantially similar</w:t>
            </w:r>
            <w:r>
              <w:t xml:space="preserve">”</w:t>
            </w:r>
            <w:r>
              <w:t xml:space="preserve"> </w:t>
            </w:r>
            <w:r>
              <w:t xml:space="preserve">successor technology; conditioned on acceptance</w:t>
            </w:r>
          </w:p>
        </w:tc>
        <w:tc>
          <w:tcPr>
            <w:tcW w:w="1030" w:type="dxa"/>
          </w:tcPr>
          <w:p>
            <w:pPr>
              <w:pStyle w:val="Compact"/>
              <w:jc w:val="left"/>
            </w:pPr>
            <w:r>
              <w:rPr>
                <w:b/>
                <w:bCs/>
              </w:rPr>
              <w:t xml:space="preserve">Critical</w:t>
            </w:r>
          </w:p>
        </w:tc>
        <w:tc>
          <w:tcPr>
            <w:tcW w:w="1965" w:type="dxa"/>
          </w:tcPr>
          <w:p>
            <w:pPr>
              <w:pStyle w:val="Compact"/>
              <w:jc w:val="left"/>
            </w:pPr>
            <w:r>
              <w:t xml:space="preserve">Yes (restructure or reject)</w:t>
            </w:r>
          </w:p>
        </w:tc>
      </w:tr>
      <w:tr>
        <w:tc>
          <w:tcPr>
            <w:tcW w:w="468" w:type="dxa"/>
          </w:tcPr>
          <w:p>
            <w:pPr>
              <w:pStyle w:val="Compact"/>
              <w:jc w:val="left"/>
            </w:pPr>
            <w:r>
              <w:t xml:space="preserve">4</w:t>
            </w:r>
          </w:p>
        </w:tc>
        <w:tc>
          <w:tcPr>
            <w:tcW w:w="1591" w:type="dxa"/>
          </w:tcPr>
          <w:p>
            <w:pPr>
              <w:pStyle w:val="Compact"/>
              <w:jc w:val="left"/>
            </w:pPr>
            <w:r>
              <w:t xml:space="preserve">Uncapped IP indemnification (§9.1, §10.3(A))</w:t>
            </w:r>
          </w:p>
        </w:tc>
        <w:tc>
          <w:tcPr>
            <w:tcW w:w="4306" w:type="dxa"/>
          </w:tcPr>
          <w:p>
            <w:pPr>
              <w:pStyle w:val="Compact"/>
              <w:jc w:val="left"/>
            </w:pPr>
            <w:r>
              <w:t xml:space="preserve">Whitmore’s IP indemnity excluded from the liability cap — uncapped exposure in a complex ML/AI patent landscape</w:t>
            </w:r>
          </w:p>
        </w:tc>
        <w:tc>
          <w:tcPr>
            <w:tcW w:w="1030" w:type="dxa"/>
          </w:tcPr>
          <w:p>
            <w:pPr>
              <w:pStyle w:val="Compact"/>
              <w:jc w:val="left"/>
            </w:pPr>
            <w:r>
              <w:rPr>
                <w:b/>
                <w:bCs/>
              </w:rPr>
              <w:t xml:space="preserve">High</w:t>
            </w:r>
          </w:p>
        </w:tc>
        <w:tc>
          <w:tcPr>
            <w:tcW w:w="1965" w:type="dxa"/>
          </w:tcPr>
          <w:p>
            <w:pPr>
              <w:pStyle w:val="Compact"/>
              <w:jc w:val="left"/>
            </w:pPr>
            <w:r>
              <w:t xml:space="preserve">Negotiate cap</w:t>
            </w:r>
          </w:p>
        </w:tc>
      </w:tr>
      <w:tr>
        <w:tc>
          <w:tcPr>
            <w:tcW w:w="468" w:type="dxa"/>
          </w:tcPr>
          <w:p>
            <w:pPr>
              <w:pStyle w:val="Compact"/>
              <w:jc w:val="left"/>
            </w:pPr>
            <w:r>
              <w:t xml:space="preserve">5</w:t>
            </w:r>
          </w:p>
        </w:tc>
        <w:tc>
          <w:tcPr>
            <w:tcW w:w="1591" w:type="dxa"/>
          </w:tcPr>
          <w:p>
            <w:pPr>
              <w:pStyle w:val="Compact"/>
              <w:jc w:val="left"/>
            </w:pPr>
            <w:r>
              <w:t xml:space="preserve">Performance warranty + penalties (§8.2–8.3, §13.4)</w:t>
            </w:r>
          </w:p>
        </w:tc>
        <w:tc>
          <w:tcPr>
            <w:tcW w:w="4306" w:type="dxa"/>
          </w:tcPr>
          <w:p>
            <w:pPr>
              <w:pStyle w:val="Compact"/>
              <w:jc w:val="left"/>
            </w:pPr>
            <w:r>
              <w:t xml:space="preserve">92% accuracy warranty tied to service credits and for-cause termination; metric sensitive to factors outside Whitmore’s control</w:t>
            </w:r>
          </w:p>
        </w:tc>
        <w:tc>
          <w:tcPr>
            <w:tcW w:w="1030" w:type="dxa"/>
          </w:tcPr>
          <w:p>
            <w:pPr>
              <w:pStyle w:val="Compact"/>
              <w:jc w:val="left"/>
            </w:pPr>
            <w:r>
              <w:rPr>
                <w:b/>
                <w:bCs/>
              </w:rPr>
              <w:t xml:space="preserve">High</w:t>
            </w:r>
          </w:p>
        </w:tc>
        <w:tc>
          <w:tcPr>
            <w:tcW w:w="1965" w:type="dxa"/>
          </w:tcPr>
          <w:p>
            <w:pPr>
              <w:pStyle w:val="Compact"/>
              <w:jc w:val="left"/>
            </w:pPr>
            <w:r>
              <w:t xml:space="preserve">Negotiate</w:t>
            </w:r>
          </w:p>
        </w:tc>
      </w:tr>
      <w:tr>
        <w:tc>
          <w:tcPr>
            <w:tcW w:w="468" w:type="dxa"/>
          </w:tcPr>
          <w:p>
            <w:pPr>
              <w:pStyle w:val="Compact"/>
              <w:jc w:val="left"/>
            </w:pPr>
            <w:r>
              <w:t xml:space="preserve">6</w:t>
            </w:r>
          </w:p>
        </w:tc>
        <w:tc>
          <w:tcPr>
            <w:tcW w:w="1591" w:type="dxa"/>
          </w:tcPr>
          <w:p>
            <w:pPr>
              <w:pStyle w:val="Compact"/>
              <w:jc w:val="left"/>
            </w:pPr>
            <w:r>
              <w:t xml:space="preserve">Source-code escrow (§11)</w:t>
            </w:r>
          </w:p>
        </w:tc>
        <w:tc>
          <w:tcPr>
            <w:tcW w:w="4306" w:type="dxa"/>
          </w:tcPr>
          <w:p>
            <w:pPr>
              <w:pStyle w:val="Compact"/>
              <w:jc w:val="left"/>
            </w:pPr>
            <w:r>
              <w:t xml:space="preserve">Release on 60-day uncured breach (pre-termination); 90-day support-failure trigger; perpetual royalty-free post-release license to use/modify/deploy source</w:t>
            </w:r>
          </w:p>
        </w:tc>
        <w:tc>
          <w:tcPr>
            <w:tcW w:w="1030" w:type="dxa"/>
          </w:tcPr>
          <w:p>
            <w:pPr>
              <w:pStyle w:val="Compact"/>
              <w:jc w:val="left"/>
            </w:pPr>
            <w:r>
              <w:rPr>
                <w:b/>
                <w:bCs/>
              </w:rPr>
              <w:t xml:space="preserve">High</w:t>
            </w:r>
          </w:p>
        </w:tc>
        <w:tc>
          <w:tcPr>
            <w:tcW w:w="1965" w:type="dxa"/>
          </w:tcPr>
          <w:p>
            <w:pPr>
              <w:pStyle w:val="Compact"/>
              <w:jc w:val="left"/>
            </w:pPr>
            <w:r>
              <w:t xml:space="preserve">Negotiate</w:t>
            </w:r>
          </w:p>
        </w:tc>
      </w:tr>
      <w:tr>
        <w:tc>
          <w:tcPr>
            <w:tcW w:w="468" w:type="dxa"/>
          </w:tcPr>
          <w:p>
            <w:pPr>
              <w:pStyle w:val="Compact"/>
              <w:jc w:val="left"/>
            </w:pPr>
            <w:r>
              <w:t xml:space="preserve">7</w:t>
            </w:r>
          </w:p>
        </w:tc>
        <w:tc>
          <w:tcPr>
            <w:tcW w:w="1591" w:type="dxa"/>
          </w:tcPr>
          <w:p>
            <w:pPr>
              <w:pStyle w:val="Compact"/>
              <w:jc w:val="left"/>
            </w:pPr>
            <w:r>
              <w:t xml:space="preserve">Perpetual wind-down license (§13.5)</w:t>
            </w:r>
          </w:p>
        </w:tc>
        <w:tc>
          <w:tcPr>
            <w:tcW w:w="4306" w:type="dxa"/>
          </w:tcPr>
          <w:p>
            <w:pPr>
              <w:pStyle w:val="Compact"/>
              <w:jc w:val="left"/>
            </w:pPr>
            <w:r>
              <w:t xml:space="preserve">Perpetual, irrevocable continued-use license on termination for any reason (incl. convenience) for maintenance fee only</w:t>
            </w:r>
          </w:p>
        </w:tc>
        <w:tc>
          <w:tcPr>
            <w:tcW w:w="1030" w:type="dxa"/>
          </w:tcPr>
          <w:p>
            <w:pPr>
              <w:pStyle w:val="Compact"/>
              <w:jc w:val="left"/>
            </w:pPr>
            <w:r>
              <w:rPr>
                <w:b/>
                <w:bCs/>
              </w:rPr>
              <w:t xml:space="preserve">High</w:t>
            </w:r>
          </w:p>
        </w:tc>
        <w:tc>
          <w:tcPr>
            <w:tcW w:w="1965" w:type="dxa"/>
          </w:tcPr>
          <w:p>
            <w:pPr>
              <w:pStyle w:val="Compact"/>
              <w:jc w:val="left"/>
            </w:pPr>
            <w:r>
              <w:t xml:space="preserve">Negotiate</w:t>
            </w:r>
          </w:p>
        </w:tc>
      </w:tr>
      <w:tr>
        <w:tc>
          <w:tcPr>
            <w:tcW w:w="468" w:type="dxa"/>
          </w:tcPr>
          <w:p>
            <w:pPr>
              <w:pStyle w:val="Compact"/>
              <w:jc w:val="left"/>
            </w:pPr>
            <w:r>
              <w:t xml:space="preserve">8</w:t>
            </w:r>
          </w:p>
        </w:tc>
        <w:tc>
          <w:tcPr>
            <w:tcW w:w="1591" w:type="dxa"/>
          </w:tcPr>
          <w:p>
            <w:pPr>
              <w:pStyle w:val="Compact"/>
              <w:jc w:val="left"/>
            </w:pPr>
            <w:r>
              <w:t xml:space="preserve">German governing law (§14.1)</w:t>
            </w:r>
          </w:p>
        </w:tc>
        <w:tc>
          <w:tcPr>
            <w:tcW w:w="4306" w:type="dxa"/>
          </w:tcPr>
          <w:p>
            <w:pPr>
              <w:pStyle w:val="Compact"/>
              <w:jc w:val="left"/>
            </w:pPr>
            <w:r>
              <w:t xml:space="preserve">German substantive law compounds uncapped-indemnity and penalty-clause exposure; enforceability of caps/disclaimers uncertain</w:t>
            </w:r>
          </w:p>
        </w:tc>
        <w:tc>
          <w:tcPr>
            <w:tcW w:w="1030" w:type="dxa"/>
          </w:tcPr>
          <w:p>
            <w:pPr>
              <w:pStyle w:val="Compact"/>
              <w:jc w:val="left"/>
            </w:pPr>
            <w:r>
              <w:rPr>
                <w:b/>
                <w:bCs/>
              </w:rPr>
              <w:t xml:space="preserve">High</w:t>
            </w:r>
          </w:p>
        </w:tc>
        <w:tc>
          <w:tcPr>
            <w:tcW w:w="1965" w:type="dxa"/>
          </w:tcPr>
          <w:p>
            <w:pPr>
              <w:pStyle w:val="Compact"/>
              <w:jc w:val="left"/>
            </w:pPr>
            <w:r>
              <w:t xml:space="preserve">Negotiate</w:t>
            </w:r>
          </w:p>
        </w:tc>
      </w:tr>
      <w:tr>
        <w:tc>
          <w:tcPr>
            <w:tcW w:w="468" w:type="dxa"/>
          </w:tcPr>
          <w:p>
            <w:pPr>
              <w:pStyle w:val="Compact"/>
              <w:jc w:val="left"/>
            </w:pPr>
            <w:r>
              <w:t xml:space="preserve">9</w:t>
            </w:r>
          </w:p>
        </w:tc>
        <w:tc>
          <w:tcPr>
            <w:tcW w:w="1591" w:type="dxa"/>
          </w:tcPr>
          <w:p>
            <w:pPr>
              <w:pStyle w:val="Compact"/>
              <w:jc w:val="left"/>
            </w:pPr>
            <w:r>
              <w:t xml:space="preserve">Derivative-works / feedback / improvements (§2, §3.3–3.5)</w:t>
            </w:r>
          </w:p>
        </w:tc>
        <w:tc>
          <w:tcPr>
            <w:tcW w:w="4306" w:type="dxa"/>
          </w:tcPr>
          <w:p>
            <w:pPr>
              <w:pStyle w:val="Compact"/>
              <w:jc w:val="left"/>
            </w:pPr>
            <w:r>
              <w:t xml:space="preserve">Joint ownership of derivative works; apparent internal contradiction with feedback clause; broad license-back of KBI-Inspired Improvements</w:t>
            </w:r>
          </w:p>
        </w:tc>
        <w:tc>
          <w:tcPr>
            <w:tcW w:w="1030" w:type="dxa"/>
          </w:tcPr>
          <w:p>
            <w:pPr>
              <w:pStyle w:val="Compact"/>
              <w:jc w:val="left"/>
            </w:pPr>
            <w:r>
              <w:rPr>
                <w:b/>
                <w:bCs/>
              </w:rPr>
              <w:t xml:space="preserve">High</w:t>
            </w:r>
          </w:p>
        </w:tc>
        <w:tc>
          <w:tcPr>
            <w:tcW w:w="1965" w:type="dxa"/>
          </w:tcPr>
          <w:p>
            <w:pPr>
              <w:pStyle w:val="Compact"/>
              <w:jc w:val="left"/>
            </w:pPr>
            <w:r>
              <w:t xml:space="preserve">Negotiate</w:t>
            </w:r>
          </w:p>
        </w:tc>
      </w:tr>
      <w:tr>
        <w:tc>
          <w:tcPr>
            <w:tcW w:w="468" w:type="dxa"/>
          </w:tcPr>
          <w:p>
            <w:pPr>
              <w:pStyle w:val="Compact"/>
              <w:jc w:val="left"/>
            </w:pPr>
            <w:r>
              <w:t xml:space="preserve">10</w:t>
            </w:r>
          </w:p>
        </w:tc>
        <w:tc>
          <w:tcPr>
            <w:tcW w:w="1591" w:type="dxa"/>
          </w:tcPr>
          <w:p>
            <w:pPr>
              <w:pStyle w:val="Compact"/>
              <w:jc w:val="left"/>
            </w:pPr>
            <w:r>
              <w:t xml:space="preserve">Implementation cash flow (§5, §6)</w:t>
            </w:r>
          </w:p>
        </w:tc>
        <w:tc>
          <w:tcPr>
            <w:tcW w:w="4306" w:type="dxa"/>
          </w:tcPr>
          <w:p>
            <w:pPr>
              <w:pStyle w:val="Compact"/>
              <w:jc w:val="left"/>
            </w:pPr>
            <w:r>
              <w:t xml:space="preserve">30/40/30 license split + linear implementation fees → ~$0.7–1.2M first-6-month shortfall vs. ~$2.5–3M cost</w:t>
            </w:r>
          </w:p>
        </w:tc>
        <w:tc>
          <w:tcPr>
            <w:tcW w:w="1030" w:type="dxa"/>
          </w:tcPr>
          <w:p>
            <w:pPr>
              <w:pStyle w:val="Compact"/>
              <w:jc w:val="left"/>
            </w:pPr>
            <w:r>
              <w:rPr>
                <w:b/>
                <w:bCs/>
              </w:rPr>
              <w:t xml:space="preserve">Medium</w:t>
            </w:r>
          </w:p>
        </w:tc>
        <w:tc>
          <w:tcPr>
            <w:tcW w:w="1965" w:type="dxa"/>
          </w:tcPr>
          <w:p>
            <w:pPr>
              <w:pStyle w:val="Compact"/>
              <w:jc w:val="left"/>
            </w:pPr>
            <w:r>
              <w:t xml:space="preserve">Restructure</w:t>
            </w:r>
          </w:p>
        </w:tc>
      </w:tr>
      <w:tr>
        <w:tc>
          <w:tcPr>
            <w:tcW w:w="468" w:type="dxa"/>
          </w:tcPr>
          <w:p>
            <w:pPr>
              <w:pStyle w:val="Compact"/>
              <w:jc w:val="left"/>
            </w:pPr>
            <w:r>
              <w:t xml:space="preserve">11</w:t>
            </w:r>
          </w:p>
        </w:tc>
        <w:tc>
          <w:tcPr>
            <w:tcW w:w="1591" w:type="dxa"/>
          </w:tcPr>
          <w:p>
            <w:pPr>
              <w:pStyle w:val="Compact"/>
              <w:jc w:val="left"/>
            </w:pPr>
            <w:r>
              <w:t xml:space="preserve">Liability cap structure (§10)</w:t>
            </w:r>
          </w:p>
        </w:tc>
        <w:tc>
          <w:tcPr>
            <w:tcW w:w="4306" w:type="dxa"/>
          </w:tcPr>
          <w:p>
            <w:pPr>
              <w:pStyle w:val="Compact"/>
              <w:jc w:val="left"/>
            </w:pPr>
            <w:r>
              <w:t xml:space="preserve">$15M floor is high; IP indemnity and confidentiality breaches carved out of cap</w:t>
            </w:r>
          </w:p>
        </w:tc>
        <w:tc>
          <w:tcPr>
            <w:tcW w:w="1030" w:type="dxa"/>
          </w:tcPr>
          <w:p>
            <w:pPr>
              <w:pStyle w:val="Compact"/>
              <w:jc w:val="left"/>
            </w:pPr>
            <w:r>
              <w:rPr>
                <w:b/>
                <w:bCs/>
              </w:rPr>
              <w:t xml:space="preserve">Medium</w:t>
            </w:r>
          </w:p>
        </w:tc>
        <w:tc>
          <w:tcPr>
            <w:tcW w:w="1965" w:type="dxa"/>
          </w:tcPr>
          <w:p>
            <w:pPr>
              <w:pStyle w:val="Compact"/>
              <w:jc w:val="left"/>
            </w:pPr>
            <w:r>
              <w:t xml:space="preserve">Negotiate</w:t>
            </w:r>
          </w:p>
        </w:tc>
      </w:tr>
      <w:tr>
        <w:tc>
          <w:tcPr>
            <w:tcW w:w="468" w:type="dxa"/>
          </w:tcPr>
          <w:p>
            <w:pPr>
              <w:pStyle w:val="Compact"/>
              <w:jc w:val="left"/>
            </w:pPr>
            <w:r>
              <w:t xml:space="preserve">12</w:t>
            </w:r>
          </w:p>
        </w:tc>
        <w:tc>
          <w:tcPr>
            <w:tcW w:w="1591" w:type="dxa"/>
          </w:tcPr>
          <w:p>
            <w:pPr>
              <w:pStyle w:val="Compact"/>
              <w:jc w:val="left"/>
            </w:pPr>
            <w:r>
              <w:t xml:space="preserve">Assignment asymmetry (§16.6)</w:t>
            </w:r>
          </w:p>
        </w:tc>
        <w:tc>
          <w:tcPr>
            <w:tcW w:w="4306" w:type="dxa"/>
          </w:tcPr>
          <w:p>
            <w:pPr>
              <w:pStyle w:val="Compact"/>
              <w:jc w:val="left"/>
            </w:pPr>
            <w:r>
              <w:t xml:space="preserve">KBI may assign to affiliates / in M&amp;A without consent; Whitmore may not</w:t>
            </w:r>
          </w:p>
        </w:tc>
        <w:tc>
          <w:tcPr>
            <w:tcW w:w="1030" w:type="dxa"/>
          </w:tcPr>
          <w:p>
            <w:pPr>
              <w:pStyle w:val="Compact"/>
              <w:jc w:val="left"/>
            </w:pPr>
            <w:r>
              <w:rPr>
                <w:b/>
                <w:bCs/>
              </w:rPr>
              <w:t xml:space="preserve">Medium</w:t>
            </w:r>
          </w:p>
        </w:tc>
        <w:tc>
          <w:tcPr>
            <w:tcW w:w="1965" w:type="dxa"/>
          </w:tcPr>
          <w:p>
            <w:pPr>
              <w:pStyle w:val="Compact"/>
              <w:jc w:val="left"/>
            </w:pPr>
            <w:r>
              <w:t xml:space="preserve">Negotiate</w:t>
            </w:r>
          </w:p>
        </w:tc>
      </w:tr>
      <w:tr>
        <w:tc>
          <w:tcPr>
            <w:tcW w:w="468" w:type="dxa"/>
          </w:tcPr>
          <w:p>
            <w:pPr>
              <w:pStyle w:val="Compact"/>
              <w:jc w:val="left"/>
            </w:pPr>
            <w:r>
              <w:t xml:space="preserve">13</w:t>
            </w:r>
          </w:p>
        </w:tc>
        <w:tc>
          <w:tcPr>
            <w:tcW w:w="1591" w:type="dxa"/>
          </w:tcPr>
          <w:p>
            <w:pPr>
              <w:pStyle w:val="Compact"/>
              <w:jc w:val="left"/>
            </w:pPr>
            <w:r>
              <w:t xml:space="preserve">Expansion right (§2, §5.7)</w:t>
            </w:r>
          </w:p>
        </w:tc>
        <w:tc>
          <w:tcPr>
            <w:tcW w:w="4306" w:type="dxa"/>
          </w:tcPr>
          <w:p>
            <w:pPr>
              <w:pStyle w:val="Compact"/>
              <w:jc w:val="left"/>
            </w:pPr>
            <w:r>
              <w:t xml:space="preserve">5-year locked pricing for newly acquired facilities; compounds MFC pricing rigidity</w:t>
            </w:r>
          </w:p>
        </w:tc>
        <w:tc>
          <w:tcPr>
            <w:tcW w:w="1030" w:type="dxa"/>
          </w:tcPr>
          <w:p>
            <w:pPr>
              <w:pStyle w:val="Compact"/>
              <w:jc w:val="left"/>
            </w:pPr>
            <w:r>
              <w:rPr>
                <w:b/>
                <w:bCs/>
              </w:rPr>
              <w:t xml:space="preserve">Medium</w:t>
            </w:r>
          </w:p>
        </w:tc>
        <w:tc>
          <w:tcPr>
            <w:tcW w:w="1965" w:type="dxa"/>
          </w:tcPr>
          <w:p>
            <w:pPr>
              <w:pStyle w:val="Compact"/>
              <w:jc w:val="left"/>
            </w:pPr>
            <w:r>
              <w:t xml:space="preserve">Negotiate</w:t>
            </w:r>
          </w:p>
        </w:tc>
      </w:tr>
      <w:tr>
        <w:tc>
          <w:tcPr>
            <w:tcW w:w="468" w:type="dxa"/>
          </w:tcPr>
          <w:p>
            <w:pPr>
              <w:pStyle w:val="Compact"/>
              <w:jc w:val="left"/>
            </w:pPr>
            <w:r>
              <w:t xml:space="preserve">14</w:t>
            </w:r>
          </w:p>
        </w:tc>
        <w:tc>
          <w:tcPr>
            <w:tcW w:w="1591" w:type="dxa"/>
          </w:tcPr>
          <w:p>
            <w:pPr>
              <w:pStyle w:val="Compact"/>
              <w:jc w:val="left"/>
            </w:pPr>
            <w:r>
              <w:t xml:space="preserve">Acceptance / deemed acceptance (§6.5)</w:t>
            </w:r>
          </w:p>
        </w:tc>
        <w:tc>
          <w:tcPr>
            <w:tcW w:w="4306" w:type="dxa"/>
          </w:tcPr>
          <w:p>
            <w:pPr>
              <w:pStyle w:val="Compact"/>
              <w:jc w:val="left"/>
            </w:pPr>
            <w:r>
              <w:t xml:space="preserve">30-day UAT;</w:t>
            </w:r>
            <w:r>
              <w:t xml:space="preserve"> </w:t>
            </w:r>
            <w:r>
              <w:t xml:space="preserve">“</w:t>
            </w:r>
            <w:r>
              <w:t xml:space="preserve">material non-conformance</w:t>
            </w:r>
            <w:r>
              <w:t xml:space="preserve">”</w:t>
            </w:r>
            <w:r>
              <w:t xml:space="preserve"> </w:t>
            </w:r>
            <w:r>
              <w:t xml:space="preserve">standard undefined</w:t>
            </w:r>
          </w:p>
        </w:tc>
        <w:tc>
          <w:tcPr>
            <w:tcW w:w="1030" w:type="dxa"/>
          </w:tcPr>
          <w:p>
            <w:pPr>
              <w:pStyle w:val="Compact"/>
              <w:jc w:val="left"/>
            </w:pPr>
            <w:r>
              <w:rPr>
                <w:b/>
                <w:bCs/>
              </w:rPr>
              <w:t xml:space="preserve">Medium</w:t>
            </w:r>
          </w:p>
        </w:tc>
        <w:tc>
          <w:tcPr>
            <w:tcW w:w="1965" w:type="dxa"/>
          </w:tcPr>
          <w:p>
            <w:pPr>
              <w:pStyle w:val="Compact"/>
              <w:jc w:val="left"/>
            </w:pPr>
            <w:r>
              <w:t xml:space="preserve">Negotiate</w:t>
            </w:r>
          </w:p>
        </w:tc>
      </w:tr>
      <w:tr>
        <w:tc>
          <w:tcPr>
            <w:tcW w:w="468" w:type="dxa"/>
          </w:tcPr>
          <w:p>
            <w:pPr>
              <w:pStyle w:val="Compact"/>
              <w:jc w:val="left"/>
            </w:pPr>
            <w:r>
              <w:t xml:space="preserve">15</w:t>
            </w:r>
          </w:p>
        </w:tc>
        <w:tc>
          <w:tcPr>
            <w:tcW w:w="1591" w:type="dxa"/>
          </w:tcPr>
          <w:p>
            <w:pPr>
              <w:pStyle w:val="Compact"/>
              <w:jc w:val="left"/>
            </w:pPr>
            <w:r>
              <w:t xml:space="preserve">SaaS/maintenance commencement; taxes/PE (§5, §7.4)</w:t>
            </w:r>
          </w:p>
        </w:tc>
        <w:tc>
          <w:tcPr>
            <w:tcW w:w="4306" w:type="dxa"/>
          </w:tcPr>
          <w:p>
            <w:pPr>
              <w:pStyle w:val="Compact"/>
              <w:jc w:val="left"/>
            </w:pPr>
            <w:r>
              <w:t xml:space="preserve">Ambiguous start dates for recurring fees; cross-border VAT/withholding/permanent-establishment exposure across 12 countries</w:t>
            </w:r>
          </w:p>
        </w:tc>
        <w:tc>
          <w:tcPr>
            <w:tcW w:w="1030" w:type="dxa"/>
          </w:tcPr>
          <w:p>
            <w:pPr>
              <w:pStyle w:val="Compact"/>
              <w:jc w:val="left"/>
            </w:pPr>
            <w:r>
              <w:rPr>
                <w:b/>
                <w:bCs/>
              </w:rPr>
              <w:t xml:space="preserve">Medium</w:t>
            </w:r>
          </w:p>
        </w:tc>
        <w:tc>
          <w:tcPr>
            <w:tcW w:w="1965" w:type="dxa"/>
          </w:tcPr>
          <w:p>
            <w:pPr>
              <w:pStyle w:val="Compact"/>
              <w:jc w:val="left"/>
            </w:pPr>
            <w:r>
              <w:t xml:space="preserve">Clarify</w:t>
            </w:r>
          </w:p>
        </w:tc>
      </w:tr>
      <w:tr>
        <w:tc>
          <w:tcPr>
            <w:tcW w:w="468" w:type="dxa"/>
          </w:tcPr>
          <w:p>
            <w:pPr>
              <w:pStyle w:val="Compact"/>
              <w:jc w:val="left"/>
            </w:pPr>
            <w:r>
              <w:t xml:space="preserve">16</w:t>
            </w:r>
          </w:p>
        </w:tc>
        <w:tc>
          <w:tcPr>
            <w:tcW w:w="1591" w:type="dxa"/>
          </w:tcPr>
          <w:p>
            <w:pPr>
              <w:pStyle w:val="Compact"/>
              <w:jc w:val="left"/>
            </w:pPr>
            <w:r>
              <w:t xml:space="preserve">Late-payment interest; confidentiality term (§5.5, §15.4)</w:t>
            </w:r>
          </w:p>
        </w:tc>
        <w:tc>
          <w:tcPr>
            <w:tcW w:w="4306" w:type="dxa"/>
          </w:tcPr>
          <w:p>
            <w:pPr>
              <w:pStyle w:val="Compact"/>
              <w:jc w:val="left"/>
            </w:pPr>
            <w:r>
              <w:t xml:space="preserve">1.5%/month interest (penalty-risk under German law); 5-year confidentiality survival</w:t>
            </w:r>
          </w:p>
        </w:tc>
        <w:tc>
          <w:tcPr>
            <w:tcW w:w="1030" w:type="dxa"/>
          </w:tcPr>
          <w:p>
            <w:pPr>
              <w:pStyle w:val="Compact"/>
              <w:jc w:val="left"/>
            </w:pPr>
            <w:r>
              <w:rPr>
                <w:b/>
                <w:bCs/>
              </w:rPr>
              <w:t xml:space="preserve">Low</w:t>
            </w:r>
          </w:p>
        </w:tc>
        <w:tc>
          <w:tcPr>
            <w:tcW w:w="1965" w:type="dxa"/>
          </w:tcPr>
          <w:p>
            <w:pPr>
              <w:pStyle w:val="Compact"/>
              <w:jc w:val="left"/>
            </w:pPr>
            <w:r>
              <w:t xml:space="preserve">Minor</w:t>
            </w:r>
          </w:p>
        </w:tc>
      </w:tr>
    </w:tbl>
    <w:p>
      <w:r>
        <w:pict>
          <v:rect style="width:0;height:1.5pt" o:hralign="center" o:hrstd="t" o:hr="t"/>
        </w:pict>
      </w:r>
    </w:p>
    <w:bookmarkEnd w:id="22"/>
    <w:bookmarkEnd w:id="23"/>
    <w:bookmarkStart w:id="27" w:name="ii.-transaction-overview"/>
    <w:p>
      <w:pPr>
        <w:pStyle w:val="Heading1"/>
      </w:pPr>
      <w:r>
        <w:t xml:space="preserve">II. Transaction Overview</w:t>
      </w:r>
    </w:p>
    <w:bookmarkStart w:id="24" w:name="a.-parties-and-advisors"/>
    <w:p>
      <w:pPr>
        <w:pStyle w:val="Heading2"/>
      </w:pPr>
      <w:r>
        <w:t xml:space="preserve">A. Parties and advisors</w:t>
      </w:r>
    </w:p>
    <w:p>
      <w:pPr>
        <w:pStyle w:val="Compact"/>
        <w:numPr>
          <w:ilvl w:val="0"/>
          <w:numId w:val="1002"/>
        </w:numPr>
      </w:pPr>
      <w:r>
        <w:rPr>
          <w:b/>
          <w:bCs/>
        </w:rPr>
        <w:t xml:space="preserve">Licensor / counterparty:</w:t>
      </w:r>
      <w:r>
        <w:t xml:space="preserve"> </w:t>
      </w:r>
      <w:r>
        <w:t xml:space="preserve">Whitmore Analytics Inc., a Delaware corporation (Seattle, WA). CEO: Rajesh Malhotra; General Counsel: Sarah Yin; VP, Sales: Tom Kendrick. Outside counsel (this memo): Ferndale Hale &amp; Seward LLP (Daniel Cortez; Priya Venkatesh). Auditors: Lakeshore Accounting Group LLP. Principal investor: Hollcroft Ventures.</w:t>
      </w:r>
    </w:p>
    <w:p>
      <w:pPr>
        <w:pStyle w:val="Compact"/>
        <w:numPr>
          <w:ilvl w:val="0"/>
          <w:numId w:val="1002"/>
        </w:numPr>
      </w:pPr>
      <w:r>
        <w:rPr>
          <w:b/>
          <w:bCs/>
        </w:rPr>
        <w:t xml:space="preserve">Licensee:</w:t>
      </w:r>
      <w:r>
        <w:t xml:space="preserve"> </w:t>
      </w:r>
      <w:r>
        <w:t xml:space="preserve">Kessler-Brandt Industrial GmbH, a German GmbH (Munich; HRB 247891). CTO: Dr. Markus Fiedler; VP, Digital Transformation: Annika Solberg (signatory of the MFC Side Letter). KBI counsel: Bergström Hecht Rechtsanwälte (Dr. Luisa Trautmann, lead partner).</w:t>
      </w:r>
    </w:p>
    <w:p>
      <w:pPr>
        <w:pStyle w:val="Compact"/>
        <w:numPr>
          <w:ilvl w:val="0"/>
          <w:numId w:val="1002"/>
        </w:numPr>
      </w:pPr>
      <w:r>
        <w:rPr>
          <w:b/>
          <w:bCs/>
        </w:rPr>
        <w:t xml:space="preserve">Escrow agent:</w:t>
      </w:r>
      <w:r>
        <w:t xml:space="preserve"> </w:t>
      </w:r>
      <w:r>
        <w:t xml:space="preserve">Meridian Escrow Services LLC (San Jose, CA).</w:t>
      </w:r>
    </w:p>
    <w:p>
      <w:pPr>
        <w:pStyle w:val="Compact"/>
        <w:numPr>
          <w:ilvl w:val="0"/>
          <w:numId w:val="1002"/>
        </w:numPr>
      </w:pPr>
      <w:r>
        <w:rPr>
          <w:b/>
          <w:bCs/>
        </w:rPr>
        <w:t xml:space="preserve">Arbitral institution:</w:t>
      </w:r>
      <w:r>
        <w:t xml:space="preserve"> </w:t>
      </w:r>
      <w:r>
        <w:t xml:space="preserve">International Chamber of Commerce (ICC); seat Zurich, Switzerland.</w:t>
      </w:r>
    </w:p>
    <w:p>
      <w:pPr>
        <w:pStyle w:val="BlockText"/>
      </w:pPr>
      <w:r>
        <w:rPr>
          <w:b/>
          <w:bCs/>
        </w:rPr>
        <w:t xml:space="preserve">Housekeeping flag:</w:t>
      </w:r>
      <w:r>
        <w:t xml:space="preserve"> </w:t>
      </w:r>
      <w:r>
        <w:t xml:space="preserve">The MFC Side Letter (Section 5) refers to Whitmore’s counsel as</w:t>
      </w:r>
      <w:r>
        <w:t xml:space="preserve"> </w:t>
      </w:r>
      <w:r>
        <w:t xml:space="preserve">“</w:t>
      </w:r>
      <w:r>
        <w:t xml:space="preserve">Fenwick Hale &amp; Seward LLP,</w:t>
      </w:r>
      <w:r>
        <w:t xml:space="preserve">”</w:t>
      </w:r>
      <w:r>
        <w:t xml:space="preserve"> </w:t>
      </w:r>
      <w:r>
        <w:t xml:space="preserve">while Whitmore’s internal communications and this engagement refer to</w:t>
      </w:r>
      <w:r>
        <w:t xml:space="preserve"> </w:t>
      </w:r>
      <w:r>
        <w:t xml:space="preserve">“</w:t>
      </w:r>
      <w:r>
        <w:t xml:space="preserve">Ferndale Hale &amp; Seward LLP.</w:t>
      </w:r>
      <w:r>
        <w:t xml:space="preserve">”</w:t>
      </w:r>
      <w:r>
        <w:t xml:space="preserve"> </w:t>
      </w:r>
      <w:r>
        <w:t xml:space="preserve">This appears to be a typographical discrepancy in the Side Letter and should be confirmed/corrected so that the definitive agreement and any counsel communications are internally consistent.</w:t>
      </w:r>
    </w:p>
    <w:bookmarkEnd w:id="24"/>
    <w:bookmarkStart w:id="25" w:name="b.-deal-structure-and-purpose"/>
    <w:p>
      <w:pPr>
        <w:pStyle w:val="Heading2"/>
      </w:pPr>
      <w:r>
        <w:t xml:space="preserve">B. Deal structure and purpose</w:t>
      </w:r>
    </w:p>
    <w:p>
      <w:pPr>
        <w:pStyle w:val="FirstParagraph"/>
      </w:pPr>
      <w:r>
        <w:t xml:space="preserve">KBI seeks to integrate PredictIQ into its</w:t>
      </w:r>
      <w:r>
        <w:t xml:space="preserve"> </w:t>
      </w:r>
      <w:r>
        <w:t xml:space="preserve">“</w:t>
      </w:r>
      <w:r>
        <w:t xml:space="preserve">SmartFactory 2030</w:t>
      </w:r>
      <w:r>
        <w:t xml:space="preserve">”</w:t>
      </w:r>
      <w:r>
        <w:t xml:space="preserve"> </w:t>
      </w:r>
      <w:r>
        <w:t xml:space="preserve">initiative to reduce unplanned downtime by 40% across its European manufacturing operations. The proposed transaction comprises: (i) a perpetual, non-exclusive, worldwide technology license; (ii) an 18-month implementation across 43 facilities in 12 countries (10 pilot facilities in Phase 1; 33 in Phase 2); (iii) a SaaS subscription for the cloud-hosted analytics engine; and (iv) an on-premises deployment license for edge-computing modules. Whitmore holds 14 issued U.S. utility patents and 3 pending PCT applications covering PredictIQ’s core algorithms.</w:t>
      </w:r>
    </w:p>
    <w:bookmarkEnd w:id="25"/>
    <w:bookmarkStart w:id="26" w:name="c.-timeline"/>
    <w:p>
      <w:pPr>
        <w:pStyle w:val="Heading2"/>
      </w:pPr>
      <w:r>
        <w:t xml:space="preserve">C. Timeline</w:t>
      </w:r>
    </w:p>
    <w:tbl>
      <w:tblPr>
        <w:tblStyle w:val="Table"/>
        <w:tblW w:type="dxa" w:w="9360"/>
        <w:jc w:val="left"/>
        <w:tblLayout w:type="fixed"/>
        <w:tblLook w:firstRow="1" w:lastRow="0" w:firstColumn="0" w:lastColumn="0" w:noHBand="0" w:noVBand="0" w:val="0020"/>
      </w:tblPr>
      <w:tblGrid>
        <w:gridCol w:w="3182"/>
        <w:gridCol w:w="6178"/>
      </w:tblGrid>
      <w:tr>
        <w:trPr>
          <w:tblHeader w:val="on"/>
        </w:trPr>
        <w:tc>
          <w:tcPr>
            <w:tcW w:w="3182" w:type="dxa"/>
          </w:tcPr>
          <w:p>
            <w:pPr>
              <w:pStyle w:val="Compact"/>
              <w:jc w:val="left"/>
            </w:pPr>
            <w:r>
              <w:t xml:space="preserve">Date</w:t>
            </w:r>
          </w:p>
        </w:tc>
        <w:tc>
          <w:tcPr>
            <w:tcW w:w="6178" w:type="dxa"/>
          </w:tcPr>
          <w:p>
            <w:pPr>
              <w:pStyle w:val="Compact"/>
              <w:jc w:val="left"/>
            </w:pPr>
            <w:r>
              <w:t xml:space="preserve">Event</w:t>
            </w:r>
          </w:p>
        </w:tc>
      </w:tr>
      <w:tr>
        <w:tc>
          <w:tcPr>
            <w:tcW w:w="3182" w:type="dxa"/>
          </w:tcPr>
          <w:p>
            <w:pPr>
              <w:pStyle w:val="Compact"/>
              <w:jc w:val="left"/>
            </w:pPr>
            <w:r>
              <w:t xml:space="preserve">May 29, 2025</w:t>
            </w:r>
          </w:p>
        </w:tc>
        <w:tc>
          <w:tcPr>
            <w:tcW w:w="6178" w:type="dxa"/>
          </w:tcPr>
          <w:p>
            <w:pPr>
              <w:pStyle w:val="Compact"/>
              <w:jc w:val="left"/>
            </w:pPr>
            <w:r>
              <w:t xml:space="preserve">Term Sheet and MFC Side Letter issued by KBI</w:t>
            </w:r>
          </w:p>
        </w:tc>
      </w:tr>
      <w:tr>
        <w:tc>
          <w:tcPr>
            <w:tcW w:w="3182" w:type="dxa"/>
          </w:tcPr>
          <w:p>
            <w:pPr>
              <w:pStyle w:val="Compact"/>
              <w:jc w:val="left"/>
            </w:pPr>
            <w:r>
              <w:t xml:space="preserve">June 2, 2025</w:t>
            </w:r>
          </w:p>
        </w:tc>
        <w:tc>
          <w:tcPr>
            <w:tcW w:w="6178" w:type="dxa"/>
          </w:tcPr>
          <w:p>
            <w:pPr>
              <w:pStyle w:val="Compact"/>
              <w:jc w:val="left"/>
            </w:pPr>
            <w:r>
              <w:t xml:space="preserve">Documents received by Whitmore</w:t>
            </w:r>
          </w:p>
        </w:tc>
      </w:tr>
      <w:tr>
        <w:tc>
          <w:tcPr>
            <w:tcW w:w="3182" w:type="dxa"/>
          </w:tcPr>
          <w:p>
            <w:pPr>
              <w:pStyle w:val="Compact"/>
              <w:jc w:val="left"/>
            </w:pPr>
            <w:r>
              <w:t xml:space="preserve">June 16, 2025</w:t>
            </w:r>
          </w:p>
        </w:tc>
        <w:tc>
          <w:tcPr>
            <w:tcW w:w="6178" w:type="dxa"/>
          </w:tcPr>
          <w:p>
            <w:pPr>
              <w:pStyle w:val="Compact"/>
              <w:jc w:val="left"/>
            </w:pPr>
            <w:r>
              <w:t xml:space="preserve">Targeted delivery of this board-ready memo</w:t>
            </w:r>
          </w:p>
        </w:tc>
      </w:tr>
      <w:tr>
        <w:tc>
          <w:tcPr>
            <w:tcW w:w="3182" w:type="dxa"/>
          </w:tcPr>
          <w:p>
            <w:pPr>
              <w:pStyle w:val="Compact"/>
              <w:jc w:val="left"/>
            </w:pPr>
            <w:r>
              <w:t xml:space="preserve">June 18, 2025</w:t>
            </w:r>
          </w:p>
        </w:tc>
        <w:tc>
          <w:tcPr>
            <w:tcW w:w="6178" w:type="dxa"/>
          </w:tcPr>
          <w:p>
            <w:pPr>
              <w:pStyle w:val="Compact"/>
              <w:jc w:val="left"/>
            </w:pPr>
            <w:r>
              <w:t xml:space="preserve">Whitmore board meeting — approve negotiation framework</w:t>
            </w:r>
          </w:p>
        </w:tc>
      </w:tr>
      <w:tr>
        <w:tc>
          <w:tcPr>
            <w:tcW w:w="3182" w:type="dxa"/>
          </w:tcPr>
          <w:p>
            <w:pPr>
              <w:pStyle w:val="Compact"/>
              <w:jc w:val="left"/>
            </w:pPr>
            <w:r>
              <w:t xml:space="preserve">June 23, 2025</w:t>
            </w:r>
          </w:p>
        </w:tc>
        <w:tc>
          <w:tcPr>
            <w:tcW w:w="6178" w:type="dxa"/>
          </w:tcPr>
          <w:p>
            <w:pPr>
              <w:pStyle w:val="Compact"/>
              <w:jc w:val="left"/>
            </w:pPr>
            <w:r>
              <w:t xml:space="preserve">KBI’s requested response deadline</w:t>
            </w:r>
          </w:p>
        </w:tc>
      </w:tr>
      <w:tr>
        <w:tc>
          <w:tcPr>
            <w:tcW w:w="3182" w:type="dxa"/>
          </w:tcPr>
          <w:p>
            <w:pPr>
              <w:pStyle w:val="Compact"/>
              <w:jc w:val="left"/>
            </w:pPr>
            <w:r>
              <w:t xml:space="preserve">July 28, 2025</w:t>
            </w:r>
          </w:p>
        </w:tc>
        <w:tc>
          <w:tcPr>
            <w:tcW w:w="6178" w:type="dxa"/>
          </w:tcPr>
          <w:p>
            <w:pPr>
              <w:pStyle w:val="Compact"/>
              <w:jc w:val="left"/>
            </w:pPr>
            <w:r>
              <w:t xml:space="preserve">End of 60-day exclusive-negotiation (no-shop) period (binding)</w:t>
            </w:r>
          </w:p>
        </w:tc>
      </w:tr>
      <w:tr>
        <w:tc>
          <w:tcPr>
            <w:tcW w:w="3182" w:type="dxa"/>
          </w:tcPr>
          <w:p>
            <w:pPr>
              <w:pStyle w:val="Compact"/>
              <w:jc w:val="left"/>
            </w:pPr>
            <w:r>
              <w:t xml:space="preserve">August 15, 2025</w:t>
            </w:r>
          </w:p>
        </w:tc>
        <w:tc>
          <w:tcPr>
            <w:tcW w:w="6178" w:type="dxa"/>
          </w:tcPr>
          <w:p>
            <w:pPr>
              <w:pStyle w:val="Compact"/>
              <w:jc w:val="left"/>
            </w:pPr>
            <w:r>
              <w:t xml:space="preserve">Targeted definitive-agreement execution</w:t>
            </w:r>
          </w:p>
        </w:tc>
      </w:tr>
      <w:tr>
        <w:tc>
          <w:tcPr>
            <w:tcW w:w="3182" w:type="dxa"/>
          </w:tcPr>
          <w:p>
            <w:pPr>
              <w:pStyle w:val="Compact"/>
              <w:jc w:val="left"/>
            </w:pPr>
            <w:r>
              <w:t xml:space="preserve">September 15, 2025</w:t>
            </w:r>
          </w:p>
        </w:tc>
        <w:tc>
          <w:tcPr>
            <w:tcW w:w="6178" w:type="dxa"/>
          </w:tcPr>
          <w:p>
            <w:pPr>
              <w:pStyle w:val="Compact"/>
              <w:jc w:val="left"/>
            </w:pPr>
            <w:r>
              <w:t xml:space="preserve">Phase 1 implementation start (10 pilot facilities)</w:t>
            </w:r>
          </w:p>
        </w:tc>
      </w:tr>
      <w:tr>
        <w:tc>
          <w:tcPr>
            <w:tcW w:w="3182" w:type="dxa"/>
          </w:tcPr>
          <w:p>
            <w:pPr>
              <w:pStyle w:val="Compact"/>
              <w:jc w:val="left"/>
            </w:pPr>
            <w:r>
              <w:t xml:space="preserve">March 15, 2026</w:t>
            </w:r>
          </w:p>
        </w:tc>
        <w:tc>
          <w:tcPr>
            <w:tcW w:w="6178" w:type="dxa"/>
          </w:tcPr>
          <w:p>
            <w:pPr>
              <w:pStyle w:val="Compact"/>
              <w:jc w:val="left"/>
            </w:pPr>
            <w:r>
              <w:t xml:space="preserve">Phase 1 completion target</w:t>
            </w:r>
          </w:p>
        </w:tc>
      </w:tr>
      <w:tr>
        <w:tc>
          <w:tcPr>
            <w:tcW w:w="3182" w:type="dxa"/>
          </w:tcPr>
          <w:p>
            <w:pPr>
              <w:pStyle w:val="Compact"/>
              <w:jc w:val="left"/>
            </w:pPr>
            <w:r>
              <w:t xml:space="preserve">March 15, 2027</w:t>
            </w:r>
          </w:p>
        </w:tc>
        <w:tc>
          <w:tcPr>
            <w:tcW w:w="6178" w:type="dxa"/>
          </w:tcPr>
          <w:p>
            <w:pPr>
              <w:pStyle w:val="Compact"/>
              <w:jc w:val="left"/>
            </w:pPr>
            <w:r>
              <w:t xml:space="preserve">Phase 2 go-live target (18 months from implementation start)</w:t>
            </w:r>
          </w:p>
        </w:tc>
      </w:tr>
    </w:tbl>
    <w:p>
      <w:r>
        <w:pict>
          <v:rect style="width:0;height:1.5pt" o:hralign="center" o:hrstd="t" o:hr="t"/>
        </w:pict>
      </w:r>
    </w:p>
    <w:bookmarkEnd w:id="26"/>
    <w:bookmarkEnd w:id="27"/>
    <w:bookmarkStart w:id="31" w:name="iii.-key-commercial-terms"/>
    <w:p>
      <w:pPr>
        <w:pStyle w:val="Heading1"/>
      </w:pPr>
      <w:r>
        <w:t xml:space="preserve">III. Key Commercial Terms</w:t>
      </w:r>
    </w:p>
    <w:bookmarkStart w:id="28" w:name="a.-fee-schedule-as-drafted"/>
    <w:p>
      <w:pPr>
        <w:pStyle w:val="Heading2"/>
      </w:pPr>
      <w:r>
        <w:t xml:space="preserve">A. Fee schedule (as drafted)</w:t>
      </w:r>
    </w:p>
    <w:tbl>
      <w:tblPr>
        <w:tblStyle w:val="Table"/>
        <w:tblW w:type="dxa" w:w="9360"/>
        <w:jc w:val="left"/>
        <w:tblLayout w:type="fixed"/>
        <w:tblLook w:firstRow="1" w:lastRow="0" w:firstColumn="0" w:lastColumn="0" w:noHBand="0" w:noVBand="0" w:val="0020"/>
      </w:tblPr>
      <w:tblGrid>
        <w:gridCol w:w="2808"/>
        <w:gridCol w:w="2808"/>
        <w:gridCol w:w="3744"/>
      </w:tblGrid>
      <w:tr>
        <w:trPr>
          <w:tblHeader w:val="on"/>
        </w:trPr>
        <w:tc>
          <w:tcPr>
            <w:tcW w:w="2808" w:type="dxa"/>
          </w:tcPr>
          <w:p>
            <w:pPr>
              <w:pStyle w:val="Compact"/>
              <w:jc w:val="left"/>
            </w:pPr>
            <w:r>
              <w:t xml:space="preserve">Fee component</w:t>
            </w:r>
          </w:p>
        </w:tc>
        <w:tc>
          <w:tcPr>
            <w:tcW w:w="2808" w:type="dxa"/>
          </w:tcPr>
          <w:p>
            <w:pPr>
              <w:pStyle w:val="Compact"/>
              <w:jc w:val="left"/>
            </w:pPr>
            <w:r>
              <w:t xml:space="preserve">Amount</w:t>
            </w:r>
          </w:p>
        </w:tc>
        <w:tc>
          <w:tcPr>
            <w:tcW w:w="3744" w:type="dxa"/>
          </w:tcPr>
          <w:p>
            <w:pPr>
              <w:pStyle w:val="Compact"/>
              <w:jc w:val="left"/>
            </w:pPr>
            <w:r>
              <w:t xml:space="preserve">Timing / structure</w:t>
            </w:r>
          </w:p>
        </w:tc>
      </w:tr>
      <w:tr>
        <w:tc>
          <w:tcPr>
            <w:tcW w:w="2808" w:type="dxa"/>
          </w:tcPr>
          <w:p>
            <w:pPr>
              <w:pStyle w:val="Compact"/>
              <w:jc w:val="left"/>
            </w:pPr>
            <w:r>
              <w:t xml:space="preserve">Initial License Fee</w:t>
            </w:r>
          </w:p>
        </w:tc>
        <w:tc>
          <w:tcPr>
            <w:tcW w:w="2808" w:type="dxa"/>
          </w:tcPr>
          <w:p>
            <w:pPr>
              <w:pStyle w:val="Compact"/>
              <w:jc w:val="left"/>
            </w:pPr>
            <w:r>
              <w:t xml:space="preserve">$4,200,000</w:t>
            </w:r>
          </w:p>
        </w:tc>
        <w:tc>
          <w:tcPr>
            <w:tcW w:w="3744" w:type="dxa"/>
          </w:tcPr>
          <w:p>
            <w:pPr>
              <w:pStyle w:val="Compact"/>
              <w:jc w:val="left"/>
            </w:pPr>
            <w:r>
              <w:t xml:space="preserve">30% ($1,260,000) at execution; 40% ($1,680,000) at Phase 1 completion (Mar 15, 2026); 30% ($1,260,000) at Phase 2 go-live (Mar 15, 2027)</w:t>
            </w:r>
          </w:p>
        </w:tc>
      </w:tr>
      <w:tr>
        <w:tc>
          <w:tcPr>
            <w:tcW w:w="2808" w:type="dxa"/>
          </w:tcPr>
          <w:p>
            <w:pPr>
              <w:pStyle w:val="Compact"/>
              <w:jc w:val="left"/>
            </w:pPr>
            <w:r>
              <w:t xml:space="preserve">Annual SaaS Subscription Fee</w:t>
            </w:r>
          </w:p>
        </w:tc>
        <w:tc>
          <w:tcPr>
            <w:tcW w:w="2808" w:type="dxa"/>
          </w:tcPr>
          <w:p>
            <w:pPr>
              <w:pStyle w:val="Compact"/>
              <w:jc w:val="left"/>
            </w:pPr>
            <w:r>
              <w:t xml:space="preserve">$2,850,000/yr (Yrs 1–3)</w:t>
            </w:r>
          </w:p>
        </w:tc>
        <w:tc>
          <w:tcPr>
            <w:tcW w:w="3744" w:type="dxa"/>
          </w:tcPr>
          <w:p>
            <w:pPr>
              <w:pStyle w:val="Compact"/>
              <w:jc w:val="left"/>
            </w:pPr>
            <w:r>
              <w:t xml:space="preserve">Quarterly in advance ($712,500/qtr); +3%/yr from Year 4 (Yr 4: $2,935,500; Yr 5: $3,023,565)</w:t>
            </w:r>
          </w:p>
        </w:tc>
      </w:tr>
      <w:tr>
        <w:tc>
          <w:tcPr>
            <w:tcW w:w="2808" w:type="dxa"/>
          </w:tcPr>
          <w:p>
            <w:pPr>
              <w:pStyle w:val="Compact"/>
              <w:jc w:val="left"/>
            </w:pPr>
            <w:r>
              <w:t xml:space="preserve">Implementation Services Fee</w:t>
            </w:r>
          </w:p>
        </w:tc>
        <w:tc>
          <w:tcPr>
            <w:tcW w:w="2808" w:type="dxa"/>
          </w:tcPr>
          <w:p>
            <w:pPr>
              <w:pStyle w:val="Compact"/>
              <w:jc w:val="left"/>
            </w:pPr>
            <w:r>
              <w:t xml:space="preserve">$1,750,000</w:t>
            </w:r>
          </w:p>
        </w:tc>
        <w:tc>
          <w:tcPr>
            <w:tcW w:w="3744" w:type="dxa"/>
          </w:tcPr>
          <w:p>
            <w:pPr>
              <w:pStyle w:val="Compact"/>
              <w:jc w:val="left"/>
            </w:pPr>
            <w:r>
              <w:t xml:space="preserve">Equal monthly installments over 18 months ($97,222.22/mo)</w:t>
            </w:r>
          </w:p>
        </w:tc>
      </w:tr>
      <w:tr>
        <w:tc>
          <w:tcPr>
            <w:tcW w:w="2808" w:type="dxa"/>
          </w:tcPr>
          <w:p>
            <w:pPr>
              <w:pStyle w:val="Compact"/>
              <w:jc w:val="left"/>
            </w:pPr>
            <w:r>
              <w:t xml:space="preserve">Annual Maintenance &amp; Support Fee</w:t>
            </w:r>
          </w:p>
        </w:tc>
        <w:tc>
          <w:tcPr>
            <w:tcW w:w="2808" w:type="dxa"/>
          </w:tcPr>
          <w:p>
            <w:pPr>
              <w:pStyle w:val="Compact"/>
              <w:jc w:val="left"/>
            </w:pPr>
            <w:r>
              <w:t xml:space="preserve">$756,000/yr (Yr 1)</w:t>
            </w:r>
          </w:p>
        </w:tc>
        <w:tc>
          <w:tcPr>
            <w:tcW w:w="3744" w:type="dxa"/>
          </w:tcPr>
          <w:p>
            <w:pPr>
              <w:pStyle w:val="Compact"/>
              <w:jc w:val="left"/>
            </w:pPr>
            <w:r>
              <w:t xml:space="preserve">18% of Initial License Fee; +4%/yr from Year 2 (Yr 2: $786,240; Yr 3: $817,689.60); annually in advance; commences at Phase 1 go-live (§7.4)</w:t>
            </w:r>
          </w:p>
        </w:tc>
      </w:tr>
      <w:tr>
        <w:tc>
          <w:tcPr>
            <w:tcW w:w="2808" w:type="dxa"/>
          </w:tcPr>
          <w:p>
            <w:pPr>
              <w:pStyle w:val="Compact"/>
              <w:jc w:val="left"/>
            </w:pPr>
            <w:r>
              <w:t xml:space="preserve">Expansion pricing</w:t>
            </w:r>
          </w:p>
        </w:tc>
        <w:tc>
          <w:tcPr>
            <w:tcW w:w="2808" w:type="dxa"/>
          </w:tcPr>
          <w:p>
            <w:pPr>
              <w:pStyle w:val="Compact"/>
              <w:jc w:val="left"/>
            </w:pPr>
            <w:r>
              <w:t xml:space="preserve">Same per-facility terms, pro rata to 43 facilities, no additional license fee</w:t>
            </w:r>
          </w:p>
        </w:tc>
        <w:tc>
          <w:tcPr>
            <w:tcW w:w="3744" w:type="dxa"/>
          </w:tcPr>
          <w:p>
            <w:pPr>
              <w:pStyle w:val="Compact"/>
              <w:jc w:val="left"/>
            </w:pPr>
            <w:r>
              <w:t xml:space="preserve">5-year expansion right for newly acquired facilities (§2, §5.7)</w:t>
            </w:r>
          </w:p>
        </w:tc>
      </w:tr>
      <w:tr>
        <w:tc>
          <w:tcPr>
            <w:tcW w:w="2808" w:type="dxa"/>
          </w:tcPr>
          <w:p>
            <w:pPr>
              <w:pStyle w:val="Compact"/>
              <w:jc w:val="left"/>
            </w:pPr>
            <w:r>
              <w:t xml:space="preserve">Currency / payment</w:t>
            </w:r>
          </w:p>
        </w:tc>
        <w:tc>
          <w:tcPr>
            <w:tcW w:w="2808" w:type="dxa"/>
          </w:tcPr>
          <w:p>
            <w:pPr>
              <w:pStyle w:val="Compact"/>
              <w:jc w:val="left"/>
            </w:pPr>
            <w:r>
              <w:t xml:space="preserve">U.S. dollars; net 30 days; late interest 1.5%/month or legal max</w:t>
            </w:r>
          </w:p>
        </w:tc>
        <w:tc>
          <w:tcPr>
            <w:tcW w:w="3744" w:type="dxa"/>
          </w:tcPr>
          <w:p>
            <w:pPr>
              <w:pStyle w:val="Compact"/>
              <w:jc w:val="left"/>
            </w:pPr>
            <w:r>
              <w:t xml:space="preserve">§5.5</w:t>
            </w:r>
          </w:p>
        </w:tc>
      </w:tr>
      <w:tr>
        <w:tc>
          <w:tcPr>
            <w:tcW w:w="2808" w:type="dxa"/>
          </w:tcPr>
          <w:p>
            <w:pPr>
              <w:pStyle w:val="Compact"/>
              <w:jc w:val="left"/>
            </w:pPr>
            <w:r>
              <w:t xml:space="preserve">Taxes</w:t>
            </w:r>
          </w:p>
        </w:tc>
        <w:tc>
          <w:tcPr>
            <w:tcW w:w="2808" w:type="dxa"/>
          </w:tcPr>
          <w:p>
            <w:pPr>
              <w:pStyle w:val="Compact"/>
              <w:jc w:val="left"/>
            </w:pPr>
            <w:r>
              <w:t xml:space="preserve">KBI bears sales/use/VAT/similar taxes (excl. Whitmore income tax)</w:t>
            </w:r>
          </w:p>
        </w:tc>
        <w:tc>
          <w:tcPr>
            <w:tcW w:w="3744" w:type="dxa"/>
          </w:tcPr>
          <w:p>
            <w:pPr>
              <w:pStyle w:val="Compact"/>
              <w:jc w:val="left"/>
            </w:pPr>
            <w:r>
              <w:t xml:space="preserve">§5.6</w:t>
            </w:r>
          </w:p>
        </w:tc>
      </w:tr>
    </w:tbl>
    <w:bookmarkEnd w:id="28"/>
    <w:bookmarkStart w:id="29" w:name="b.-estimated-5-year-contract-value"/>
    <w:p>
      <w:pPr>
        <w:pStyle w:val="Heading2"/>
      </w:pPr>
      <w:r>
        <w:t xml:space="preserve">B. Estimated 5-year contract value</w:t>
      </w:r>
    </w:p>
    <w:tbl>
      <w:tblPr>
        <w:tblStyle w:val="Table"/>
        <w:tblW w:type="dxa" w:w="9360"/>
        <w:jc w:val="left"/>
        <w:tblLook w:firstRow="1" w:lastRow="0" w:firstColumn="0" w:lastColumn="0" w:noHBand="0" w:noVBand="0" w:val="0020"/>
        <w:tblLayout w:type="fixed"/>
      </w:tblPr>
      <w:tblGrid>
        <w:gridCol w:w="5803"/>
        <w:gridCol w:w="3557"/>
      </w:tblGrid>
      <w:tr>
        <w:trPr>
          <w:tblHeader w:val="on"/>
        </w:trPr>
        <w:tc>
          <w:tcPr>
            <w:tcW w:w="5803" w:type="dxa"/>
          </w:tcPr>
          <w:p>
            <w:pPr>
              <w:pStyle w:val="Compact"/>
              <w:jc w:val="left"/>
            </w:pPr>
            <w:r>
              <w:t xml:space="preserve">Component</w:t>
            </w:r>
          </w:p>
        </w:tc>
        <w:tc>
          <w:tcPr>
            <w:tcW w:w="3557" w:type="dxa"/>
          </w:tcPr>
          <w:p>
            <w:pPr>
              <w:pStyle w:val="Compact"/>
              <w:jc w:val="left"/>
            </w:pPr>
            <w:r>
              <w:t xml:space="preserve">5-year total (USD)</w:t>
            </w:r>
          </w:p>
        </w:tc>
      </w:tr>
      <w:tr>
        <w:tc>
          <w:tcPr>
            <w:tcW w:w="5803" w:type="dxa"/>
          </w:tcPr>
          <w:p>
            <w:pPr>
              <w:pStyle w:val="Compact"/>
              <w:jc w:val="left"/>
            </w:pPr>
            <w:r>
              <w:t xml:space="preserve">Initial License Fee</w:t>
            </w:r>
          </w:p>
        </w:tc>
        <w:tc>
          <w:tcPr>
            <w:tcW w:w="3557" w:type="dxa"/>
          </w:tcPr>
          <w:p>
            <w:pPr>
              <w:pStyle w:val="Compact"/>
              <w:jc w:val="left"/>
            </w:pPr>
            <w:r>
              <w:t xml:space="preserve">$4,200,000</w:t>
            </w:r>
          </w:p>
        </w:tc>
      </w:tr>
      <w:tr>
        <w:tc>
          <w:tcPr>
            <w:tcW w:w="5803" w:type="dxa"/>
          </w:tcPr>
          <w:p>
            <w:pPr>
              <w:pStyle w:val="Compact"/>
              <w:jc w:val="left"/>
            </w:pPr>
            <w:r>
              <w:t xml:space="preserve">SaaS Subscription (Yrs 1–5)</w:t>
            </w:r>
          </w:p>
        </w:tc>
        <w:tc>
          <w:tcPr>
            <w:tcW w:w="3557" w:type="dxa"/>
          </w:tcPr>
          <w:p>
            <w:pPr>
              <w:pStyle w:val="Compact"/>
              <w:jc w:val="left"/>
            </w:pPr>
            <w:r>
              <w:t xml:space="preserve">$14,509,065</w:t>
            </w:r>
          </w:p>
        </w:tc>
      </w:tr>
      <w:tr>
        <w:tc>
          <w:tcPr>
            <w:tcW w:w="5803" w:type="dxa"/>
          </w:tcPr>
          <w:p>
            <w:pPr>
              <w:pStyle w:val="Compact"/>
              <w:jc w:val="left"/>
            </w:pPr>
            <w:r>
              <w:t xml:space="preserve">Implementation Services</w:t>
            </w:r>
          </w:p>
        </w:tc>
        <w:tc>
          <w:tcPr>
            <w:tcW w:w="3557" w:type="dxa"/>
          </w:tcPr>
          <w:p>
            <w:pPr>
              <w:pStyle w:val="Compact"/>
              <w:jc w:val="left"/>
            </w:pPr>
            <w:r>
              <w:t xml:space="preserve">$1,750,000</w:t>
            </w:r>
          </w:p>
        </w:tc>
      </w:tr>
      <w:tr>
        <w:tc>
          <w:tcPr>
            <w:tcW w:w="5803" w:type="dxa"/>
          </w:tcPr>
          <w:p>
            <w:pPr>
              <w:pStyle w:val="Compact"/>
              <w:jc w:val="left"/>
            </w:pPr>
            <w:r>
              <w:t xml:space="preserve">Maintenance &amp; Support (Yrs 1–5)</w:t>
            </w:r>
          </w:p>
        </w:tc>
        <w:tc>
          <w:tcPr>
            <w:tcW w:w="3557" w:type="dxa"/>
          </w:tcPr>
          <w:p>
            <w:pPr>
              <w:pStyle w:val="Compact"/>
              <w:jc w:val="left"/>
            </w:pPr>
            <w:r>
              <w:t xml:space="preserve">$4,094,740</w:t>
            </w:r>
          </w:p>
        </w:tc>
      </w:tr>
      <w:tr>
        <w:tc>
          <w:tcPr>
            <w:tcW w:w="5803" w:type="dxa"/>
          </w:tcPr>
          <w:p>
            <w:pPr>
              <w:pStyle w:val="Compact"/>
              <w:jc w:val="left"/>
            </w:pPr>
            <w:r>
              <w:rPr>
                <w:b/>
                <w:bCs/>
              </w:rPr>
              <w:t xml:space="preserve">Estimated 5-year total</w:t>
            </w:r>
          </w:p>
        </w:tc>
        <w:tc>
          <w:tcPr>
            <w:tcW w:w="3557" w:type="dxa"/>
          </w:tcPr>
          <w:p>
            <w:pPr>
              <w:pStyle w:val="Compact"/>
              <w:jc w:val="left"/>
            </w:pPr>
            <w:r>
              <w:rPr>
                <w:b/>
                <w:bCs/>
              </w:rPr>
              <w:t xml:space="preserve">~$24,553,805</w:t>
            </w:r>
          </w:p>
        </w:tc>
      </w:tr>
    </w:tbl>
    <w:p>
      <w:pPr>
        <w:pStyle w:val="BodyText"/>
      </w:pPr>
      <w:r>
        <w:t xml:space="preserve">The license is perpetual; recurring SaaS and maintenance fees (both escalating) continue indefinitely thereafter, subject to KBI’s termination-for-convenience right (no earlier than the 3rd anniversary, on 12 months’ notice) and the wind-down license (Section 13.5). The</w:t>
      </w:r>
      <w:r>
        <w:t xml:space="preserve"> </w:t>
      </w:r>
      <w:r>
        <w:t xml:space="preserve">“</w:t>
      </w:r>
      <w:r>
        <w:t xml:space="preserve">first-year</w:t>
      </w:r>
      <w:r>
        <w:t xml:space="preserve">”</w:t>
      </w:r>
      <w:r>
        <w:t xml:space="preserve"> </w:t>
      </w:r>
      <w:r>
        <w:t xml:space="preserve">headline of ~$9.56M reflects the sum of all four fee types at full annual/one-time amounts (as framed in the MFC Side Letter); actual Year-1 cash is lower because the 40% and 30% license installments fall in Years 2 and 3, and implementation is paid over 18 months.</w:t>
      </w:r>
    </w:p>
    <w:bookmarkEnd w:id="29"/>
    <w:bookmarkStart w:id="30" w:name="X2d30d85e6035ce0cea02164327b8d2032a4a316"/>
    <w:p>
      <w:pPr>
        <w:pStyle w:val="Heading2"/>
      </w:pPr>
      <w:r>
        <w:t xml:space="preserve">C. Cash-flow timing concern (flagged by management)</w:t>
      </w:r>
    </w:p>
    <w:p>
      <w:pPr>
        <w:pStyle w:val="FirstParagraph"/>
      </w:pPr>
      <w:r>
        <w:t xml:space="preserve">Under the as-drafted payment structure, Whitmore’s first-6-month inflows are approximately $1.84M (signing payment $1,260,000 + 6 × $97,222.22 implementation ≈ $583,333), against estimated implementation costs of $2.5–3.0M (8–12 engineers/consultants, international travel, on-site integration across 12 countries) — a potential shortfall of $0.7–1.2M before the Phase 1 milestone payment. Management’s proposed restructure (40/30/30 license split with 40% at signing = $1,680,000, plus front-loading 40% of implementation fees in the first 6 months = $700,000) raises first-6-month inflows to ~$2.38M, narrowing but not fully closing the gap. We recommend the restructure and a separate implementation SOW (see Section VII.C).</w:t>
      </w:r>
    </w:p>
    <w:p>
      <w:r>
        <w:pict>
          <v:rect style="width:0;height:1.5pt" o:hralign="center" o:hrstd="t" o:hr="t"/>
        </w:pict>
      </w:r>
    </w:p>
    <w:bookmarkEnd w:id="30"/>
    <w:bookmarkEnd w:id="31"/>
    <w:bookmarkStart w:id="46" w:name="iv.-key-legal-terms-extraction-by-topic"/>
    <w:p>
      <w:pPr>
        <w:pStyle w:val="Heading1"/>
      </w:pPr>
      <w:r>
        <w:t xml:space="preserve">IV. Key Legal Terms — Extraction by Topic</w:t>
      </w:r>
    </w:p>
    <w:bookmarkStart w:id="32" w:name="a.-license-grant-and-scope-section-2"/>
    <w:p>
      <w:pPr>
        <w:pStyle w:val="Heading2"/>
      </w:pPr>
      <w:r>
        <w:t xml:space="preserve">A. License grant and scope (Section 2)</w:t>
      </w:r>
    </w:p>
    <w:p>
      <w:pPr>
        <w:pStyle w:val="Compact"/>
        <w:numPr>
          <w:ilvl w:val="0"/>
          <w:numId w:val="1003"/>
        </w:numPr>
      </w:pPr>
      <w:r>
        <w:rPr>
          <w:b/>
          <w:bCs/>
        </w:rPr>
        <w:t xml:space="preserve">Grant:</w:t>
      </w:r>
      <w:r>
        <w:t xml:space="preserve"> </w:t>
      </w:r>
      <w:r>
        <w:t xml:space="preserve">Perpetual, non-exclusive, worldwide license to use, execute, display, and operate PredictIQ (software, algorithms, documentation, APIs, edge modules) in connection with KBI’s manufacturing operations.</w:t>
      </w:r>
    </w:p>
    <w:p>
      <w:pPr>
        <w:pStyle w:val="Compact"/>
        <w:numPr>
          <w:ilvl w:val="0"/>
          <w:numId w:val="1003"/>
        </w:numPr>
      </w:pPr>
      <w:r>
        <w:rPr>
          <w:b/>
          <w:bCs/>
        </w:rPr>
        <w:t xml:space="preserve">Authorized users:</w:t>
      </w:r>
      <w:r>
        <w:t xml:space="preserve"> </w:t>
      </w:r>
      <w:r>
        <w:t xml:space="preserve">KBI employees, contractors, and agents at/for KBI facilities, subject to confidentiality obligations.</w:t>
      </w:r>
    </w:p>
    <w:p>
      <w:pPr>
        <w:pStyle w:val="Compact"/>
        <w:numPr>
          <w:ilvl w:val="0"/>
          <w:numId w:val="1003"/>
        </w:numPr>
      </w:pPr>
      <w:r>
        <w:rPr>
          <w:b/>
          <w:bCs/>
        </w:rPr>
        <w:t xml:space="preserve">Sublicensing:</w:t>
      </w:r>
      <w:r>
        <w:t xml:space="preserve"> </w:t>
      </w:r>
      <w:r>
        <w:t xml:space="preserve">No sublicensing to third parties; permitted access for controlled affiliates and subcontractors performing services at KBI facilities.</w:t>
      </w:r>
    </w:p>
    <w:p>
      <w:pPr>
        <w:pStyle w:val="Compact"/>
        <w:numPr>
          <w:ilvl w:val="0"/>
          <w:numId w:val="1003"/>
        </w:numPr>
      </w:pPr>
      <w:r>
        <w:rPr>
          <w:b/>
          <w:bCs/>
        </w:rPr>
        <w:t xml:space="preserve">Derivative works:</w:t>
      </w:r>
      <w:r>
        <w:t xml:space="preserve"> </w:t>
      </w:r>
      <w:r>
        <w:t xml:space="preserve">KBI may create derivative works from the API layer solely to integrate with KBI’s MES/SCADA/internal systems.</w:t>
      </w:r>
      <w:r>
        <w:t xml:space="preserve"> </w:t>
      </w:r>
      <w:r>
        <w:rPr>
          <w:b/>
          <w:bCs/>
        </w:rPr>
        <w:t xml:space="preserve">Any such derivative works are jointly owned by KBI and Whitmore</w:t>
      </w:r>
      <w:r>
        <w:t xml:space="preserve">, each with the unrestricted right to use, modify, sublicense, and exploit without the other’s consent or accounting.</w:t>
      </w:r>
    </w:p>
    <w:p>
      <w:pPr>
        <w:pStyle w:val="Compact"/>
        <w:numPr>
          <w:ilvl w:val="0"/>
          <w:numId w:val="1003"/>
        </w:numPr>
      </w:pPr>
      <w:r>
        <w:rPr>
          <w:b/>
          <w:bCs/>
        </w:rPr>
        <w:t xml:space="preserve">Expansion right:</w:t>
      </w:r>
      <w:r>
        <w:t xml:space="preserve"> </w:t>
      </w:r>
      <w:r>
        <w:t xml:space="preserve">5 years post-execution, KBI may deploy at newly acquired facilities at the same per-facility terms.</w:t>
      </w:r>
    </w:p>
    <w:p>
      <w:pPr>
        <w:pStyle w:val="Compact"/>
        <w:numPr>
          <w:ilvl w:val="0"/>
          <w:numId w:val="1003"/>
        </w:numPr>
      </w:pPr>
      <w:r>
        <w:rPr>
          <w:b/>
          <w:bCs/>
        </w:rPr>
        <w:t xml:space="preserve">Restrictions:</w:t>
      </w:r>
      <w:r>
        <w:t xml:space="preserve"> </w:t>
      </w:r>
      <w:r>
        <w:t xml:space="preserve">No reverse engineering (except as permitted by law); no use for third-party benefit; no removal of proprietary notices.</w:t>
      </w:r>
    </w:p>
    <w:bookmarkEnd w:id="32"/>
    <w:bookmarkStart w:id="33" w:name="Xcac8458f900004eaa29d9c8c3028485d1d4f7a8"/>
    <w:p>
      <w:pPr>
        <w:pStyle w:val="Heading2"/>
      </w:pPr>
      <w:r>
        <w:t xml:space="preserve">B. Intellectual property ownership (Section 3)</w:t>
      </w:r>
    </w:p>
    <w:p>
      <w:pPr>
        <w:pStyle w:val="Compact"/>
        <w:numPr>
          <w:ilvl w:val="0"/>
          <w:numId w:val="1004"/>
        </w:numPr>
      </w:pPr>
      <w:r>
        <w:rPr>
          <w:b/>
          <w:bCs/>
        </w:rPr>
        <w:t xml:space="preserve">3.1 Whitmore IP:</w:t>
      </w:r>
      <w:r>
        <w:t xml:space="preserve"> </w:t>
      </w:r>
      <w:r>
        <w:t xml:space="preserve">Whitmore retains all rights in PredictIQ (software, algorithms, models, source/object code, documentation, patents, trade secrets). No transfer except as expressly stated.</w:t>
      </w:r>
    </w:p>
    <w:p>
      <w:pPr>
        <w:pStyle w:val="Compact"/>
        <w:numPr>
          <w:ilvl w:val="0"/>
          <w:numId w:val="1004"/>
        </w:numPr>
      </w:pPr>
      <w:r>
        <w:rPr>
          <w:b/>
          <w:bCs/>
        </w:rPr>
        <w:t xml:space="preserve">3.2 KBI IP:</w:t>
      </w:r>
      <w:r>
        <w:t xml:space="preserve"> </w:t>
      </w:r>
      <w:r>
        <w:t xml:space="preserve">KBI retains rights in its MES, SCADA, operational data, and know-how.</w:t>
      </w:r>
    </w:p>
    <w:p>
      <w:pPr>
        <w:pStyle w:val="Compact"/>
        <w:numPr>
          <w:ilvl w:val="0"/>
          <w:numId w:val="1004"/>
        </w:numPr>
      </w:pPr>
      <w:r>
        <w:rPr>
          <w:b/>
          <w:bCs/>
        </w:rPr>
        <w:t xml:space="preserve">3.3 Derivative works:</w:t>
      </w:r>
      <w:r>
        <w:t xml:space="preserve"> </w:t>
      </w:r>
      <w:r>
        <w:t xml:space="preserve">Jointly owned (as in Section 2), each party unrestricted.</w:t>
      </w:r>
    </w:p>
    <w:p>
      <w:pPr>
        <w:pStyle w:val="Compact"/>
        <w:numPr>
          <w:ilvl w:val="0"/>
          <w:numId w:val="1004"/>
        </w:numPr>
      </w:pPr>
      <w:r>
        <w:rPr>
          <w:b/>
          <w:bCs/>
        </w:rPr>
        <w:t xml:space="preserve">3.4 Feedback:</w:t>
      </w:r>
      <w:r>
        <w:t xml:space="preserve"> </w:t>
      </w:r>
      <w:r>
        <w:t xml:space="preserve">All feedback (suggestions, ideas, enhancement requests, improvements) becomes Whitmore’s sole and exclusive property; KBI assigns all rights to Whitmore; Whitmore may exploit without restriction or obligation.</w:t>
      </w:r>
    </w:p>
    <w:p>
      <w:pPr>
        <w:pStyle w:val="Compact"/>
        <w:numPr>
          <w:ilvl w:val="0"/>
          <w:numId w:val="1004"/>
        </w:numPr>
      </w:pPr>
      <w:r>
        <w:rPr>
          <w:b/>
          <w:bCs/>
        </w:rPr>
        <w:t xml:space="preserve">3.5 KBI-Inspired Improvements:</w:t>
      </w:r>
      <w:r>
        <w:t xml:space="preserve"> </w:t>
      </w:r>
      <w:r>
        <w:t xml:space="preserve">Notwithstanding Section 3.4, improvements/enhancements/modifications derived from or inspired by KBI’s data, processes, or use are licensed back to KBI on a perpetual, irrevocable, royalty-free, non-exclusive basis for use within its manufacturing operations — regardless of whether developed in response to KBI feedback.</w:t>
      </w:r>
    </w:p>
    <w:bookmarkEnd w:id="33"/>
    <w:bookmarkStart w:id="34" w:name="c.-data-rights-section-4"/>
    <w:p>
      <w:pPr>
        <w:pStyle w:val="Heading2"/>
      </w:pPr>
      <w:r>
        <w:t xml:space="preserve">C. Data rights (Section 4)</w:t>
      </w:r>
    </w:p>
    <w:p>
      <w:pPr>
        <w:pStyle w:val="Compact"/>
        <w:numPr>
          <w:ilvl w:val="0"/>
          <w:numId w:val="1005"/>
        </w:numPr>
      </w:pPr>
      <w:r>
        <w:rPr>
          <w:b/>
          <w:bCs/>
        </w:rPr>
        <w:t xml:space="preserve">4.1 KBI Data:</w:t>
      </w:r>
      <w:r>
        <w:t xml:space="preserve"> </w:t>
      </w:r>
      <w:r>
        <w:t xml:space="preserve">KBI retains all rights in data it provides or that its systems generate and input into PredictIQ (operational data, sensor readings, telemetry, maintenance records, production schedules, environmental data).</w:t>
      </w:r>
    </w:p>
    <w:p>
      <w:pPr>
        <w:pStyle w:val="Compact"/>
        <w:numPr>
          <w:ilvl w:val="0"/>
          <w:numId w:val="1005"/>
        </w:numPr>
      </w:pPr>
      <w:r>
        <w:rPr>
          <w:b/>
          <w:bCs/>
        </w:rPr>
        <w:t xml:space="preserve">4.2 Output Data:</w:t>
      </w:r>
      <w:r>
        <w:t xml:space="preserve"> </w:t>
      </w:r>
      <w:r>
        <w:t xml:space="preserve">All outputs generated by PredictIQ when processing KBI Data — expressly including</w:t>
      </w:r>
      <w:r>
        <w:t xml:space="preserve"> </w:t>
      </w:r>
      <w:r>
        <w:rPr>
          <w:b/>
          <w:bCs/>
        </w:rPr>
        <w:t xml:space="preserve">model weights, parameters, training artifacts, feature-importance rankings, and model configuration data derived from KBI Data</w:t>
      </w:r>
      <w:r>
        <w:t xml:space="preserve"> </w:t>
      </w:r>
      <w:r>
        <w:t xml:space="preserve">— are KBI’s sole and exclusive property.</w:t>
      </w:r>
    </w:p>
    <w:p>
      <w:pPr>
        <w:pStyle w:val="Compact"/>
        <w:numPr>
          <w:ilvl w:val="0"/>
          <w:numId w:val="1005"/>
        </w:numPr>
      </w:pPr>
      <w:r>
        <w:rPr>
          <w:b/>
          <w:bCs/>
        </w:rPr>
        <w:t xml:space="preserve">4.3 Restrictions on use of KBI Data:</w:t>
      </w:r>
      <w:r>
        <w:t xml:space="preserve"> </w:t>
      </w:r>
      <w:r>
        <w:t xml:space="preserve">Whitmore may not use KBI Data (or data derived therefrom) for any purpose other than performing its obligations — specifically prohibiting (a) training/tuning/improving general-purpose ML models; (b) developing/improving products for third parties; and (c) creating anonymized/aggregated/de-identified datasets.</w:t>
      </w:r>
      <w:r>
        <w:t xml:space="preserve"> </w:t>
      </w:r>
      <w:r>
        <w:rPr>
          <w:b/>
          <w:bCs/>
        </w:rPr>
        <w:t xml:space="preserve">For avoidance of doubt, Whitmore may not use KBI Data in anonymized or aggregated form to train/improve general models without KBI’s prior written consent, which KBI may withhold in its sole discretion.</w:t>
      </w:r>
    </w:p>
    <w:p>
      <w:pPr>
        <w:pStyle w:val="Compact"/>
        <w:numPr>
          <w:ilvl w:val="0"/>
          <w:numId w:val="1005"/>
        </w:numPr>
      </w:pPr>
      <w:r>
        <w:rPr>
          <w:b/>
          <w:bCs/>
        </w:rPr>
        <w:t xml:space="preserve">4.4 Return/deletion:</w:t>
      </w:r>
      <w:r>
        <w:t xml:space="preserve"> </w:t>
      </w:r>
      <w:r>
        <w:t xml:space="preserve">At KBI’s election on termination, Whitmore returns or securely deletes all KBI Data and Output Data and certifies in writing.</w:t>
      </w:r>
    </w:p>
    <w:p>
      <w:pPr>
        <w:pStyle w:val="Compact"/>
        <w:numPr>
          <w:ilvl w:val="0"/>
          <w:numId w:val="1005"/>
        </w:numPr>
      </w:pPr>
      <w:r>
        <w:rPr>
          <w:b/>
          <w:bCs/>
        </w:rPr>
        <w:t xml:space="preserve">4.5 Compliance:</w:t>
      </w:r>
      <w:r>
        <w:t xml:space="preserve"> </w:t>
      </w:r>
      <w:r>
        <w:t xml:space="preserve">Both parties comply with GDPR and German federal/state data-protection laws.</w:t>
      </w:r>
    </w:p>
    <w:bookmarkEnd w:id="34"/>
    <w:bookmarkStart w:id="35" w:name="d.-implementation-services-section-6"/>
    <w:p>
      <w:pPr>
        <w:pStyle w:val="Heading2"/>
      </w:pPr>
      <w:r>
        <w:t xml:space="preserve">D. Implementation services (Section 6)</w:t>
      </w:r>
    </w:p>
    <w:p>
      <w:pPr>
        <w:pStyle w:val="Compact"/>
        <w:numPr>
          <w:ilvl w:val="0"/>
          <w:numId w:val="1006"/>
        </w:numPr>
      </w:pPr>
      <w:r>
        <w:rPr>
          <w:b/>
          <w:bCs/>
        </w:rPr>
        <w:t xml:space="preserve">Scope (6.1):</w:t>
      </w:r>
      <w:r>
        <w:t xml:space="preserve"> </w:t>
      </w:r>
      <w:r>
        <w:t xml:space="preserve">On-site edge-module deployment; SCADA/MES integration; IoT data-ingestion configuration; model calibration/initial training on KBI historical data; end-user training; UAT at each facility.</w:t>
      </w:r>
    </w:p>
    <w:p>
      <w:pPr>
        <w:pStyle w:val="Compact"/>
        <w:numPr>
          <w:ilvl w:val="0"/>
          <w:numId w:val="1006"/>
        </w:numPr>
      </w:pPr>
      <w:r>
        <w:rPr>
          <w:b/>
          <w:bCs/>
        </w:rPr>
        <w:t xml:space="preserve">Phases (6.2):</w:t>
      </w:r>
      <w:r>
        <w:t xml:space="preserve"> </w:t>
      </w:r>
      <w:r>
        <w:t xml:space="preserve">Phase 1 (months 1–6): 10 pilot facilities (start Sep 15, 2025; complete Mar 15, 2026). Phase 2 (months 7–18): remaining 33 facilities (complete Mar 15, 2027).</w:t>
      </w:r>
    </w:p>
    <w:p>
      <w:pPr>
        <w:pStyle w:val="Compact"/>
        <w:numPr>
          <w:ilvl w:val="0"/>
          <w:numId w:val="1006"/>
        </w:numPr>
      </w:pPr>
      <w:r>
        <w:rPr>
          <w:b/>
          <w:bCs/>
        </w:rPr>
        <w:t xml:space="preserve">KBI responsibilities (6.3):</w:t>
      </w:r>
      <w:r>
        <w:t xml:space="preserve"> </w:t>
      </w:r>
      <w:r>
        <w:t xml:space="preserve">Reasonable access to facilities/systems/data/personnel; designated project manager; SCADA/MES operational and meeting Whitmore’s published minimum system requirements.</w:t>
      </w:r>
    </w:p>
    <w:p>
      <w:pPr>
        <w:pStyle w:val="Compact"/>
        <w:numPr>
          <w:ilvl w:val="0"/>
          <w:numId w:val="1006"/>
        </w:numPr>
      </w:pPr>
      <w:r>
        <w:rPr>
          <w:b/>
          <w:bCs/>
        </w:rPr>
        <w:t xml:space="preserve">Change orders (6.4):</w:t>
      </w:r>
      <w:r>
        <w:t xml:space="preserve"> </w:t>
      </w:r>
      <w:r>
        <w:t xml:space="preserve">Written, signed, fees agreed before work.</w:t>
      </w:r>
    </w:p>
    <w:p>
      <w:pPr>
        <w:pStyle w:val="Compact"/>
        <w:numPr>
          <w:ilvl w:val="0"/>
          <w:numId w:val="1006"/>
        </w:numPr>
      </w:pPr>
      <w:r>
        <w:rPr>
          <w:b/>
          <w:bCs/>
        </w:rPr>
        <w:t xml:space="preserve">Acceptance (6.5):</w:t>
      </w:r>
      <w:r>
        <w:t xml:space="preserve"> </w:t>
      </w:r>
      <w:r>
        <w:t xml:space="preserve">30-day UAT per facility; deemed accepted if KBI gives no written notice of</w:t>
      </w:r>
      <w:r>
        <w:t xml:space="preserve"> </w:t>
      </w:r>
      <w:r>
        <w:t xml:space="preserve">“</w:t>
      </w:r>
      <w:r>
        <w:t xml:space="preserve">material non-conformance</w:t>
      </w:r>
      <w:r>
        <w:t xml:space="preserve">”</w:t>
      </w:r>
      <w:r>
        <w:t xml:space="preserve"> </w:t>
      </w:r>
      <w:r>
        <w:t xml:space="preserve">within the UAT period.</w:t>
      </w:r>
    </w:p>
    <w:bookmarkEnd w:id="35"/>
    <w:bookmarkStart w:id="36" w:name="e.-maintenance-and-support-section-7"/>
    <w:p>
      <w:pPr>
        <w:pStyle w:val="Heading2"/>
      </w:pPr>
      <w:r>
        <w:t xml:space="preserve">E. Maintenance and support (Section 7)</w:t>
      </w:r>
    </w:p>
    <w:p>
      <w:pPr>
        <w:pStyle w:val="Compact"/>
        <w:numPr>
          <w:ilvl w:val="0"/>
          <w:numId w:val="1007"/>
        </w:numPr>
      </w:pPr>
      <w:r>
        <w:rPr>
          <w:b/>
          <w:bCs/>
        </w:rPr>
        <w:t xml:space="preserve">Scope (7.1):</w:t>
      </w:r>
      <w:r>
        <w:t xml:space="preserve"> </w:t>
      </w:r>
      <w:r>
        <w:t xml:space="preserve">Bug fixes; updates/patches; 24/7 support (phone, email, portal); annual major-release upgrades.</w:t>
      </w:r>
    </w:p>
    <w:p>
      <w:pPr>
        <w:pStyle w:val="Compact"/>
        <w:numPr>
          <w:ilvl w:val="0"/>
          <w:numId w:val="1007"/>
        </w:numPr>
      </w:pPr>
      <w:r>
        <w:rPr>
          <w:b/>
          <w:bCs/>
        </w:rPr>
        <w:t xml:space="preserve">Service levels (7.2):</w:t>
      </w:r>
      <w:r>
        <w:t xml:space="preserve"> </w:t>
      </w:r>
      <w:r>
        <w:t xml:space="preserve">“</w:t>
      </w:r>
      <w:r>
        <w:t xml:space="preserve">Commercially reasonable efforts</w:t>
      </w:r>
      <w:r>
        <w:t xml:space="preserve">”</w:t>
      </w:r>
      <w:r>
        <w:t xml:space="preserve"> </w:t>
      </w:r>
      <w:r>
        <w:t xml:space="preserve">targets — Critical (system down): 4-hr response / 24-hr resolution; High: 8-hr / 72-hr; Medium/Low: 2 business days /</w:t>
      </w:r>
      <w:r>
        <w:t xml:space="preserve"> </w:t>
      </w:r>
      <w:r>
        <w:t xml:space="preserve">“</w:t>
      </w:r>
      <w:r>
        <w:t xml:space="preserve">as reasonably practicable.</w:t>
      </w:r>
      <w:r>
        <w:t xml:space="preserve">”</w:t>
      </w:r>
    </w:p>
    <w:p>
      <w:pPr>
        <w:pStyle w:val="Compact"/>
        <w:numPr>
          <w:ilvl w:val="0"/>
          <w:numId w:val="1007"/>
        </w:numPr>
      </w:pPr>
      <w:r>
        <w:rPr>
          <w:b/>
          <w:bCs/>
        </w:rPr>
        <w:t xml:space="preserve">Fee (7.3):</w:t>
      </w:r>
      <w:r>
        <w:t xml:space="preserve"> </w:t>
      </w:r>
      <w:r>
        <w:t xml:space="preserve">$756,000/yr, +4%/yr.</w:t>
      </w:r>
    </w:p>
    <w:p>
      <w:pPr>
        <w:pStyle w:val="Compact"/>
        <w:numPr>
          <w:ilvl w:val="0"/>
          <w:numId w:val="1007"/>
        </w:numPr>
      </w:pPr>
      <w:r>
        <w:rPr>
          <w:b/>
          <w:bCs/>
        </w:rPr>
        <w:t xml:space="preserve">Term (7.4):</w:t>
      </w:r>
      <w:r>
        <w:t xml:space="preserve"> </w:t>
      </w:r>
      <w:r>
        <w:t xml:space="preserve">Commences at Phase 1 go-live; continues for the license duration.</w:t>
      </w:r>
    </w:p>
    <w:p>
      <w:pPr>
        <w:pStyle w:val="Compact"/>
        <w:numPr>
          <w:ilvl w:val="0"/>
          <w:numId w:val="1007"/>
        </w:numPr>
      </w:pPr>
      <w:r>
        <w:rPr>
          <w:b/>
          <w:bCs/>
        </w:rPr>
        <w:t xml:space="preserve">Suspension (7.5):</w:t>
      </w:r>
      <w:r>
        <w:t xml:space="preserve"> </w:t>
      </w:r>
      <w:r>
        <w:t xml:space="preserve">Whitmore may suspend for non-payment on 30 days’ written notice.</w:t>
      </w:r>
    </w:p>
    <w:bookmarkEnd w:id="36"/>
    <w:bookmarkStart w:id="37" w:name="f.-warranties-section-8"/>
    <w:p>
      <w:pPr>
        <w:pStyle w:val="Heading2"/>
      </w:pPr>
      <w:r>
        <w:t xml:space="preserve">F. Warranties (Section 8)</w:t>
      </w:r>
    </w:p>
    <w:p>
      <w:pPr>
        <w:pStyle w:val="Compact"/>
        <w:numPr>
          <w:ilvl w:val="0"/>
          <w:numId w:val="1008"/>
        </w:numPr>
      </w:pPr>
      <w:r>
        <w:rPr>
          <w:b/>
          <w:bCs/>
        </w:rPr>
        <w:t xml:space="preserve">8.1 Conformance:</w:t>
      </w:r>
      <w:r>
        <w:t xml:space="preserve"> </w:t>
      </w:r>
      <w:r>
        <w:t xml:space="preserve">Material conformance with Documentation for 24 months from each facility’s go-live.</w:t>
      </w:r>
    </w:p>
    <w:p>
      <w:pPr>
        <w:pStyle w:val="Compact"/>
        <w:numPr>
          <w:ilvl w:val="0"/>
          <w:numId w:val="1008"/>
        </w:numPr>
      </w:pPr>
      <w:r>
        <w:rPr>
          <w:b/>
          <w:bCs/>
        </w:rPr>
        <w:t xml:space="preserve">8.2 Performance:</w:t>
      </w:r>
      <w:r>
        <w:t xml:space="preserve"> </w:t>
      </w:r>
      <w:r>
        <w:t xml:space="preserve">92% prediction accuracy on a rolling 90-day basis across all deployed facilities.</w:t>
      </w:r>
      <w:r>
        <w:t xml:space="preserve"> </w:t>
      </w:r>
      <w:r>
        <w:t xml:space="preserve">“</w:t>
      </w:r>
      <w:r>
        <w:t xml:space="preserve">Prediction accuracy</w:t>
      </w:r>
      <w:r>
        <w:t xml:space="preserve">”</w:t>
      </w:r>
      <w:r>
        <w:t xml:space="preserve"> </w:t>
      </w:r>
      <w:r>
        <w:t xml:space="preserve">= percentage of equipment-failure events correctly predicted at least 48 hours in advance, measured against actual failures in KBI’s maintenance logs.</w:t>
      </w:r>
    </w:p>
    <w:p>
      <w:pPr>
        <w:pStyle w:val="Compact"/>
        <w:numPr>
          <w:ilvl w:val="0"/>
          <w:numId w:val="1008"/>
        </w:numPr>
      </w:pPr>
      <w:r>
        <w:rPr>
          <w:b/>
          <w:bCs/>
        </w:rPr>
        <w:t xml:space="preserve">8.3 Remedies:</w:t>
      </w:r>
      <w:r>
        <w:t xml:space="preserve"> </w:t>
      </w:r>
      <w:r>
        <w:t xml:space="preserve">(a) Service credit of 5% of the quarterly SaaS fee ($35,625) per percentage point below 92%; (b) if accuracy falls below 85% for two consecutive calendar quarters, KBI may terminate for cause (Section 13).</w:t>
      </w:r>
    </w:p>
    <w:p>
      <w:pPr>
        <w:pStyle w:val="Compact"/>
        <w:numPr>
          <w:ilvl w:val="0"/>
          <w:numId w:val="1008"/>
        </w:numPr>
      </w:pPr>
      <w:r>
        <w:rPr>
          <w:b/>
          <w:bCs/>
        </w:rPr>
        <w:t xml:space="preserve">8.4 IP warranty:</w:t>
      </w:r>
      <w:r>
        <w:t xml:space="preserve"> </w:t>
      </w:r>
      <w:r>
        <w:t xml:space="preserve">Whitmore owns/is authorized to license all IP; no infringement to Whitmore’s knowledge; full authority to grant the licenses.</w:t>
      </w:r>
    </w:p>
    <w:p>
      <w:pPr>
        <w:pStyle w:val="Compact"/>
        <w:numPr>
          <w:ilvl w:val="0"/>
          <w:numId w:val="1008"/>
        </w:numPr>
      </w:pPr>
      <w:r>
        <w:rPr>
          <w:b/>
          <w:bCs/>
        </w:rPr>
        <w:t xml:space="preserve">8.5 Disclaimer:</w:t>
      </w:r>
      <w:r>
        <w:t xml:space="preserve"> </w:t>
      </w:r>
      <w:r>
        <w:t xml:space="preserve">All other warranties (merchantability, fitness, non-infringement) disclaimed.</w:t>
      </w:r>
    </w:p>
    <w:bookmarkEnd w:id="37"/>
    <w:bookmarkStart w:id="38" w:name="g.-indemnification-section-9"/>
    <w:p>
      <w:pPr>
        <w:pStyle w:val="Heading2"/>
      </w:pPr>
      <w:r>
        <w:t xml:space="preserve">G. Indemnification (Section 9)</w:t>
      </w:r>
    </w:p>
    <w:p>
      <w:pPr>
        <w:pStyle w:val="Compact"/>
        <w:numPr>
          <w:ilvl w:val="0"/>
          <w:numId w:val="1009"/>
        </w:numPr>
      </w:pPr>
      <w:r>
        <w:rPr>
          <w:b/>
          <w:bCs/>
        </w:rPr>
        <w:t xml:space="preserve">9.1 IP indemnity (Whitmore → KBI):</w:t>
      </w:r>
      <w:r>
        <w:t xml:space="preserve"> </w:t>
      </w:r>
      <w:r>
        <w:t xml:space="preserve">Defend/indemnify KBI and its affiliates/officers/directors/employees/agents against third-party IP-infringement claims arising from authorized use.</w:t>
      </w:r>
      <w:r>
        <w:t xml:space="preserve"> </w:t>
      </w:r>
      <w:r>
        <w:rPr>
          <w:b/>
          <w:bCs/>
        </w:rPr>
        <w:t xml:space="preserve">Not subject to any limitation of liability or cap (uncapped).</w:t>
      </w:r>
    </w:p>
    <w:p>
      <w:pPr>
        <w:pStyle w:val="Compact"/>
        <w:numPr>
          <w:ilvl w:val="0"/>
          <w:numId w:val="1009"/>
        </w:numPr>
      </w:pPr>
      <w:r>
        <w:rPr>
          <w:b/>
          <w:bCs/>
        </w:rPr>
        <w:t xml:space="preserve">9.2 Infringement remedies:</w:t>
      </w:r>
      <w:r>
        <w:t xml:space="preserve"> </w:t>
      </w:r>
      <w:r>
        <w:t xml:space="preserve">At Whitmore’s sole option/expense: procure right to continue; modify to non-infringing; or replace with non-infringing equivalent.</w:t>
      </w:r>
    </w:p>
    <w:p>
      <w:pPr>
        <w:pStyle w:val="Compact"/>
        <w:numPr>
          <w:ilvl w:val="0"/>
          <w:numId w:val="1009"/>
        </w:numPr>
      </w:pPr>
      <w:r>
        <w:rPr>
          <w:b/>
          <w:bCs/>
        </w:rPr>
        <w:t xml:space="preserve">9.3 KBI indemnity (KBI → Whitmore):</w:t>
      </w:r>
      <w:r>
        <w:t xml:space="preserve"> </w:t>
      </w:r>
      <w:r>
        <w:t xml:space="preserve">For claims arising from KBI’s unauthorized use, or from KBI Data/proprietary systems (not arising from PredictIQ itself).</w:t>
      </w:r>
    </w:p>
    <w:p>
      <w:pPr>
        <w:pStyle w:val="Compact"/>
        <w:numPr>
          <w:ilvl w:val="0"/>
          <w:numId w:val="1009"/>
        </w:numPr>
      </w:pPr>
      <w:r>
        <w:rPr>
          <w:b/>
          <w:bCs/>
        </w:rPr>
        <w:t xml:space="preserve">9.4 Procedures:</w:t>
      </w:r>
      <w:r>
        <w:t xml:space="preserve"> </w:t>
      </w:r>
      <w:r>
        <w:t xml:space="preserve">Prompt notice; indemnifying party has sole control of defense/settlement; reasonable cooperation at indemnifying party’s expense.</w:t>
      </w:r>
    </w:p>
    <w:bookmarkEnd w:id="38"/>
    <w:bookmarkStart w:id="39" w:name="h.-limitation-of-liability-section-10"/>
    <w:p>
      <w:pPr>
        <w:pStyle w:val="Heading2"/>
      </w:pPr>
      <w:r>
        <w:t xml:space="preserve">H. Limitation of liability (Section 10)</w:t>
      </w:r>
    </w:p>
    <w:p>
      <w:pPr>
        <w:pStyle w:val="Compact"/>
        <w:numPr>
          <w:ilvl w:val="0"/>
          <w:numId w:val="1010"/>
        </w:numPr>
      </w:pPr>
      <w:r>
        <w:rPr>
          <w:b/>
          <w:bCs/>
        </w:rPr>
        <w:t xml:space="preserve">10.1 General cap:</w:t>
      </w:r>
      <w:r>
        <w:t xml:space="preserve"> </w:t>
      </w:r>
      <w:r>
        <w:t xml:space="preserve">The greater of (I) 2× total fees paid/payable by KBI in the 12 months preceding the event, or (II) $15,000,000.</w:t>
      </w:r>
    </w:p>
    <w:p>
      <w:pPr>
        <w:pStyle w:val="Compact"/>
        <w:numPr>
          <w:ilvl w:val="0"/>
          <w:numId w:val="1010"/>
        </w:numPr>
      </w:pPr>
      <w:r>
        <w:rPr>
          <w:b/>
          <w:bCs/>
        </w:rPr>
        <w:t xml:space="preserve">10.2 Consequential damages:</w:t>
      </w:r>
      <w:r>
        <w:t xml:space="preserve"> </w:t>
      </w:r>
      <w:r>
        <w:t xml:space="preserve">Excluded (indirect, incidental, special, consequential, punitive; lost profits; loss of data/goodwill; business interruption).</w:t>
      </w:r>
    </w:p>
    <w:p>
      <w:pPr>
        <w:pStyle w:val="Compact"/>
        <w:numPr>
          <w:ilvl w:val="0"/>
          <w:numId w:val="1010"/>
        </w:numPr>
      </w:pPr>
      <w:r>
        <w:rPr>
          <w:b/>
          <w:bCs/>
        </w:rPr>
        <w:t xml:space="preserve">10.3 Exceptions (cap and consequential exclusion do not apply to):</w:t>
      </w:r>
      <w:r>
        <w:t xml:space="preserve"> </w:t>
      </w:r>
      <w:r>
        <w:t xml:space="preserve">(A) Whitmore’s IP indemnification (§9.1); (B) either party’s confidentiality breach (§15); (C) willful misconduct or fraud.</w:t>
      </w:r>
    </w:p>
    <w:bookmarkEnd w:id="39"/>
    <w:bookmarkStart w:id="40" w:name="i.-source-code-escrow-section-11"/>
    <w:p>
      <w:pPr>
        <w:pStyle w:val="Heading2"/>
      </w:pPr>
      <w:r>
        <w:t xml:space="preserve">I. Source-code escrow (Section 11)</w:t>
      </w:r>
    </w:p>
    <w:p>
      <w:pPr>
        <w:pStyle w:val="Compact"/>
        <w:numPr>
          <w:ilvl w:val="0"/>
          <w:numId w:val="1011"/>
        </w:numPr>
      </w:pPr>
      <w:r>
        <w:rPr>
          <w:b/>
          <w:bCs/>
        </w:rPr>
        <w:t xml:space="preserve">11.1 Deposit (within 60 days of execution):</w:t>
      </w:r>
      <w:r>
        <w:t xml:space="preserve"> </w:t>
      </w:r>
      <w:r>
        <w:t xml:space="preserve">Complete source code (modules, libraries, dependencies); build tools/compilers/scripts; complete technical documentation (architecture, DB schemas, API specs); updated annually and on each major release.</w:t>
      </w:r>
    </w:p>
    <w:p>
      <w:pPr>
        <w:pStyle w:val="Compact"/>
        <w:numPr>
          <w:ilvl w:val="0"/>
          <w:numId w:val="1011"/>
        </w:numPr>
      </w:pPr>
      <w:r>
        <w:rPr>
          <w:b/>
          <w:bCs/>
        </w:rPr>
        <w:t xml:space="preserve">11.2 Release conditions:</w:t>
      </w:r>
      <w:r>
        <w:t xml:space="preserve"> </w:t>
      </w:r>
      <w:r>
        <w:t xml:space="preserve">(a) Whitmore insolvency/bankruptcy; (b) Whitmore material breach uncured for 60 days following KBI’s written notice; (c) Whitmore cessation of business; (d) Whitmore failure to provide maintenance/support for 90 consecutive days.</w:t>
      </w:r>
    </w:p>
    <w:p>
      <w:pPr>
        <w:pStyle w:val="Compact"/>
        <w:numPr>
          <w:ilvl w:val="0"/>
          <w:numId w:val="1011"/>
        </w:numPr>
      </w:pPr>
      <w:r>
        <w:rPr>
          <w:b/>
          <w:bCs/>
        </w:rPr>
        <w:t xml:space="preserve">11.3 Post-release license:</w:t>
      </w:r>
      <w:r>
        <w:t xml:space="preserve"> </w:t>
      </w:r>
      <w:r>
        <w:t xml:space="preserve">KBI receives a perpetual, irrevocable, fully paid-up, royalty-free license to use, modify, compile, and deploy the source code for its internal manufacturing operations.</w:t>
      </w:r>
    </w:p>
    <w:p>
      <w:pPr>
        <w:pStyle w:val="Compact"/>
        <w:numPr>
          <w:ilvl w:val="0"/>
          <w:numId w:val="1011"/>
        </w:numPr>
      </w:pPr>
      <w:r>
        <w:rPr>
          <w:b/>
          <w:bCs/>
        </w:rPr>
        <w:t xml:space="preserve">11.4 Fees:</w:t>
      </w:r>
      <w:r>
        <w:t xml:space="preserve"> </w:t>
      </w:r>
      <w:r>
        <w:t xml:space="preserve">Borne equally.</w:t>
      </w:r>
    </w:p>
    <w:p>
      <w:pPr>
        <w:pStyle w:val="Compact"/>
        <w:numPr>
          <w:ilvl w:val="0"/>
          <w:numId w:val="1011"/>
        </w:numPr>
      </w:pPr>
      <w:r>
        <w:rPr>
          <w:b/>
          <w:bCs/>
        </w:rPr>
        <w:t xml:space="preserve">11.5 Verification:</w:t>
      </w:r>
      <w:r>
        <w:t xml:space="preserve"> </w:t>
      </w:r>
      <w:r>
        <w:t xml:space="preserve">KBI may request verification no more than once per calendar year.</w:t>
      </w:r>
    </w:p>
    <w:bookmarkEnd w:id="40"/>
    <w:bookmarkStart w:id="41" w:name="j.-exclusivity-non-compete-section-12"/>
    <w:p>
      <w:pPr>
        <w:pStyle w:val="Heading2"/>
      </w:pPr>
      <w:r>
        <w:t xml:space="preserve">J. Exclusivity / non-compete (Section 12)</w:t>
      </w:r>
    </w:p>
    <w:p>
      <w:pPr>
        <w:pStyle w:val="Compact"/>
        <w:numPr>
          <w:ilvl w:val="0"/>
          <w:numId w:val="1012"/>
        </w:numPr>
      </w:pPr>
      <w:r>
        <w:rPr>
          <w:b/>
          <w:bCs/>
        </w:rPr>
        <w:t xml:space="preserve">12.1 Exclusivity period:</w:t>
      </w:r>
      <w:r>
        <w:t xml:space="preserve"> </w:t>
      </w:r>
      <w:r>
        <w:t xml:space="preserve">3 years from the effective date. Whitmore shall not license/sublicense/sell/make available PredictIQ (or any substantially similar predictive-maintenance technology) to any Direct Competitor of KBI in the European automotive and heavy-machinery manufacturing sectors.</w:t>
      </w:r>
    </w:p>
    <w:p>
      <w:pPr>
        <w:pStyle w:val="Compact"/>
        <w:numPr>
          <w:ilvl w:val="0"/>
          <w:numId w:val="1012"/>
        </w:numPr>
      </w:pPr>
      <w:r>
        <w:rPr>
          <w:b/>
          <w:bCs/>
        </w:rPr>
        <w:t xml:space="preserve">12.2 Direct Competitor:</w:t>
      </w:r>
      <w:r>
        <w:t xml:space="preserve"> </w:t>
      </w:r>
      <w:r>
        <w:t xml:space="preserve">(a) the 12 entities listed in Exhibit B; and (b) any entity deriving more than 30% of annual revenue from manufacture of automotive vehicles/components, heavy machinery, or heavy industrial equipment in Europe (EEA + UK + Switzerland).</w:t>
      </w:r>
    </w:p>
    <w:p>
      <w:pPr>
        <w:pStyle w:val="Compact"/>
        <w:numPr>
          <w:ilvl w:val="0"/>
          <w:numId w:val="1012"/>
        </w:numPr>
      </w:pPr>
      <w:r>
        <w:rPr>
          <w:b/>
          <w:bCs/>
        </w:rPr>
        <w:t xml:space="preserve">12.3 Scope:</w:t>
      </w:r>
      <w:r>
        <w:t xml:space="preserve"> </w:t>
      </w:r>
      <w:r>
        <w:t xml:space="preserve">Applies to PredictIQ and any successor/replacement product with substantially similar predictive-maintenance functionality.</w:t>
      </w:r>
    </w:p>
    <w:p>
      <w:pPr>
        <w:pStyle w:val="Compact"/>
        <w:numPr>
          <w:ilvl w:val="0"/>
          <w:numId w:val="1012"/>
        </w:numPr>
      </w:pPr>
      <w:r>
        <w:rPr>
          <w:b/>
          <w:bCs/>
        </w:rPr>
        <w:t xml:space="preserve">12.4 Survival:</w:t>
      </w:r>
      <w:r>
        <w:t xml:space="preserve"> </w:t>
      </w:r>
      <w:r>
        <w:t xml:space="preserve">Survives termination for any reason; continues for the remainder of the Exclusivity Period.</w:t>
      </w:r>
    </w:p>
    <w:p>
      <w:pPr>
        <w:pStyle w:val="Compact"/>
        <w:numPr>
          <w:ilvl w:val="0"/>
          <w:numId w:val="1012"/>
        </w:numPr>
      </w:pPr>
      <w:r>
        <w:rPr>
          <w:b/>
          <w:bCs/>
        </w:rPr>
        <w:t xml:space="preserve">12.5 Remedies:</w:t>
      </w:r>
      <w:r>
        <w:t xml:space="preserve"> </w:t>
      </w:r>
      <w:r>
        <w:t xml:space="preserve">Injunctive relief available without showing irreparable harm or posting a bond.</w:t>
      </w:r>
    </w:p>
    <w:bookmarkEnd w:id="41"/>
    <w:bookmarkStart w:id="42" w:name="k.-term-and-termination-section-13"/>
    <w:p>
      <w:pPr>
        <w:pStyle w:val="Heading2"/>
      </w:pPr>
      <w:r>
        <w:t xml:space="preserve">K. Term and termination (Section 13)</w:t>
      </w:r>
    </w:p>
    <w:p>
      <w:pPr>
        <w:pStyle w:val="Compact"/>
        <w:numPr>
          <w:ilvl w:val="0"/>
          <w:numId w:val="1013"/>
        </w:numPr>
      </w:pPr>
      <w:r>
        <w:rPr>
          <w:b/>
          <w:bCs/>
        </w:rPr>
        <w:t xml:space="preserve">13.1 Term:</w:t>
      </w:r>
      <w:r>
        <w:t xml:space="preserve"> </w:t>
      </w:r>
      <w:r>
        <w:t xml:space="preserve">Perpetual, subject to termination.</w:t>
      </w:r>
    </w:p>
    <w:p>
      <w:pPr>
        <w:pStyle w:val="Compact"/>
        <w:numPr>
          <w:ilvl w:val="0"/>
          <w:numId w:val="1013"/>
        </w:numPr>
      </w:pPr>
      <w:r>
        <w:rPr>
          <w:b/>
          <w:bCs/>
        </w:rPr>
        <w:t xml:space="preserve">13.2 For cause:</w:t>
      </w:r>
      <w:r>
        <w:t xml:space="preserve"> </w:t>
      </w:r>
      <w:r>
        <w:t xml:space="preserve">90 days’ notice; material breach; 60-day cure.</w:t>
      </w:r>
    </w:p>
    <w:p>
      <w:pPr>
        <w:pStyle w:val="Compact"/>
        <w:numPr>
          <w:ilvl w:val="0"/>
          <w:numId w:val="1013"/>
        </w:numPr>
      </w:pPr>
      <w:r>
        <w:rPr>
          <w:b/>
          <w:bCs/>
        </w:rPr>
        <w:t xml:space="preserve">13.3 For convenience (KBI only):</w:t>
      </w:r>
      <w:r>
        <w:t xml:space="preserve"> </w:t>
      </w:r>
      <w:r>
        <w:t xml:space="preserve">12 months’ notice, no earlier than the 3rd anniversary.</w:t>
      </w:r>
    </w:p>
    <w:p>
      <w:pPr>
        <w:pStyle w:val="Compact"/>
        <w:numPr>
          <w:ilvl w:val="0"/>
          <w:numId w:val="1013"/>
        </w:numPr>
      </w:pPr>
      <w:r>
        <w:rPr>
          <w:b/>
          <w:bCs/>
        </w:rPr>
        <w:t xml:space="preserve">13.4 Performance failure:</w:t>
      </w:r>
      <w:r>
        <w:t xml:space="preserve"> </w:t>
      </w:r>
      <w:r>
        <w:t xml:space="preserve">KBI may terminate for cause if accuracy falls below 85% for two consecutive quarters, on 30 days’ notice.</w:t>
      </w:r>
    </w:p>
    <w:p>
      <w:pPr>
        <w:pStyle w:val="Compact"/>
        <w:numPr>
          <w:ilvl w:val="0"/>
          <w:numId w:val="1013"/>
        </w:numPr>
      </w:pPr>
      <w:r>
        <w:rPr>
          <w:b/>
          <w:bCs/>
        </w:rPr>
        <w:t xml:space="preserve">13.5 Wind-down license:</w:t>
      </w:r>
      <w:r>
        <w:t xml:space="preserve"> </w:t>
      </w:r>
      <w:r>
        <w:t xml:space="preserve">On termination/expiration for any reason (including KBI convenience), KBI retains a</w:t>
      </w:r>
      <w:r>
        <w:t xml:space="preserve"> </w:t>
      </w:r>
      <w:r>
        <w:rPr>
          <w:b/>
          <w:bCs/>
        </w:rPr>
        <w:t xml:space="preserve">perpetual, non-exclusive, irrevocable license</w:t>
      </w:r>
      <w:r>
        <w:t xml:space="preserve"> </w:t>
      </w:r>
      <w:r>
        <w:t xml:space="preserve">to continue using the version of PredictIQ deployed as of the termination date, subject to continued payment of the Annual Maintenance &amp; Support Fee.</w:t>
      </w:r>
    </w:p>
    <w:p>
      <w:pPr>
        <w:pStyle w:val="Compact"/>
        <w:numPr>
          <w:ilvl w:val="0"/>
          <w:numId w:val="1013"/>
        </w:numPr>
      </w:pPr>
      <w:r>
        <w:rPr>
          <w:b/>
          <w:bCs/>
        </w:rPr>
        <w:t xml:space="preserve">13.6 Effects:</w:t>
      </w:r>
      <w:r>
        <w:t xml:space="preserve"> </w:t>
      </w:r>
      <w:r>
        <w:t xml:space="preserve">KBI’s right to new SaaS features/updates/new deployments ceases; outstanding fees become immediately due; confidential information returned/destroyed (subject to wind-down license); Sections 3, 4, 9, 10, 11, 12, 15, 16 survive.</w:t>
      </w:r>
    </w:p>
    <w:p>
      <w:pPr>
        <w:pStyle w:val="Compact"/>
        <w:numPr>
          <w:ilvl w:val="0"/>
          <w:numId w:val="1013"/>
        </w:numPr>
      </w:pPr>
      <w:r>
        <w:rPr>
          <w:b/>
          <w:bCs/>
        </w:rPr>
        <w:t xml:space="preserve">13.7 No refunds:</w:t>
      </w:r>
      <w:r>
        <w:t xml:space="preserve"> </w:t>
      </w:r>
      <w:r>
        <w:t xml:space="preserve">Fees paid prior to termination are non-refundable.</w:t>
      </w:r>
    </w:p>
    <w:bookmarkEnd w:id="42"/>
    <w:bookmarkStart w:id="43" w:name="X4ec8e17c2dc2471b59ba0c5c2ebe69eae6f48cb"/>
    <w:p>
      <w:pPr>
        <w:pStyle w:val="Heading2"/>
      </w:pPr>
      <w:r>
        <w:t xml:space="preserve">L. Governing law and dispute resolution (Section 14)</w:t>
      </w:r>
    </w:p>
    <w:p>
      <w:pPr>
        <w:pStyle w:val="Compact"/>
        <w:numPr>
          <w:ilvl w:val="0"/>
          <w:numId w:val="1014"/>
        </w:numPr>
      </w:pPr>
      <w:r>
        <w:rPr>
          <w:b/>
          <w:bCs/>
        </w:rPr>
        <w:t xml:space="preserve">14.1 Governing law:</w:t>
      </w:r>
      <w:r>
        <w:t xml:space="preserve"> </w:t>
      </w:r>
      <w:r>
        <w:t xml:space="preserve">Germany, without regard to conflicts-of-law principles.</w:t>
      </w:r>
    </w:p>
    <w:p>
      <w:pPr>
        <w:pStyle w:val="Compact"/>
        <w:numPr>
          <w:ilvl w:val="0"/>
          <w:numId w:val="1014"/>
        </w:numPr>
      </w:pPr>
      <w:r>
        <w:rPr>
          <w:b/>
          <w:bCs/>
        </w:rPr>
        <w:t xml:space="preserve">14.2 Arbitration:</w:t>
      </w:r>
      <w:r>
        <w:t xml:space="preserve"> </w:t>
      </w:r>
      <w:r>
        <w:t xml:space="preserve">ICC Rules; three arbitrators; seat Zurich, Switzerland; English language.</w:t>
      </w:r>
    </w:p>
    <w:p>
      <w:pPr>
        <w:pStyle w:val="Compact"/>
        <w:numPr>
          <w:ilvl w:val="0"/>
          <w:numId w:val="1014"/>
        </w:numPr>
      </w:pPr>
      <w:r>
        <w:rPr>
          <w:b/>
          <w:bCs/>
        </w:rPr>
        <w:t xml:space="preserve">14.3 Interim measures:</w:t>
      </w:r>
      <w:r>
        <w:t xml:space="preserve"> </w:t>
      </w:r>
      <w:r>
        <w:t xml:space="preserve">Either party may seek interim/injunctive relief from a court for IP, confidentiality, or status-quo preservation pending arbitration.</w:t>
      </w:r>
    </w:p>
    <w:p>
      <w:pPr>
        <w:pStyle w:val="Compact"/>
        <w:numPr>
          <w:ilvl w:val="0"/>
          <w:numId w:val="1014"/>
        </w:numPr>
      </w:pPr>
      <w:r>
        <w:rPr>
          <w:b/>
          <w:bCs/>
        </w:rPr>
        <w:t xml:space="preserve">14.4 Costs:</w:t>
      </w:r>
      <w:r>
        <w:t xml:space="preserve"> </w:t>
      </w:r>
      <w:r>
        <w:t xml:space="preserve">Each party bears its own costs/fees; arbitration costs allocated by the tribunal.</w:t>
      </w:r>
    </w:p>
    <w:bookmarkEnd w:id="43"/>
    <w:bookmarkStart w:id="44" w:name="m.-confidentiality-section-15"/>
    <w:p>
      <w:pPr>
        <w:pStyle w:val="Heading2"/>
      </w:pPr>
      <w:r>
        <w:t xml:space="preserve">M. Confidentiality (Section 15)</w:t>
      </w:r>
    </w:p>
    <w:p>
      <w:pPr>
        <w:pStyle w:val="Compact"/>
        <w:numPr>
          <w:ilvl w:val="0"/>
          <w:numId w:val="1015"/>
        </w:numPr>
      </w:pPr>
      <w:r>
        <w:rPr>
          <w:b/>
          <w:bCs/>
        </w:rPr>
        <w:t xml:space="preserve">15.1–15.3:</w:t>
      </w:r>
      <w:r>
        <w:t xml:space="preserve"> </w:t>
      </w:r>
      <w:r>
        <w:t xml:space="preserve">Mutual confidentiality; standard exceptions (public, prior knowledge, independent development, third-party receipt); permitted disclosure to advisors and as required by law.</w:t>
      </w:r>
    </w:p>
    <w:p>
      <w:pPr>
        <w:pStyle w:val="Compact"/>
        <w:numPr>
          <w:ilvl w:val="0"/>
          <w:numId w:val="1015"/>
        </w:numPr>
      </w:pPr>
      <w:r>
        <w:rPr>
          <w:b/>
          <w:bCs/>
        </w:rPr>
        <w:t xml:space="preserve">15.4 Term:</w:t>
      </w:r>
      <w:r>
        <w:t xml:space="preserve"> </w:t>
      </w:r>
      <w:r>
        <w:t xml:space="preserve">Survives termination for 5 years.</w:t>
      </w:r>
    </w:p>
    <w:p>
      <w:pPr>
        <w:pStyle w:val="Compact"/>
        <w:numPr>
          <w:ilvl w:val="0"/>
          <w:numId w:val="1015"/>
        </w:numPr>
      </w:pPr>
      <w:r>
        <w:rPr>
          <w:b/>
          <w:bCs/>
        </w:rPr>
        <w:t xml:space="preserve">15.5 Return:</w:t>
      </w:r>
      <w:r>
        <w:t xml:space="preserve"> </w:t>
      </w:r>
      <w:r>
        <w:t xml:space="preserve">Return/destroy on termination, subject to archival copies and the wind-down license.</w:t>
      </w:r>
    </w:p>
    <w:bookmarkEnd w:id="44"/>
    <w:bookmarkStart w:id="45" w:name="n.-miscellaneous-section-16"/>
    <w:p>
      <w:pPr>
        <w:pStyle w:val="Heading2"/>
      </w:pPr>
      <w:r>
        <w:t xml:space="preserve">N. Miscellaneous (Section 16)</w:t>
      </w:r>
    </w:p>
    <w:p>
      <w:pPr>
        <w:pStyle w:val="Compact"/>
        <w:numPr>
          <w:ilvl w:val="0"/>
          <w:numId w:val="1016"/>
        </w:numPr>
      </w:pPr>
      <w:r>
        <w:rPr>
          <w:b/>
          <w:bCs/>
        </w:rPr>
        <w:t xml:space="preserve">16.1 Non-binding:</w:t>
      </w:r>
      <w:r>
        <w:t xml:space="preserve"> </w:t>
      </w:r>
      <w:r>
        <w:t xml:space="preserve">Term Sheet non-binding except Sections 15 and 16 (binding).</w:t>
      </w:r>
    </w:p>
    <w:p>
      <w:pPr>
        <w:pStyle w:val="Compact"/>
        <w:numPr>
          <w:ilvl w:val="0"/>
          <w:numId w:val="1016"/>
        </w:numPr>
      </w:pPr>
      <w:r>
        <w:rPr>
          <w:b/>
          <w:bCs/>
        </w:rPr>
        <w:t xml:space="preserve">16.2 No-shop:</w:t>
      </w:r>
      <w:r>
        <w:t xml:space="preserve"> </w:t>
      </w:r>
      <w:r>
        <w:t xml:space="preserve">60 days from the Term Sheet date (through July 28, 2025), Whitmore negotiates exclusively with KBI for a comparable European industrial transaction.</w:t>
      </w:r>
    </w:p>
    <w:p>
      <w:pPr>
        <w:pStyle w:val="Compact"/>
        <w:numPr>
          <w:ilvl w:val="0"/>
          <w:numId w:val="1016"/>
        </w:numPr>
      </w:pPr>
      <w:r>
        <w:rPr>
          <w:b/>
          <w:bCs/>
        </w:rPr>
        <w:t xml:space="preserve">16.3 Entire understanding:</w:t>
      </w:r>
      <w:r>
        <w:t xml:space="preserve"> </w:t>
      </w:r>
      <w:r>
        <w:t xml:space="preserve">Term Sheet plus the MFC Side Letter.</w:t>
      </w:r>
    </w:p>
    <w:p>
      <w:pPr>
        <w:pStyle w:val="Compact"/>
        <w:numPr>
          <w:ilvl w:val="0"/>
          <w:numId w:val="1016"/>
        </w:numPr>
      </w:pPr>
      <w:r>
        <w:rPr>
          <w:b/>
          <w:bCs/>
        </w:rPr>
        <w:t xml:space="preserve">16.4 Expenses:</w:t>
      </w:r>
      <w:r>
        <w:t xml:space="preserve"> </w:t>
      </w:r>
      <w:r>
        <w:t xml:space="preserve">Each party bears its own.</w:t>
      </w:r>
    </w:p>
    <w:p>
      <w:pPr>
        <w:pStyle w:val="Compact"/>
        <w:numPr>
          <w:ilvl w:val="0"/>
          <w:numId w:val="1016"/>
        </w:numPr>
      </w:pPr>
      <w:r>
        <w:rPr>
          <w:b/>
          <w:bCs/>
        </w:rPr>
        <w:t xml:space="preserve">16.6 Assignment:</w:t>
      </w:r>
      <w:r>
        <w:t xml:space="preserve"> </w:t>
      </w:r>
      <w:r>
        <w:t xml:space="preserve">No assignment without consent, except KBI may assign to an affiliate or in connection with a merger/acquisition/sale of all or substantially all assets.</w:t>
      </w:r>
    </w:p>
    <w:p>
      <w:pPr>
        <w:pStyle w:val="Compact"/>
        <w:numPr>
          <w:ilvl w:val="0"/>
          <w:numId w:val="1016"/>
        </w:numPr>
      </w:pPr>
      <w:r>
        <w:rPr>
          <w:b/>
          <w:bCs/>
        </w:rPr>
        <w:t xml:space="preserve">16.7 Response deadline:</w:t>
      </w:r>
      <w:r>
        <w:t xml:space="preserve"> </w:t>
      </w:r>
      <w:r>
        <w:t xml:space="preserve">June 23, 2025.</w:t>
      </w:r>
    </w:p>
    <w:p>
      <w:r>
        <w:pict>
          <v:rect style="width:0;height:1.5pt" o:hralign="center" o:hrstd="t" o:hr="t"/>
        </w:pict>
      </w:r>
    </w:p>
    <w:bookmarkEnd w:id="45"/>
    <w:bookmarkEnd w:id="46"/>
    <w:bookmarkStart w:id="49" w:name="X5772767f2c75149b29f15535b10e823ec1d45b4"/>
    <w:p>
      <w:pPr>
        <w:pStyle w:val="Heading1"/>
      </w:pPr>
      <w:r>
        <w:t xml:space="preserve">V. MFC Side Letter — Key Terms and Analysis</w:t>
      </w:r>
    </w:p>
    <w:bookmarkStart w:id="47" w:name="a.-key-terms"/>
    <w:p>
      <w:pPr>
        <w:pStyle w:val="Heading2"/>
      </w:pPr>
      <w:r>
        <w:t xml:space="preserve">A. Key terms</w:t>
      </w:r>
    </w:p>
    <w:p>
      <w:pPr>
        <w:pStyle w:val="Compact"/>
        <w:numPr>
          <w:ilvl w:val="0"/>
          <w:numId w:val="1017"/>
        </w:numPr>
      </w:pPr>
      <w:r>
        <w:rPr>
          <w:b/>
          <w:bCs/>
        </w:rPr>
        <w:t xml:space="preserve">Conditionality:</w:t>
      </w:r>
      <w:r>
        <w:t xml:space="preserve"> </w:t>
      </w:r>
      <w:r>
        <w:t xml:space="preserve">KBI’s willingness to proceed on the Term Sheet’s commercial terms is</w:t>
      </w:r>
      <w:r>
        <w:t xml:space="preserve"> </w:t>
      </w:r>
      <w:r>
        <w:t xml:space="preserve">“</w:t>
      </w:r>
      <w:r>
        <w:t xml:space="preserve">expressly conditioned</w:t>
      </w:r>
      <w:r>
        <w:t xml:space="preserve">”</w:t>
      </w:r>
      <w:r>
        <w:t xml:space="preserve"> </w:t>
      </w:r>
      <w:r>
        <w:t xml:space="preserve">on Whitmore’s acceptance of the MFC provision; KBI’s adherence to the timeline (including the September 15, 2025 Phase 1 start) is contingent on acceptance by June 23, 2025. The Side Letter is stated to be non-binding but a</w:t>
      </w:r>
      <w:r>
        <w:t xml:space="preserve"> </w:t>
      </w:r>
      <w:r>
        <w:t xml:space="preserve">“</w:t>
      </w:r>
      <w:r>
        <w:t xml:space="preserve">material element</w:t>
      </w:r>
      <w:r>
        <w:t xml:space="preserve">”</w:t>
      </w:r>
      <w:r>
        <w:t xml:space="preserve"> </w:t>
      </w:r>
      <w:r>
        <w:t xml:space="preserve">of KBI’s proposal, and is referenced in the Term Sheet’s entire-understanding clause (§16.3).</w:t>
      </w:r>
    </w:p>
    <w:p>
      <w:pPr>
        <w:pStyle w:val="Compact"/>
        <w:numPr>
          <w:ilvl w:val="0"/>
          <w:numId w:val="1017"/>
        </w:numPr>
      </w:pPr>
      <w:r>
        <w:rPr>
          <w:b/>
          <w:bCs/>
        </w:rPr>
        <w:t xml:space="preserve">MFC commitment (§2(a)):</w:t>
      </w:r>
      <w:r>
        <w:t xml:space="preserve"> </w:t>
      </w:r>
      <w:r>
        <w:t xml:space="preserve">If, at any time during the Agreement term</w:t>
      </w:r>
      <w:r>
        <w:t xml:space="preserve"> </w:t>
      </w:r>
      <w:r>
        <w:rPr>
          <w:b/>
          <w:bCs/>
        </w:rPr>
        <w:t xml:space="preserve">or thereafter for so long as KBI retains any license rights (including any post-termination wind-down license)</w:t>
      </w:r>
      <w:r>
        <w:t xml:space="preserve">, Whitmore enters any agreement/amendment/arrangement with a third party (</w:t>
      </w:r>
      <w:r>
        <w:t xml:space="preserve">“</w:t>
      </w:r>
      <w:r>
        <w:t xml:space="preserve">Subsequent Licensee</w:t>
      </w:r>
      <w:r>
        <w:t xml:space="preserve">”</w:t>
      </w:r>
      <w:r>
        <w:t xml:space="preserve">) for the license/subscription/use of PredictIQ</w:t>
      </w:r>
      <w:r>
        <w:t xml:space="preserve"> </w:t>
      </w:r>
      <w:r>
        <w:rPr>
          <w:b/>
          <w:bCs/>
        </w:rPr>
        <w:t xml:space="preserve">or any successor, derivative, or substantially similar technology</w:t>
      </w:r>
      <w:r>
        <w:t xml:space="preserve">, on terms resulting in a lower effective per-facility price than KBI’s, Whitmore must notify KBI within 30 days and retroactively adjust KBI’s pricing to match, effective as of the date the more favorable terms were first offered.</w:t>
      </w:r>
    </w:p>
    <w:p>
      <w:pPr>
        <w:pStyle w:val="Compact"/>
        <w:numPr>
          <w:ilvl w:val="0"/>
          <w:numId w:val="1017"/>
        </w:numPr>
      </w:pPr>
      <w:r>
        <w:rPr>
          <w:b/>
          <w:bCs/>
        </w:rPr>
        <w:t xml:space="preserve">Effective per-facility price (§2(b)):</w:t>
      </w:r>
      <w:r>
        <w:t xml:space="preserve"> </w:t>
      </w:r>
      <w:r>
        <w:t xml:space="preserve">Total annual fees (license, subscription, maintenance/support, implementation/professional services — one-time or recurring) divided by the number of facilities deployed or authorized.</w:t>
      </w:r>
    </w:p>
    <w:p>
      <w:pPr>
        <w:pStyle w:val="Compact"/>
        <w:numPr>
          <w:ilvl w:val="0"/>
          <w:numId w:val="1017"/>
        </w:numPr>
      </w:pPr>
      <w:r>
        <w:rPr>
          <w:b/>
          <w:bCs/>
        </w:rPr>
        <w:t xml:space="preserve">Retroactive adjustment and credit (§2(c)):</w:t>
      </w:r>
      <w:r>
        <w:t xml:space="preserve"> </w:t>
      </w:r>
      <w:r>
        <w:t xml:space="preserve">Applied retroactively to the date Whitmore first offered/agreed to the more favorable terms; credit equals aggregate overpayment from that date through the adjustment date, applied against KBI’s next payments.</w:t>
      </w:r>
    </w:p>
    <w:p>
      <w:pPr>
        <w:pStyle w:val="Compact"/>
        <w:numPr>
          <w:ilvl w:val="0"/>
          <w:numId w:val="1017"/>
        </w:numPr>
      </w:pPr>
      <w:r>
        <w:rPr>
          <w:b/>
          <w:bCs/>
        </w:rPr>
        <w:t xml:space="preserve">Audit right (§2(d)):</w:t>
      </w:r>
      <w:r>
        <w:t xml:space="preserve"> </w:t>
      </w:r>
      <w:r>
        <w:t xml:space="preserve">Once per calendar year, KBI may engage an independent auditor (at KBI’s expense, unless a ≥5% discrepancy is revealed, in which case at Whitmore’s expense); Whitmore must maintain complete records.</w:t>
      </w:r>
    </w:p>
    <w:p>
      <w:pPr>
        <w:pStyle w:val="Compact"/>
        <w:numPr>
          <w:ilvl w:val="0"/>
          <w:numId w:val="1017"/>
        </w:numPr>
      </w:pPr>
      <w:r>
        <w:rPr>
          <w:b/>
          <w:bCs/>
        </w:rPr>
        <w:t xml:space="preserve">Governing law (§6):</w:t>
      </w:r>
      <w:r>
        <w:t xml:space="preserve"> </w:t>
      </w:r>
      <w:r>
        <w:t xml:space="preserve">Germany.</w:t>
      </w:r>
    </w:p>
    <w:bookmarkEnd w:id="47"/>
    <w:bookmarkStart w:id="48" w:name="b.-analysis"/>
    <w:p>
      <w:pPr>
        <w:pStyle w:val="Heading2"/>
      </w:pPr>
      <w:r>
        <w:t xml:space="preserve">B. Analysis</w:t>
      </w:r>
    </w:p>
    <w:p>
      <w:pPr>
        <w:pStyle w:val="FirstParagraph"/>
      </w:pPr>
      <w:r>
        <w:t xml:space="preserve">This is, in our experience, an unusually aggressive MFC provision. The principal problems are:</w:t>
      </w:r>
    </w:p>
    <w:p>
      <w:pPr>
        <w:pStyle w:val="Compact"/>
        <w:numPr>
          <w:ilvl w:val="0"/>
          <w:numId w:val="1018"/>
        </w:numPr>
      </w:pPr>
      <w:r>
        <w:rPr>
          <w:b/>
          <w:bCs/>
        </w:rPr>
        <w:t xml:space="preserve">No sunset.</w:t>
      </w:r>
      <w:r>
        <w:t xml:space="preserve"> </w:t>
      </w:r>
      <w:r>
        <w:t xml:space="preserve">The obligation runs for the entire term</w:t>
      </w:r>
      <w:r>
        <w:t xml:space="preserve"> </w:t>
      </w:r>
      <w:r>
        <w:rPr>
          <w:b/>
          <w:bCs/>
        </w:rPr>
        <w:t xml:space="preserve">and thereafter for so long as KBI retains any license rights</w:t>
      </w:r>
      <w:r>
        <w:t xml:space="preserve"> </w:t>
      </w:r>
      <w:r>
        <w:t xml:space="preserve">— which, given the perpetual license and the perpetual wind-down license (§13.5), is effectively indefinite. Whitmore would be permanently constrained in its pricing.</w:t>
      </w:r>
    </w:p>
    <w:p>
      <w:pPr>
        <w:pStyle w:val="Compact"/>
        <w:numPr>
          <w:ilvl w:val="0"/>
          <w:numId w:val="1018"/>
        </w:numPr>
      </w:pPr>
      <w:r>
        <w:rPr>
          <w:b/>
          <w:bCs/>
        </w:rPr>
        <w:t xml:space="preserve">No carve-outs.</w:t>
      </w:r>
      <w:r>
        <w:t xml:space="preserve"> </w:t>
      </w:r>
      <w:r>
        <w:t xml:space="preserve">The provision captures</w:t>
      </w:r>
      <w:r>
        <w:t xml:space="preserve"> </w:t>
      </w:r>
      <w:r>
        <w:rPr>
          <w:i/>
          <w:iCs/>
        </w:rPr>
        <w:t xml:space="preserve">any</w:t>
      </w:r>
      <w:r>
        <w:t xml:space="preserve"> </w:t>
      </w:r>
      <w:r>
        <w:t xml:space="preserve">Subsequent Licensee on</w:t>
      </w:r>
      <w:r>
        <w:t xml:space="preserve"> </w:t>
      </w:r>
      <w:r>
        <w:rPr>
          <w:i/>
          <w:iCs/>
        </w:rPr>
        <w:t xml:space="preserve">any</w:t>
      </w:r>
      <w:r>
        <w:t xml:space="preserve"> </w:t>
      </w:r>
      <w:r>
        <w:t xml:space="preserve">lower per-facility pricing, with no exceptions for government/academic/non-profit pricing, distressed or acquisition-related pricing, different product tiers or service levels, volume/commitment discounts to larger deployments, promotional or introductory pricing, channel/reseller arrangements, or pre-existing customers.</w:t>
      </w:r>
    </w:p>
    <w:p>
      <w:pPr>
        <w:pStyle w:val="Compact"/>
        <w:numPr>
          <w:ilvl w:val="0"/>
          <w:numId w:val="1018"/>
        </w:numPr>
      </w:pPr>
      <w:r>
        <w:rPr>
          <w:b/>
          <w:bCs/>
        </w:rPr>
        <w:t xml:space="preserve">Retroactive look-back with credits.</w:t>
      </w:r>
      <w:r>
        <w:t xml:space="preserve"> </w:t>
      </w:r>
      <w:r>
        <w:t xml:space="preserve">The adjustment reaches back to the date the more favorable terms were</w:t>
      </w:r>
      <w:r>
        <w:t xml:space="preserve"> </w:t>
      </w:r>
      <w:r>
        <w:t xml:space="preserve">“</w:t>
      </w:r>
      <w:r>
        <w:t xml:space="preserve">first offered,</w:t>
      </w:r>
      <w:r>
        <w:t xml:space="preserve">”</w:t>
      </w:r>
      <w:r>
        <w:t xml:space="preserve"> </w:t>
      </w:r>
      <w:r>
        <w:t xml:space="preserve">and the Side Letter contains</w:t>
      </w:r>
      <w:r>
        <w:t xml:space="preserve"> </w:t>
      </w:r>
      <w:r>
        <w:rPr>
          <w:b/>
          <w:bCs/>
        </w:rPr>
        <w:t xml:space="preserve">no temporal limit on that look-back</w:t>
      </w:r>
      <w:r>
        <w:t xml:space="preserve"> </w:t>
      </w:r>
      <w:r>
        <w:t xml:space="preserve">— meaning it could in theory reach pre-existing customer arrangements entered before the KBI agreement, not merely future ones. (Internal notes reference a concern about concessions</w:t>
      </w:r>
      <w:r>
        <w:t xml:space="preserve"> </w:t>
      </w:r>
      <w:r>
        <w:t xml:space="preserve">“</w:t>
      </w:r>
      <w:r>
        <w:t xml:space="preserve">since January 1, 2024</w:t>
      </w:r>
      <w:r>
        <w:t xml:space="preserve">”</w:t>
      </w:r>
      <w:r>
        <w:t xml:space="preserve">; the Side Letter as drafted is broader than that and contains no such start date.)</w:t>
      </w:r>
    </w:p>
    <w:p>
      <w:pPr>
        <w:pStyle w:val="Compact"/>
        <w:numPr>
          <w:ilvl w:val="0"/>
          <w:numId w:val="1018"/>
        </w:numPr>
      </w:pPr>
      <w:r>
        <w:rPr>
          <w:b/>
          <w:bCs/>
        </w:rPr>
        <w:t xml:space="preserve">Over-broad product scope.</w:t>
      </w:r>
      <w:r>
        <w:t xml:space="preserve"> </w:t>
      </w:r>
      <w:r>
        <w:t xml:space="preserve">“</w:t>
      </w:r>
      <w:r>
        <w:t xml:space="preserve">Any successor, derivative, or substantially similar technology</w:t>
      </w:r>
      <w:r>
        <w:t xml:space="preserve">”</w:t>
      </w:r>
      <w:r>
        <w:t xml:space="preserve"> </w:t>
      </w:r>
      <w:r>
        <w:t xml:space="preserve">sweeps in future products beyond PredictIQ itself.</w:t>
      </w:r>
    </w:p>
    <w:p>
      <w:pPr>
        <w:pStyle w:val="Compact"/>
        <w:numPr>
          <w:ilvl w:val="0"/>
          <w:numId w:val="1018"/>
        </w:numPr>
      </w:pPr>
      <w:r>
        <w:rPr>
          <w:b/>
          <w:bCs/>
        </w:rPr>
        <w:t xml:space="preserve">Distorted per-facility metric.</w:t>
      </w:r>
      <w:r>
        <w:t xml:space="preserve"> </w:t>
      </w:r>
      <w:r>
        <w:t xml:space="preserve">Dividing</w:t>
      </w:r>
      <w:r>
        <w:t xml:space="preserve"> </w:t>
      </w:r>
      <w:r>
        <w:rPr>
          <w:i/>
          <w:iCs/>
        </w:rPr>
        <w:t xml:space="preserve">all</w:t>
      </w:r>
      <w:r>
        <w:t xml:space="preserve"> </w:t>
      </w:r>
      <w:r>
        <w:t xml:space="preserve">fee types (including one-time implementation and license fees) by facility count can produce misleading comparisons — e.g., a smaller deployment with proportionally more services, or a bundled/discounted arrangement, could trigger an adjustment even when the underlying per-unit SaaS economics are comparable.</w:t>
      </w:r>
    </w:p>
    <w:p>
      <w:pPr>
        <w:pStyle w:val="Compact"/>
        <w:numPr>
          <w:ilvl w:val="0"/>
          <w:numId w:val="1018"/>
        </w:numPr>
      </w:pPr>
      <w:r>
        <w:rPr>
          <w:b/>
          <w:bCs/>
        </w:rPr>
        <w:t xml:space="preserve">Audit cost shift.</w:t>
      </w:r>
      <w:r>
        <w:t xml:space="preserve"> </w:t>
      </w:r>
      <w:r>
        <w:t xml:space="preserve">Whitmore bears audit costs on any ≥5% discrepancy, with no cap on audit scope or frequency beyond the annual limit.</w:t>
      </w:r>
    </w:p>
    <w:p>
      <w:pPr>
        <w:pStyle w:val="Compact"/>
        <w:numPr>
          <w:ilvl w:val="0"/>
          <w:numId w:val="1018"/>
        </w:numPr>
      </w:pPr>
      <w:r>
        <w:rPr>
          <w:b/>
          <w:bCs/>
        </w:rPr>
        <w:t xml:space="preserve">Strategic incompatibility.</w:t>
      </w:r>
      <w:r>
        <w:t xml:space="preserve"> </w:t>
      </w:r>
      <w:r>
        <w:t xml:space="preserve">Pricing flexibility is central to Whitmore’s European growth plan and Series C narrative; a perpetual, carve-out-free MFC materially constrains that flexibility for the benefit of a single customer.</w:t>
      </w:r>
    </w:p>
    <w:p>
      <w:r>
        <w:pict>
          <v:rect style="width:0;height:1.5pt" o:hralign="center" o:hrstd="t" o:hr="t"/>
        </w:pict>
      </w:r>
    </w:p>
    <w:bookmarkEnd w:id="48"/>
    <w:bookmarkEnd w:id="49"/>
    <w:bookmarkStart w:id="69" w:name="vi.-risk-flags-prioritized"/>
    <w:p>
      <w:pPr>
        <w:pStyle w:val="Heading1"/>
      </w:pPr>
      <w:r>
        <w:t xml:space="preserve">VI. Risk Flags (Prioritized)</w:t>
      </w:r>
    </w:p>
    <w:bookmarkStart w:id="53" w:name="a.-critical-risks"/>
    <w:p>
      <w:pPr>
        <w:pStyle w:val="Heading2"/>
      </w:pPr>
      <w:r>
        <w:t xml:space="preserve">A. Critical risks</w:t>
      </w:r>
    </w:p>
    <w:bookmarkStart w:id="50" w:name="Xa63554b2e54dda6bc60d76eaeba710e9fab51d6"/>
    <w:p>
      <w:pPr>
        <w:pStyle w:val="Heading3"/>
      </w:pPr>
      <w:r>
        <w:t xml:space="preserve">Risk 1 — Exclusivity / Non-Compete (Section 12)</w:t>
      </w:r>
    </w:p>
    <w:p>
      <w:pPr>
        <w:pStyle w:val="FirstParagraph"/>
      </w:pPr>
      <w:r>
        <w:rPr>
          <w:b/>
          <w:bCs/>
        </w:rPr>
        <w:t xml:space="preserve">Issue.</w:t>
      </w:r>
      <w:r>
        <w:t xml:space="preserve"> </w:t>
      </w:r>
      <w:r>
        <w:t xml:space="preserve">The 3-year exclusivity combines a named-competitor list (Exhibit B, 12 entities) with an open-ended definition that captures</w:t>
      </w:r>
      <w:r>
        <w:t xml:space="preserve"> </w:t>
      </w:r>
      <w:r>
        <w:rPr>
          <w:i/>
          <w:iCs/>
        </w:rPr>
        <w:t xml:space="preserve">any</w:t>
      </w:r>
      <w:r>
        <w:t xml:space="preserve"> </w:t>
      </w:r>
      <w:r>
        <w:t xml:space="preserve">entity deriving more than 30% of annual revenue from automotive/heavy-machinery/heavy-industrial manufacturing in the EEA, UK, or Switzerland (§12.2(b)). It also extends to</w:t>
      </w:r>
      <w:r>
        <w:t xml:space="preserve"> </w:t>
      </w:r>
      <w:r>
        <w:t xml:space="preserve">“</w:t>
      </w:r>
      <w:r>
        <w:t xml:space="preserve">any successor or replacement product offering substantially similar predictive-maintenance functionality</w:t>
      </w:r>
      <w:r>
        <w:t xml:space="preserve">”</w:t>
      </w:r>
      <w:r>
        <w:t xml:space="preserve"> </w:t>
      </w:r>
      <w:r>
        <w:t xml:space="preserve">(§12.3), survives termination (§12.4), and carries injunctive relief without a bond or irreparable-harm showing (§12.5).</w:t>
      </w:r>
    </w:p>
    <w:p>
      <w:pPr>
        <w:pStyle w:val="BodyText"/>
      </w:pPr>
      <w:r>
        <w:rPr>
          <w:b/>
          <w:bCs/>
        </w:rPr>
        <w:t xml:space="preserve">Risk.</w:t>
      </w:r>
      <w:r>
        <w:t xml:space="preserve"> </w:t>
      </w:r>
      <w:r>
        <w:t xml:space="preserve">Management estimates the 30% threshold could capture 25–30 additional companies beyond the 12 named, including active prospects. Whitmore currently has late-stage discussions with three European automotive/heavy-machinery manufacturers representing ~$4–5M in potential recurring SaaS revenue. Locking Whitmore out of a significant segment of the European industrial market for three years — in exchange for a single deal representing ~20% of annual revenue — could stunt growth and damage the Series C valuation narrative. As a legal matter, the 30% definition creates an</w:t>
      </w:r>
      <w:r>
        <w:t xml:space="preserve"> </w:t>
      </w:r>
      <w:r>
        <w:rPr>
          <w:b/>
          <w:bCs/>
        </w:rPr>
        <w:t xml:space="preserve">affirmative, perpetual monitoring obligation</w:t>
      </w:r>
      <w:r>
        <w:t xml:space="preserve">: before engaging any prospective European customer, Whitmore would need to determine whether that entity derives ≥30% of revenue from the covered sectors — a determination that is practically impossible for privately held companies, subsidiaries of diversified conglomerates, or entities that do not publicly disaggregate revenue. This creates perpetual risk of inadvertent breach, with termination-for-cause and (per internal notes) liquidated-damages exposure. The asymmetry is compounded by KBI’s 5-year expansion right, which locks in favorable KBI economics for up to 5 years while Whitmore is locked out for 3.</w:t>
      </w:r>
    </w:p>
    <w:p>
      <w:pPr>
        <w:pStyle w:val="BodyText"/>
      </w:pPr>
      <w:r>
        <w:rPr>
          <w:b/>
          <w:bCs/>
        </w:rPr>
        <w:t xml:space="preserve">Management position (red line).</w:t>
      </w:r>
      <w:r>
        <w:t xml:space="preserve"> </w:t>
      </w:r>
      <w:r>
        <w:t xml:space="preserve">Mr. Malhotra: Whitmore might accept a narrow named-company exclusivity limited to the 12 Exhibit B companies, for 18 months rather than 3 years; the open-ended 30% definition</w:t>
      </w:r>
      <w:r>
        <w:t xml:space="preserve"> </w:t>
      </w:r>
      <w:r>
        <w:t xml:space="preserve">“</w:t>
      </w:r>
      <w:r>
        <w:t xml:space="preserve">has to go entirely.</w:t>
      </w:r>
      <w:r>
        <w:t xml:space="preserve">”</w:t>
      </w:r>
      <w:r>
        <w:t xml:space="preserve"> </w:t>
      </w:r>
      <w:r>
        <w:t xml:space="preserve">Mr. Kendrick to quantify pipeline impact for the board deck.</w:t>
      </w:r>
    </w:p>
    <w:p>
      <w:pPr>
        <w:pStyle w:val="BodyText"/>
      </w:pPr>
      <w:r>
        <w:rPr>
          <w:b/>
          <w:bCs/>
        </w:rPr>
        <w:t xml:space="preserve">Recommendation.</w:t>
      </w:r>
      <w:r>
        <w:t xml:space="preserve"> </w:t>
      </w:r>
      <w:r>
        <w:t xml:space="preserve">See Section VII.A. Strike §12.2(b); limit to a negotiated, narrowed Exhibit B list; reduce term to 18 months; add carve-outs (existing customers, pipeline prospects as of a defined date, RFP responses, non-automotive/heavy-machinery verticals); narrow §12.3 to PredictIQ only; make exclusivity non-surviving or sunset on termination; require irreparable-harm showing and a bond for injunctive relief.</w:t>
      </w:r>
    </w:p>
    <w:bookmarkEnd w:id="50"/>
    <w:bookmarkStart w:id="51" w:name="Xae9c47e167d2f24732ae6e5ab3ccb0bb9334c2e"/>
    <w:p>
      <w:pPr>
        <w:pStyle w:val="Heading3"/>
      </w:pPr>
      <w:r>
        <w:t xml:space="preserve">Risk 2 — Data training ban + Output Data ownership (Sections 4.2–4.3)</w:t>
      </w:r>
    </w:p>
    <w:p>
      <w:pPr>
        <w:pStyle w:val="FirstParagraph"/>
      </w:pPr>
      <w:r>
        <w:rPr>
          <w:b/>
          <w:bCs/>
        </w:rPr>
        <w:t xml:space="preserve">Issue.</w:t>
      </w:r>
      <w:r>
        <w:t xml:space="preserve"> </w:t>
      </w:r>
      <w:r>
        <w:t xml:space="preserve">Section 4.3 prohibits Whitmore from using KBI Data —</w:t>
      </w:r>
      <w:r>
        <w:t xml:space="preserve"> </w:t>
      </w:r>
      <w:r>
        <w:rPr>
          <w:i/>
          <w:iCs/>
        </w:rPr>
        <w:t xml:space="preserve">even in anonymized or aggregated form</w:t>
      </w:r>
      <w:r>
        <w:t xml:space="preserve"> </w:t>
      </w:r>
      <w:r>
        <w:t xml:space="preserve">— to train/tune/improve PredictIQ’s general ML models without KBI’s prior written consent, which KBI may withhold in its sole discretion. Separately, Section 4.2 makes</w:t>
      </w:r>
      <w:r>
        <w:t xml:space="preserve"> </w:t>
      </w:r>
      <w:r>
        <w:t xml:space="preserve">“</w:t>
      </w:r>
      <w:r>
        <w:t xml:space="preserve">Output Data</w:t>
      </w:r>
      <w:r>
        <w:t xml:space="preserve">”</w:t>
      </w:r>
      <w:r>
        <w:t xml:space="preserve"> </w:t>
      </w:r>
      <w:r>
        <w:t xml:space="preserve">— expressly defined to include</w:t>
      </w:r>
      <w:r>
        <w:t xml:space="preserve"> </w:t>
      </w:r>
      <w:r>
        <w:rPr>
          <w:b/>
          <w:bCs/>
        </w:rPr>
        <w:t xml:space="preserve">model weights, parameters, training artifacts, feature-importance rankings, and model configuration data derived from KBI Data</w:t>
      </w:r>
      <w:r>
        <w:t xml:space="preserve"> </w:t>
      </w:r>
      <w:r>
        <w:t xml:space="preserve">— KBI’s sole and exclusive property.</w:t>
      </w:r>
    </w:p>
    <w:p>
      <w:pPr>
        <w:pStyle w:val="BodyText"/>
      </w:pPr>
      <w:r>
        <w:rPr>
          <w:b/>
          <w:bCs/>
        </w:rPr>
        <w:t xml:space="preserve">Risk.</w:t>
      </w:r>
      <w:r>
        <w:t xml:space="preserve"> </w:t>
      </w:r>
      <w:r>
        <w:t xml:space="preserve">PredictIQ’s competitive advantage depends on continuous model improvement through exposure to diverse, real-world operational data. KBI’s deployment (43 facilities, 12 countries, diverse manufacturing environments) would be Whitmore’s largest and most varied data source. A blanket ban on anonymized/aggregated use deprives PredictIQ of critical training inputs that improve accuracy for</w:t>
      </w:r>
      <w:r>
        <w:t xml:space="preserve"> </w:t>
      </w:r>
      <w:r>
        <w:rPr>
          <w:i/>
          <w:iCs/>
        </w:rPr>
        <w:t xml:space="preserve">all</w:t>
      </w:r>
      <w:r>
        <w:t xml:space="preserve"> </w:t>
      </w:r>
      <w:r>
        <w:t xml:space="preserve">customers — effectively letting the largest customer degrade the product for everyone else. The Output Data ownership claim deepens the problem: read together, §§4.2 and 4.3 could mean that model state shaped by KBI data in the ordinary course of providing services generates IP belonging to KBI — i.e., every customer interaction could make PredictIQ</w:t>
      </w:r>
      <w:r>
        <w:t xml:space="preserve"> </w:t>
      </w:r>
      <w:r>
        <w:t xml:space="preserve">“</w:t>
      </w:r>
      <w:r>
        <w:t xml:space="preserve">less ours.</w:t>
      </w:r>
      <w:r>
        <w:t xml:space="preserve">”</w:t>
      </w:r>
      <w:r>
        <w:t xml:space="preserve"> </w:t>
      </w:r>
      <w:r>
        <w:t xml:space="preserve">This is an outlier position; industry-standard terms permit anonymized, aggregated data use for model improvement. Section 3.5 (KBI-Inspired Improvements) compounds the concern by granting KBI a perpetual, royalty-free license to improvements derived from its data/use.</w:t>
      </w:r>
    </w:p>
    <w:p>
      <w:pPr>
        <w:pStyle w:val="BodyText"/>
      </w:pPr>
      <w:r>
        <w:rPr>
          <w:b/>
          <w:bCs/>
        </w:rPr>
        <w:t xml:space="preserve">Management position (red line).</w:t>
      </w:r>
      <w:r>
        <w:t xml:space="preserve"> </w:t>
      </w:r>
      <w:r>
        <w:t xml:space="preserve">Mr. Malhotra: anonymized/aggregated data use for model improvement is</w:t>
      </w:r>
      <w:r>
        <w:t xml:space="preserve"> </w:t>
      </w:r>
      <w:r>
        <w:t xml:space="preserve">“</w:t>
      </w:r>
      <w:r>
        <w:t xml:space="preserve">non-negotiable</w:t>
      </w:r>
      <w:r>
        <w:t xml:space="preserve">”</w:t>
      </w:r>
      <w:r>
        <w:t xml:space="preserve">; Whitmore will accept strong anonymization standards, minimum aggregation pool sizes, and third-party verification, but not a blanket prohibition. The Output Data ownership claim</w:t>
      </w:r>
      <w:r>
        <w:t xml:space="preserve"> </w:t>
      </w:r>
      <w:r>
        <w:t xml:space="preserve">“</w:t>
      </w:r>
      <w:r>
        <w:t xml:space="preserve">needs to be struck or fundamentally restructured.</w:t>
      </w:r>
      <w:r>
        <w:t xml:space="preserve">”</w:t>
      </w:r>
      <w:r>
        <w:t xml:space="preserve"> </w:t>
      </w:r>
      <w:r>
        <w:t xml:space="preserve">Ms. Yin flagged the Output Data/model-weights interaction as a priority for outside counsel.</w:t>
      </w:r>
    </w:p>
    <w:p>
      <w:pPr>
        <w:pStyle w:val="BodyText"/>
      </w:pPr>
      <w:r>
        <w:rPr>
          <w:b/>
          <w:bCs/>
        </w:rPr>
        <w:t xml:space="preserve">Recommendation.</w:t>
      </w:r>
      <w:r>
        <w:t xml:space="preserve"> </w:t>
      </w:r>
      <w:r>
        <w:t xml:space="preserve">See Section VII.B. Carve out an express right to use anonymized, aggregated KBI Data for general model improvement, subject to defined anonymization standards, minimum pool sizes, and optional third-party verification; restructure Output Data so that KBI owns its data and the predictions/alerts/reports delivered to it, while model weights, parameters, and training artifacts that inhere in PredictIQ’s general model remain Whitmore’s IP; distinguish customer-specific configurations (KBI-owned) from general model improvements (Whitmore-owned); narrow §3.5 to internal manufacturing use only.</w:t>
      </w:r>
    </w:p>
    <w:bookmarkEnd w:id="51"/>
    <w:bookmarkStart w:id="52" w:name="risk-3-mfc-side-letter-section-2"/>
    <w:p>
      <w:pPr>
        <w:pStyle w:val="Heading3"/>
      </w:pPr>
      <w:r>
        <w:t xml:space="preserve">Risk 3 — MFC Side Letter (Section 2)</w:t>
      </w:r>
    </w:p>
    <w:p>
      <w:pPr>
        <w:pStyle w:val="FirstParagraph"/>
      </w:pPr>
      <w:r>
        <w:rPr>
          <w:b/>
          <w:bCs/>
        </w:rPr>
        <w:t xml:space="preserve">Issue.</w:t>
      </w:r>
      <w:r>
        <w:t xml:space="preserve"> </w:t>
      </w:r>
      <w:r>
        <w:t xml:space="preserve">As detailed in Section V.B: no sunset (effectively perpetual given the perpetual license/wind-down), no carve-outs, retroactive look-back with no temporal limit, audit cost-shift, over-broad product scope, and a distorted per-facility metric — all conditioned on acceptance.</w:t>
      </w:r>
    </w:p>
    <w:p>
      <w:pPr>
        <w:pStyle w:val="BodyText"/>
      </w:pPr>
      <w:r>
        <w:rPr>
          <w:b/>
          <w:bCs/>
        </w:rPr>
        <w:t xml:space="preserve">Risk.</w:t>
      </w:r>
      <w:r>
        <w:t xml:space="preserve"> </w:t>
      </w:r>
      <w:r>
        <w:t xml:space="preserve">A perpetual, carve-out-free MFC would permanently constrain Whitmore’s pricing flexibility across its entire product line and customer base, undermining the European growth strategy and Series C narrative. The retroactive look-back creates exposure to pre-existing arrangements. The audit right imposes ongoing record-keeping and cost burdens. Because KBI has made acceptance a condition of proceeding, Whitmore must decide whether to accept a materially narrowed version or treat the provision as a negotiation point with walk-away risk.</w:t>
      </w:r>
    </w:p>
    <w:p>
      <w:pPr>
        <w:pStyle w:val="BodyText"/>
      </w:pPr>
      <w:r>
        <w:rPr>
          <w:b/>
          <w:bCs/>
        </w:rPr>
        <w:t xml:space="preserve">Management position.</w:t>
      </w:r>
      <w:r>
        <w:t xml:space="preserve"> </w:t>
      </w:r>
      <w:r>
        <w:t xml:space="preserve">Ms. Yin:</w:t>
      </w:r>
      <w:r>
        <w:t xml:space="preserve"> </w:t>
      </w:r>
      <w:r>
        <w:t xml:space="preserve">“</w:t>
      </w:r>
      <w:r>
        <w:t xml:space="preserve">the most aggressive MFC clause I’ve seen.</w:t>
      </w:r>
      <w:r>
        <w:t xml:space="preserve">”</w:t>
      </w:r>
      <w:r>
        <w:t xml:space="preserve"> </w:t>
      </w:r>
      <w:r>
        <w:t xml:space="preserve">Mr. Malhotra: will not sign a deal that compromises the business model. We read management’s posture as: restructure aggressively or reject.</w:t>
      </w:r>
    </w:p>
    <w:p>
      <w:pPr>
        <w:pStyle w:val="BodyText"/>
      </w:pPr>
      <w:r>
        <w:rPr>
          <w:b/>
          <w:bCs/>
        </w:rPr>
        <w:t xml:space="preserve">Recommendation.</w:t>
      </w:r>
      <w:r>
        <w:t xml:space="preserve"> </w:t>
      </w:r>
      <w:r>
        <w:t xml:space="preserve">See Section VII.A. Add a sunset (e.g., 2–3 years from the effective date); add standard carve-outs; make prospective only (effective date forward) with no retroactive look-back to pre-existing arrangements; limit to PredictIQ (not</w:t>
      </w:r>
      <w:r>
        <w:t xml:space="preserve"> </w:t>
      </w:r>
      <w:r>
        <w:t xml:space="preserve">“</w:t>
      </w:r>
      <w:r>
        <w:t xml:space="preserve">substantially similar</w:t>
      </w:r>
      <w:r>
        <w:t xml:space="preserve">”</w:t>
      </w:r>
      <w:r>
        <w:t xml:space="preserve"> </w:t>
      </w:r>
      <w:r>
        <w:t xml:space="preserve">successor technology); narrow the audit right and cap Whitmore’s cost exposure; reconsider the per-facility metric. If KBI will not accept a narrowed MFC, evaluate whether to decline the provision and accept the consequential risk to the deal timeline.</w:t>
      </w:r>
    </w:p>
    <w:bookmarkEnd w:id="52"/>
    <w:bookmarkEnd w:id="53"/>
    <w:bookmarkStart w:id="60" w:name="b.-high-severity-risks"/>
    <w:p>
      <w:pPr>
        <w:pStyle w:val="Heading2"/>
      </w:pPr>
      <w:r>
        <w:t xml:space="preserve">B. High-severity risks</w:t>
      </w:r>
    </w:p>
    <w:bookmarkStart w:id="54" w:name="X61e6566e4df864ec8e788abfb835caa3e3f3a74"/>
    <w:p>
      <w:pPr>
        <w:pStyle w:val="Heading3"/>
      </w:pPr>
      <w:r>
        <w:t xml:space="preserve">Risk 4 — Uncapped IP indemnification (Sections 9.1, 10.3(A))</w:t>
      </w:r>
    </w:p>
    <w:p>
      <w:pPr>
        <w:pStyle w:val="FirstParagraph"/>
      </w:pPr>
      <w:r>
        <w:rPr>
          <w:b/>
          <w:bCs/>
        </w:rPr>
        <w:t xml:space="preserve">Issue.</w:t>
      </w:r>
      <w:r>
        <w:t xml:space="preserve"> </w:t>
      </w:r>
      <w:r>
        <w:t xml:space="preserve">Whitmore’s IP indemnity is expressly carved out of the liability cap (§10.3(A)) and stated to be</w:t>
      </w:r>
      <w:r>
        <w:t xml:space="preserve"> </w:t>
      </w:r>
      <w:r>
        <w:t xml:space="preserve">“</w:t>
      </w:r>
      <w:r>
        <w:t xml:space="preserve">not subject to any limitation of liability or cap on damages</w:t>
      </w:r>
      <w:r>
        <w:t xml:space="preserve">”</w:t>
      </w:r>
      <w:r>
        <w:t xml:space="preserve"> </w:t>
      </w:r>
      <w:r>
        <w:t xml:space="preserve">(§9.1) — i.e., uncapped.</w:t>
      </w:r>
    </w:p>
    <w:p>
      <w:pPr>
        <w:pStyle w:val="BodyText"/>
      </w:pPr>
      <w:r>
        <w:rPr>
          <w:b/>
          <w:bCs/>
        </w:rPr>
        <w:t xml:space="preserve">Risk.</w:t>
      </w:r>
      <w:r>
        <w:t xml:space="preserve"> </w:t>
      </w:r>
      <w:r>
        <w:t xml:space="preserve">The ML/AI patent landscape is dense and contested. Although Whitmore holds 14 issued U.S. patents and 3 pending PCT applications, third-party infringement claims are a real and potentially catastrophic exposure, particularly across 12 European jurisdictions. An uncapped indemnity — combined with German governing law (Risk 8) — creates open-ended liability disproportionate to the deal economics. The</w:t>
      </w:r>
      <w:r>
        <w:t xml:space="preserve"> </w:t>
      </w:r>
      <w:r>
        <w:t xml:space="preserve">“</w:t>
      </w:r>
      <w:r>
        <w:t xml:space="preserve">to Whitmore’s knowledge</w:t>
      </w:r>
      <w:r>
        <w:t xml:space="preserve">”</w:t>
      </w:r>
      <w:r>
        <w:t xml:space="preserve"> </w:t>
      </w:r>
      <w:r>
        <w:t xml:space="preserve">qualifier in the non-infringement warranty (§8.4(b)) is helpful but does not cap the indemnity itself.</w:t>
      </w:r>
    </w:p>
    <w:p>
      <w:pPr>
        <w:pStyle w:val="BodyText"/>
      </w:pPr>
      <w:r>
        <w:rPr>
          <w:b/>
          <w:bCs/>
        </w:rPr>
        <w:t xml:space="preserve">Recommendation.</w:t>
      </w:r>
      <w:r>
        <w:t xml:space="preserve"> </w:t>
      </w:r>
      <w:r>
        <w:t xml:space="preserve">Cap IP indemnification (e.g., at a defined super-cap such as 2× or 3× the general cap, or a fixed multiple of total contract value); add standard carve-outs (KBI modifications/derivative works, combinations with non-Whitmore products, use outside the Documentation, KBI’s negligence); preserve Whitmore’s sole control of defense (already present); consider a</w:t>
      </w:r>
      <w:r>
        <w:t xml:space="preserve"> </w:t>
      </w:r>
      <w:r>
        <w:t xml:space="preserve">“</w:t>
      </w:r>
      <w:r>
        <w:t xml:space="preserve">cure/modify/replace</w:t>
      </w:r>
      <w:r>
        <w:t xml:space="preserve">”</w:t>
      </w:r>
      <w:r>
        <w:t xml:space="preserve"> </w:t>
      </w:r>
      <w:r>
        <w:t xml:space="preserve">obligation as the primary remedy (already in §9.2) with damages as secondary.</w:t>
      </w:r>
    </w:p>
    <w:bookmarkEnd w:id="54"/>
    <w:bookmarkStart w:id="55" w:name="Xc34d50e00cc5d63246fc7f2bd6d8e89df1b9b57"/>
    <w:p>
      <w:pPr>
        <w:pStyle w:val="Heading3"/>
      </w:pPr>
      <w:r>
        <w:t xml:space="preserve">Risk 5 — Performance warranty and penalties (Sections 8.2–8.3, 13.4)</w:t>
      </w:r>
    </w:p>
    <w:p>
      <w:pPr>
        <w:pStyle w:val="FirstParagraph"/>
      </w:pPr>
      <w:r>
        <w:rPr>
          <w:b/>
          <w:bCs/>
        </w:rPr>
        <w:t xml:space="preserve">Issue.</w:t>
      </w:r>
      <w:r>
        <w:t xml:space="preserve"> </w:t>
      </w:r>
      <w:r>
        <w:t xml:space="preserve">A 92% prediction-accuracy warranty, measured on a rolling 90-day basis across all deployed facilities, with service credits (5% of quarterly SaaS fee per percentage point below 92% = $35,625/pp) and a for-cause termination right if accuracy falls below 85% for two consecutive quarters.</w:t>
      </w:r>
    </w:p>
    <w:p>
      <w:pPr>
        <w:pStyle w:val="BodyText"/>
      </w:pPr>
      <w:r>
        <w:rPr>
          <w:b/>
          <w:bCs/>
        </w:rPr>
        <w:t xml:space="preserve">Risk.</w:t>
      </w:r>
      <w:r>
        <w:t xml:space="preserve"> </w:t>
      </w:r>
      <w:r>
        <w:t xml:space="preserve">Prediction accuracy in predictive maintenance is highly sensitive to data quality, sensor calibration, environmental variables, and the completeness/accuracy of KBI’s maintenance logs — most of which are outside Whitmore’s control. The metric is measured against KBI’s maintenance logs (which KBI controls),</w:t>
      </w:r>
      <w:r>
        <w:t xml:space="preserve"> </w:t>
      </w:r>
      <w:r>
        <w:t xml:space="preserve">“</w:t>
      </w:r>
      <w:r>
        <w:t xml:space="preserve">correctly predicted at least 48 hours in advance</w:t>
      </w:r>
      <w:r>
        <w:t xml:space="preserve">”</w:t>
      </w:r>
      <w:r>
        <w:t xml:space="preserve"> </w:t>
      </w:r>
      <w:r>
        <w:t xml:space="preserve">is a strict standard, and the measurement methodology is undefined. Credits accrue automatically and the termination trigger has no cure period. At 85% accuracy (7 pp below target), quarterly credits would be ~$249,375, and two consecutive such quarters would permit for-cause termination.</w:t>
      </w:r>
    </w:p>
    <w:p>
      <w:pPr>
        <w:pStyle w:val="BodyText"/>
      </w:pPr>
      <w:r>
        <w:rPr>
          <w:b/>
          <w:bCs/>
        </w:rPr>
        <w:t xml:space="preserve">Recommendation.</w:t>
      </w:r>
      <w:r>
        <w:t xml:space="preserve"> </w:t>
      </w:r>
      <w:r>
        <w:t xml:space="preserve">Add conditions precedent (accuracy measured only where KBI has met its data-quality, sensor-calibration, and system-requirements obligations); define the measurement methodology precisely with independent verification; add a cure period before credits and termination accrue; cap total credits (e.g., at a percentage of annual SaaS fees); exclude pilot/Phase 1 facilities and add a ramp-up period; consider making 92% a target rather than a warranty, or negotiate the threshold; lengthen the termination look-back or add cure.</w:t>
      </w:r>
    </w:p>
    <w:bookmarkEnd w:id="55"/>
    <w:bookmarkStart w:id="56" w:name="risk-6-source-code-escrow-section-11"/>
    <w:p>
      <w:pPr>
        <w:pStyle w:val="Heading3"/>
      </w:pPr>
      <w:r>
        <w:t xml:space="preserve">Risk 6 — Source-code escrow (Section 11)</w:t>
      </w:r>
    </w:p>
    <w:p>
      <w:pPr>
        <w:pStyle w:val="FirstParagraph"/>
      </w:pPr>
      <w:r>
        <w:rPr>
          <w:b/>
          <w:bCs/>
        </w:rPr>
        <w:t xml:space="preserve">Issue.</w:t>
      </w:r>
      <w:r>
        <w:t xml:space="preserve"> </w:t>
      </w:r>
      <w:r>
        <w:t xml:space="preserve">Release triggers include Whitmore’s material breach</w:t>
      </w:r>
      <w:r>
        <w:t xml:space="preserve"> </w:t>
      </w:r>
      <w:r>
        <w:t xml:space="preserve">“</w:t>
      </w:r>
      <w:r>
        <w:t xml:space="preserve">uncured for 60 days following written notice</w:t>
      </w:r>
      <w:r>
        <w:t xml:space="preserve">”</w:t>
      </w:r>
      <w:r>
        <w:t xml:space="preserve"> </w:t>
      </w:r>
      <w:r>
        <w:t xml:space="preserve">(§11.2(b)) — which can fire</w:t>
      </w:r>
      <w:r>
        <w:t xml:space="preserve"> </w:t>
      </w:r>
      <w:r>
        <w:rPr>
          <w:i/>
          <w:iCs/>
        </w:rPr>
        <w:t xml:space="preserve">before</w:t>
      </w:r>
      <w:r>
        <w:t xml:space="preserve"> </w:t>
      </w:r>
      <w:r>
        <w:t xml:space="preserve">the termination-for-cause mechanics in §13.2 (90 days’ notice + 60-day cure) are exhausted — and Whitmore’s failure to provide maintenance/support for 90 consecutive days (§11.2(d)). On release, KBI obtains a perpetual, irrevocable, fully paid-up, royalty-free license to use, modify, compile, and deploy the source code (§11.3).</w:t>
      </w:r>
    </w:p>
    <w:p>
      <w:pPr>
        <w:pStyle w:val="BodyText"/>
      </w:pPr>
      <w:r>
        <w:rPr>
          <w:b/>
          <w:bCs/>
        </w:rPr>
        <w:t xml:space="preserve">Risk.</w:t>
      </w:r>
      <w:r>
        <w:t xml:space="preserve"> </w:t>
      </w:r>
      <w:r>
        <w:t xml:space="preserve">A 60-day uncured-breach release trigger (independent of termination) could release Whitmore’s crown-jewel source code on a disputed or curable breach, before any dispute resolution. The 90-day support-failure trigger could be invoked through Whitmore’s own suspension right for KBI non-payment (§7.5) if not carefully carved out. The post-release license is broad (use,</w:t>
      </w:r>
      <w:r>
        <w:t xml:space="preserve"> </w:t>
      </w:r>
      <w:r>
        <w:rPr>
          <w:i/>
          <w:iCs/>
        </w:rPr>
        <w:t xml:space="preserve">modify</w:t>
      </w:r>
      <w:r>
        <w:t xml:space="preserve">, compile, deploy) and perpetual/royalty-free — effectively a source-code grant that, combined with the wind-down license, gives KBI strong continuity rights even on a non-insolvency trigger.</w:t>
      </w:r>
    </w:p>
    <w:p>
      <w:pPr>
        <w:pStyle w:val="BodyText"/>
      </w:pPr>
      <w:r>
        <w:rPr>
          <w:b/>
          <w:bCs/>
        </w:rPr>
        <w:t xml:space="preserve">Recommendation.</w:t>
      </w:r>
      <w:r>
        <w:t xml:space="preserve"> </w:t>
      </w:r>
      <w:r>
        <w:t xml:space="preserve">Align release triggers with actual termination for cause (require termination, not merely uncured breach); add an escrow-pending-dispute-resolution mechanism for disputed breaches; expressly carve out Whitmore’s suspension for non-payment from the 90-day support-failure trigger; narrow the post-release license to internal continuity use (not modification or sublicensing); require return/destruction of released materials if the breach is cured or the release was erroneous; consider limiting the deposit to what is necessary for continuity (while recognizing KBI’s legitimate continuity interest on insolvency).</w:t>
      </w:r>
    </w:p>
    <w:bookmarkEnd w:id="56"/>
    <w:bookmarkStart w:id="57" w:name="X7fe2c9d7b3bbd5f3078b8f77d6a5b29c411d2c9"/>
    <w:p>
      <w:pPr>
        <w:pStyle w:val="Heading3"/>
      </w:pPr>
      <w:r>
        <w:t xml:space="preserve">Risk 7 — Perpetual wind-down license (Section 13.5)</w:t>
      </w:r>
    </w:p>
    <w:p>
      <w:pPr>
        <w:pStyle w:val="FirstParagraph"/>
      </w:pPr>
      <w:r>
        <w:rPr>
          <w:b/>
          <w:bCs/>
        </w:rPr>
        <w:t xml:space="preserve">Issue.</w:t>
      </w:r>
      <w:r>
        <w:t xml:space="preserve"> </w:t>
      </w:r>
      <w:r>
        <w:t xml:space="preserve">On termination or expiration for</w:t>
      </w:r>
      <w:r>
        <w:t xml:space="preserve"> </w:t>
      </w:r>
      <w:r>
        <w:rPr>
          <w:i/>
          <w:iCs/>
        </w:rPr>
        <w:t xml:space="preserve">any</w:t>
      </w:r>
      <w:r>
        <w:t xml:space="preserve"> </w:t>
      </w:r>
      <w:r>
        <w:t xml:space="preserve">reason — including KBI’s termination for convenience — KBI retains a</w:t>
      </w:r>
      <w:r>
        <w:t xml:space="preserve"> </w:t>
      </w:r>
      <w:r>
        <w:rPr>
          <w:b/>
          <w:bCs/>
        </w:rPr>
        <w:t xml:space="preserve">perpetual, non-exclusive, irrevocable</w:t>
      </w:r>
      <w:r>
        <w:t xml:space="preserve"> </w:t>
      </w:r>
      <w:r>
        <w:t xml:space="preserve">license to continue using the deployed version of PredictIQ, subject only to continued payment of the Annual Maintenance &amp; Support Fee.</w:t>
      </w:r>
    </w:p>
    <w:p>
      <w:pPr>
        <w:pStyle w:val="BodyText"/>
      </w:pPr>
      <w:r>
        <w:rPr>
          <w:b/>
          <w:bCs/>
        </w:rPr>
        <w:t xml:space="preserve">Risk.</w:t>
      </w:r>
      <w:r>
        <w:t xml:space="preserve"> </w:t>
      </w:r>
      <w:r>
        <w:t xml:space="preserve">A perpetual wind-down license undercuts Whitmore’s recurring-revenue model and negotiating leverage: KBI can walk away (on convenience, after year 3) yet continue using PredictIQ indefinitely for the maintenance fee alone. Note that the Term Sheet is</w:t>
      </w:r>
      <w:r>
        <w:t xml:space="preserve"> </w:t>
      </w:r>
      <w:r>
        <w:rPr>
          <w:b/>
          <w:bCs/>
        </w:rPr>
        <w:t xml:space="preserve">more favorable to KBI than internal notes suggested</w:t>
      </w:r>
      <w:r>
        <w:t xml:space="preserve"> </w:t>
      </w:r>
      <w:r>
        <w:t xml:space="preserve">— Ms. Yin’s June 3 email referenced a</w:t>
      </w:r>
      <w:r>
        <w:t xml:space="preserve"> </w:t>
      </w:r>
      <w:r>
        <w:t xml:space="preserve">“</w:t>
      </w:r>
      <w:r>
        <w:t xml:space="preserve">24-month wind-down license at reduced fees,</w:t>
      </w:r>
      <w:r>
        <w:t xml:space="preserve">”</w:t>
      </w:r>
      <w:r>
        <w:t xml:space="preserve"> </w:t>
      </w:r>
      <w:r>
        <w:t xml:space="preserve">but the Term Sheet as drafted provides a</w:t>
      </w:r>
      <w:r>
        <w:t xml:space="preserve"> </w:t>
      </w:r>
      <w:r>
        <w:rPr>
          <w:i/>
          <w:iCs/>
        </w:rPr>
        <w:t xml:space="preserve">perpetual</w:t>
      </w:r>
      <w:r>
        <w:t xml:space="preserve"> </w:t>
      </w:r>
      <w:r>
        <w:t xml:space="preserve">license at the</w:t>
      </w:r>
      <w:r>
        <w:t xml:space="preserve"> </w:t>
      </w:r>
      <w:r>
        <w:rPr>
          <w:i/>
          <w:iCs/>
        </w:rPr>
        <w:t xml:space="preserve">full</w:t>
      </w:r>
      <w:r>
        <w:t xml:space="preserve"> </w:t>
      </w:r>
      <w:r>
        <w:t xml:space="preserve">maintenance fee. The interaction with the escrow post-release license (§11.3) and the MFC’s</w:t>
      </w:r>
      <w:r>
        <w:t xml:space="preserve"> </w:t>
      </w:r>
      <w:r>
        <w:t xml:space="preserve">“</w:t>
      </w:r>
      <w:r>
        <w:t xml:space="preserve">so long as KBI retains any license rights</w:t>
      </w:r>
      <w:r>
        <w:t xml:space="preserve">”</w:t>
      </w:r>
      <w:r>
        <w:t xml:space="preserve"> </w:t>
      </w:r>
      <w:r>
        <w:t xml:space="preserve">language (which expressly includes the wind-down license) compounds the exposure.</w:t>
      </w:r>
      <w:r>
        <w:t xml:space="preserve"> </w:t>
      </w:r>
      <w:r>
        <w:t xml:space="preserve">“</w:t>
      </w:r>
      <w:r>
        <w:t xml:space="preserve">Irrevocable</w:t>
      </w:r>
      <w:r>
        <w:t xml:space="preserve">”</w:t>
      </w:r>
      <w:r>
        <w:t xml:space="preserve"> </w:t>
      </w:r>
      <w:r>
        <w:t xml:space="preserve">is strong language that may complicate termination for non-payment of the maintenance fee.</w:t>
      </w:r>
    </w:p>
    <w:p>
      <w:pPr>
        <w:pStyle w:val="BodyText"/>
      </w:pPr>
      <w:r>
        <w:rPr>
          <w:b/>
          <w:bCs/>
        </w:rPr>
        <w:t xml:space="preserve">Recommendation.</w:t>
      </w:r>
      <w:r>
        <w:t xml:space="preserve"> </w:t>
      </w:r>
      <w:r>
        <w:t xml:space="preserve">Limit the wind-down license to a defined transition period (e.g., 12–24 months) to permit migration off PredictIQ, not perpetual ongoing use; make it revocable for non-payment; restrict it to on-premises/edge components (the cloud SaaS engine cannot meaningfully</w:t>
      </w:r>
      <w:r>
        <w:t xml:space="preserve"> </w:t>
      </w:r>
      <w:r>
        <w:t xml:space="preserve">“</w:t>
      </w:r>
      <w:r>
        <w:t xml:space="preserve">wind down</w:t>
      </w:r>
      <w:r>
        <w:t xml:space="preserve">”</w:t>
      </w:r>
      <w:r>
        <w:t xml:space="preserve"> </w:t>
      </w:r>
      <w:r>
        <w:t xml:space="preserve">without Whitmore’s ongoing hosting); confirm no updates/new features (consistent with §13.6(a)); strike</w:t>
      </w:r>
      <w:r>
        <w:t xml:space="preserve"> </w:t>
      </w:r>
      <w:r>
        <w:t xml:space="preserve">“</w:t>
      </w:r>
      <w:r>
        <w:t xml:space="preserve">irrevocable.</w:t>
      </w:r>
      <w:r>
        <w:t xml:space="preserve">”</w:t>
      </w:r>
    </w:p>
    <w:bookmarkEnd w:id="57"/>
    <w:bookmarkStart w:id="58" w:name="risk-8-german-governing-law-section-14.1"/>
    <w:p>
      <w:pPr>
        <w:pStyle w:val="Heading3"/>
      </w:pPr>
      <w:r>
        <w:t xml:space="preserve">Risk 8 — German governing law (Section 14.1)</w:t>
      </w:r>
    </w:p>
    <w:p>
      <w:pPr>
        <w:pStyle w:val="FirstParagraph"/>
      </w:pPr>
      <w:r>
        <w:rPr>
          <w:b/>
          <w:bCs/>
        </w:rPr>
        <w:t xml:space="preserve">Issue.</w:t>
      </w:r>
      <w:r>
        <w:t xml:space="preserve"> </w:t>
      </w:r>
      <w:r>
        <w:t xml:space="preserve">German substantive law governs, without regard to conflicts-of-law principles; arbitration is ICC in Zurich (relatively neutral).</w:t>
      </w:r>
    </w:p>
    <w:p>
      <w:pPr>
        <w:pStyle w:val="BodyText"/>
      </w:pPr>
      <w:r>
        <w:rPr>
          <w:b/>
          <w:bCs/>
        </w:rPr>
        <w:t xml:space="preserve">Risk.</w:t>
      </w:r>
      <w:r>
        <w:t xml:space="preserve"> </w:t>
      </w:r>
      <w:r>
        <w:t xml:space="preserve">German law compounds several exposures: (i) the uncapped IP indemnity (Risk 4) and the performance-warranty penalties (Risk 5) may be scrutinized under German principles on liability limitations and penalty clauses (Vertragsstrafe); (ii) German law generally does not permit exclusion of liability for gross negligence (grobe Fahrlässigkeit) or willful misconduct, and caps/exclusions may be narrowly construed; (iii) the 1.5%/month late-payment interest (§5.5) may be challenged as an unenforceable penalty. Mr. Malhotra has specifically flagged liability exposure under German law and requested specialist advice on whether to push for Washington state law or a neutral jurisdiction (England or Switzerland).</w:t>
      </w:r>
    </w:p>
    <w:p>
      <w:pPr>
        <w:pStyle w:val="BodyText"/>
      </w:pPr>
      <w:r>
        <w:rPr>
          <w:b/>
          <w:bCs/>
        </w:rPr>
        <w:t xml:space="preserve">Recommendation.</w:t>
      </w:r>
      <w:r>
        <w:t xml:space="preserve"> </w:t>
      </w:r>
      <w:r>
        <w:t xml:space="preserve">Push for Washington state law (Whitmore’s home) or a neutral commercial jurisdiction (England, Switzerland, or New York); the Zurich ICC arbitration seat is acceptable and should be retained regardless. If German law remains, obtain specialist German-law advice on the enforceability of the liability cap, the uncapped indemnity, the warranty disclaimers, the performance credits/termination, and the late-payment interest before execution.</w:t>
      </w:r>
    </w:p>
    <w:bookmarkEnd w:id="58"/>
    <w:bookmarkStart w:id="59" w:name="Xc91b992b345c67ac449a8ed09149477975621d2"/>
    <w:p>
      <w:pPr>
        <w:pStyle w:val="Heading3"/>
      </w:pPr>
      <w:r>
        <w:t xml:space="preserve">Risk 9 — Derivative works / feedback / improvements interaction (Sections 2, 3.3–3.5)</w:t>
      </w:r>
    </w:p>
    <w:p>
      <w:pPr>
        <w:pStyle w:val="FirstParagraph"/>
      </w:pPr>
      <w:r>
        <w:rPr>
          <w:b/>
          <w:bCs/>
        </w:rPr>
        <w:t xml:space="preserve">Issue.</w:t>
      </w:r>
      <w:r>
        <w:t xml:space="preserve"> </w:t>
      </w:r>
      <w:r>
        <w:t xml:space="preserve">Derivative works created from the API layer are</w:t>
      </w:r>
      <w:r>
        <w:t xml:space="preserve"> </w:t>
      </w:r>
      <w:r>
        <w:rPr>
          <w:b/>
          <w:bCs/>
        </w:rPr>
        <w:t xml:space="preserve">jointly owned</w:t>
      </w:r>
      <w:r>
        <w:t xml:space="preserve">, with each party free to use, modify, sublicense, and exploit without consent or accounting (§§2, 3.3). The feedback clause (§3.4) makes all feedback Whitmore’s sole property. The KBI-Inspired Improvements clause (§3.5) grants KBI a perpetual, royalty-free license to improvements derived from its data/use. Ms. Yin flagged an apparent internal contradiction: the feedback clause (Whitmore sole ownership) and the derivative-works clause (joint ownership) can overlap, creating ambiguity over who owns integration code that incorporates KBI suggestions.</w:t>
      </w:r>
    </w:p>
    <w:p>
      <w:pPr>
        <w:pStyle w:val="BodyText"/>
      </w:pPr>
      <w:r>
        <w:rPr>
          <w:b/>
          <w:bCs/>
        </w:rPr>
        <w:t xml:space="preserve">Risk.</w:t>
      </w:r>
      <w:r>
        <w:t xml:space="preserve"> </w:t>
      </w:r>
      <w:r>
        <w:t xml:space="preserve">Joint ownership is unusual and problematic: under U.S. law each joint owner may exploit without accounting to the other, which could permit KBI to commercialize derivative works; the unrestricted-exploitation language is broader than a typical integration license. The §3.5 license-back limits Whitmore’s ability to monetize improvements with KBI (though Whitmore retains ownership and may monetize with third parties). The overlap between derivative works and feedback creates ownership ambiguity.</w:t>
      </w:r>
    </w:p>
    <w:p>
      <w:pPr>
        <w:pStyle w:val="BodyText"/>
      </w:pPr>
      <w:r>
        <w:rPr>
          <w:b/>
          <w:bCs/>
        </w:rPr>
        <w:t xml:space="preserve">Recommendation.</w:t>
      </w:r>
      <w:r>
        <w:t xml:space="preserve"> </w:t>
      </w:r>
      <w:r>
        <w:t xml:space="preserve">Reconsider joint ownership — prefer Whitmore ownership of all PredictIQ-related IP (including integration/derivative works) with a license to KBI for internal manufacturing use; clarify the boundary between derivative works (integration code) and feedback/improvements; ensure §3.5 is limited to KBI’s internal manufacturing use and does not extend to general model improvements; confirm Whitmore retains full commercialization rights with third parties; restrict KBI’s exploitation of any jointly-owned works to internal manufacturing operations (no commercial sublicensing).</w:t>
      </w:r>
    </w:p>
    <w:bookmarkEnd w:id="59"/>
    <w:bookmarkEnd w:id="60"/>
    <w:bookmarkStart w:id="68" w:name="c.-medium--and-low-severity-risks"/>
    <w:p>
      <w:pPr>
        <w:pStyle w:val="Heading2"/>
      </w:pPr>
      <w:r>
        <w:t xml:space="preserve">C. Medium- and low-severity risks</w:t>
      </w:r>
    </w:p>
    <w:bookmarkStart w:id="61" w:name="Xa9f36cfc0ea78d9017001ae67ebb23da493971d"/>
    <w:p>
      <w:pPr>
        <w:pStyle w:val="Heading3"/>
      </w:pPr>
      <w:r>
        <w:t xml:space="preserve">Risk 10 — Implementation cash-flow mismatch (Sections 5, 6)</w:t>
      </w:r>
    </w:p>
    <w:p>
      <w:pPr>
        <w:pStyle w:val="FirstParagraph"/>
      </w:pPr>
      <w:r>
        <w:t xml:space="preserve">As detailed in Section III.C. Restructure to 40/30/30 with front-loaded implementation fees and a separate implementation SOW; flag ASC 606 revenue-recognition implications to Lakeshore Accounting Group LLP (the linear payment structure vs. milestone-based delivery raises timing questions).</w:t>
      </w:r>
    </w:p>
    <w:bookmarkEnd w:id="61"/>
    <w:bookmarkStart w:id="62" w:name="X0351aeffce662937b3e36feba4aa3af565a3386"/>
    <w:p>
      <w:pPr>
        <w:pStyle w:val="Heading3"/>
      </w:pPr>
      <w:r>
        <w:t xml:space="preserve">Risk 11 — Liability cap structure (Section 10)</w:t>
      </w:r>
    </w:p>
    <w:p>
      <w:pPr>
        <w:pStyle w:val="FirstParagraph"/>
      </w:pPr>
      <w:r>
        <w:t xml:space="preserve">The $15,000,000 floor is high relative to early-year fees (the</w:t>
      </w:r>
      <w:r>
        <w:t xml:space="preserve"> </w:t>
      </w:r>
      <w:r>
        <w:t xml:space="preserve">“</w:t>
      </w:r>
      <w:r>
        <w:t xml:space="preserve">greater of 2× trailing-12-month fees or $15M</w:t>
      </w:r>
      <w:r>
        <w:t xml:space="preserve">”</w:t>
      </w:r>
      <w:r>
        <w:t xml:space="preserve"> </w:t>
      </w:r>
      <w:r>
        <w:t xml:space="preserve">means the $15M floor likely governs initially). The mutual cap is somewhat balanced, but Whitmore (as provider) bears greater operational risk. Recommend lowering the floor or capping at a multiple of total contract value, and capping the IP indemnity (Risk 4).</w:t>
      </w:r>
    </w:p>
    <w:bookmarkEnd w:id="62"/>
    <w:bookmarkStart w:id="63" w:name="X52feb5ae0c6f40feaee6eaa9cdaea0c886e6ebf"/>
    <w:p>
      <w:pPr>
        <w:pStyle w:val="Heading3"/>
      </w:pPr>
      <w:r>
        <w:t xml:space="preserve">Risk 12 — Assignment asymmetry (Section 16.6)</w:t>
      </w:r>
    </w:p>
    <w:p>
      <w:pPr>
        <w:pStyle w:val="FirstParagraph"/>
      </w:pPr>
      <w:r>
        <w:t xml:space="preserve">KBI may assign to affiliates or in connection with a merger/acquisition/sale of all or substantially all assets</w:t>
      </w:r>
      <w:r>
        <w:t xml:space="preserve"> </w:t>
      </w:r>
      <w:r>
        <w:rPr>
          <w:i/>
          <w:iCs/>
        </w:rPr>
        <w:t xml:space="preserve">without consent</w:t>
      </w:r>
      <w:r>
        <w:t xml:space="preserve">; Whitmore may not assign without consent. Recommend making assignment mutual (consent required for both, not unreasonably withheld), or at minimum adding notice/quality-of-assignee standards and requiring the assignee to assume all obligations in writing; consider whether KBI assignment in an M&amp;A context to a Direct Competitor should be restricted.</w:t>
      </w:r>
    </w:p>
    <w:bookmarkEnd w:id="63"/>
    <w:bookmarkStart w:id="64" w:name="risk-13-expansion-right-sections-2-5.7"/>
    <w:p>
      <w:pPr>
        <w:pStyle w:val="Heading3"/>
      </w:pPr>
      <w:r>
        <w:t xml:space="preserve">Risk 13 — Expansion right (Sections 2, 5.7)</w:t>
      </w:r>
    </w:p>
    <w:p>
      <w:pPr>
        <w:pStyle w:val="FirstParagraph"/>
      </w:pPr>
      <w:r>
        <w:t xml:space="preserve">The 5-year expansion right locks in pricing for newly acquired facilities at the same per-facility terms, compounding the MFC’s pricing rigidity. Recommend limiting the expansion period, allowing pricing adjustment for materially different scope (e.g., facilities outside the original 12 countries or different use cases), and excluding facilities that would otherwise fall outside the original deployment scope.</w:t>
      </w:r>
    </w:p>
    <w:bookmarkEnd w:id="64"/>
    <w:bookmarkStart w:id="65" w:name="X1d7354b733f43bfefb7504be95af87358503d85"/>
    <w:p>
      <w:pPr>
        <w:pStyle w:val="Heading3"/>
      </w:pPr>
      <w:r>
        <w:t xml:space="preserve">Risk 14 — Acceptance / deemed acceptance (Section 6.5)</w:t>
      </w:r>
    </w:p>
    <w:p>
      <w:pPr>
        <w:pStyle w:val="FirstParagraph"/>
      </w:pPr>
      <w:r>
        <w:t xml:space="preserve">The 30-day UAT with deemed acceptance on no written notice of</w:t>
      </w:r>
      <w:r>
        <w:t xml:space="preserve"> </w:t>
      </w:r>
      <w:r>
        <w:t xml:space="preserve">“</w:t>
      </w:r>
      <w:r>
        <w:t xml:space="preserve">material non-conformance</w:t>
      </w:r>
      <w:r>
        <w:t xml:space="preserve">”</w:t>
      </w:r>
      <w:r>
        <w:t xml:space="preserve"> </w:t>
      </w:r>
      <w:r>
        <w:t xml:space="preserve">leaves the acceptance standard undefined. Recommend defining acceptance criteria objectively against documented specifications, tying acceptance to a written acceptance test plan, and adding a cure period for non-conformance.</w:t>
      </w:r>
    </w:p>
    <w:bookmarkEnd w:id="65"/>
    <w:bookmarkStart w:id="66" w:name="X7f11d46af1b787e773b7e45f5c5363aecfe7b25"/>
    <w:p>
      <w:pPr>
        <w:pStyle w:val="Heading3"/>
      </w:pPr>
      <w:r>
        <w:t xml:space="preserve">Risk 15 — Recurring-fee commencement; cross-border tax/PE (Sections 5, 7.4)</w:t>
      </w:r>
    </w:p>
    <w:p>
      <w:pPr>
        <w:pStyle w:val="FirstParagraph"/>
      </w:pPr>
      <w:r>
        <w:t xml:space="preserve">The Term Sheet does not clearly state when the SaaS subscription commences (maintenance commences at Phase 1 go-live per §7.4; SaaS commencement is unspecified) — affecting cash flow and revenue recognition. Cross-border deployment across 12 countries raises VAT (confirm reverse-charge mechanism for cross-border B2B SaaS), withholding-tax, and permanent-establishment exposure from on-site implementation personnel. Recommend clarifying recurring-fee start dates and obtaining tax advice on VAT/withholding/PE exposure.</w:t>
      </w:r>
    </w:p>
    <w:bookmarkEnd w:id="66"/>
    <w:bookmarkStart w:id="67" w:name="X60aa3ee4b95df373405bf13dc04d92186e9513d"/>
    <w:p>
      <w:pPr>
        <w:pStyle w:val="Heading3"/>
      </w:pPr>
      <w:r>
        <w:t xml:space="preserve">Risk 16 — Late-payment interest; confidentiality term (Sections 5.5, 15.4)</w:t>
      </w:r>
    </w:p>
    <w:p>
      <w:pPr>
        <w:pStyle w:val="FirstParagraph"/>
      </w:pPr>
      <w:r>
        <w:t xml:space="preserve">The 1.5%/month (18% annualized) late-payment interest is aggressive and may be challenged as an unenforceable penalty under German law (the</w:t>
      </w:r>
      <w:r>
        <w:t xml:space="preserve"> </w:t>
      </w:r>
      <w:r>
        <w:t xml:space="preserve">“</w:t>
      </w:r>
      <w:r>
        <w:t xml:space="preserve">or the maximum rate permitted by applicable law, whichever is less</w:t>
      </w:r>
      <w:r>
        <w:t xml:space="preserve">”</w:t>
      </w:r>
      <w:r>
        <w:t xml:space="preserve"> </w:t>
      </w:r>
      <w:r>
        <w:t xml:space="preserve">qualifier mitigates but does not eliminate the risk). The 5-year confidentiality survival is standard; consider perpetual survival for trade secrets.</w:t>
      </w:r>
    </w:p>
    <w:p>
      <w:r>
        <w:pict>
          <v:rect style="width:0;height:1.5pt" o:hralign="center" o:hrstd="t" o:hr="t"/>
        </w:pict>
      </w:r>
    </w:p>
    <w:bookmarkEnd w:id="67"/>
    <w:bookmarkEnd w:id="68"/>
    <w:bookmarkEnd w:id="69"/>
    <w:bookmarkStart w:id="73" w:name="vii.-negotiation-recommendations"/>
    <w:p>
      <w:pPr>
        <w:pStyle w:val="Heading1"/>
      </w:pPr>
      <w:r>
        <w:t xml:space="preserve">VII. Negotiation Recommendations</w:t>
      </w:r>
    </w:p>
    <w:bookmarkStart w:id="70" w:name="X0e2b93a2bccb53a3dfcd998ba24233f41d5c26a"/>
    <w:p>
      <w:pPr>
        <w:pStyle w:val="Heading2"/>
      </w:pPr>
      <w:r>
        <w:t xml:space="preserve">A. Red lines and high-priority counter-proposals</w:t>
      </w:r>
    </w:p>
    <w:p>
      <w:pPr>
        <w:pStyle w:val="FirstParagraph"/>
      </w:pPr>
      <w:r>
        <w:t xml:space="preserve">The following reflect management’s stated red lines (where indicated) and our recommended positions. We recommend the Board approve these as the negotiation framework.</w:t>
      </w:r>
    </w:p>
    <w:p>
      <w:pPr>
        <w:pStyle w:val="BodyText"/>
      </w:pPr>
      <w:r>
        <w:rPr>
          <w:b/>
          <w:bCs/>
        </w:rPr>
        <w:t xml:space="preserve">1. Exclusivity (Section 12) — RED LINE (per Mr. Malhotra).</w:t>
      </w:r>
    </w:p>
    <w:p>
      <w:pPr>
        <w:pStyle w:val="Compact"/>
        <w:numPr>
          <w:ilvl w:val="0"/>
          <w:numId w:val="1019"/>
        </w:numPr>
      </w:pPr>
      <w:r>
        <w:t xml:space="preserve">Strike §12.2(b) (the 30%-revenue definition) in its entirety.</w:t>
      </w:r>
    </w:p>
    <w:p>
      <w:pPr>
        <w:pStyle w:val="Compact"/>
        <w:numPr>
          <w:ilvl w:val="0"/>
          <w:numId w:val="1019"/>
        </w:numPr>
      </w:pPr>
      <w:r>
        <w:t xml:space="preserve">Limit exclusivity to a negotiated, narrowed Exhibit B list (consider reducing below 12; remove any current prospects).</w:t>
      </w:r>
    </w:p>
    <w:p>
      <w:pPr>
        <w:pStyle w:val="Compact"/>
        <w:numPr>
          <w:ilvl w:val="0"/>
          <w:numId w:val="1019"/>
        </w:numPr>
      </w:pPr>
      <w:r>
        <w:t xml:space="preserve">Reduce the Exclusivity Period from 3 years to 18 months.</w:t>
      </w:r>
    </w:p>
    <w:p>
      <w:pPr>
        <w:pStyle w:val="Compact"/>
        <w:numPr>
          <w:ilvl w:val="0"/>
          <w:numId w:val="1019"/>
        </w:numPr>
      </w:pPr>
      <w:r>
        <w:t xml:space="preserve">Add carve-outs: existing Whitmore customers as of the effective date; prospects in Whitmore’s pipeline as of a defined date; responses to bona fide RFPs; non-automotive/non-heavy-machinery verticals; government/academic customers.</w:t>
      </w:r>
    </w:p>
    <w:p>
      <w:pPr>
        <w:pStyle w:val="Compact"/>
        <w:numPr>
          <w:ilvl w:val="0"/>
          <w:numId w:val="1019"/>
        </w:numPr>
      </w:pPr>
      <w:r>
        <w:t xml:space="preserve">Narrow §12.3 to the PredictIQ platform only (remove</w:t>
      </w:r>
      <w:r>
        <w:t xml:space="preserve"> </w:t>
      </w:r>
      <w:r>
        <w:t xml:space="preserve">“</w:t>
      </w:r>
      <w:r>
        <w:t xml:space="preserve">successor or replacement product</w:t>
      </w:r>
      <w:r>
        <w:t xml:space="preserve">”</w:t>
      </w:r>
      <w:r>
        <w:t xml:space="preserve"> </w:t>
      </w:r>
      <w:r>
        <w:t xml:space="preserve">and</w:t>
      </w:r>
      <w:r>
        <w:t xml:space="preserve"> </w:t>
      </w:r>
      <w:r>
        <w:t xml:space="preserve">“</w:t>
      </w:r>
      <w:r>
        <w:t xml:space="preserve">substantially similar</w:t>
      </w:r>
      <w:r>
        <w:t xml:space="preserve">”</w:t>
      </w:r>
      <w:r>
        <w:t xml:space="preserve"> </w:t>
      </w:r>
      <w:r>
        <w:t xml:space="preserve">language).</w:t>
      </w:r>
    </w:p>
    <w:p>
      <w:pPr>
        <w:pStyle w:val="Compact"/>
        <w:numPr>
          <w:ilvl w:val="0"/>
          <w:numId w:val="1019"/>
        </w:numPr>
      </w:pPr>
      <w:r>
        <w:t xml:space="preserve">Make the exclusivity non-surviving, or sunset on termination, rather than surviving for the remainder of the period (§12.4).</w:t>
      </w:r>
    </w:p>
    <w:p>
      <w:pPr>
        <w:pStyle w:val="Compact"/>
        <w:numPr>
          <w:ilvl w:val="0"/>
          <w:numId w:val="1019"/>
        </w:numPr>
      </w:pPr>
      <w:r>
        <w:t xml:space="preserve">Require KBI to demonstrate irreparable harm and post a bond for injunctive relief (§12.5).</w:t>
      </w:r>
    </w:p>
    <w:p>
      <w:pPr>
        <w:pStyle w:val="Compact"/>
        <w:numPr>
          <w:ilvl w:val="0"/>
          <w:numId w:val="1019"/>
        </w:numPr>
      </w:pPr>
      <w:r>
        <w:rPr>
          <w:i/>
          <w:iCs/>
        </w:rPr>
        <w:t xml:space="preserve">Fallback:</w:t>
      </w:r>
      <w:r>
        <w:t xml:space="preserve"> </w:t>
      </w:r>
      <w:r>
        <w:t xml:space="preserve">if KBI insists on a defined list beyond Exhibit B, accept only specifically named, identified entities (no formulaic threshold), for no more than 18 months.</w:t>
      </w:r>
    </w:p>
    <w:p>
      <w:pPr>
        <w:pStyle w:val="FirstParagraph"/>
      </w:pPr>
      <w:r>
        <w:rPr>
          <w:b/>
          <w:bCs/>
        </w:rPr>
        <w:t xml:space="preserve">2. Data rights and Output Data (Sections 4.2–4.3, 3.5) — RED LINE (per Mr. Malhotra).</w:t>
      </w:r>
    </w:p>
    <w:p>
      <w:pPr>
        <w:pStyle w:val="Compact"/>
        <w:numPr>
          <w:ilvl w:val="0"/>
          <w:numId w:val="1020"/>
        </w:numPr>
      </w:pPr>
      <w:r>
        <w:t xml:space="preserve">Insert an express carve-out permitting Whitmore to use KBI Data in anonymized, aggregated form to train and improve PredictIQ’s general ML models, subject to: (i) industry-standard anonymization techniques; (ii) a minimum aggregation pool size sufficient to prevent re-identification of any individual KBI facility or dataset; and (iii) optional third-party verification of the anonymization process at KBI’s request.</w:t>
      </w:r>
    </w:p>
    <w:p>
      <w:pPr>
        <w:pStyle w:val="Compact"/>
        <w:numPr>
          <w:ilvl w:val="0"/>
          <w:numId w:val="1020"/>
        </w:numPr>
      </w:pPr>
      <w:r>
        <w:t xml:space="preserve">Restructure §4.2 so that KBI owns (a) KBI Data and (b) the predictions, alerts, reports, and analytics</w:t>
      </w:r>
      <w:r>
        <w:t xml:space="preserve"> </w:t>
      </w:r>
      <w:r>
        <w:rPr>
          <w:i/>
          <w:iCs/>
        </w:rPr>
        <w:t xml:space="preserve">delivered to KBI</w:t>
      </w:r>
      <w:r>
        <w:t xml:space="preserve">; while model weights, parameters, training artifacts, and model configuration data that inhere in PredictIQ’s general model remain Whitmore’s exclusive IP. Distinguish customer-specific models/configurations (KBI-owned, for its internal use) from general model improvements (Whitmore-owned).</w:t>
      </w:r>
    </w:p>
    <w:p>
      <w:pPr>
        <w:pStyle w:val="Compact"/>
        <w:numPr>
          <w:ilvl w:val="0"/>
          <w:numId w:val="1020"/>
        </w:numPr>
      </w:pPr>
      <w:r>
        <w:t xml:space="preserve">Narrow §3.5 (KBI-Inspired Improvements) to KBI’s internal manufacturing operations only; confirm it does not extend to general model improvements and that Whitmore retains full commercialization rights with all third parties.</w:t>
      </w:r>
    </w:p>
    <w:p>
      <w:pPr>
        <w:pStyle w:val="Compact"/>
        <w:numPr>
          <w:ilvl w:val="0"/>
          <w:numId w:val="1020"/>
        </w:numPr>
      </w:pPr>
      <w:r>
        <w:rPr>
          <w:i/>
          <w:iCs/>
        </w:rPr>
        <w:t xml:space="preserve">Fallback:</w:t>
      </w:r>
      <w:r>
        <w:t xml:space="preserve"> </w:t>
      </w:r>
      <w:r>
        <w:t xml:space="preserve">if KBI will not permit any anonymized/aggregated use, this is a dealbreaker per management.</w:t>
      </w:r>
    </w:p>
    <w:p>
      <w:pPr>
        <w:pStyle w:val="FirstParagraph"/>
      </w:pPr>
      <w:r>
        <w:rPr>
          <w:b/>
          <w:bCs/>
        </w:rPr>
        <w:t xml:space="preserve">3. MFC Side Letter (Section 2) — RESTRUCTURE OR REJECT.</w:t>
      </w:r>
    </w:p>
    <w:p>
      <w:pPr>
        <w:pStyle w:val="Compact"/>
        <w:numPr>
          <w:ilvl w:val="0"/>
          <w:numId w:val="1021"/>
        </w:numPr>
      </w:pPr>
      <w:r>
        <w:t xml:space="preserve">Add a sunset (e.g., 2–3 years from the effective date); the obligation must not run</w:t>
      </w:r>
      <w:r>
        <w:t xml:space="preserve"> </w:t>
      </w:r>
      <w:r>
        <w:t xml:space="preserve">“</w:t>
      </w:r>
      <w:r>
        <w:t xml:space="preserve">thereafter for so long as KBI retains any license rights.</w:t>
      </w:r>
      <w:r>
        <w:t xml:space="preserve">”</w:t>
      </w:r>
    </w:p>
    <w:p>
      <w:pPr>
        <w:pStyle w:val="Compact"/>
        <w:numPr>
          <w:ilvl w:val="0"/>
          <w:numId w:val="1021"/>
        </w:numPr>
      </w:pPr>
      <w:r>
        <w:t xml:space="preserve">Add standard carve-outs: government/academic/non-profit; distressed/acquisition/insolvency-related; different product tiers or service levels; volume/commitment-based discounts to larger deployments; promotional/introductory; channel/reseller; pre-existing customers as of a defined date.</w:t>
      </w:r>
    </w:p>
    <w:p>
      <w:pPr>
        <w:pStyle w:val="Compact"/>
        <w:numPr>
          <w:ilvl w:val="0"/>
          <w:numId w:val="1021"/>
        </w:numPr>
      </w:pPr>
      <w:r>
        <w:t xml:space="preserve">Make prospective only — effective from the definitive-agreement effective date forward, with no retroactive look-back to pre-existing arrangements; strike the retroactive-credit mechanism or limit it to the prospective period.</w:t>
      </w:r>
    </w:p>
    <w:p>
      <w:pPr>
        <w:pStyle w:val="Compact"/>
        <w:numPr>
          <w:ilvl w:val="0"/>
          <w:numId w:val="1021"/>
        </w:numPr>
      </w:pPr>
      <w:r>
        <w:t xml:space="preserve">Limit the scope to the PredictIQ platform (remove</w:t>
      </w:r>
      <w:r>
        <w:t xml:space="preserve"> </w:t>
      </w:r>
      <w:r>
        <w:t xml:space="preserve">“</w:t>
      </w:r>
      <w:r>
        <w:t xml:space="preserve">successor, derivative, or substantially similar technology</w:t>
      </w:r>
      <w:r>
        <w:t xml:space="preserve">”</w:t>
      </w:r>
      <w:r>
        <w:t xml:space="preserve">).</w:t>
      </w:r>
    </w:p>
    <w:p>
      <w:pPr>
        <w:pStyle w:val="Compact"/>
        <w:numPr>
          <w:ilvl w:val="0"/>
          <w:numId w:val="1021"/>
        </w:numPr>
      </w:pPr>
      <w:r>
        <w:t xml:space="preserve">Narrow the audit right (define scope, cap Whitmore’s cost exposure, raise the cost-shift threshold).</w:t>
      </w:r>
    </w:p>
    <w:p>
      <w:pPr>
        <w:pStyle w:val="Compact"/>
        <w:numPr>
          <w:ilvl w:val="0"/>
          <w:numId w:val="1021"/>
        </w:numPr>
      </w:pPr>
      <w:r>
        <w:t xml:space="preserve">Reconsider the per-facility metric (e.g., compare like-for-like SaaS subscription economics rather than all-in fees divided by facility count).</w:t>
      </w:r>
    </w:p>
    <w:p>
      <w:pPr>
        <w:pStyle w:val="Compact"/>
        <w:numPr>
          <w:ilvl w:val="0"/>
          <w:numId w:val="1021"/>
        </w:numPr>
      </w:pPr>
      <w:r>
        <w:rPr>
          <w:i/>
          <w:iCs/>
        </w:rPr>
        <w:t xml:space="preserve">Fallback:</w:t>
      </w:r>
      <w:r>
        <w:t xml:space="preserve"> </w:t>
      </w:r>
      <w:r>
        <w:t xml:space="preserve">if KBI will not accept a narrowed MFC, evaluate declining the provision and accepting the risk to the deal timeline; do not accept the Side Letter as drafted.</w:t>
      </w:r>
    </w:p>
    <w:p>
      <w:pPr>
        <w:pStyle w:val="FirstParagraph"/>
      </w:pPr>
      <w:r>
        <w:rPr>
          <w:b/>
          <w:bCs/>
        </w:rPr>
        <w:t xml:space="preserve">4. Uncapped IP indemnification (Section 9.1) — NEGOTIATE A CAP.</w:t>
      </w:r>
    </w:p>
    <w:p>
      <w:pPr>
        <w:pStyle w:val="Compact"/>
        <w:numPr>
          <w:ilvl w:val="0"/>
          <w:numId w:val="1022"/>
        </w:numPr>
      </w:pPr>
      <w:r>
        <w:t xml:space="preserve">Cap IP indemnification at a defined super-cap (e.g., 2×–3× the general cap, or a fixed multiple of total contract value).</w:t>
      </w:r>
    </w:p>
    <w:p>
      <w:pPr>
        <w:pStyle w:val="Compact"/>
        <w:numPr>
          <w:ilvl w:val="0"/>
          <w:numId w:val="1022"/>
        </w:numPr>
      </w:pPr>
      <w:r>
        <w:t xml:space="preserve">Add standard carve-outs (KBI modifications/derivative works, combinations with non-Whitmore products, use outside the Documentation, KBI’s negligence/willful misconduct).</w:t>
      </w:r>
    </w:p>
    <w:p>
      <w:pPr>
        <w:pStyle w:val="Compact"/>
        <w:numPr>
          <w:ilvl w:val="0"/>
          <w:numId w:val="1022"/>
        </w:numPr>
      </w:pPr>
      <w:r>
        <w:t xml:space="preserve">Preserve Whitmore’s sole control of defense and the cure/modify/replace primary remedy (§9.2).</w:t>
      </w:r>
    </w:p>
    <w:p>
      <w:pPr>
        <w:pStyle w:val="FirstParagraph"/>
      </w:pPr>
      <w:r>
        <w:rPr>
          <w:b/>
          <w:bCs/>
        </w:rPr>
        <w:t xml:space="preserve">5. Performance warranty (Sections 8.2–8.3, 13.4) — NEGOTIATE.</w:t>
      </w:r>
    </w:p>
    <w:p>
      <w:pPr>
        <w:pStyle w:val="Compact"/>
        <w:numPr>
          <w:ilvl w:val="0"/>
          <w:numId w:val="1023"/>
        </w:numPr>
      </w:pPr>
      <w:r>
        <w:t xml:space="preserve">Add conditions precedent tying accuracy measurement to KBI’s fulfillment of its data-quality, sensor-calibration, and system-requirements obligations (§6.3).</w:t>
      </w:r>
    </w:p>
    <w:p>
      <w:pPr>
        <w:pStyle w:val="Compact"/>
        <w:numPr>
          <w:ilvl w:val="0"/>
          <w:numId w:val="1023"/>
        </w:numPr>
      </w:pPr>
      <w:r>
        <w:t xml:space="preserve">Define the measurement methodology precisely, with independent verification and a defined maintenance-log standard.</w:t>
      </w:r>
    </w:p>
    <w:p>
      <w:pPr>
        <w:pStyle w:val="Compact"/>
        <w:numPr>
          <w:ilvl w:val="0"/>
          <w:numId w:val="1023"/>
        </w:numPr>
      </w:pPr>
      <w:r>
        <w:t xml:space="preserve">Add a cure period before credits and termination accrue; cap total credits (e.g., at a percentage of annual SaaS fees).</w:t>
      </w:r>
    </w:p>
    <w:p>
      <w:pPr>
        <w:pStyle w:val="Compact"/>
        <w:numPr>
          <w:ilvl w:val="0"/>
          <w:numId w:val="1023"/>
        </w:numPr>
      </w:pPr>
      <w:r>
        <w:t xml:space="preserve">Exclude pilot/Phase 1 facilities and add a ramp-up period before measurement begins.</w:t>
      </w:r>
    </w:p>
    <w:p>
      <w:pPr>
        <w:pStyle w:val="Compact"/>
        <w:numPr>
          <w:ilvl w:val="0"/>
          <w:numId w:val="1023"/>
        </w:numPr>
      </w:pPr>
      <w:r>
        <w:t xml:space="preserve">Consider making 92% a target rather than a warranty, or negotiate the threshold; lengthen the §13.4 termination look-back and add cure.</w:t>
      </w:r>
    </w:p>
    <w:p>
      <w:pPr>
        <w:pStyle w:val="FirstParagraph"/>
      </w:pPr>
      <w:r>
        <w:rPr>
          <w:b/>
          <w:bCs/>
        </w:rPr>
        <w:t xml:space="preserve">6. Source-code escrow (Section 11) — NEGOTIATE TRIGGERS AND POST-RELEASE LICENSE.</w:t>
      </w:r>
    </w:p>
    <w:p>
      <w:pPr>
        <w:pStyle w:val="Compact"/>
        <w:numPr>
          <w:ilvl w:val="0"/>
          <w:numId w:val="1024"/>
        </w:numPr>
      </w:pPr>
      <w:r>
        <w:t xml:space="preserve">Align release triggers with actual termination for cause (require termination, not merely 60-day uncured breach); add an escrow-pending-dispute-resolution mechanism for disputed breaches.</w:t>
      </w:r>
    </w:p>
    <w:p>
      <w:pPr>
        <w:pStyle w:val="Compact"/>
        <w:numPr>
          <w:ilvl w:val="0"/>
          <w:numId w:val="1024"/>
        </w:numPr>
      </w:pPr>
      <w:r>
        <w:t xml:space="preserve">Expressly carve out Whitmore’s suspension for non-payment (§7.5) from the 90-day support-failure trigger (§11.2(d)).</w:t>
      </w:r>
    </w:p>
    <w:p>
      <w:pPr>
        <w:pStyle w:val="Compact"/>
        <w:numPr>
          <w:ilvl w:val="0"/>
          <w:numId w:val="1024"/>
        </w:numPr>
      </w:pPr>
      <w:r>
        <w:t xml:space="preserve">Narrow the post-release license (§11.3) to internal continuity use — remove</w:t>
      </w:r>
      <w:r>
        <w:t xml:space="preserve"> </w:t>
      </w:r>
      <w:r>
        <w:t xml:space="preserve">“</w:t>
      </w:r>
      <w:r>
        <w:t xml:space="preserve">modify</w:t>
      </w:r>
      <w:r>
        <w:t xml:space="preserve">”</w:t>
      </w:r>
      <w:r>
        <w:t xml:space="preserve"> </w:t>
      </w:r>
      <w:r>
        <w:t xml:space="preserve">and any sublicensing; require return/destruction if the breach is cured or the release was erroneous.</w:t>
      </w:r>
    </w:p>
    <w:p>
      <w:pPr>
        <w:pStyle w:val="FirstParagraph"/>
      </w:pPr>
      <w:r>
        <w:rPr>
          <w:b/>
          <w:bCs/>
        </w:rPr>
        <w:t xml:space="preserve">7. Wind-down license (Section 13.5) — NEGOTIATE.</w:t>
      </w:r>
    </w:p>
    <w:p>
      <w:pPr>
        <w:pStyle w:val="Compact"/>
        <w:numPr>
          <w:ilvl w:val="0"/>
          <w:numId w:val="1025"/>
        </w:numPr>
      </w:pPr>
      <w:r>
        <w:t xml:space="preserve">Limit to a defined transition period (12–24 months) for migration off PredictIQ, not perpetual ongoing use.</w:t>
      </w:r>
    </w:p>
    <w:p>
      <w:pPr>
        <w:pStyle w:val="Compact"/>
        <w:numPr>
          <w:ilvl w:val="0"/>
          <w:numId w:val="1025"/>
        </w:numPr>
      </w:pPr>
      <w:r>
        <w:t xml:space="preserve">Make it revocable for non-payment; restrict to on-premises/edge components (the cloud SaaS engine cannot wind down without Whitmore’s hosting); strike</w:t>
      </w:r>
      <w:r>
        <w:t xml:space="preserve"> </w:t>
      </w:r>
      <w:r>
        <w:t xml:space="preserve">“</w:t>
      </w:r>
      <w:r>
        <w:t xml:space="preserve">irrevocable.</w:t>
      </w:r>
      <w:r>
        <w:t xml:space="preserve">”</w:t>
      </w:r>
    </w:p>
    <w:p>
      <w:pPr>
        <w:pStyle w:val="FirstParagraph"/>
      </w:pPr>
      <w:r>
        <w:rPr>
          <w:b/>
          <w:bCs/>
        </w:rPr>
        <w:t xml:space="preserve">8. Governing law (Section 14.1) — NEGOTIATE.</w:t>
      </w:r>
    </w:p>
    <w:p>
      <w:pPr>
        <w:pStyle w:val="Compact"/>
        <w:numPr>
          <w:ilvl w:val="0"/>
          <w:numId w:val="1026"/>
        </w:numPr>
      </w:pPr>
      <w:r>
        <w:t xml:space="preserve">Push for Washington state law or a neutral commercial jurisdiction (England, Switzerland, or New York); retain the Zurich ICC arbitration seat regardless.</w:t>
      </w:r>
    </w:p>
    <w:p>
      <w:pPr>
        <w:pStyle w:val="Compact"/>
        <w:numPr>
          <w:ilvl w:val="0"/>
          <w:numId w:val="1026"/>
        </w:numPr>
      </w:pPr>
      <w:r>
        <w:t xml:space="preserve">If German law remains, obtain specialist German-law advice on enforceability of the liability cap, uncapped indemnity, warranty disclaimers, performance credits/termination, and late-payment interest before execution.</w:t>
      </w:r>
    </w:p>
    <w:p>
      <w:pPr>
        <w:pStyle w:val="FirstParagraph"/>
      </w:pPr>
      <w:r>
        <w:rPr>
          <w:b/>
          <w:bCs/>
        </w:rPr>
        <w:t xml:space="preserve">9. Derivative works / feedback / improvements (Sections 2, 3.3–3.5) — NEGOTIATE.</w:t>
      </w:r>
    </w:p>
    <w:p>
      <w:pPr>
        <w:pStyle w:val="Compact"/>
        <w:numPr>
          <w:ilvl w:val="0"/>
          <w:numId w:val="1027"/>
        </w:numPr>
      </w:pPr>
      <w:r>
        <w:t xml:space="preserve">Replace joint ownership with Whitmore ownership of all PredictIQ-related IP (including integration/derivative works), with a license to KBI for internal manufacturing use.</w:t>
      </w:r>
    </w:p>
    <w:p>
      <w:pPr>
        <w:pStyle w:val="Compact"/>
        <w:numPr>
          <w:ilvl w:val="0"/>
          <w:numId w:val="1027"/>
        </w:numPr>
      </w:pPr>
      <w:r>
        <w:t xml:space="preserve">Clarify the boundary between derivative works and feedback; restrict any KBI exploitation to internal manufacturing operations (no commercial sublicensing); confirm Whitmore’s full third-party commercialization rights.</w:t>
      </w:r>
    </w:p>
    <w:bookmarkEnd w:id="70"/>
    <w:bookmarkStart w:id="71" w:name="X8fc501d34e29fb14b699962b80e2b1ddbfd38c4"/>
    <w:p>
      <w:pPr>
        <w:pStyle w:val="Heading2"/>
      </w:pPr>
      <w:r>
        <w:t xml:space="preserve">B. Commercial and structural recommendations</w:t>
      </w:r>
    </w:p>
    <w:p>
      <w:pPr>
        <w:pStyle w:val="FirstParagraph"/>
      </w:pPr>
      <w:r>
        <w:rPr>
          <w:b/>
          <w:bCs/>
        </w:rPr>
        <w:t xml:space="preserve">10. Payment restructure (Sections 5.1, 5.3) — per Mr. Malhotra / Mr. Kendrick.</w:t>
      </w:r>
    </w:p>
    <w:p>
      <w:pPr>
        <w:pStyle w:val="Compact"/>
        <w:numPr>
          <w:ilvl w:val="0"/>
          <w:numId w:val="1028"/>
        </w:numPr>
      </w:pPr>
      <w:r>
        <w:t xml:space="preserve">Reverse the license-fee split from 30/40/30 to</w:t>
      </w:r>
      <w:r>
        <w:t xml:space="preserve"> </w:t>
      </w:r>
      <w:r>
        <w:rPr>
          <w:b/>
          <w:bCs/>
        </w:rPr>
        <w:t xml:space="preserve">40/30/30</w:t>
      </w:r>
      <w:r>
        <w:t xml:space="preserve"> </w:t>
      </w:r>
      <w:r>
        <w:t xml:space="preserve">(40% = $1,680,000 at signing; 30% = $1,260,000 at Phase 1 completion; 30% = $1,260,000 at Phase 2 go-live) to front-load cash to match the cost profile.</w:t>
      </w:r>
    </w:p>
    <w:p>
      <w:pPr>
        <w:pStyle w:val="Compact"/>
        <w:numPr>
          <w:ilvl w:val="0"/>
          <w:numId w:val="1028"/>
        </w:numPr>
      </w:pPr>
      <w:r>
        <w:t xml:space="preserve">Front-load implementation fees (e.g., 40% of the $1,750,000 = $700,000 in the first 6 months) rather than a linear monthly spread.</w:t>
      </w:r>
    </w:p>
    <w:p>
      <w:pPr>
        <w:pStyle w:val="Compact"/>
        <w:numPr>
          <w:ilvl w:val="0"/>
          <w:numId w:val="1028"/>
        </w:numPr>
      </w:pPr>
      <w:r>
        <w:t xml:space="preserve">Note: even with this restructure, first-6-month inflows (~$2.38M) may not fully cover estimated costs ($2.5–3.0M); consider a larger signing payment or milestone-acceleration if the gap remains material.</w:t>
      </w:r>
    </w:p>
    <w:p>
      <w:pPr>
        <w:pStyle w:val="FirstParagraph"/>
      </w:pPr>
      <w:r>
        <w:rPr>
          <w:b/>
          <w:bCs/>
        </w:rPr>
        <w:t xml:space="preserve">11. Separate implementation SOW — per Ms. Yin / Mr. Malhotra.</w:t>
      </w:r>
    </w:p>
    <w:p>
      <w:pPr>
        <w:pStyle w:val="Compact"/>
        <w:numPr>
          <w:ilvl w:val="0"/>
          <w:numId w:val="1029"/>
        </w:numPr>
      </w:pPr>
      <w:r>
        <w:t xml:space="preserve">Break the implementation services out as a separate Statement of Work with its own milestone-based payment schedule, better matching cash inflows to resource expenditure and yielding cleaner ASC 606 accounting treatment. Flag to Lakeshore Accounting Group LLP.</w:t>
      </w:r>
    </w:p>
    <w:p>
      <w:pPr>
        <w:pStyle w:val="FirstParagraph"/>
      </w:pPr>
      <w:r>
        <w:rPr>
          <w:b/>
          <w:bCs/>
        </w:rPr>
        <w:t xml:space="preserve">12. Liability cap (Section 10).</w:t>
      </w:r>
      <w:r>
        <w:t xml:space="preserve"> </w:t>
      </w:r>
      <w:r>
        <w:t xml:space="preserve">Lower the $15M floor or cap at a multiple of total contract value; cap the IP indemnity (Recommendation 4).</w:t>
      </w:r>
    </w:p>
    <w:p>
      <w:pPr>
        <w:pStyle w:val="BodyText"/>
      </w:pPr>
      <w:r>
        <w:rPr>
          <w:b/>
          <w:bCs/>
        </w:rPr>
        <w:t xml:space="preserve">13. Assignment (Section 16.6).</w:t>
      </w:r>
      <w:r>
        <w:t xml:space="preserve"> </w:t>
      </w:r>
      <w:r>
        <w:t xml:space="preserve">Make assignment mutual (consent required for both, not unreasonably withheld); add notice/quality standards and a written assumption requirement; consider restricting KBI assignment to a Direct Competitor in an M&amp;A context.</w:t>
      </w:r>
    </w:p>
    <w:p>
      <w:pPr>
        <w:pStyle w:val="BodyText"/>
      </w:pPr>
      <w:r>
        <w:rPr>
          <w:b/>
          <w:bCs/>
        </w:rPr>
        <w:t xml:space="preserve">14. Expansion right (Sections 2, 5.7).</w:t>
      </w:r>
      <w:r>
        <w:t xml:space="preserve"> </w:t>
      </w:r>
      <w:r>
        <w:t xml:space="preserve">Limit the expansion period; allow pricing adjustment for materially different scope; exclude facilities outside the original 12 countries or use cases.</w:t>
      </w:r>
    </w:p>
    <w:p>
      <w:pPr>
        <w:pStyle w:val="BodyText"/>
      </w:pPr>
      <w:r>
        <w:rPr>
          <w:b/>
          <w:bCs/>
        </w:rPr>
        <w:t xml:space="preserve">15. Acceptance (Section 6.5).</w:t>
      </w:r>
      <w:r>
        <w:t xml:space="preserve"> </w:t>
      </w:r>
      <w:r>
        <w:t xml:space="preserve">Define acceptance criteria objectively against a written acceptance test plan; add a cure period.</w:t>
      </w:r>
    </w:p>
    <w:p>
      <w:pPr>
        <w:pStyle w:val="BodyText"/>
      </w:pPr>
      <w:r>
        <w:rPr>
          <w:b/>
          <w:bCs/>
        </w:rPr>
        <w:t xml:space="preserve">16. Recurring-fee commencement and tax (Sections 5, 7.4).</w:t>
      </w:r>
      <w:r>
        <w:t xml:space="preserve"> </w:t>
      </w:r>
      <w:r>
        <w:t xml:space="preserve">Clarify SaaS and maintenance commencement dates; obtain tax advice on cross-border VAT (reverse-charge), withholding tax, and permanent-establishment exposure from on-site implementation across 12 countries.</w:t>
      </w:r>
    </w:p>
    <w:p>
      <w:pPr>
        <w:pStyle w:val="BodyText"/>
      </w:pPr>
      <w:r>
        <w:rPr>
          <w:b/>
          <w:bCs/>
        </w:rPr>
        <w:t xml:space="preserve">17. Late-payment interest (Section 5.5).</w:t>
      </w:r>
      <w:r>
        <w:t xml:space="preserve"> </w:t>
      </w:r>
      <w:r>
        <w:t xml:space="preserve">Reduce to a market rate (e.g., 1.0%/month or a SOFR/EURIBOR-based rate) to mitigate penalty-clause risk under German law.</w:t>
      </w:r>
    </w:p>
    <w:bookmarkEnd w:id="71"/>
    <w:bookmarkStart w:id="72" w:name="Xbcad50ba43ffc74f142026c345d02bf554eaa96"/>
    <w:p>
      <w:pPr>
        <w:pStyle w:val="Heading2"/>
      </w:pPr>
      <w:r>
        <w:t xml:space="preserve">C. Terms that are acceptable or favorable to Whitmore (preserve)</w:t>
      </w:r>
    </w:p>
    <w:p>
      <w:pPr>
        <w:pStyle w:val="Compact"/>
        <w:numPr>
          <w:ilvl w:val="0"/>
          <w:numId w:val="1030"/>
        </w:numPr>
      </w:pPr>
      <w:r>
        <w:rPr>
          <w:b/>
          <w:bCs/>
        </w:rPr>
        <w:t xml:space="preserve">Perpetual license term</w:t>
      </w:r>
      <w:r>
        <w:t xml:space="preserve"> </w:t>
      </w:r>
      <w:r>
        <w:t xml:space="preserve">with KBI’s termination-for-convenience available only after the 3rd anniversary on 12 months’ notice (§13.3) — preserves recurring revenue for a meaningful period.</w:t>
      </w:r>
    </w:p>
    <w:p>
      <w:pPr>
        <w:pStyle w:val="Compact"/>
        <w:numPr>
          <w:ilvl w:val="0"/>
          <w:numId w:val="1030"/>
        </w:numPr>
      </w:pPr>
      <w:r>
        <w:rPr>
          <w:b/>
          <w:bCs/>
        </w:rPr>
        <w:t xml:space="preserve">No refunds</w:t>
      </w:r>
      <w:r>
        <w:t xml:space="preserve"> </w:t>
      </w:r>
      <w:r>
        <w:t xml:space="preserve">on termination (§13.7) — favorable to Whitmore.</w:t>
      </w:r>
    </w:p>
    <w:p>
      <w:pPr>
        <w:pStyle w:val="Compact"/>
        <w:numPr>
          <w:ilvl w:val="0"/>
          <w:numId w:val="1030"/>
        </w:numPr>
      </w:pPr>
      <w:r>
        <w:rPr>
          <w:b/>
          <w:bCs/>
        </w:rPr>
        <w:t xml:space="preserve">USD pricing</w:t>
      </w:r>
      <w:r>
        <w:t xml:space="preserve"> </w:t>
      </w:r>
      <w:r>
        <w:t xml:space="preserve">(§5.5) — no FX risk to Whitmore.</w:t>
      </w:r>
    </w:p>
    <w:p>
      <w:pPr>
        <w:pStyle w:val="Compact"/>
        <w:numPr>
          <w:ilvl w:val="0"/>
          <w:numId w:val="1030"/>
        </w:numPr>
      </w:pPr>
      <w:r>
        <w:rPr>
          <w:b/>
          <w:bCs/>
        </w:rPr>
        <w:t xml:space="preserve">KBI bears sales/use/VAT/similar taxes</w:t>
      </w:r>
      <w:r>
        <w:t xml:space="preserve"> </w:t>
      </w:r>
      <w:r>
        <w:t xml:space="preserve">(§5.6) — favorable, subject to the cross-border clarifications above.</w:t>
      </w:r>
    </w:p>
    <w:p>
      <w:pPr>
        <w:pStyle w:val="Compact"/>
        <w:numPr>
          <w:ilvl w:val="0"/>
          <w:numId w:val="1030"/>
        </w:numPr>
      </w:pPr>
      <w:r>
        <w:rPr>
          <w:b/>
          <w:bCs/>
        </w:rPr>
        <w:t xml:space="preserve">Soft SLAs</w:t>
      </w:r>
      <w:r>
        <w:t xml:space="preserve"> </w:t>
      </w:r>
      <w:r>
        <w:t xml:space="preserve">(</w:t>
      </w:r>
      <w:r>
        <w:t xml:space="preserve">“</w:t>
      </w:r>
      <w:r>
        <w:t xml:space="preserve">commercially reasonable efforts,</w:t>
      </w:r>
      <w:r>
        <w:t xml:space="preserve">”</w:t>
      </w:r>
      <w:r>
        <w:t xml:space="preserve"> </w:t>
      </w:r>
      <w:r>
        <w:t xml:space="preserve">§7.2) with no service credits — favorable to Whitmore; if KBI seeks hard SLAs with credits, tie them to objective criteria.</w:t>
      </w:r>
    </w:p>
    <w:p>
      <w:pPr>
        <w:pStyle w:val="Compact"/>
        <w:numPr>
          <w:ilvl w:val="0"/>
          <w:numId w:val="1030"/>
        </w:numPr>
      </w:pPr>
      <w:r>
        <w:rPr>
          <w:b/>
          <w:bCs/>
        </w:rPr>
        <w:t xml:space="preserve">Feedback assigned to Whitmore</w:t>
      </w:r>
      <w:r>
        <w:t xml:space="preserve"> </w:t>
      </w:r>
      <w:r>
        <w:t xml:space="preserve">(§3.4) — favorable; preserve subject to clarifying the derivative-works interaction.</w:t>
      </w:r>
    </w:p>
    <w:p>
      <w:pPr>
        <w:pStyle w:val="Compact"/>
        <w:numPr>
          <w:ilvl w:val="0"/>
          <w:numId w:val="1030"/>
        </w:numPr>
      </w:pPr>
      <w:r>
        <w:rPr>
          <w:b/>
          <w:bCs/>
        </w:rPr>
        <w:t xml:space="preserve">Whitmore retains ownership of PredictIQ core IP</w:t>
      </w:r>
      <w:r>
        <w:t xml:space="preserve"> </w:t>
      </w:r>
      <w:r>
        <w:t xml:space="preserve">(§3.1) — favorable; preserve.</w:t>
      </w:r>
    </w:p>
    <w:p>
      <w:pPr>
        <w:pStyle w:val="Compact"/>
        <w:numPr>
          <w:ilvl w:val="0"/>
          <w:numId w:val="1030"/>
        </w:numPr>
      </w:pPr>
      <w:r>
        <w:rPr>
          <w:b/>
          <w:bCs/>
        </w:rPr>
        <w:t xml:space="preserve">Zurich ICC arbitration</w:t>
      </w:r>
      <w:r>
        <w:t xml:space="preserve"> </w:t>
      </w:r>
      <w:r>
        <w:t xml:space="preserve">(§14.2) — neutral and acceptable.</w:t>
      </w:r>
    </w:p>
    <w:p>
      <w:pPr>
        <w:pStyle w:val="Compact"/>
        <w:numPr>
          <w:ilvl w:val="0"/>
          <w:numId w:val="1030"/>
        </w:numPr>
      </w:pPr>
      <w:r>
        <w:rPr>
          <w:b/>
          <w:bCs/>
        </w:rPr>
        <w:t xml:space="preserve">60-day no-shop</w:t>
      </w:r>
      <w:r>
        <w:t xml:space="preserve"> </w:t>
      </w:r>
      <w:r>
        <w:t xml:space="preserve">(§16.2) — acceptable given the timeline, but verify the scope is limited to</w:t>
      </w:r>
      <w:r>
        <w:t xml:space="preserve"> </w:t>
      </w:r>
      <w:r>
        <w:t xml:space="preserve">“</w:t>
      </w:r>
      <w:r>
        <w:t xml:space="preserve">a comparable technology licensing transaction for the European industrial market</w:t>
      </w:r>
      <w:r>
        <w:t xml:space="preserve">”</w:t>
      </w:r>
      <w:r>
        <w:t xml:space="preserve"> </w:t>
      </w:r>
      <w:r>
        <w:t xml:space="preserve">and not broader.</w:t>
      </w:r>
    </w:p>
    <w:p>
      <w:r>
        <w:pict>
          <v:rect style="width:0;height:1.5pt" o:hralign="center" o:hrstd="t" o:hr="t"/>
        </w:pict>
      </w:r>
    </w:p>
    <w:bookmarkEnd w:id="72"/>
    <w:bookmarkEnd w:id="73"/>
    <w:bookmarkStart w:id="76" w:name="Xc45c08b46a388f6c38db9a5e619a4e38953599f"/>
    <w:p>
      <w:pPr>
        <w:pStyle w:val="Heading1"/>
      </w:pPr>
      <w:r>
        <w:t xml:space="preserve">VIII. Recommended Negotiation Posture and Process</w:t>
      </w:r>
    </w:p>
    <w:bookmarkStart w:id="74" w:name="a.-posture"/>
    <w:p>
      <w:pPr>
        <w:pStyle w:val="Heading2"/>
      </w:pPr>
      <w:r>
        <w:t xml:space="preserve">A. Posture</w:t>
      </w:r>
    </w:p>
    <w:p>
      <w:pPr>
        <w:pStyle w:val="FirstParagraph"/>
      </w:pPr>
      <w:r>
        <w:t xml:space="preserve">We recommend the Board authorize management to pursue the transaction on the basis of the framework above, with the following posture:</w:t>
      </w:r>
    </w:p>
    <w:p>
      <w:pPr>
        <w:pStyle w:val="Compact"/>
        <w:numPr>
          <w:ilvl w:val="0"/>
          <w:numId w:val="1031"/>
        </w:numPr>
      </w:pPr>
      <w:r>
        <w:rPr>
          <w:b/>
          <w:bCs/>
        </w:rPr>
        <w:t xml:space="preserve">Pursue aggressively but protect the core.</w:t>
      </w:r>
      <w:r>
        <w:t xml:space="preserve"> </w:t>
      </w:r>
      <w:r>
        <w:t xml:space="preserve">The deal is strategically critical; Whitmore should signal commitment to closing while making clear that the three red-line issues (exclusivity scope, data/Output Data rights, and the MFC) and the high-severity items are non-negotiable as drafted.</w:t>
      </w:r>
    </w:p>
    <w:p>
      <w:pPr>
        <w:pStyle w:val="Compact"/>
        <w:numPr>
          <w:ilvl w:val="0"/>
          <w:numId w:val="1031"/>
        </w:numPr>
      </w:pPr>
      <w:r>
        <w:rPr>
          <w:b/>
          <w:bCs/>
        </w:rPr>
        <w:t xml:space="preserve">Frame the asymmetry explicitly.</w:t>
      </w:r>
      <w:r>
        <w:t xml:space="preserve"> </w:t>
      </w:r>
      <w:r>
        <w:t xml:space="preserve">In responding to KBI, frame the exclusivity/data/MFC package as asymmetric: KBI locks in favorable economics and continuity rights for up to 5 years (expansion right) and perpetually (wind-down license), while Whitmore is locked out of a market segment for 3 years and constrained on pricing indefinitely. A balanced deal requires reciprocal concessions.</w:t>
      </w:r>
    </w:p>
    <w:p>
      <w:pPr>
        <w:pStyle w:val="Compact"/>
        <w:numPr>
          <w:ilvl w:val="0"/>
          <w:numId w:val="1031"/>
        </w:numPr>
      </w:pPr>
      <w:r>
        <w:rPr>
          <w:b/>
          <w:bCs/>
        </w:rPr>
        <w:t xml:space="preserve">Sequence the asks.</w:t>
      </w:r>
      <w:r>
        <w:t xml:space="preserve"> </w:t>
      </w:r>
      <w:r>
        <w:t xml:space="preserve">Lead with the three red lines and the governing-law/indemnity package; pair commercial concessions (payment restructure, separate SOW) with the legal restructures to present a coherent counter-proposal rather than a list of objections.</w:t>
      </w:r>
    </w:p>
    <w:p>
      <w:pPr>
        <w:pStyle w:val="Compact"/>
        <w:numPr>
          <w:ilvl w:val="0"/>
          <w:numId w:val="1031"/>
        </w:numPr>
      </w:pPr>
      <w:r>
        <w:rPr>
          <w:b/>
          <w:bCs/>
        </w:rPr>
        <w:t xml:space="preserve">Preserve the timeline.</w:t>
      </w:r>
      <w:r>
        <w:t xml:space="preserve"> </w:t>
      </w:r>
      <w:r>
        <w:t xml:space="preserve">The June 23 response deadline and the August 15 execution / September 15 Phase 1 start dates leave limited runway. We recommend a substantive written response by June 23 that (i) confirms Whitmore’s commitment, (ii) sets out the restructured framework, and (iii) proposes a accelerated negotiation schedule. Do not let the deadline pass without a substantive response.</w:t>
      </w:r>
    </w:p>
    <w:bookmarkEnd w:id="74"/>
    <w:bookmarkStart w:id="75" w:name="b.-process"/>
    <w:p>
      <w:pPr>
        <w:pStyle w:val="Heading2"/>
      </w:pPr>
      <w:r>
        <w:t xml:space="preserve">B. Process</w:t>
      </w:r>
    </w:p>
    <w:p>
      <w:pPr>
        <w:pStyle w:val="Compact"/>
        <w:numPr>
          <w:ilvl w:val="0"/>
          <w:numId w:val="1032"/>
        </w:numPr>
      </w:pPr>
      <w:r>
        <w:rPr>
          <w:b/>
          <w:bCs/>
        </w:rPr>
        <w:t xml:space="preserve">Board approval (June 18):</w:t>
      </w:r>
      <w:r>
        <w:t xml:space="preserve"> </w:t>
      </w:r>
      <w:r>
        <w:t xml:space="preserve">Approve the negotiation framework and red lines set out in Section VII.</w:t>
      </w:r>
    </w:p>
    <w:p>
      <w:pPr>
        <w:pStyle w:val="Compact"/>
        <w:numPr>
          <w:ilvl w:val="0"/>
          <w:numId w:val="1032"/>
        </w:numPr>
      </w:pPr>
      <w:r>
        <w:rPr>
          <w:b/>
          <w:bCs/>
        </w:rPr>
        <w:t xml:space="preserve">Thursday alignment call:</w:t>
      </w:r>
      <w:r>
        <w:t xml:space="preserve"> </w:t>
      </w:r>
      <w:r>
        <w:t xml:space="preserve">Management to align on red lines before outside-counsel engagement is fully underway (per internal email).</w:t>
      </w:r>
    </w:p>
    <w:p>
      <w:pPr>
        <w:pStyle w:val="Compact"/>
        <w:numPr>
          <w:ilvl w:val="0"/>
          <w:numId w:val="1032"/>
        </w:numPr>
      </w:pPr>
      <w:r>
        <w:rPr>
          <w:b/>
          <w:bCs/>
        </w:rPr>
        <w:t xml:space="preserve">Written response to KBI by June 23:</w:t>
      </w:r>
      <w:r>
        <w:t xml:space="preserve"> </w:t>
      </w:r>
      <w:r>
        <w:t xml:space="preserve">Substantive counter-proposal reflecting the framework.</w:t>
      </w:r>
    </w:p>
    <w:p>
      <w:pPr>
        <w:pStyle w:val="Compact"/>
        <w:numPr>
          <w:ilvl w:val="0"/>
          <w:numId w:val="1032"/>
        </w:numPr>
      </w:pPr>
      <w:r>
        <w:rPr>
          <w:b/>
          <w:bCs/>
        </w:rPr>
        <w:t xml:space="preserve">Specialist engagements:</w:t>
      </w:r>
      <w:r>
        <w:t xml:space="preserve"> </w:t>
      </w:r>
      <w:r>
        <w:t xml:space="preserve">(i) German-law specialist advice on governing law and enforceability (Recommendation 8); (ii) tax advice on cross-border VAT/withholding/PE (Recommendation 16); (iii) technical validation of the 92% accuracy metric and measurement methodology (Recommendation 5); (iv) ASC 606 revenue-recognition advice from Lakeshore Accounting Group LLP (Recommendation 11).</w:t>
      </w:r>
    </w:p>
    <w:p>
      <w:pPr>
        <w:pStyle w:val="Compact"/>
        <w:numPr>
          <w:ilvl w:val="0"/>
          <w:numId w:val="1032"/>
        </w:numPr>
      </w:pPr>
      <w:r>
        <w:rPr>
          <w:b/>
          <w:bCs/>
        </w:rPr>
        <w:t xml:space="preserve">Negotiation through July 28</w:t>
      </w:r>
      <w:r>
        <w:t xml:space="preserve"> </w:t>
      </w:r>
      <w:r>
        <w:t xml:space="preserve">(end of no-shop), targeting definitive-agreement execution by August 15.</w:t>
      </w:r>
    </w:p>
    <w:p>
      <w:r>
        <w:pict>
          <v:rect style="width:0;height:1.5pt" o:hralign="center" o:hrstd="t" o:hr="t"/>
        </w:pict>
      </w:r>
    </w:p>
    <w:bookmarkEnd w:id="75"/>
    <w:bookmarkEnd w:id="76"/>
    <w:bookmarkStart w:id="77" w:name="X36ca92e33b871d0f0b857aff7e8f0ef74a390f4"/>
    <w:p>
      <w:pPr>
        <w:pStyle w:val="Heading1"/>
      </w:pPr>
      <w:r>
        <w:t xml:space="preserve">IX. Open Items Requiring Specialist Review Before Execution</w:t>
      </w:r>
    </w:p>
    <w:tbl>
      <w:tblPr>
        <w:tblStyle w:val="Table"/>
        <w:tblW w:type="dxa" w:w="9360"/>
        <w:jc w:val="left"/>
        <w:tblLayout w:type="fixed"/>
        <w:tblLook w:firstRow="1" w:lastRow="0" w:firstColumn="0" w:lastColumn="0" w:noHBand="0" w:noVBand="0" w:val="0020"/>
      </w:tblPr>
      <w:tblGrid>
        <w:gridCol w:w="2808"/>
        <w:gridCol w:w="2059"/>
        <w:gridCol w:w="4493"/>
      </w:tblGrid>
      <w:tr>
        <w:trPr>
          <w:tblHeader w:val="on"/>
        </w:trPr>
        <w:tc>
          <w:tcPr>
            <w:tcW w:w="2808" w:type="dxa"/>
          </w:tcPr>
          <w:p>
            <w:pPr>
              <w:pStyle w:val="Compact"/>
              <w:jc w:val="left"/>
            </w:pPr>
            <w:r>
              <w:t xml:space="preserve">Item</w:t>
            </w:r>
          </w:p>
        </w:tc>
        <w:tc>
          <w:tcPr>
            <w:tcW w:w="2059" w:type="dxa"/>
          </w:tcPr>
          <w:p>
            <w:pPr>
              <w:pStyle w:val="Compact"/>
              <w:jc w:val="left"/>
            </w:pPr>
            <w:r>
              <w:t xml:space="preserve">Specialist</w:t>
            </w:r>
          </w:p>
        </w:tc>
        <w:tc>
          <w:tcPr>
            <w:tcW w:w="4493" w:type="dxa"/>
          </w:tcPr>
          <w:p>
            <w:pPr>
              <w:pStyle w:val="Compact"/>
              <w:jc w:val="left"/>
            </w:pPr>
            <w:r>
              <w:t xml:space="preserve">Why it matters</w:t>
            </w:r>
          </w:p>
        </w:tc>
      </w:tr>
      <w:tr>
        <w:tc>
          <w:tcPr>
            <w:tcW w:w="2808" w:type="dxa"/>
          </w:tcPr>
          <w:p>
            <w:pPr>
              <w:pStyle w:val="Compact"/>
              <w:jc w:val="left"/>
            </w:pPr>
            <w:r>
              <w:t xml:space="preserve">German governing law — enforceability of liability cap, uncapped indemnity, warranty disclaimers, performance credits/termination, late-payment interest</w:t>
            </w:r>
          </w:p>
        </w:tc>
        <w:tc>
          <w:tcPr>
            <w:tcW w:w="2059" w:type="dxa"/>
          </w:tcPr>
          <w:p>
            <w:pPr>
              <w:pStyle w:val="Compact"/>
              <w:jc w:val="left"/>
            </w:pPr>
            <w:r>
              <w:t xml:space="preserve">German-law counsel</w:t>
            </w:r>
          </w:p>
        </w:tc>
        <w:tc>
          <w:tcPr>
            <w:tcW w:w="4493" w:type="dxa"/>
          </w:tcPr>
          <w:p>
            <w:pPr>
              <w:pStyle w:val="Compact"/>
              <w:jc w:val="left"/>
            </w:pPr>
            <w:r>
              <w:t xml:space="preserve">Determines whether key risk-allocation provisions will be upheld; informs the governing-law negotiation</w:t>
            </w:r>
          </w:p>
        </w:tc>
      </w:tr>
      <w:tr>
        <w:tc>
          <w:tcPr>
            <w:tcW w:w="2808" w:type="dxa"/>
          </w:tcPr>
          <w:p>
            <w:pPr>
              <w:pStyle w:val="Compact"/>
              <w:jc w:val="left"/>
            </w:pPr>
            <w:r>
              <w:t xml:space="preserve">Cross-border tax — VAT reverse-charge, withholding tax, permanent-establishment exposure from on-site implementation in 12 countries</w:t>
            </w:r>
          </w:p>
        </w:tc>
        <w:tc>
          <w:tcPr>
            <w:tcW w:w="2059" w:type="dxa"/>
          </w:tcPr>
          <w:p>
            <w:pPr>
              <w:pStyle w:val="Compact"/>
              <w:jc w:val="left"/>
            </w:pPr>
            <w:r>
              <w:t xml:space="preserve">Tax counsel / Lakeshore</w:t>
            </w:r>
          </w:p>
        </w:tc>
        <w:tc>
          <w:tcPr>
            <w:tcW w:w="4493" w:type="dxa"/>
          </w:tcPr>
          <w:p>
            <w:pPr>
              <w:pStyle w:val="Compact"/>
              <w:jc w:val="left"/>
            </w:pPr>
            <w:r>
              <w:t xml:space="preserve">Material cash and compliance exposure; affects pricing net of tax</w:t>
            </w:r>
          </w:p>
        </w:tc>
      </w:tr>
      <w:tr>
        <w:tc>
          <w:tcPr>
            <w:tcW w:w="2808" w:type="dxa"/>
          </w:tcPr>
          <w:p>
            <w:pPr>
              <w:pStyle w:val="Compact"/>
              <w:jc w:val="left"/>
            </w:pPr>
            <w:r>
              <w:t xml:space="preserve">92% accuracy metric — technical feasibility, measurement methodology, sensitivity to data quality/sensor calibration</w:t>
            </w:r>
          </w:p>
        </w:tc>
        <w:tc>
          <w:tcPr>
            <w:tcW w:w="2059" w:type="dxa"/>
          </w:tcPr>
          <w:p>
            <w:pPr>
              <w:pStyle w:val="Compact"/>
              <w:jc w:val="left"/>
            </w:pPr>
            <w:r>
              <w:t xml:space="preserve">Whitmore engineering / independent</w:t>
            </w:r>
          </w:p>
        </w:tc>
        <w:tc>
          <w:tcPr>
            <w:tcW w:w="4493" w:type="dxa"/>
          </w:tcPr>
          <w:p>
            <w:pPr>
              <w:pStyle w:val="Compact"/>
              <w:jc w:val="left"/>
            </w:pPr>
            <w:r>
              <w:t xml:space="preserve">Determines whether the performance warranty is achievable and how to define conditions precedent</w:t>
            </w:r>
          </w:p>
        </w:tc>
      </w:tr>
      <w:tr>
        <w:tc>
          <w:tcPr>
            <w:tcW w:w="2808" w:type="dxa"/>
          </w:tcPr>
          <w:p>
            <w:pPr>
              <w:pStyle w:val="Compact"/>
              <w:jc w:val="left"/>
            </w:pPr>
            <w:r>
              <w:t xml:space="preserve">ASC 606 revenue recognition — license-fee installments vs. milestone delivery; linear vs. front-loaded implementation fees; SaaS/maintenance commencement</w:t>
            </w:r>
          </w:p>
        </w:tc>
        <w:tc>
          <w:tcPr>
            <w:tcW w:w="2059" w:type="dxa"/>
          </w:tcPr>
          <w:p>
            <w:pPr>
              <w:pStyle w:val="Compact"/>
              <w:jc w:val="left"/>
            </w:pPr>
            <w:r>
              <w:t xml:space="preserve">Lakeshore Accounting Group LLP</w:t>
            </w:r>
          </w:p>
        </w:tc>
        <w:tc>
          <w:tcPr>
            <w:tcW w:w="4493" w:type="dxa"/>
          </w:tcPr>
          <w:p>
            <w:pPr>
              <w:pStyle w:val="Compact"/>
              <w:jc w:val="left"/>
            </w:pPr>
            <w:r>
              <w:t xml:space="preserve">Affects reported revenue and the cash-restructure structure</w:t>
            </w:r>
          </w:p>
        </w:tc>
      </w:tr>
      <w:tr>
        <w:tc>
          <w:tcPr>
            <w:tcW w:w="2808" w:type="dxa"/>
          </w:tcPr>
          <w:p>
            <w:pPr>
              <w:pStyle w:val="Compact"/>
              <w:jc w:val="left"/>
            </w:pPr>
            <w:r>
              <w:t xml:space="preserve">Exhibit B competitor list — confirm none are current prospects; consider narrowing</w:t>
            </w:r>
          </w:p>
        </w:tc>
        <w:tc>
          <w:tcPr>
            <w:tcW w:w="2059" w:type="dxa"/>
          </w:tcPr>
          <w:p>
            <w:pPr>
              <w:pStyle w:val="Compact"/>
              <w:jc w:val="left"/>
            </w:pPr>
            <w:r>
              <w:t xml:space="preserve">Mr. Kendrick / commercial</w:t>
            </w:r>
          </w:p>
        </w:tc>
        <w:tc>
          <w:tcPr>
            <w:tcW w:w="4493" w:type="dxa"/>
          </w:tcPr>
          <w:p>
            <w:pPr>
              <w:pStyle w:val="Compact"/>
              <w:jc w:val="left"/>
            </w:pPr>
            <w:r>
              <w:t xml:space="preserve">Avoids locking out active pipeline; supports exclusivity negotiation</w:t>
            </w:r>
          </w:p>
        </w:tc>
      </w:tr>
      <w:tr>
        <w:tc>
          <w:tcPr>
            <w:tcW w:w="2808" w:type="dxa"/>
          </w:tcPr>
          <w:p>
            <w:pPr>
              <w:pStyle w:val="Compact"/>
              <w:jc w:val="left"/>
            </w:pPr>
            <w:r>
              <w:t xml:space="preserve">Source-code escrow deposit scope — what is necessary for continuity vs. full source + build environment</w:t>
            </w:r>
          </w:p>
        </w:tc>
        <w:tc>
          <w:tcPr>
            <w:tcW w:w="2059" w:type="dxa"/>
          </w:tcPr>
          <w:p>
            <w:pPr>
              <w:pStyle w:val="Compact"/>
              <w:jc w:val="left"/>
            </w:pPr>
            <w:r>
              <w:t xml:space="preserve">Whitmore engineering / Ferndale Hale</w:t>
            </w:r>
          </w:p>
        </w:tc>
        <w:tc>
          <w:tcPr>
            <w:tcW w:w="4493" w:type="dxa"/>
          </w:tcPr>
          <w:p>
            <w:pPr>
              <w:pStyle w:val="Compact"/>
              <w:jc w:val="left"/>
            </w:pPr>
            <w:r>
              <w:t xml:space="preserve">Balances KBI’s continuity interest against Whitmore’s IP protection</w:t>
            </w:r>
          </w:p>
        </w:tc>
      </w:tr>
      <w:tr>
        <w:tc>
          <w:tcPr>
            <w:tcW w:w="2808" w:type="dxa"/>
          </w:tcPr>
          <w:p>
            <w:pPr>
              <w:pStyle w:val="Compact"/>
              <w:jc w:val="left"/>
            </w:pPr>
            <w:r>
              <w:t xml:space="preserve">Side Letter firm-name discrepancy (</w:t>
            </w:r>
            <w:r>
              <w:t xml:space="preserve">“</w:t>
            </w:r>
            <w:r>
              <w:t xml:space="preserve">Fenwick</w:t>
            </w:r>
            <w:r>
              <w:t xml:space="preserve">”</w:t>
            </w:r>
            <w:r>
              <w:t xml:space="preserve"> </w:t>
            </w:r>
            <w:r>
              <w:t xml:space="preserve">vs. </w:t>
            </w:r>
            <w:r>
              <w:t xml:space="preserve">“</w:t>
            </w:r>
            <w:r>
              <w:t xml:space="preserve">Ferndale</w:t>
            </w:r>
            <w:r>
              <w:t xml:space="preserve">”</w:t>
            </w:r>
            <w:r>
              <w:t xml:space="preserve">)</w:t>
            </w:r>
          </w:p>
        </w:tc>
        <w:tc>
          <w:tcPr>
            <w:tcW w:w="2059" w:type="dxa"/>
          </w:tcPr>
          <w:p>
            <w:pPr>
              <w:pStyle w:val="Compact"/>
              <w:jc w:val="left"/>
            </w:pPr>
            <w:r>
              <w:t xml:space="preserve">Ferndale Hale / KBI counsel</w:t>
            </w:r>
          </w:p>
        </w:tc>
        <w:tc>
          <w:tcPr>
            <w:tcW w:w="4493" w:type="dxa"/>
          </w:tcPr>
          <w:p>
            <w:pPr>
              <w:pStyle w:val="Compact"/>
              <w:jc w:val="left"/>
            </w:pPr>
            <w:r>
              <w:t xml:space="preserve">Housekeeping; ensure definitive agreement is internally consistent</w:t>
            </w:r>
          </w:p>
        </w:tc>
      </w:tr>
    </w:tbl>
    <w:p>
      <w:r>
        <w:pict>
          <v:rect style="width:0;height:1.5pt" o:hralign="center" o:hrstd="t" o:hr="t"/>
        </w:pict>
      </w:r>
    </w:p>
    <w:bookmarkEnd w:id="77"/>
    <w:bookmarkStart w:id="78" w:name="Xd720cf63b9434f6e9c598e425bfb8bac5ee0374"/>
    <w:p>
      <w:pPr>
        <w:pStyle w:val="Heading1"/>
      </w:pPr>
      <w:r>
        <w:t xml:space="preserve">Appendix A — Five-Year Fee Schedule (as drafted)</w:t>
      </w:r>
    </w:p>
    <w:tbl>
      <w:tblPr>
        <w:tblStyle w:val="Table"/>
        <w:tblW w:type="dxa" w:w="9360"/>
        <w:jc w:val="left"/>
        <w:tblLayout w:type="fixed"/>
        <w:tblLook w:firstRow="1" w:lastRow="0" w:firstColumn="0" w:lastColumn="0" w:noHBand="0" w:noVBand="0" w:val="0020"/>
      </w:tblPr>
      <w:tblGrid>
        <w:gridCol w:w="936"/>
        <w:gridCol w:w="1685"/>
        <w:gridCol w:w="1685"/>
        <w:gridCol w:w="1685"/>
        <w:gridCol w:w="1685"/>
        <w:gridCol w:w="1684"/>
      </w:tblGrid>
      <w:tr>
        <w:trPr>
          <w:tblHeader w:val="on"/>
        </w:trPr>
        <w:tc>
          <w:tcPr>
            <w:tcW w:w="936" w:type="dxa"/>
          </w:tcPr>
          <w:p>
            <w:pPr>
              <w:pStyle w:val="Compact"/>
              <w:jc w:val="left"/>
            </w:pPr>
            <w:r>
              <w:t xml:space="preserve">Year</w:t>
            </w:r>
          </w:p>
        </w:tc>
        <w:tc>
          <w:tcPr>
            <w:tcW w:w="1685" w:type="dxa"/>
          </w:tcPr>
          <w:p>
            <w:pPr>
              <w:pStyle w:val="Compact"/>
              <w:jc w:val="left"/>
            </w:pPr>
            <w:r>
              <w:t xml:space="preserve">License</w:t>
            </w:r>
          </w:p>
        </w:tc>
        <w:tc>
          <w:tcPr>
            <w:tcW w:w="1685" w:type="dxa"/>
          </w:tcPr>
          <w:p>
            <w:pPr>
              <w:pStyle w:val="Compact"/>
              <w:jc w:val="left"/>
            </w:pPr>
            <w:r>
              <w:t xml:space="preserve">SaaS</w:t>
            </w:r>
          </w:p>
        </w:tc>
        <w:tc>
          <w:tcPr>
            <w:tcW w:w="1685" w:type="dxa"/>
          </w:tcPr>
          <w:p>
            <w:pPr>
              <w:pStyle w:val="Compact"/>
              <w:jc w:val="left"/>
            </w:pPr>
            <w:r>
              <w:t xml:space="preserve">Implementation</w:t>
            </w:r>
          </w:p>
        </w:tc>
        <w:tc>
          <w:tcPr>
            <w:tcW w:w="1685" w:type="dxa"/>
          </w:tcPr>
          <w:p>
            <w:pPr>
              <w:pStyle w:val="Compact"/>
              <w:jc w:val="left"/>
            </w:pPr>
            <w:r>
              <w:t xml:space="preserve">Maintenance</w:t>
            </w:r>
          </w:p>
        </w:tc>
        <w:tc>
          <w:tcPr>
            <w:tcW w:w="1684" w:type="dxa"/>
          </w:tcPr>
          <w:p>
            <w:pPr>
              <w:pStyle w:val="Compact"/>
              <w:jc w:val="left"/>
            </w:pPr>
            <w:r>
              <w:t xml:space="preserve">Year total</w:t>
            </w:r>
          </w:p>
        </w:tc>
      </w:tr>
      <w:tr>
        <w:tc>
          <w:tcPr>
            <w:tcW w:w="936" w:type="dxa"/>
          </w:tcPr>
          <w:p>
            <w:pPr>
              <w:pStyle w:val="Compact"/>
              <w:jc w:val="left"/>
            </w:pPr>
            <w:r>
              <w:t xml:space="preserve">Year 1</w:t>
            </w:r>
          </w:p>
        </w:tc>
        <w:tc>
          <w:tcPr>
            <w:tcW w:w="1685" w:type="dxa"/>
          </w:tcPr>
          <w:p>
            <w:pPr>
              <w:pStyle w:val="Compact"/>
              <w:jc w:val="left"/>
            </w:pPr>
            <w:r>
              <w:t xml:space="preserve">$1,260,000 (30%)</w:t>
            </w:r>
          </w:p>
        </w:tc>
        <w:tc>
          <w:tcPr>
            <w:tcW w:w="1685" w:type="dxa"/>
          </w:tcPr>
          <w:p>
            <w:pPr>
              <w:pStyle w:val="Compact"/>
              <w:jc w:val="left"/>
            </w:pPr>
            <w:r>
              <w:t xml:space="preserve">$2,850,000</w:t>
            </w:r>
          </w:p>
        </w:tc>
        <w:tc>
          <w:tcPr>
            <w:tcW w:w="1685" w:type="dxa"/>
          </w:tcPr>
          <w:p>
            <w:pPr>
              <w:pStyle w:val="Compact"/>
              <w:jc w:val="left"/>
            </w:pPr>
            <w:r>
              <w:t xml:space="preserve">$1,166,667 (≈12 of 18 mo.)</w:t>
            </w:r>
          </w:p>
        </w:tc>
        <w:tc>
          <w:tcPr>
            <w:tcW w:w="1685" w:type="dxa"/>
          </w:tcPr>
          <w:p>
            <w:pPr>
              <w:pStyle w:val="Compact"/>
              <w:jc w:val="left"/>
            </w:pPr>
            <w:r>
              <w:t xml:space="preserve">$756,000</w:t>
            </w:r>
          </w:p>
        </w:tc>
        <w:tc>
          <w:tcPr>
            <w:tcW w:w="1684" w:type="dxa"/>
          </w:tcPr>
          <w:p>
            <w:pPr>
              <w:pStyle w:val="Compact"/>
              <w:jc w:val="left"/>
            </w:pPr>
            <w:r>
              <w:t xml:space="preserve">~$6,032,667 cash</w:t>
            </w:r>
          </w:p>
        </w:tc>
      </w:tr>
      <w:tr>
        <w:tc>
          <w:tcPr>
            <w:tcW w:w="936" w:type="dxa"/>
          </w:tcPr>
          <w:p>
            <w:pPr>
              <w:pStyle w:val="Compact"/>
              <w:jc w:val="left"/>
            </w:pPr>
            <w:r>
              <w:t xml:space="preserve">Year 2</w:t>
            </w:r>
          </w:p>
        </w:tc>
        <w:tc>
          <w:tcPr>
            <w:tcW w:w="1685" w:type="dxa"/>
          </w:tcPr>
          <w:p>
            <w:pPr>
              <w:pStyle w:val="Compact"/>
              <w:jc w:val="left"/>
            </w:pPr>
            <w:r>
              <w:t xml:space="preserve">$1,680,000 (40%)</w:t>
            </w:r>
          </w:p>
        </w:tc>
        <w:tc>
          <w:tcPr>
            <w:tcW w:w="1685" w:type="dxa"/>
          </w:tcPr>
          <w:p>
            <w:pPr>
              <w:pStyle w:val="Compact"/>
              <w:jc w:val="left"/>
            </w:pPr>
            <w:r>
              <w:t xml:space="preserve">$2,850,000</w:t>
            </w:r>
          </w:p>
        </w:tc>
        <w:tc>
          <w:tcPr>
            <w:tcW w:w="1685" w:type="dxa"/>
          </w:tcPr>
          <w:p>
            <w:pPr>
              <w:pStyle w:val="Compact"/>
              <w:jc w:val="left"/>
            </w:pPr>
            <w:r>
              <w:t xml:space="preserve">$583,333 (≈6 of 18 mo.)</w:t>
            </w:r>
          </w:p>
        </w:tc>
        <w:tc>
          <w:tcPr>
            <w:tcW w:w="1685" w:type="dxa"/>
          </w:tcPr>
          <w:p>
            <w:pPr>
              <w:pStyle w:val="Compact"/>
              <w:jc w:val="left"/>
            </w:pPr>
            <w:r>
              <w:t xml:space="preserve">$786,240</w:t>
            </w:r>
          </w:p>
        </w:tc>
        <w:tc>
          <w:tcPr>
            <w:tcW w:w="1684" w:type="dxa"/>
          </w:tcPr>
          <w:p>
            <w:pPr>
              <w:pStyle w:val="Compact"/>
              <w:jc w:val="left"/>
            </w:pPr>
            <w:r>
              <w:t xml:space="preserve">~$5,899,573 cash</w:t>
            </w:r>
          </w:p>
        </w:tc>
      </w:tr>
      <w:tr>
        <w:tc>
          <w:tcPr>
            <w:tcW w:w="936" w:type="dxa"/>
          </w:tcPr>
          <w:p>
            <w:pPr>
              <w:pStyle w:val="Compact"/>
              <w:jc w:val="left"/>
            </w:pPr>
            <w:r>
              <w:t xml:space="preserve">Year 3</w:t>
            </w:r>
          </w:p>
        </w:tc>
        <w:tc>
          <w:tcPr>
            <w:tcW w:w="1685" w:type="dxa"/>
          </w:tcPr>
          <w:p>
            <w:pPr>
              <w:pStyle w:val="Compact"/>
              <w:jc w:val="left"/>
            </w:pPr>
            <w:r>
              <w:t xml:space="preserve">$1,260,000 (30%)</w:t>
            </w:r>
          </w:p>
        </w:tc>
        <w:tc>
          <w:tcPr>
            <w:tcW w:w="1685" w:type="dxa"/>
          </w:tcPr>
          <w:p>
            <w:pPr>
              <w:pStyle w:val="Compact"/>
              <w:jc w:val="left"/>
            </w:pPr>
            <w:r>
              <w:t xml:space="preserve">$2,850,000</w:t>
            </w:r>
          </w:p>
        </w:tc>
        <w:tc>
          <w:tcPr>
            <w:tcW w:w="1685" w:type="dxa"/>
          </w:tcPr>
          <w:p>
            <w:pPr>
              <w:pStyle w:val="Compact"/>
              <w:jc w:val="left"/>
            </w:pPr>
            <w:r>
              <w:t xml:space="preserve">—</w:t>
            </w:r>
          </w:p>
        </w:tc>
        <w:tc>
          <w:tcPr>
            <w:tcW w:w="1685" w:type="dxa"/>
          </w:tcPr>
          <w:p>
            <w:pPr>
              <w:pStyle w:val="Compact"/>
              <w:jc w:val="left"/>
            </w:pPr>
            <w:r>
              <w:t xml:space="preserve">$817,689.60</w:t>
            </w:r>
          </w:p>
        </w:tc>
        <w:tc>
          <w:tcPr>
            <w:tcW w:w="1684" w:type="dxa"/>
          </w:tcPr>
          <w:p>
            <w:pPr>
              <w:pStyle w:val="Compact"/>
              <w:jc w:val="left"/>
            </w:pPr>
            <w:r>
              <w:t xml:space="preserve">~$4,927,690 cash</w:t>
            </w:r>
          </w:p>
        </w:tc>
      </w:tr>
      <w:tr>
        <w:tc>
          <w:tcPr>
            <w:tcW w:w="936" w:type="dxa"/>
          </w:tcPr>
          <w:p>
            <w:pPr>
              <w:pStyle w:val="Compact"/>
              <w:jc w:val="left"/>
            </w:pPr>
            <w:r>
              <w:t xml:space="preserve">Year 4</w:t>
            </w:r>
          </w:p>
        </w:tc>
        <w:tc>
          <w:tcPr>
            <w:tcW w:w="1685" w:type="dxa"/>
          </w:tcPr>
          <w:p>
            <w:pPr>
              <w:pStyle w:val="Compact"/>
              <w:jc w:val="left"/>
            </w:pPr>
            <w:r>
              <w:t xml:space="preserve">—</w:t>
            </w:r>
          </w:p>
        </w:tc>
        <w:tc>
          <w:tcPr>
            <w:tcW w:w="1685" w:type="dxa"/>
          </w:tcPr>
          <w:p>
            <w:pPr>
              <w:pStyle w:val="Compact"/>
              <w:jc w:val="left"/>
            </w:pPr>
            <w:r>
              <w:t xml:space="preserve">$2,935,500</w:t>
            </w:r>
          </w:p>
        </w:tc>
        <w:tc>
          <w:tcPr>
            <w:tcW w:w="1685" w:type="dxa"/>
          </w:tcPr>
          <w:p>
            <w:pPr>
              <w:pStyle w:val="Compact"/>
              <w:jc w:val="left"/>
            </w:pPr>
            <w:r>
              <w:t xml:space="preserve">—</w:t>
            </w:r>
          </w:p>
        </w:tc>
        <w:tc>
          <w:tcPr>
            <w:tcW w:w="1685" w:type="dxa"/>
          </w:tcPr>
          <w:p>
            <w:pPr>
              <w:pStyle w:val="Compact"/>
              <w:jc w:val="left"/>
            </w:pPr>
            <w:r>
              <w:t xml:space="preserve">$850,397.18</w:t>
            </w:r>
          </w:p>
        </w:tc>
        <w:tc>
          <w:tcPr>
            <w:tcW w:w="1684" w:type="dxa"/>
          </w:tcPr>
          <w:p>
            <w:pPr>
              <w:pStyle w:val="Compact"/>
              <w:jc w:val="left"/>
            </w:pPr>
            <w:r>
              <w:t xml:space="preserve">~$3,785,897 cash</w:t>
            </w:r>
          </w:p>
        </w:tc>
      </w:tr>
      <w:tr>
        <w:tc>
          <w:tcPr>
            <w:tcW w:w="936" w:type="dxa"/>
          </w:tcPr>
          <w:p>
            <w:pPr>
              <w:pStyle w:val="Compact"/>
              <w:jc w:val="left"/>
            </w:pPr>
            <w:r>
              <w:t xml:space="preserve">Year 5</w:t>
            </w:r>
          </w:p>
        </w:tc>
        <w:tc>
          <w:tcPr>
            <w:tcW w:w="1685" w:type="dxa"/>
          </w:tcPr>
          <w:p>
            <w:pPr>
              <w:pStyle w:val="Compact"/>
              <w:jc w:val="left"/>
            </w:pPr>
            <w:r>
              <w:t xml:space="preserve">—</w:t>
            </w:r>
          </w:p>
        </w:tc>
        <w:tc>
          <w:tcPr>
            <w:tcW w:w="1685" w:type="dxa"/>
          </w:tcPr>
          <w:p>
            <w:pPr>
              <w:pStyle w:val="Compact"/>
              <w:jc w:val="left"/>
            </w:pPr>
            <w:r>
              <w:t xml:space="preserve">$3,023,565</w:t>
            </w:r>
          </w:p>
        </w:tc>
        <w:tc>
          <w:tcPr>
            <w:tcW w:w="1685" w:type="dxa"/>
          </w:tcPr>
          <w:p>
            <w:pPr>
              <w:pStyle w:val="Compact"/>
              <w:jc w:val="left"/>
            </w:pPr>
            <w:r>
              <w:t xml:space="preserve">—</w:t>
            </w:r>
          </w:p>
        </w:tc>
        <w:tc>
          <w:tcPr>
            <w:tcW w:w="1685" w:type="dxa"/>
          </w:tcPr>
          <w:p>
            <w:pPr>
              <w:pStyle w:val="Compact"/>
              <w:jc w:val="left"/>
            </w:pPr>
            <w:r>
              <w:t xml:space="preserve">$884,413.07</w:t>
            </w:r>
          </w:p>
        </w:tc>
        <w:tc>
          <w:tcPr>
            <w:tcW w:w="1684" w:type="dxa"/>
          </w:tcPr>
          <w:p>
            <w:pPr>
              <w:pStyle w:val="Compact"/>
              <w:jc w:val="left"/>
            </w:pPr>
            <w:r>
              <w:t xml:space="preserve">~$3,907,978 cash</w:t>
            </w:r>
          </w:p>
        </w:tc>
      </w:tr>
      <w:tr>
        <w:tc>
          <w:tcPr>
            <w:tcW w:w="936" w:type="dxa"/>
          </w:tcPr>
          <w:p>
            <w:pPr>
              <w:pStyle w:val="Compact"/>
              <w:jc w:val="left"/>
            </w:pPr>
            <w:r>
              <w:rPr>
                <w:b/>
                <w:bCs/>
              </w:rPr>
              <w:t xml:space="preserve">5-yr contract value</w:t>
            </w:r>
          </w:p>
        </w:tc>
        <w:tc>
          <w:tcPr>
            <w:tcW w:w="1685" w:type="dxa"/>
          </w:tcPr>
          <w:p>
            <w:pPr>
              <w:pStyle w:val="Compact"/>
              <w:jc w:val="left"/>
            </w:pPr>
            <w:r>
              <w:rPr>
                <w:b/>
                <w:bCs/>
              </w:rPr>
              <w:t xml:space="preserve">$4,200,000</w:t>
            </w:r>
          </w:p>
        </w:tc>
        <w:tc>
          <w:tcPr>
            <w:tcW w:w="1685" w:type="dxa"/>
          </w:tcPr>
          <w:p>
            <w:pPr>
              <w:pStyle w:val="Compact"/>
              <w:jc w:val="left"/>
            </w:pPr>
            <w:r>
              <w:rPr>
                <w:b/>
                <w:bCs/>
              </w:rPr>
              <w:t xml:space="preserve">$14,509,065</w:t>
            </w:r>
          </w:p>
        </w:tc>
        <w:tc>
          <w:tcPr>
            <w:tcW w:w="1685" w:type="dxa"/>
          </w:tcPr>
          <w:p>
            <w:pPr>
              <w:pStyle w:val="Compact"/>
              <w:jc w:val="left"/>
            </w:pPr>
            <w:r>
              <w:rPr>
                <w:b/>
                <w:bCs/>
              </w:rPr>
              <w:t xml:space="preserve">$1,750,000</w:t>
            </w:r>
          </w:p>
        </w:tc>
        <w:tc>
          <w:tcPr>
            <w:tcW w:w="1685" w:type="dxa"/>
          </w:tcPr>
          <w:p>
            <w:pPr>
              <w:pStyle w:val="Compact"/>
              <w:jc w:val="left"/>
            </w:pPr>
            <w:r>
              <w:rPr>
                <w:b/>
                <w:bCs/>
              </w:rPr>
              <w:t xml:space="preserve">$4,094,740</w:t>
            </w:r>
          </w:p>
        </w:tc>
        <w:tc>
          <w:tcPr>
            <w:tcW w:w="1684" w:type="dxa"/>
          </w:tcPr>
          <w:p>
            <w:pPr>
              <w:pStyle w:val="Compact"/>
              <w:jc w:val="left"/>
            </w:pPr>
            <w:r>
              <w:rPr>
                <w:b/>
                <w:bCs/>
              </w:rPr>
              <w:t xml:space="preserve">~$24,553,805</w:t>
            </w:r>
          </w:p>
        </w:tc>
      </w:tr>
    </w:tbl>
    <w:p>
      <w:pPr>
        <w:pStyle w:val="BodyText"/>
      </w:pPr>
      <w:r>
        <w:t xml:space="preserve">Note:</w:t>
      </w:r>
      <w:r>
        <w:t xml:space="preserve"> </w:t>
      </w:r>
      <w:r>
        <w:t xml:space="preserve">“</w:t>
      </w:r>
      <w:r>
        <w:t xml:space="preserve">Year total (cash)</w:t>
      </w:r>
      <w:r>
        <w:t xml:space="preserve">”</w:t>
      </w:r>
      <w:r>
        <w:t xml:space="preserve"> </w:t>
      </w:r>
      <w:r>
        <w:t xml:space="preserve">approximates cash receipts by calendar year assuming a September 15, 2025 Phase 1 start and the as-drafted installment schedule; actual timing depends on SaaS/maintenance commencement dates (see Risk 15) and may differ from the</w:t>
      </w:r>
      <w:r>
        <w:t xml:space="preserve"> </w:t>
      </w:r>
      <w:r>
        <w:t xml:space="preserve">“</w:t>
      </w:r>
      <w:r>
        <w:t xml:space="preserve">headline first-year</w:t>
      </w:r>
      <w:r>
        <w:t xml:space="preserve">”</w:t>
      </w:r>
      <w:r>
        <w:t xml:space="preserve"> </w:t>
      </w:r>
      <w:r>
        <w:t xml:space="preserve">figure of ~$9.56M, which sums all four fee types at full annual/one-time amounts.</w:t>
      </w:r>
    </w:p>
    <w:bookmarkEnd w:id="78"/>
    <w:bookmarkStart w:id="79" w:name="appendix-b-key-dates"/>
    <w:p>
      <w:pPr>
        <w:pStyle w:val="Heading1"/>
      </w:pPr>
      <w:r>
        <w:t xml:space="preserve">Appendix B — Key Dates</w:t>
      </w:r>
    </w:p>
    <w:tbl>
      <w:tblPr>
        <w:tblStyle w:val="Table"/>
        <w:tblW w:type="dxa" w:w="9360"/>
        <w:jc w:val="left"/>
        <w:tblLayout w:type="fixed"/>
        <w:tblLook w:firstRow="1" w:lastRow="0" w:firstColumn="0" w:lastColumn="0" w:noHBand="0" w:noVBand="0" w:val="0020"/>
      </w:tblPr>
      <w:tblGrid>
        <w:gridCol w:w="2808"/>
        <w:gridCol w:w="6552"/>
      </w:tblGrid>
      <w:tr>
        <w:trPr>
          <w:tblHeader w:val="on"/>
        </w:trPr>
        <w:tc>
          <w:tcPr>
            <w:tcW w:w="2808" w:type="dxa"/>
          </w:tcPr>
          <w:p>
            <w:pPr>
              <w:pStyle w:val="Compact"/>
              <w:jc w:val="left"/>
            </w:pPr>
            <w:r>
              <w:t xml:space="preserve">Date</w:t>
            </w:r>
          </w:p>
        </w:tc>
        <w:tc>
          <w:tcPr>
            <w:tcW w:w="6552" w:type="dxa"/>
          </w:tcPr>
          <w:p>
            <w:pPr>
              <w:pStyle w:val="Compact"/>
              <w:jc w:val="left"/>
            </w:pPr>
            <w:r>
              <w:t xml:space="preserve">Event</w:t>
            </w:r>
          </w:p>
        </w:tc>
      </w:tr>
      <w:tr>
        <w:tc>
          <w:tcPr>
            <w:tcW w:w="2808" w:type="dxa"/>
          </w:tcPr>
          <w:p>
            <w:pPr>
              <w:pStyle w:val="Compact"/>
              <w:jc w:val="left"/>
            </w:pPr>
            <w:r>
              <w:t xml:space="preserve">May 29, 2025</w:t>
            </w:r>
          </w:p>
        </w:tc>
        <w:tc>
          <w:tcPr>
            <w:tcW w:w="6552" w:type="dxa"/>
          </w:tcPr>
          <w:p>
            <w:pPr>
              <w:pStyle w:val="Compact"/>
              <w:jc w:val="left"/>
            </w:pPr>
            <w:r>
              <w:t xml:space="preserve">Term Sheet and MFC Side Letter issued</w:t>
            </w:r>
          </w:p>
        </w:tc>
      </w:tr>
      <w:tr>
        <w:tc>
          <w:tcPr>
            <w:tcW w:w="2808" w:type="dxa"/>
          </w:tcPr>
          <w:p>
            <w:pPr>
              <w:pStyle w:val="Compact"/>
              <w:jc w:val="left"/>
            </w:pPr>
            <w:r>
              <w:t xml:space="preserve">June 2, 2025</w:t>
            </w:r>
          </w:p>
        </w:tc>
        <w:tc>
          <w:tcPr>
            <w:tcW w:w="6552" w:type="dxa"/>
          </w:tcPr>
          <w:p>
            <w:pPr>
              <w:pStyle w:val="Compact"/>
              <w:jc w:val="left"/>
            </w:pPr>
            <w:r>
              <w:t xml:space="preserve">Received by Whitmore</w:t>
            </w:r>
          </w:p>
        </w:tc>
      </w:tr>
      <w:tr>
        <w:tc>
          <w:tcPr>
            <w:tcW w:w="2808" w:type="dxa"/>
          </w:tcPr>
          <w:p>
            <w:pPr>
              <w:pStyle w:val="Compact"/>
              <w:jc w:val="left"/>
            </w:pPr>
            <w:r>
              <w:t xml:space="preserve">June 16, 2025</w:t>
            </w:r>
          </w:p>
        </w:tc>
        <w:tc>
          <w:tcPr>
            <w:tcW w:w="6552" w:type="dxa"/>
          </w:tcPr>
          <w:p>
            <w:pPr>
              <w:pStyle w:val="Compact"/>
              <w:jc w:val="left"/>
            </w:pPr>
            <w:r>
              <w:t xml:space="preserve">This memo delivered</w:t>
            </w:r>
          </w:p>
        </w:tc>
      </w:tr>
      <w:tr>
        <w:tc>
          <w:tcPr>
            <w:tcW w:w="2808" w:type="dxa"/>
          </w:tcPr>
          <w:p>
            <w:pPr>
              <w:pStyle w:val="Compact"/>
              <w:jc w:val="left"/>
            </w:pPr>
            <w:r>
              <w:t xml:space="preserve">June 18, 2025</w:t>
            </w:r>
          </w:p>
        </w:tc>
        <w:tc>
          <w:tcPr>
            <w:tcW w:w="6552" w:type="dxa"/>
          </w:tcPr>
          <w:p>
            <w:pPr>
              <w:pStyle w:val="Compact"/>
              <w:jc w:val="left"/>
            </w:pPr>
            <w:r>
              <w:t xml:space="preserve">Whitmore board meeting</w:t>
            </w:r>
          </w:p>
        </w:tc>
      </w:tr>
      <w:tr>
        <w:tc>
          <w:tcPr>
            <w:tcW w:w="2808" w:type="dxa"/>
          </w:tcPr>
          <w:p>
            <w:pPr>
              <w:pStyle w:val="Compact"/>
              <w:jc w:val="left"/>
            </w:pPr>
            <w:r>
              <w:t xml:space="preserve">June 23, 2025</w:t>
            </w:r>
          </w:p>
        </w:tc>
        <w:tc>
          <w:tcPr>
            <w:tcW w:w="6552" w:type="dxa"/>
          </w:tcPr>
          <w:p>
            <w:pPr>
              <w:pStyle w:val="Compact"/>
              <w:jc w:val="left"/>
            </w:pPr>
            <w:r>
              <w:t xml:space="preserve">KBI response deadline</w:t>
            </w:r>
          </w:p>
        </w:tc>
      </w:tr>
      <w:tr>
        <w:tc>
          <w:tcPr>
            <w:tcW w:w="2808" w:type="dxa"/>
          </w:tcPr>
          <w:p>
            <w:pPr>
              <w:pStyle w:val="Compact"/>
              <w:jc w:val="left"/>
            </w:pPr>
            <w:r>
              <w:t xml:space="preserve">July 28, 2025</w:t>
            </w:r>
          </w:p>
        </w:tc>
        <w:tc>
          <w:tcPr>
            <w:tcW w:w="6552" w:type="dxa"/>
          </w:tcPr>
          <w:p>
            <w:pPr>
              <w:pStyle w:val="Compact"/>
              <w:jc w:val="left"/>
            </w:pPr>
            <w:r>
              <w:t xml:space="preserve">End of 60-day no-shop (binding)</w:t>
            </w:r>
          </w:p>
        </w:tc>
      </w:tr>
      <w:tr>
        <w:tc>
          <w:tcPr>
            <w:tcW w:w="2808" w:type="dxa"/>
          </w:tcPr>
          <w:p>
            <w:pPr>
              <w:pStyle w:val="Compact"/>
              <w:jc w:val="left"/>
            </w:pPr>
            <w:r>
              <w:t xml:space="preserve">August 15, 2025</w:t>
            </w:r>
          </w:p>
        </w:tc>
        <w:tc>
          <w:tcPr>
            <w:tcW w:w="6552" w:type="dxa"/>
          </w:tcPr>
          <w:p>
            <w:pPr>
              <w:pStyle w:val="Compact"/>
              <w:jc w:val="left"/>
            </w:pPr>
            <w:r>
              <w:t xml:space="preserve">Targeted definitive-agreement execution</w:t>
            </w:r>
          </w:p>
        </w:tc>
      </w:tr>
      <w:tr>
        <w:tc>
          <w:tcPr>
            <w:tcW w:w="2808" w:type="dxa"/>
          </w:tcPr>
          <w:p>
            <w:pPr>
              <w:pStyle w:val="Compact"/>
              <w:jc w:val="left"/>
            </w:pPr>
            <w:r>
              <w:t xml:space="preserve">September 15, 2025</w:t>
            </w:r>
          </w:p>
        </w:tc>
        <w:tc>
          <w:tcPr>
            <w:tcW w:w="6552" w:type="dxa"/>
          </w:tcPr>
          <w:p>
            <w:pPr>
              <w:pStyle w:val="Compact"/>
              <w:jc w:val="left"/>
            </w:pPr>
            <w:r>
              <w:t xml:space="preserve">Phase 1 implementation start (10 pilot facilities)</w:t>
            </w:r>
          </w:p>
        </w:tc>
      </w:tr>
      <w:tr>
        <w:tc>
          <w:tcPr>
            <w:tcW w:w="2808" w:type="dxa"/>
          </w:tcPr>
          <w:p>
            <w:pPr>
              <w:pStyle w:val="Compact"/>
              <w:jc w:val="left"/>
            </w:pPr>
            <w:r>
              <w:t xml:space="preserve">March 15, 2026</w:t>
            </w:r>
          </w:p>
        </w:tc>
        <w:tc>
          <w:tcPr>
            <w:tcW w:w="6552" w:type="dxa"/>
          </w:tcPr>
          <w:p>
            <w:pPr>
              <w:pStyle w:val="Compact"/>
              <w:jc w:val="left"/>
            </w:pPr>
            <w:r>
              <w:t xml:space="preserve">Phase 1 completion target</w:t>
            </w:r>
          </w:p>
        </w:tc>
      </w:tr>
      <w:tr>
        <w:tc>
          <w:tcPr>
            <w:tcW w:w="2808" w:type="dxa"/>
          </w:tcPr>
          <w:p>
            <w:pPr>
              <w:pStyle w:val="Compact"/>
              <w:jc w:val="left"/>
            </w:pPr>
            <w:r>
              <w:t xml:space="preserve">March 15, 2027</w:t>
            </w:r>
          </w:p>
        </w:tc>
        <w:tc>
          <w:tcPr>
            <w:tcW w:w="6552" w:type="dxa"/>
          </w:tcPr>
          <w:p>
            <w:pPr>
              <w:pStyle w:val="Compact"/>
              <w:jc w:val="left"/>
            </w:pPr>
            <w:r>
              <w:t xml:space="preserve">Phase 2 go-live target (18 months from start)</w:t>
            </w:r>
          </w:p>
        </w:tc>
      </w:tr>
    </w:tbl>
    <w:bookmarkEnd w:id="79"/>
    <w:bookmarkStart w:id="80" w:name="Xa52308e0a406e08aa20e57504b37a32f0c3947b"/>
    <w:p>
      <w:pPr>
        <w:pStyle w:val="Heading1"/>
      </w:pPr>
      <w:r>
        <w:t xml:space="preserve">Appendix C — Exhibit B Direct Competitors (12)</w:t>
      </w:r>
    </w:p>
    <w:p>
      <w:pPr>
        <w:pStyle w:val="Compact"/>
        <w:numPr>
          <w:ilvl w:val="0"/>
          <w:numId w:val="1033"/>
        </w:numPr>
      </w:pPr>
      <w:r>
        <w:t xml:space="preserve">Voelker-Haas Maschinenbau AG (Germany)</w:t>
      </w:r>
    </w:p>
    <w:p>
      <w:pPr>
        <w:pStyle w:val="Compact"/>
        <w:numPr>
          <w:ilvl w:val="0"/>
          <w:numId w:val="1033"/>
        </w:numPr>
      </w:pPr>
      <w:r>
        <w:t xml:space="preserve">Duraforge Industries S.p.A. (Italy)</w:t>
      </w:r>
    </w:p>
    <w:p>
      <w:pPr>
        <w:pStyle w:val="Compact"/>
        <w:numPr>
          <w:ilvl w:val="0"/>
          <w:numId w:val="1033"/>
        </w:numPr>
      </w:pPr>
      <w:r>
        <w:t xml:space="preserve">Nordhaven Automotive Group AB (Sweden)</w:t>
      </w:r>
    </w:p>
    <w:p>
      <w:pPr>
        <w:pStyle w:val="Compact"/>
        <w:numPr>
          <w:ilvl w:val="0"/>
          <w:numId w:val="1033"/>
        </w:numPr>
      </w:pPr>
      <w:r>
        <w:t xml:space="preserve">Castellain Manufacturing S.A. (France)</w:t>
      </w:r>
    </w:p>
    <w:p>
      <w:pPr>
        <w:pStyle w:val="Compact"/>
        <w:numPr>
          <w:ilvl w:val="0"/>
          <w:numId w:val="1033"/>
        </w:numPr>
      </w:pPr>
      <w:r>
        <w:t xml:space="preserve">Ironbridge Heavy Industries plc (United Kingdom)</w:t>
      </w:r>
    </w:p>
    <w:p>
      <w:pPr>
        <w:pStyle w:val="Compact"/>
        <w:numPr>
          <w:ilvl w:val="0"/>
          <w:numId w:val="1033"/>
        </w:numPr>
      </w:pPr>
      <w:r>
        <w:t xml:space="preserve">Rhenania Precision Components GmbH (Germany)</w:t>
      </w:r>
    </w:p>
    <w:p>
      <w:pPr>
        <w:pStyle w:val="Compact"/>
        <w:numPr>
          <w:ilvl w:val="0"/>
          <w:numId w:val="1033"/>
        </w:numPr>
      </w:pPr>
      <w:r>
        <w:t xml:space="preserve">Balticore Systems Oy (Finland)</w:t>
      </w:r>
    </w:p>
    <w:p>
      <w:pPr>
        <w:pStyle w:val="Compact"/>
        <w:numPr>
          <w:ilvl w:val="0"/>
          <w:numId w:val="1033"/>
        </w:numPr>
      </w:pPr>
      <w:r>
        <w:t xml:space="preserve">Vandermeer Werktuigbouw B.V. (Netherlands)</w:t>
      </w:r>
    </w:p>
    <w:p>
      <w:pPr>
        <w:pStyle w:val="Compact"/>
        <w:numPr>
          <w:ilvl w:val="0"/>
          <w:numId w:val="1033"/>
        </w:numPr>
      </w:pPr>
      <w:r>
        <w:t xml:space="preserve">Erhardt Industrietechnik AG (Austria)</w:t>
      </w:r>
    </w:p>
    <w:p>
      <w:pPr>
        <w:pStyle w:val="Compact"/>
        <w:numPr>
          <w:ilvl w:val="0"/>
          <w:numId w:val="1033"/>
        </w:numPr>
      </w:pPr>
      <w:r>
        <w:t xml:space="preserve">Solvena Motors S.L. (Spain)</w:t>
      </w:r>
    </w:p>
    <w:p>
      <w:pPr>
        <w:pStyle w:val="Compact"/>
        <w:numPr>
          <w:ilvl w:val="0"/>
          <w:numId w:val="1033"/>
        </w:numPr>
      </w:pPr>
      <w:r>
        <w:t xml:space="preserve">Krakowski Maszynowy S.A. (Poland)</w:t>
      </w:r>
    </w:p>
    <w:p>
      <w:pPr>
        <w:pStyle w:val="Compact"/>
        <w:numPr>
          <w:ilvl w:val="0"/>
          <w:numId w:val="1033"/>
        </w:numPr>
      </w:pPr>
      <w:r>
        <w:t xml:space="preserve">Helvetian Drivetrain AG (Switzerland)</w:t>
      </w:r>
    </w:p>
    <w:p>
      <w:pPr>
        <w:pStyle w:val="FirstParagraph"/>
      </w:pPr>
      <w:r>
        <w:t xml:space="preserve">Plus the open-ended §12.2(b) definition: any entity deriving &gt;30% of annual revenue from automotive vehicles/components, heavy machinery, or heavy industrial equipment in the EEA, UK, or Switzerland.</w:t>
      </w:r>
    </w:p>
    <w:bookmarkEnd w:id="80"/>
    <w:bookmarkStart w:id="81" w:name="X454a5d1a9c255c89e9c99630237adac36a30199"/>
    <w:p>
      <w:pPr>
        <w:pStyle w:val="Heading1"/>
      </w:pPr>
      <w:r>
        <w:t xml:space="preserve">Appendix D — Internal Concerns Cross-Reference</w:t>
      </w:r>
    </w:p>
    <w:tbl>
      <w:tblPr>
        <w:tblStyle w:val="Table"/>
        <w:tblW w:type="dxa" w:w="9360"/>
        <w:jc w:val="left"/>
        <w:tblLayout w:type="fixed"/>
        <w:tblLook w:firstRow="1" w:lastRow="0" w:firstColumn="0" w:lastColumn="0" w:noHBand="0" w:noVBand="0" w:val="0020"/>
      </w:tblPr>
      <w:tblGrid>
        <w:gridCol w:w="2434"/>
        <w:gridCol w:w="4118"/>
        <w:gridCol w:w="2808"/>
      </w:tblGrid>
      <w:tr>
        <w:trPr>
          <w:tblHeader w:val="on"/>
        </w:trPr>
        <w:tc>
          <w:tcPr>
            <w:tcW w:w="2434" w:type="dxa"/>
          </w:tcPr>
          <w:p>
            <w:pPr>
              <w:pStyle w:val="Compact"/>
              <w:jc w:val="left"/>
            </w:pPr>
            <w:r>
              <w:t xml:space="preserve">Source</w:t>
            </w:r>
          </w:p>
        </w:tc>
        <w:tc>
          <w:tcPr>
            <w:tcW w:w="4118" w:type="dxa"/>
          </w:tcPr>
          <w:p>
            <w:pPr>
              <w:pStyle w:val="Compact"/>
              <w:jc w:val="left"/>
            </w:pPr>
            <w:r>
              <w:t xml:space="preserve">Concern</w:t>
            </w:r>
          </w:p>
        </w:tc>
        <w:tc>
          <w:tcPr>
            <w:tcW w:w="2808" w:type="dxa"/>
          </w:tcPr>
          <w:p>
            <w:pPr>
              <w:pStyle w:val="Compact"/>
              <w:jc w:val="left"/>
            </w:pPr>
            <w:r>
              <w:t xml:space="preserve">Where addressed</w:t>
            </w:r>
          </w:p>
        </w:tc>
      </w:tr>
      <w:tr>
        <w:tc>
          <w:tcPr>
            <w:tcW w:w="2434" w:type="dxa"/>
          </w:tcPr>
          <w:p>
            <w:pPr>
              <w:pStyle w:val="Compact"/>
              <w:jc w:val="left"/>
            </w:pPr>
            <w:r>
              <w:t xml:space="preserve">T. Kendrick (VP Sales)</w:t>
            </w:r>
          </w:p>
        </w:tc>
        <w:tc>
          <w:tcPr>
            <w:tcW w:w="4118" w:type="dxa"/>
          </w:tcPr>
          <w:p>
            <w:pPr>
              <w:pStyle w:val="Compact"/>
              <w:jc w:val="left"/>
            </w:pPr>
            <w:r>
              <w:t xml:space="preserve">Exclusivity sweeps in 25–30 companies; 3 active prospects; ~$4–5M recurring at risk</w:t>
            </w:r>
          </w:p>
        </w:tc>
        <w:tc>
          <w:tcPr>
            <w:tcW w:w="2808" w:type="dxa"/>
          </w:tcPr>
          <w:p>
            <w:pPr>
              <w:pStyle w:val="Compact"/>
              <w:jc w:val="left"/>
            </w:pPr>
            <w:r>
              <w:t xml:space="preserve">Risk 1; Rec. 1</w:t>
            </w:r>
          </w:p>
        </w:tc>
      </w:tr>
      <w:tr>
        <w:tc>
          <w:tcPr>
            <w:tcW w:w="2434" w:type="dxa"/>
          </w:tcPr>
          <w:p>
            <w:pPr>
              <w:pStyle w:val="Compact"/>
              <w:jc w:val="left"/>
            </w:pPr>
            <w:r>
              <w:t xml:space="preserve">T. Kendrick</w:t>
            </w:r>
          </w:p>
        </w:tc>
        <w:tc>
          <w:tcPr>
            <w:tcW w:w="4118" w:type="dxa"/>
          </w:tcPr>
          <w:p>
            <w:pPr>
              <w:pStyle w:val="Compact"/>
              <w:jc w:val="left"/>
            </w:pPr>
            <w:r>
              <w:t xml:space="preserve">Data training restriction degrades product for all customers</w:t>
            </w:r>
          </w:p>
        </w:tc>
        <w:tc>
          <w:tcPr>
            <w:tcW w:w="2808" w:type="dxa"/>
          </w:tcPr>
          <w:p>
            <w:pPr>
              <w:pStyle w:val="Compact"/>
              <w:jc w:val="left"/>
            </w:pPr>
            <w:r>
              <w:t xml:space="preserve">Risk 2; Rec. 2</w:t>
            </w:r>
          </w:p>
        </w:tc>
      </w:tr>
      <w:tr>
        <w:tc>
          <w:tcPr>
            <w:tcW w:w="2434" w:type="dxa"/>
          </w:tcPr>
          <w:p>
            <w:pPr>
              <w:pStyle w:val="Compact"/>
              <w:jc w:val="left"/>
            </w:pPr>
            <w:r>
              <w:t xml:space="preserve">T. Kendrick</w:t>
            </w:r>
          </w:p>
        </w:tc>
        <w:tc>
          <w:tcPr>
            <w:tcW w:w="4118" w:type="dxa"/>
          </w:tcPr>
          <w:p>
            <w:pPr>
              <w:pStyle w:val="Compact"/>
              <w:jc w:val="left"/>
            </w:pPr>
            <w:r>
              <w:t xml:space="preserve">First-6-month cash shortfall ~$0.7–1.2M; revenue-recognition flag</w:t>
            </w:r>
          </w:p>
        </w:tc>
        <w:tc>
          <w:tcPr>
            <w:tcW w:w="2808" w:type="dxa"/>
          </w:tcPr>
          <w:p>
            <w:pPr>
              <w:pStyle w:val="Compact"/>
              <w:jc w:val="left"/>
            </w:pPr>
            <w:r>
              <w:t xml:space="preserve">Risk 10; Recs. 10–11; Section III.C</w:t>
            </w:r>
          </w:p>
        </w:tc>
      </w:tr>
      <w:tr>
        <w:tc>
          <w:tcPr>
            <w:tcW w:w="2434" w:type="dxa"/>
          </w:tcPr>
          <w:p>
            <w:pPr>
              <w:pStyle w:val="Compact"/>
              <w:jc w:val="left"/>
            </w:pPr>
            <w:r>
              <w:t xml:space="preserve">S. Yin (GC)</w:t>
            </w:r>
          </w:p>
        </w:tc>
        <w:tc>
          <w:tcPr>
            <w:tcW w:w="4118" w:type="dxa"/>
          </w:tcPr>
          <w:p>
            <w:pPr>
              <w:pStyle w:val="Compact"/>
              <w:jc w:val="left"/>
            </w:pPr>
            <w:r>
              <w:t xml:space="preserve">Exclusivity monitoring obligation; asymmetry with 5-year expansion right</w:t>
            </w:r>
          </w:p>
        </w:tc>
        <w:tc>
          <w:tcPr>
            <w:tcW w:w="2808" w:type="dxa"/>
          </w:tcPr>
          <w:p>
            <w:pPr>
              <w:pStyle w:val="Compact"/>
              <w:jc w:val="left"/>
            </w:pPr>
            <w:r>
              <w:t xml:space="preserve">Risk 1; Rec. 1</w:t>
            </w:r>
          </w:p>
        </w:tc>
      </w:tr>
      <w:tr>
        <w:tc>
          <w:tcPr>
            <w:tcW w:w="2434" w:type="dxa"/>
          </w:tcPr>
          <w:p>
            <w:pPr>
              <w:pStyle w:val="Compact"/>
              <w:jc w:val="left"/>
            </w:pPr>
            <w:r>
              <w:t xml:space="preserve">S. Yin</w:t>
            </w:r>
          </w:p>
        </w:tc>
        <w:tc>
          <w:tcPr>
            <w:tcW w:w="4118" w:type="dxa"/>
          </w:tcPr>
          <w:p>
            <w:pPr>
              <w:pStyle w:val="Compact"/>
              <w:jc w:val="left"/>
            </w:pPr>
            <w:r>
              <w:t xml:space="preserve">Output Data definition (model weights/parameters) interaction with training ban</w:t>
            </w:r>
          </w:p>
        </w:tc>
        <w:tc>
          <w:tcPr>
            <w:tcW w:w="2808" w:type="dxa"/>
          </w:tcPr>
          <w:p>
            <w:pPr>
              <w:pStyle w:val="Compact"/>
              <w:jc w:val="left"/>
            </w:pPr>
            <w:r>
              <w:t xml:space="preserve">Risk 2; Rec. 2</w:t>
            </w:r>
          </w:p>
        </w:tc>
      </w:tr>
      <w:tr>
        <w:tc>
          <w:tcPr>
            <w:tcW w:w="2434" w:type="dxa"/>
          </w:tcPr>
          <w:p>
            <w:pPr>
              <w:pStyle w:val="Compact"/>
              <w:jc w:val="left"/>
            </w:pPr>
            <w:r>
              <w:t xml:space="preserve">S. Yin</w:t>
            </w:r>
          </w:p>
        </w:tc>
        <w:tc>
          <w:tcPr>
            <w:tcW w:w="4118" w:type="dxa"/>
          </w:tcPr>
          <w:p>
            <w:pPr>
              <w:pStyle w:val="Compact"/>
              <w:jc w:val="left"/>
            </w:pPr>
            <w:r>
              <w:t xml:space="preserve">Derivative-works vs. feedback clause contradiction</w:t>
            </w:r>
          </w:p>
        </w:tc>
        <w:tc>
          <w:tcPr>
            <w:tcW w:w="2808" w:type="dxa"/>
          </w:tcPr>
          <w:p>
            <w:pPr>
              <w:pStyle w:val="Compact"/>
              <w:jc w:val="left"/>
            </w:pPr>
            <w:r>
              <w:t xml:space="preserve">Risk 9; Rec. 9</w:t>
            </w:r>
          </w:p>
        </w:tc>
      </w:tr>
      <w:tr>
        <w:tc>
          <w:tcPr>
            <w:tcW w:w="2434" w:type="dxa"/>
          </w:tcPr>
          <w:p>
            <w:pPr>
              <w:pStyle w:val="Compact"/>
              <w:jc w:val="left"/>
            </w:pPr>
            <w:r>
              <w:t xml:space="preserve">S. Yin</w:t>
            </w:r>
          </w:p>
        </w:tc>
        <w:tc>
          <w:tcPr>
            <w:tcW w:w="4118" w:type="dxa"/>
          </w:tcPr>
          <w:p>
            <w:pPr>
              <w:pStyle w:val="Compact"/>
              <w:jc w:val="left"/>
            </w:pPr>
            <w:r>
              <w:t xml:space="preserve">Uncapped IP indemnification</w:t>
            </w:r>
          </w:p>
        </w:tc>
        <w:tc>
          <w:tcPr>
            <w:tcW w:w="2808" w:type="dxa"/>
          </w:tcPr>
          <w:p>
            <w:pPr>
              <w:pStyle w:val="Compact"/>
              <w:jc w:val="left"/>
            </w:pPr>
            <w:r>
              <w:t xml:space="preserve">Risk 4; Rec. 4</w:t>
            </w:r>
          </w:p>
        </w:tc>
      </w:tr>
      <w:tr>
        <w:tc>
          <w:tcPr>
            <w:tcW w:w="2434" w:type="dxa"/>
          </w:tcPr>
          <w:p>
            <w:pPr>
              <w:pStyle w:val="Compact"/>
              <w:jc w:val="left"/>
            </w:pPr>
            <w:r>
              <w:t xml:space="preserve">S. Yin</w:t>
            </w:r>
          </w:p>
        </w:tc>
        <w:tc>
          <w:tcPr>
            <w:tcW w:w="4118" w:type="dxa"/>
          </w:tcPr>
          <w:p>
            <w:pPr>
              <w:pStyle w:val="Compact"/>
              <w:jc w:val="left"/>
            </w:pPr>
            <w:r>
              <w:t xml:space="preserve">Performance warranty with financial penalties</w:t>
            </w:r>
          </w:p>
        </w:tc>
        <w:tc>
          <w:tcPr>
            <w:tcW w:w="2808" w:type="dxa"/>
          </w:tcPr>
          <w:p>
            <w:pPr>
              <w:pStyle w:val="Compact"/>
              <w:jc w:val="left"/>
            </w:pPr>
            <w:r>
              <w:t xml:space="preserve">Risk 5; Rec. 5</w:t>
            </w:r>
          </w:p>
        </w:tc>
      </w:tr>
      <w:tr>
        <w:tc>
          <w:tcPr>
            <w:tcW w:w="2434" w:type="dxa"/>
          </w:tcPr>
          <w:p>
            <w:pPr>
              <w:pStyle w:val="Compact"/>
              <w:jc w:val="left"/>
            </w:pPr>
            <w:r>
              <w:t xml:space="preserve">S. Yin</w:t>
            </w:r>
          </w:p>
        </w:tc>
        <w:tc>
          <w:tcPr>
            <w:tcW w:w="4118" w:type="dxa"/>
          </w:tcPr>
          <w:p>
            <w:pPr>
              <w:pStyle w:val="Compact"/>
              <w:jc w:val="left"/>
            </w:pPr>
            <w:r>
              <w:t xml:space="preserve">Escrow release triggers (inadequate cure)</w:t>
            </w:r>
          </w:p>
        </w:tc>
        <w:tc>
          <w:tcPr>
            <w:tcW w:w="2808" w:type="dxa"/>
          </w:tcPr>
          <w:p>
            <w:pPr>
              <w:pStyle w:val="Compact"/>
              <w:jc w:val="left"/>
            </w:pPr>
            <w:r>
              <w:t xml:space="preserve">Risk 6; Rec. 6</w:t>
            </w:r>
          </w:p>
        </w:tc>
      </w:tr>
      <w:tr>
        <w:tc>
          <w:tcPr>
            <w:tcW w:w="2434" w:type="dxa"/>
          </w:tcPr>
          <w:p>
            <w:pPr>
              <w:pStyle w:val="Compact"/>
              <w:jc w:val="left"/>
            </w:pPr>
            <w:r>
              <w:t xml:space="preserve">S. Yin</w:t>
            </w:r>
          </w:p>
        </w:tc>
        <w:tc>
          <w:tcPr>
            <w:tcW w:w="4118" w:type="dxa"/>
          </w:tcPr>
          <w:p>
            <w:pPr>
              <w:pStyle w:val="Compact"/>
              <w:jc w:val="left"/>
            </w:pPr>
            <w:r>
              <w:t xml:space="preserve">Post-termination wind-down license (noted as</w:t>
            </w:r>
            <w:r>
              <w:t xml:space="preserve"> </w:t>
            </w:r>
            <w:r>
              <w:t xml:space="preserve">“</w:t>
            </w:r>
            <w:r>
              <w:t xml:space="preserve">24-month/reduced</w:t>
            </w:r>
            <w:r>
              <w:t xml:space="preserve">”</w:t>
            </w:r>
            <w:r>
              <w:t xml:space="preserve">; Term Sheet is perpetual/full fee)</w:t>
            </w:r>
          </w:p>
        </w:tc>
        <w:tc>
          <w:tcPr>
            <w:tcW w:w="2808" w:type="dxa"/>
          </w:tcPr>
          <w:p>
            <w:pPr>
              <w:pStyle w:val="Compact"/>
              <w:jc w:val="left"/>
            </w:pPr>
            <w:r>
              <w:t xml:space="preserve">Risk 7; Rec. 7</w:t>
            </w:r>
          </w:p>
        </w:tc>
      </w:tr>
      <w:tr>
        <w:tc>
          <w:tcPr>
            <w:tcW w:w="2434" w:type="dxa"/>
          </w:tcPr>
          <w:p>
            <w:pPr>
              <w:pStyle w:val="Compact"/>
              <w:jc w:val="left"/>
            </w:pPr>
            <w:r>
              <w:t xml:space="preserve">S. Yin</w:t>
            </w:r>
          </w:p>
        </w:tc>
        <w:tc>
          <w:tcPr>
            <w:tcW w:w="4118" w:type="dxa"/>
          </w:tcPr>
          <w:p>
            <w:pPr>
              <w:pStyle w:val="Compact"/>
              <w:jc w:val="left"/>
            </w:pPr>
            <w:r>
              <w:t xml:space="preserve">German governing law</w:t>
            </w:r>
          </w:p>
        </w:tc>
        <w:tc>
          <w:tcPr>
            <w:tcW w:w="2808" w:type="dxa"/>
          </w:tcPr>
          <w:p>
            <w:pPr>
              <w:pStyle w:val="Compact"/>
              <w:jc w:val="left"/>
            </w:pPr>
            <w:r>
              <w:t xml:space="preserve">Risk 8; Rec. 8</w:t>
            </w:r>
          </w:p>
        </w:tc>
      </w:tr>
      <w:tr>
        <w:tc>
          <w:tcPr>
            <w:tcW w:w="2434" w:type="dxa"/>
          </w:tcPr>
          <w:p>
            <w:pPr>
              <w:pStyle w:val="Compact"/>
              <w:jc w:val="left"/>
            </w:pPr>
            <w:r>
              <w:t xml:space="preserve">S. Yin</w:t>
            </w:r>
          </w:p>
        </w:tc>
        <w:tc>
          <w:tcPr>
            <w:tcW w:w="4118" w:type="dxa"/>
          </w:tcPr>
          <w:p>
            <w:pPr>
              <w:pStyle w:val="Compact"/>
              <w:jc w:val="left"/>
            </w:pPr>
            <w:r>
              <w:t xml:space="preserve">MFC Side Letter — no carve-outs, no sunset, retroactive</w:t>
            </w:r>
          </w:p>
        </w:tc>
        <w:tc>
          <w:tcPr>
            <w:tcW w:w="2808" w:type="dxa"/>
          </w:tcPr>
          <w:p>
            <w:pPr>
              <w:pStyle w:val="Compact"/>
              <w:jc w:val="left"/>
            </w:pPr>
            <w:r>
              <w:t xml:space="preserve">Risk 3; Rec. 3; Section V</w:t>
            </w:r>
          </w:p>
        </w:tc>
      </w:tr>
      <w:tr>
        <w:tc>
          <w:tcPr>
            <w:tcW w:w="2434" w:type="dxa"/>
          </w:tcPr>
          <w:p>
            <w:pPr>
              <w:pStyle w:val="Compact"/>
              <w:jc w:val="left"/>
            </w:pPr>
            <w:r>
              <w:t xml:space="preserve">S. Yin</w:t>
            </w:r>
          </w:p>
        </w:tc>
        <w:tc>
          <w:tcPr>
            <w:tcW w:w="4118" w:type="dxa"/>
          </w:tcPr>
          <w:p>
            <w:pPr>
              <w:pStyle w:val="Compact"/>
              <w:jc w:val="left"/>
            </w:pPr>
            <w:r>
              <w:t xml:space="preserve">Separate implementation SOW suggestion</w:t>
            </w:r>
          </w:p>
        </w:tc>
        <w:tc>
          <w:tcPr>
            <w:tcW w:w="2808" w:type="dxa"/>
          </w:tcPr>
          <w:p>
            <w:pPr>
              <w:pStyle w:val="Compact"/>
              <w:jc w:val="left"/>
            </w:pPr>
            <w:r>
              <w:t xml:space="preserve">Rec. 11</w:t>
            </w:r>
          </w:p>
        </w:tc>
      </w:tr>
      <w:tr>
        <w:tc>
          <w:tcPr>
            <w:tcW w:w="2434" w:type="dxa"/>
          </w:tcPr>
          <w:p>
            <w:pPr>
              <w:pStyle w:val="Compact"/>
              <w:jc w:val="left"/>
            </w:pPr>
            <w:r>
              <w:t xml:space="preserve">R. Malhotra (CEO)</w:t>
            </w:r>
          </w:p>
        </w:tc>
        <w:tc>
          <w:tcPr>
            <w:tcW w:w="4118" w:type="dxa"/>
          </w:tcPr>
          <w:p>
            <w:pPr>
              <w:pStyle w:val="Compact"/>
              <w:jc w:val="left"/>
            </w:pPr>
            <w:r>
              <w:t xml:space="preserve">Exclusivity: named companies only, 18 months, strike 30% threshold</w:t>
            </w:r>
          </w:p>
        </w:tc>
        <w:tc>
          <w:tcPr>
            <w:tcW w:w="2808" w:type="dxa"/>
          </w:tcPr>
          <w:p>
            <w:pPr>
              <w:pStyle w:val="Compact"/>
              <w:jc w:val="left"/>
            </w:pPr>
            <w:r>
              <w:t xml:space="preserve">Risk 1; Rec. 1</w:t>
            </w:r>
          </w:p>
        </w:tc>
      </w:tr>
      <w:tr>
        <w:tc>
          <w:tcPr>
            <w:tcW w:w="2434" w:type="dxa"/>
          </w:tcPr>
          <w:p>
            <w:pPr>
              <w:pStyle w:val="Compact"/>
              <w:jc w:val="left"/>
            </w:pPr>
            <w:r>
              <w:t xml:space="preserve">R. Malhotra</w:t>
            </w:r>
          </w:p>
        </w:tc>
        <w:tc>
          <w:tcPr>
            <w:tcW w:w="4118" w:type="dxa"/>
          </w:tcPr>
          <w:p>
            <w:pPr>
              <w:pStyle w:val="Compact"/>
              <w:jc w:val="left"/>
            </w:pPr>
            <w:r>
              <w:t xml:space="preserve">Data: anonymized/aggregated use non-negotiable; Output Data struck/restructured</w:t>
            </w:r>
          </w:p>
        </w:tc>
        <w:tc>
          <w:tcPr>
            <w:tcW w:w="2808" w:type="dxa"/>
          </w:tcPr>
          <w:p>
            <w:pPr>
              <w:pStyle w:val="Compact"/>
              <w:jc w:val="left"/>
            </w:pPr>
            <w:r>
              <w:t xml:space="preserve">Risk 2; Rec. 2</w:t>
            </w:r>
          </w:p>
        </w:tc>
      </w:tr>
      <w:tr>
        <w:tc>
          <w:tcPr>
            <w:tcW w:w="2434" w:type="dxa"/>
          </w:tcPr>
          <w:p>
            <w:pPr>
              <w:pStyle w:val="Compact"/>
              <w:jc w:val="left"/>
            </w:pPr>
            <w:r>
              <w:t xml:space="preserve">R. Malhotra</w:t>
            </w:r>
          </w:p>
        </w:tc>
        <w:tc>
          <w:tcPr>
            <w:tcW w:w="4118" w:type="dxa"/>
          </w:tcPr>
          <w:p>
            <w:pPr>
              <w:pStyle w:val="Compact"/>
              <w:jc w:val="left"/>
            </w:pPr>
            <w:r>
              <w:t xml:space="preserve">Payment: 40/30/30 + front-loaded implementation</w:t>
            </w:r>
          </w:p>
        </w:tc>
        <w:tc>
          <w:tcPr>
            <w:tcW w:w="2808" w:type="dxa"/>
          </w:tcPr>
          <w:p>
            <w:pPr>
              <w:pStyle w:val="Compact"/>
              <w:jc w:val="left"/>
            </w:pPr>
            <w:r>
              <w:t xml:space="preserve">Rec. 10</w:t>
            </w:r>
          </w:p>
        </w:tc>
      </w:tr>
      <w:tr>
        <w:tc>
          <w:tcPr>
            <w:tcW w:w="2434" w:type="dxa"/>
          </w:tcPr>
          <w:p>
            <w:pPr>
              <w:pStyle w:val="Compact"/>
              <w:jc w:val="left"/>
            </w:pPr>
            <w:r>
              <w:t xml:space="preserve">R. Malhotra</w:t>
            </w:r>
          </w:p>
        </w:tc>
        <w:tc>
          <w:tcPr>
            <w:tcW w:w="4118" w:type="dxa"/>
          </w:tcPr>
          <w:p>
            <w:pPr>
              <w:pStyle w:val="Compact"/>
              <w:jc w:val="left"/>
            </w:pPr>
            <w:r>
              <w:t xml:space="preserve">German law: push for WA or neutral jurisdiction</w:t>
            </w:r>
          </w:p>
        </w:tc>
        <w:tc>
          <w:tcPr>
            <w:tcW w:w="2808" w:type="dxa"/>
          </w:tcPr>
          <w:p>
            <w:pPr>
              <w:pStyle w:val="Compact"/>
              <w:jc w:val="left"/>
            </w:pPr>
            <w:r>
              <w:t xml:space="preserve">Risk 8; Rec. 8</w:t>
            </w:r>
          </w:p>
        </w:tc>
      </w:tr>
      <w:tr>
        <w:tc>
          <w:tcPr>
            <w:tcW w:w="2434" w:type="dxa"/>
          </w:tcPr>
          <w:p>
            <w:pPr>
              <w:pStyle w:val="Compact"/>
              <w:jc w:val="left"/>
            </w:pPr>
            <w:r>
              <w:t xml:space="preserve">R. Malhotra</w:t>
            </w:r>
          </w:p>
        </w:tc>
        <w:tc>
          <w:tcPr>
            <w:tcW w:w="4118" w:type="dxa"/>
          </w:tcPr>
          <w:p>
            <w:pPr>
              <w:pStyle w:val="Compact"/>
              <w:jc w:val="left"/>
            </w:pPr>
            <w:r>
              <w:t xml:space="preserve">Will not sign a deal compromising core IP or business model</w:t>
            </w:r>
          </w:p>
        </w:tc>
        <w:tc>
          <w:tcPr>
            <w:tcW w:w="2808" w:type="dxa"/>
          </w:tcPr>
          <w:p>
            <w:pPr>
              <w:pStyle w:val="Compact"/>
              <w:jc w:val="left"/>
            </w:pPr>
            <w:r>
              <w:t xml:space="preserve">Section VII.A (red lines)</w:t>
            </w:r>
          </w:p>
        </w:tc>
      </w:tr>
    </w:tbl>
    <w:p>
      <w:r>
        <w:pict>
          <v:rect style="width:0;height:1.5pt" o:hralign="center" o:hrstd="t" o:hr="t"/>
        </w:pict>
      </w:r>
    </w:p>
    <w:p>
      <w:pPr>
        <w:pStyle w:val="FirstParagraph"/>
      </w:pPr>
      <w:r>
        <w:rPr>
          <w:i/>
          <w:iCs/>
        </w:rPr>
        <w:t xml:space="preserve">This memorandum is provided for the Board’s deliberative use in approving a negotiation framework. It does not constitute a final legal opinion on enforceability, which will depend on the definitive agreement as negotiated and on specialist advice identified in Section IX. Please direct questions to Daniel Cortez or Priya Venkatesh at Ferndale Hale &amp; Seward LLP.</w:t>
      </w:r>
    </w:p>
    <w:bookmarkEnd w:id="81"/>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5"/>
      </w:rPr>
      <w:t xml:space="preserve">PRIVILEGED &amp; CONFIDENTIAL  |  ATTORNEY-CLIENT PRIVILEGED  |  PREPARED AT THE REQUEST OF COUNSEL  |  Page </w:t>
    </w:r>
    <w:r>
      <w:rPr>
        <w:color w:val="595959"/>
        <w:sz w:val="15"/>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Calibri" w:cs="Calibri" w:hAnsi="Calibri"/>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Calibri" w:asciiTheme="majorHAnsi" w:cstheme="majorBidi" w:eastAsiaTheme="majorEastAsia" w:hAnsi="Calibri" w:hAnsiTheme="majorHAnsi"/>
      <w:b/>
      <w:bCs/>
      <w:color w:val="1F3864"/>
      <w:sz w:val="27"/>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asciiTheme="majorHAnsi" w:cstheme="majorBidi" w:eastAsiaTheme="majorEastAsia" w:hAnsi="Calibri" w:hAnsiTheme="majorHAnsi"/>
      <w:b/>
      <w:bCs/>
      <w:color w:val="1F3864"/>
      <w:sz w:val="23"/>
      <w:szCs w:val="26"/>
    </w:rPr>
  </w:style>
  <w:style w:styleId="Heading3" w:type="paragraph">
    <w:name w:val="heading 3"/>
    <w:basedOn w:val="Normal"/>
    <w:next w:val="Normal"/>
    <w:link w:val="Heading3Char"/>
    <w:uiPriority w:val="9"/>
    <w:unhideWhenUsed/>
    <w:qFormat/>
    <w:rsid w:val="00FC693F"/>
    <w:pPr>
      <w:keepNext/>
      <w:keepLines/>
      <w:spacing w:after="40" w:before="180"/>
      <w:outlineLvl w:val="2"/>
    </w:pPr>
    <w:rPr>
      <w:rFonts w:ascii="Calibri" w:asciiTheme="majorHAnsi" w:cstheme="majorBidi" w:eastAsiaTheme="majorEastAsia" w:hAnsi="Calibri" w:hAnsiTheme="majorHAnsi"/>
      <w:b/>
      <w:bCs/>
      <w:color w:val="2E5496"/>
      <w:sz w:val="21"/>
    </w:rPr>
  </w:style>
  <w:style w:styleId="Heading4" w:type="paragraph">
    <w:name w:val="heading 4"/>
    <w:basedOn w:val="Normal"/>
    <w:next w:val="Normal"/>
    <w:link w:val="Heading4Char"/>
    <w:uiPriority w:val="9"/>
    <w:semiHidden/>
    <w:unhideWhenUsed/>
    <w:qFormat/>
    <w:rsid w:val="00FC693F"/>
    <w:pPr>
      <w:keepNext/>
      <w:keepLines/>
      <w:spacing w:after="40" w:before="140"/>
      <w:outlineLvl w:val="3"/>
    </w:pPr>
    <w:rPr>
      <w:rFonts w:ascii="Calibri" w:asciiTheme="majorHAnsi" w:cstheme="majorBidi" w:eastAsiaTheme="majorEastAsia" w:hAnsi="Calibri" w:hAnsiTheme="majorHAnsi"/>
      <w:b/>
      <w:bCs/>
      <w:i/>
      <w:iCs/>
      <w:color w:val="2E5496"/>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0" w:line="240" w:lineRule="auto"/>
      <w:contextualSpacing/>
    </w:pPr>
    <w:rPr>
      <w:rFonts w:ascii="Calibri" w:asciiTheme="majorHAnsi" w:cstheme="majorBidi" w:eastAsiaTheme="majorEastAsia" w:hAnsi="Calibri" w:hAnsiTheme="majorHAnsi"/>
      <w:b/>
      <w:color w:val="1F3864"/>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Calibri" w:asciiTheme="majorHAnsi" w:cstheme="majorBidi" w:eastAsiaTheme="majorEastAsia" w:hAnsi="Calibri" w:hAnsiTheme="majorHAnsi"/>
      <w:b w:val="0"/>
      <w:i/>
      <w:iCs/>
      <w:color w:val="595959"/>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40" w:before="0"/>
    </w:pPr>
    <w:rPr>
      <w:rFonts w:ascii="Calibri" w:hAnsi="Calibri"/>
      <w:sz w:val="21"/>
    </w:rPr>
  </w:style>
  <w:style w:customStyle="1" w:styleId="Table" w:type="table">
    <w:name w:val="Table"/>
    <w:rPr>
      <w:rFonts w:ascii="Calibri" w:hAnsi="Calibr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Key-Terms Extraction and Risk Analysis Memorandum</dc:title>
  <dc:creator/>
  <cp:keywords/>
  <dcterms:created xsi:type="dcterms:W3CDTF">2026-06-29T00:51:48Z</dcterms:created>
  <dcterms:modified xsi:type="dcterms:W3CDTF">2026-06-29T00:51:48Z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Proposed PredictIQ Technology License — Kessler-Brandt Industrial GmbH / Whitmore Analytics Inc.</vt:lpwstr>
  </property>
</Properties>
</file>