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8" w:name="memorandum"/>
    <w:p>
      <w:pPr>
        <w:pStyle w:val="Heading1"/>
      </w:pPr>
      <w:r>
        <w:t xml:space="preserve">MEMORANDUM</w:t>
      </w:r>
    </w:p>
    <w:p>
      <w:pPr>
        <w:pStyle w:val="FirstParagraph"/>
      </w:pPr>
      <w:r>
        <w:rPr>
          <w:b/>
          <w:bCs/>
        </w:rPr>
        <w:t xml:space="preserve">PRIVILEGED &amp; CONFIDENTIAL — ATTORNEY-CLIENT PRIVILEGED / PREPARED IN ANTICIPATION OF LICENSE RENEWAL NEGOTIATIONS</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TO:</w:t>
            </w:r>
          </w:p>
        </w:tc>
        <w:tc>
          <w:tcPr/>
          <w:p>
            <w:pPr>
              <w:pStyle w:val="Compact"/>
              <w:jc w:val="left"/>
            </w:pPr>
            <w:r>
              <w:t xml:space="preserve">Dr. Eleanor Harrington, Chief Executive Officer; Renewal Steering Committee; Senior Management</w:t>
            </w:r>
          </w:p>
        </w:tc>
      </w:tr>
      <w:tr>
        <w:tc>
          <w:tcPr/>
          <w:p>
            <w:pPr>
              <w:pStyle w:val="Compact"/>
              <w:jc w:val="left"/>
            </w:pPr>
            <w:r>
              <w:rPr>
                <w:b/>
                <w:bCs/>
              </w:rPr>
              <w:t xml:space="preserve">FROM:</w:t>
            </w:r>
          </w:p>
        </w:tc>
        <w:tc>
          <w:tcPr/>
          <w:p>
            <w:pPr>
              <w:pStyle w:val="Compact"/>
              <w:jc w:val="left"/>
            </w:pPr>
            <w:r>
              <w:t xml:space="preserve">Office of the General Counsel; IP Licensing &amp; Business Development</w:t>
            </w:r>
          </w:p>
        </w:tc>
      </w:tr>
      <w:tr>
        <w:tc>
          <w:tcPr/>
          <w:p>
            <w:pPr>
              <w:pStyle w:val="Compact"/>
              <w:jc w:val="left"/>
            </w:pPr>
            <w:r>
              <w:rPr>
                <w:b/>
                <w:bCs/>
              </w:rPr>
              <w:t xml:space="preserve">CC:</w:t>
            </w:r>
          </w:p>
        </w:tc>
        <w:tc>
          <w:tcPr/>
          <w:p>
            <w:pPr>
              <w:pStyle w:val="Compact"/>
              <w:jc w:val="left"/>
            </w:pPr>
            <w:r>
              <w:t xml:space="preserve">Outside Counsel (Ashworth &amp; Calder LLP); Financial Advisors (Ridgemont / Oakvale Advisory Group)</w:t>
            </w:r>
          </w:p>
        </w:tc>
      </w:tr>
      <w:tr>
        <w:tc>
          <w:tcPr/>
          <w:p>
            <w:pPr>
              <w:pStyle w:val="Compact"/>
              <w:jc w:val="left"/>
            </w:pPr>
            <w:r>
              <w:rPr>
                <w:b/>
                <w:bCs/>
              </w:rPr>
              <w:t xml:space="preserve">DATE:</w:t>
            </w:r>
          </w:p>
        </w:tc>
        <w:tc>
          <w:tcPr/>
          <w:p>
            <w:pPr>
              <w:pStyle w:val="Compact"/>
              <w:jc w:val="left"/>
            </w:pPr>
            <w:r>
              <w:t xml:space="preserve">February 24, 2025</w:t>
            </w:r>
          </w:p>
        </w:tc>
      </w:tr>
      <w:tr>
        <w:tc>
          <w:tcPr/>
          <w:p>
            <w:pPr>
              <w:pStyle w:val="Compact"/>
              <w:jc w:val="left"/>
            </w:pPr>
            <w:r>
              <w:rPr>
                <w:b/>
                <w:bCs/>
              </w:rPr>
              <w:t xml:space="preserve">RE:</w:t>
            </w:r>
          </w:p>
        </w:tc>
        <w:tc>
          <w:tcPr/>
          <w:p>
            <w:pPr>
              <w:pStyle w:val="Compact"/>
              <w:jc w:val="left"/>
            </w:pPr>
            <w:r>
              <w:t xml:space="preserve">Renewal Analysis and Negotiation Strategy — NovaTrait Consolidated Renewal Proposal (Licenses A, B, and C)</w:t>
            </w:r>
          </w:p>
        </w:tc>
      </w:tr>
    </w:tbl>
    <w:p>
      <w:r>
        <w:pict>
          <v:rect style="width:0;height:1.5pt" o:hralign="center" o:hrstd="t" o:hr="t"/>
        </w:pict>
      </w:r>
    </w:p>
    <w:bookmarkStart w:id="20" w:name="i.-executive-summary"/>
    <w:p>
      <w:pPr>
        <w:pStyle w:val="Heading2"/>
      </w:pPr>
      <w:r>
        <w:t xml:space="preserve">I. Executive Summary</w:t>
      </w:r>
    </w:p>
    <w:p>
      <w:pPr>
        <w:pStyle w:val="FirstParagraph"/>
      </w:pPr>
      <w:r>
        <w:t xml:space="preserve">Greenfield Biosciences, Inc. (</w:t>
      </w:r>
      <w:r>
        <w:t xml:space="preserve">“</w:t>
      </w:r>
      <w:r>
        <w:t xml:space="preserve">Greenfield</w:t>
      </w:r>
      <w:r>
        <w:t xml:space="preserve">”</w:t>
      </w:r>
      <w:r>
        <w:t xml:space="preserve"> </w:t>
      </w:r>
      <w:r>
        <w:t xml:space="preserve">or the</w:t>
      </w:r>
      <w:r>
        <w:t xml:space="preserve"> </w:t>
      </w:r>
      <w:r>
        <w:t xml:space="preserve">“</w:t>
      </w:r>
      <w:r>
        <w:t xml:space="preserve">Company</w:t>
      </w:r>
      <w:r>
        <w:t xml:space="preserve">”</w:t>
      </w:r>
      <w:r>
        <w:t xml:space="preserve">) holds three intellectual-property and software licenses from NovaTrait Genomics Corporation (</w:t>
      </w:r>
      <w:r>
        <w:t xml:space="preserve">“</w:t>
      </w:r>
      <w:r>
        <w:t xml:space="preserve">NovaTrait</w:t>
      </w:r>
      <w:r>
        <w:t xml:space="preserve">”</w:t>
      </w:r>
      <w:r>
        <w:t xml:space="preserve">) that together underpin the Company’s corn, soybean, and cotton trait programs and its bioinformatics R&amp;D pipeline: (i) the</w:t>
      </w:r>
      <w:r>
        <w:t xml:space="preserve"> </w:t>
      </w:r>
      <w:r>
        <w:rPr>
          <w:b/>
          <w:bCs/>
        </w:rPr>
        <w:t xml:space="preserve">CRISPR-Ag Suite</w:t>
      </w:r>
      <w:r>
        <w:t xml:space="preserve"> </w:t>
      </w:r>
      <w:r>
        <w:t xml:space="preserve">gene-editing platform license, No. NT-GF-2015-001, dated July 1, 2015 (</w:t>
      </w:r>
      <w:r>
        <w:t xml:space="preserve">“</w:t>
      </w:r>
      <w:r>
        <w:rPr>
          <w:b/>
          <w:bCs/>
        </w:rPr>
        <w:t xml:space="preserve">License A</w:t>
      </w:r>
      <w:r>
        <w:t xml:space="preserve">”</w:t>
      </w:r>
      <w:r>
        <w:t xml:space="preserve">); (ii) the</w:t>
      </w:r>
      <w:r>
        <w:t xml:space="preserve"> </w:t>
      </w:r>
      <w:r>
        <w:rPr>
          <w:b/>
          <w:bCs/>
        </w:rPr>
        <w:t xml:space="preserve">TraitForge</w:t>
      </w:r>
      <w:r>
        <w:t xml:space="preserve"> </w:t>
      </w:r>
      <w:r>
        <w:t xml:space="preserve">plant trait expression platform license, dated January 1, 2018 (</w:t>
      </w:r>
      <w:r>
        <w:t xml:space="preserve">“</w:t>
      </w:r>
      <w:r>
        <w:rPr>
          <w:b/>
          <w:bCs/>
        </w:rPr>
        <w:t xml:space="preserve">License B</w:t>
      </w:r>
      <w:r>
        <w:t xml:space="preserve">”</w:t>
      </w:r>
      <w:r>
        <w:t xml:space="preserve">); and (iii) the</w:t>
      </w:r>
      <w:r>
        <w:t xml:space="preserve"> </w:t>
      </w:r>
      <w:r>
        <w:rPr>
          <w:b/>
          <w:bCs/>
        </w:rPr>
        <w:t xml:space="preserve">GenoMap Pro</w:t>
      </w:r>
      <w:r>
        <w:t xml:space="preserve"> </w:t>
      </w:r>
      <w:r>
        <w:t xml:space="preserve">software license, dated March 1, 2020 (</w:t>
      </w:r>
      <w:r>
        <w:t xml:space="preserve">“</w:t>
      </w:r>
      <w:r>
        <w:rPr>
          <w:b/>
          <w:bCs/>
        </w:rPr>
        <w:t xml:space="preserve">License C</w:t>
      </w:r>
      <w:r>
        <w:t xml:space="preserve">”</w:t>
      </w:r>
      <w:r>
        <w:t xml:space="preserve">). All three are now in or approaching their renewal windows. NovaTrait has submitted a consolidated renewal proposal dated October 14, 2024 (the</w:t>
      </w:r>
      <w:r>
        <w:t xml:space="preserve"> </w:t>
      </w:r>
      <w:r>
        <w:t xml:space="preserve">“</w:t>
      </w:r>
      <w:r>
        <w:rPr>
          <w:b/>
          <w:bCs/>
        </w:rPr>
        <w:t xml:space="preserve">Proposal</w:t>
      </w:r>
      <w:r>
        <w:t xml:space="preserve">”</w:t>
      </w:r>
      <w:r>
        <w:t xml:space="preserve">) that would, on a combined basis, restructure the economics and scope of all three relationships simultaneously.</w:t>
      </w:r>
    </w:p>
    <w:p>
      <w:pPr>
        <w:pStyle w:val="BodyText"/>
      </w:pPr>
      <w:r>
        <w:rPr>
          <w:b/>
          <w:bCs/>
        </w:rPr>
        <w:t xml:space="preserve">Bottom line.</w:t>
      </w:r>
      <w:r>
        <w:t xml:space="preserve"> </w:t>
      </w:r>
      <w:r>
        <w:t xml:space="preserve">The Proposal, if accepted as presented, would raise Greenfield’s aggregate annual IP cost from approximately</w:t>
      </w:r>
      <w:r>
        <w:t xml:space="preserve"> </w:t>
      </w:r>
      <w:r>
        <w:rPr>
          <w:b/>
          <w:bCs/>
        </w:rPr>
        <w:t xml:space="preserve">$18.64 million (4.81% of FY 2024 revenue)</w:t>
      </w:r>
      <w:r>
        <w:t xml:space="preserve"> </w:t>
      </w:r>
      <w:r>
        <w:t xml:space="preserve">to approximately</w:t>
      </w:r>
      <w:r>
        <w:t xml:space="preserve"> </w:t>
      </w:r>
      <w:r>
        <w:rPr>
          <w:b/>
          <w:bCs/>
        </w:rPr>
        <w:t xml:space="preserve">$27.95 million (7.22% of FY 2024 revenue)</w:t>
      </w:r>
      <w:r>
        <w:t xml:space="preserve"> </w:t>
      </w:r>
      <w:r>
        <w:t xml:space="preserve">— an increase of roughly</w:t>
      </w:r>
      <w:r>
        <w:t xml:space="preserve"> </w:t>
      </w:r>
      <w:r>
        <w:rPr>
          <w:b/>
          <w:bCs/>
        </w:rPr>
        <w:t xml:space="preserve">$9.31 million per year (+49.9%)</w:t>
      </w:r>
      <w:r>
        <w:t xml:space="preserve"> </w:t>
      </w:r>
      <w:r>
        <w:t xml:space="preserve">— while simultaneously</w:t>
      </w:r>
      <w:r>
        <w:t xml:space="preserve"> </w:t>
      </w:r>
      <w:r>
        <w:rPr>
          <w:i/>
          <w:iCs/>
        </w:rPr>
        <w:t xml:space="preserve">narrowing</w:t>
      </w:r>
      <w:r>
        <w:t xml:space="preserve"> </w:t>
      </w:r>
      <w:r>
        <w:t xml:space="preserve">Greenfield’s rights in several material respects (loss of the insect-resistance field of use under License A, loss of source-code access and output-data ownership under License C, reversal of improvement ownership under Licenses A and B, and elimination of the biological-materials wind-down period under License B). Every one of NovaTrait’s proposed rates and fees exceeds the upper end of available market comparables. We recommend that Greenfield</w:t>
      </w:r>
      <w:r>
        <w:t xml:space="preserve"> </w:t>
      </w:r>
      <w:r>
        <w:rPr>
          <w:b/>
          <w:bCs/>
        </w:rPr>
        <w:t xml:space="preserve">not accept the Proposal as presented</w:t>
      </w:r>
      <w:r>
        <w:t xml:space="preserve"> </w:t>
      </w:r>
      <w:r>
        <w:t xml:space="preserve">and instead pursue a coordinated, evidence-based counter-proposal along the lines set out in Sections VI–X.</w:t>
      </w:r>
    </w:p>
    <w:p>
      <w:pPr>
        <w:pStyle w:val="BodyText"/>
      </w:pPr>
      <w:r>
        <w:rPr>
          <w:b/>
          <w:bCs/>
        </w:rPr>
        <w:t xml:space="preserve">Strategic posture by license.</w:t>
      </w:r>
      <w:r>
        <w:t xml:space="preserve"> </w:t>
      </w:r>
      <w:r>
        <w:t xml:space="preserve">The three licenses present very different leverage profiles, and our negotiation strategy should reflect that:</w:t>
      </w:r>
    </w:p>
    <w:p>
      <w:pPr>
        <w:numPr>
          <w:ilvl w:val="0"/>
          <w:numId w:val="1001"/>
        </w:numPr>
      </w:pPr>
      <w:r>
        <w:rPr>
          <w:b/>
          <w:bCs/>
        </w:rPr>
        <w:t xml:space="preserve">License B (TraitForge) — must renew; negotiate hard on rate and terms.</w:t>
      </w:r>
      <w:r>
        <w:t xml:space="preserve"> </w:t>
      </w:r>
      <w:r>
        <w:t xml:space="preserve">TraitForge is commercially irreplaceable (no design-around, 3–4 years and $25–30M to replicate internally, patent terms running to 2036–2038). NovaTrait’s leverage here is genuine. But the proposed 5.0% rate exceeds the market range for trait-expression licenses (3.0%–4.5%), and the proposed 30-day biological-materials return, doubled audit frequency, and new sublicense pass-through are all unacceptable as presented. The overriding urgency is the</w:t>
      </w:r>
      <w:r>
        <w:t xml:space="preserve"> </w:t>
      </w:r>
      <w:r>
        <w:rPr>
          <w:b/>
          <w:bCs/>
        </w:rPr>
        <w:t xml:space="preserve">standstill clock</w:t>
      </w:r>
      <w:r>
        <w:t xml:space="preserve">: License B’s Initial Term expired December 31, 2024, and the Section 12.6 standstill runs only through approximately</w:t>
      </w:r>
      <w:r>
        <w:t xml:space="preserve"> </w:t>
      </w:r>
      <w:r>
        <w:rPr>
          <w:b/>
          <w:bCs/>
        </w:rPr>
        <w:t xml:space="preserve">June 29, 2025</w:t>
      </w:r>
      <w:r>
        <w:t xml:space="preserve">. We must either close a renewal or secure a written standstill extension before that date or risk losing the license entirely.</w:t>
      </w:r>
    </w:p>
    <w:p>
      <w:pPr>
        <w:numPr>
          <w:ilvl w:val="0"/>
          <w:numId w:val="1001"/>
        </w:numPr>
      </w:pPr>
      <w:r>
        <w:rPr>
          <w:b/>
          <w:bCs/>
        </w:rPr>
        <w:t xml:space="preserve">License A (CRISPR-Ag Suite) — renew, but restructure for declining IP value and resist the field-of-use reduction.</w:t>
      </w:r>
      <w:r>
        <w:t xml:space="preserve"> </w:t>
      </w:r>
      <w:r>
        <w:t xml:space="preserve">The foundational patent (U.S. 9,234,117) — assessed at ~60% of the portfolio’s value — expires March 12, 2028, mid-way through the proposed five-year renewal, after which residual portfolio value drops to ~35–40% and at least two competing platforms are expected to be available. A flat 6.25% rate across the full term would have Greenfield overpaying for the back end. Equally important, NovaTrait proposes to</w:t>
      </w:r>
      <w:r>
        <w:t xml:space="preserve"> </w:t>
      </w:r>
      <w:r>
        <w:rPr>
          <w:b/>
          <w:bCs/>
        </w:rPr>
        <w:t xml:space="preserve">remove insect resistance</w:t>
      </w:r>
      <w:r>
        <w:t xml:space="preserve"> </w:t>
      </w:r>
      <w:r>
        <w:t xml:space="preserve">from the field of use — a product line representing roughly 30% of License A revenue — while adding wheat, whose value is questionable given uncertainty over whether the licensed patents actually cover wheat embodiments. The proposed rate is within the Section 14.3 150% cap on its face, but the simultaneous Net Sales redefinition pushes the</w:t>
      </w:r>
      <w:r>
        <w:t xml:space="preserve"> </w:t>
      </w:r>
      <w:r>
        <w:rPr>
          <w:i/>
          <w:iCs/>
        </w:rPr>
        <w:t xml:space="preserve">effective</w:t>
      </w:r>
      <w:r>
        <w:t xml:space="preserve"> </w:t>
      </w:r>
      <w:r>
        <w:t xml:space="preserve">rate to 6.70% (148.9% of current), leaving almost no headroom under the cap.</w:t>
      </w:r>
    </w:p>
    <w:p>
      <w:pPr>
        <w:numPr>
          <w:ilvl w:val="0"/>
          <w:numId w:val="1001"/>
        </w:numPr>
      </w:pPr>
      <w:r>
        <w:rPr>
          <w:b/>
          <w:bCs/>
        </w:rPr>
        <w:t xml:space="preserve">License C (GenoMap Pro) — strongest leverage; credible switching threat.</w:t>
      </w:r>
      <w:r>
        <w:t xml:space="preserve"> </w:t>
      </w:r>
      <w:r>
        <w:t xml:space="preserve">Multiple commercial alternatives exist at materially lower cost (market range $2.5M–$4.0M vs. NovaTrait’s proposed ~$5.28M), and switching break-even is only 0.7–2.5 years. The proposed data-ownership and source-code changes are material adverse changes that Greenfield should reject outright. License C also expires</w:t>
      </w:r>
      <w:r>
        <w:t xml:space="preserve"> </w:t>
      </w:r>
      <w:r>
        <w:rPr>
          <w:b/>
          <w:bCs/>
        </w:rPr>
        <w:t xml:space="preserve">February 28, 2025</w:t>
      </w:r>
      <w:r>
        <w:t xml:space="preserve">, so an interim/holdover access arrangement must be secured immediately.</w:t>
      </w:r>
    </w:p>
    <w:p>
      <w:pPr>
        <w:pStyle w:val="FirstParagraph"/>
      </w:pPr>
      <w:r>
        <w:rPr>
          <w:b/>
          <w:bCs/>
        </w:rPr>
        <w:t xml:space="preserve">Immediate actions required (next 30 days):</w:t>
      </w:r>
    </w:p>
    <w:p>
      <w:pPr>
        <w:pStyle w:val="Compact"/>
        <w:numPr>
          <w:ilvl w:val="0"/>
          <w:numId w:val="1002"/>
        </w:numPr>
      </w:pPr>
      <w:r>
        <w:t xml:space="preserve">Deliver the License A Section 14.2 Renewal Notice on or before</w:t>
      </w:r>
      <w:r>
        <w:t xml:space="preserve"> </w:t>
      </w:r>
      <w:r>
        <w:rPr>
          <w:b/>
          <w:bCs/>
        </w:rPr>
        <w:t xml:space="preserve">March 31, 2025</w:t>
      </w:r>
      <w:r>
        <w:t xml:space="preserve"> </w:t>
      </w:r>
      <w:r>
        <w:t xml:space="preserve">(a hard contractual deadline).</w:t>
      </w:r>
    </w:p>
    <w:p>
      <w:pPr>
        <w:pStyle w:val="Compact"/>
        <w:numPr>
          <w:ilvl w:val="0"/>
          <w:numId w:val="1002"/>
        </w:numPr>
      </w:pPr>
      <w:r>
        <w:t xml:space="preserve">Secure a written</w:t>
      </w:r>
      <w:r>
        <w:t xml:space="preserve"> </w:t>
      </w:r>
      <w:r>
        <w:rPr>
          <w:b/>
          <w:bCs/>
        </w:rPr>
        <w:t xml:space="preserve">interim/holdover access letter</w:t>
      </w:r>
      <w:r>
        <w:t xml:space="preserve"> </w:t>
      </w:r>
      <w:r>
        <w:t xml:space="preserve">for License C to bridge February 28, 2025 through execution of a renewal.</w:t>
      </w:r>
    </w:p>
    <w:p>
      <w:pPr>
        <w:pStyle w:val="Compact"/>
        <w:numPr>
          <w:ilvl w:val="0"/>
          <w:numId w:val="1002"/>
        </w:numPr>
      </w:pPr>
      <w:r>
        <w:t xml:space="preserve">Secure a written</w:t>
      </w:r>
      <w:r>
        <w:t xml:space="preserve"> </w:t>
      </w:r>
      <w:r>
        <w:rPr>
          <w:b/>
          <w:bCs/>
        </w:rPr>
        <w:t xml:space="preserve">extension of the License B standstill</w:t>
      </w:r>
      <w:r>
        <w:t xml:space="preserve"> </w:t>
      </w:r>
      <w:r>
        <w:t xml:space="preserve">(target: through December 31, 2025) as a condition of continued good-faith negotiation.</w:t>
      </w:r>
    </w:p>
    <w:p>
      <w:pPr>
        <w:pStyle w:val="Compact"/>
        <w:numPr>
          <w:ilvl w:val="0"/>
          <w:numId w:val="1002"/>
        </w:numPr>
      </w:pPr>
      <w:r>
        <w:t xml:space="preserve">Commission an</w:t>
      </w:r>
      <w:r>
        <w:t xml:space="preserve"> </w:t>
      </w:r>
      <w:r>
        <w:rPr>
          <w:b/>
          <w:bCs/>
        </w:rPr>
        <w:t xml:space="preserve">updated patent-landscape analysis</w:t>
      </w:r>
      <w:r>
        <w:t xml:space="preserve"> </w:t>
      </w:r>
      <w:r>
        <w:t xml:space="preserve">(the Clarendon report is dated September 14, 2020 and is now stale).</w:t>
      </w:r>
    </w:p>
    <w:p>
      <w:pPr>
        <w:pStyle w:val="Compact"/>
        <w:numPr>
          <w:ilvl w:val="0"/>
          <w:numId w:val="1002"/>
        </w:numPr>
      </w:pPr>
      <w:r>
        <w:t xml:space="preserve">Prepare and transmit a consolidated</w:t>
      </w:r>
      <w:r>
        <w:t xml:space="preserve"> </w:t>
      </w:r>
      <w:r>
        <w:rPr>
          <w:b/>
          <w:bCs/>
        </w:rPr>
        <w:t xml:space="preserve">counter-proposal</w:t>
      </w:r>
      <w:r>
        <w:t xml:space="preserve"> </w:t>
      </w:r>
      <w:r>
        <w:t xml:space="preserve">on or about April 15, 2025.</w:t>
      </w:r>
    </w:p>
    <w:p>
      <w:r>
        <w:pict>
          <v:rect style="width:0;height:1.5pt" o:hralign="center" o:hrstd="t" o:hr="t"/>
        </w:pict>
      </w:r>
    </w:p>
    <w:bookmarkEnd w:id="20"/>
    <w:bookmarkStart w:id="22" w:name="Xadc44adb6921e599d3b286471a1dcb2b2216f3f"/>
    <w:p>
      <w:pPr>
        <w:pStyle w:val="Heading2"/>
      </w:pPr>
      <w:r>
        <w:t xml:space="preserve">II. Background and Current License Portfolio</w:t>
      </w:r>
    </w:p>
    <w:p>
      <w:pPr>
        <w:pStyle w:val="FirstParagraph"/>
      </w:pPr>
      <w:r>
        <w:t xml:space="preserve">Greenfield and NovaTrait have been commercial partners since 2015. The three licenses are technologically interdependent: the CRISPR-Ag Suite (License A) provides the gene-editing engine; TraitForge (License B) provides the trait-expression cassettes and biological materials; and GenoMap Pro (License C) provides the bioinformatics platform used in conjunction with both. Greenfield has also granted one downstream sublicense — to Prairielands Seed Cooperative (</w:t>
      </w:r>
      <w:r>
        <w:t xml:space="preserve">“</w:t>
      </w:r>
      <w:r>
        <w:t xml:space="preserve">Prairielands</w:t>
      </w:r>
      <w:r>
        <w:t xml:space="preserve">”</w:t>
      </w:r>
      <w:r>
        <w:t xml:space="preserve">) — under License B. The table below summarizes the current state of each relationship.</w:t>
      </w:r>
    </w:p>
    <w:bookmarkStart w:id="21" w:name="Xac5e499026390cbbe9880ea1849bbf6dc70f3ff"/>
    <w:p>
      <w:pPr>
        <w:pStyle w:val="Heading3"/>
      </w:pPr>
      <w:r>
        <w:t xml:space="preserve">Table 1 — Current License Portfolio at a Glance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Feature</w:t>
            </w:r>
          </w:p>
        </w:tc>
        <w:tc>
          <w:tcPr/>
          <w:p>
            <w:pPr>
              <w:pStyle w:val="Compact"/>
              <w:jc w:val="left"/>
            </w:pPr>
            <w:r>
              <w:t xml:space="preserve">License A (CRISPR-Ag Suite)</w:t>
            </w:r>
          </w:p>
        </w:tc>
        <w:tc>
          <w:tcPr/>
          <w:p>
            <w:pPr>
              <w:pStyle w:val="Compact"/>
              <w:jc w:val="left"/>
            </w:pPr>
            <w:r>
              <w:t xml:space="preserve">License B (TraitForge)</w:t>
            </w:r>
          </w:p>
        </w:tc>
        <w:tc>
          <w:tcPr/>
          <w:p>
            <w:pPr>
              <w:pStyle w:val="Compact"/>
              <w:jc w:val="left"/>
            </w:pPr>
            <w:r>
              <w:t xml:space="preserve">License C (GenoMap Pro)</w:t>
            </w:r>
          </w:p>
        </w:tc>
      </w:tr>
      <w:tr>
        <w:tc>
          <w:tcPr/>
          <w:p>
            <w:pPr>
              <w:pStyle w:val="Compact"/>
              <w:jc w:val="left"/>
            </w:pPr>
            <w:r>
              <w:t xml:space="preserve">Effective date</w:t>
            </w:r>
          </w:p>
        </w:tc>
        <w:tc>
          <w:tcPr/>
          <w:p>
            <w:pPr>
              <w:pStyle w:val="Compact"/>
              <w:jc w:val="left"/>
            </w:pPr>
            <w:r>
              <w:t xml:space="preserve">July 1, 2015</w:t>
            </w:r>
          </w:p>
        </w:tc>
        <w:tc>
          <w:tcPr/>
          <w:p>
            <w:pPr>
              <w:pStyle w:val="Compact"/>
              <w:jc w:val="left"/>
            </w:pPr>
            <w:r>
              <w:t xml:space="preserve">January 1, 2018</w:t>
            </w:r>
          </w:p>
        </w:tc>
        <w:tc>
          <w:tcPr/>
          <w:p>
            <w:pPr>
              <w:pStyle w:val="Compact"/>
              <w:jc w:val="left"/>
            </w:pPr>
            <w:r>
              <w:t xml:space="preserve">March 1, 2020</w:t>
            </w:r>
          </w:p>
        </w:tc>
      </w:tr>
      <w:tr>
        <w:tc>
          <w:tcPr/>
          <w:p>
            <w:pPr>
              <w:pStyle w:val="Compact"/>
              <w:jc w:val="left"/>
            </w:pPr>
            <w:r>
              <w:t xml:space="preserve">Initial term</w:t>
            </w:r>
          </w:p>
        </w:tc>
        <w:tc>
          <w:tcPr/>
          <w:p>
            <w:pPr>
              <w:pStyle w:val="Compact"/>
              <w:jc w:val="left"/>
            </w:pPr>
            <w:r>
              <w:t xml:space="preserve">10 years</w:t>
            </w:r>
          </w:p>
        </w:tc>
        <w:tc>
          <w:tcPr/>
          <w:p>
            <w:pPr>
              <w:pStyle w:val="Compact"/>
              <w:jc w:val="left"/>
            </w:pPr>
            <w:r>
              <w:t xml:space="preserve">7 years</w:t>
            </w:r>
          </w:p>
        </w:tc>
        <w:tc>
          <w:tcPr/>
          <w:p>
            <w:pPr>
              <w:pStyle w:val="Compact"/>
              <w:jc w:val="left"/>
            </w:pPr>
            <w:r>
              <w:t xml:space="preserve">5 years</w:t>
            </w:r>
          </w:p>
        </w:tc>
      </w:tr>
      <w:tr>
        <w:tc>
          <w:tcPr/>
          <w:p>
            <w:pPr>
              <w:pStyle w:val="Compact"/>
              <w:jc w:val="left"/>
            </w:pPr>
            <w:r>
              <w:t xml:space="preserve">Term expiration</w:t>
            </w:r>
          </w:p>
        </w:tc>
        <w:tc>
          <w:tcPr/>
          <w:p>
            <w:pPr>
              <w:pStyle w:val="Compact"/>
              <w:jc w:val="left"/>
            </w:pPr>
            <w:r>
              <w:t xml:space="preserve">June 30, 2025</w:t>
            </w:r>
          </w:p>
        </w:tc>
        <w:tc>
          <w:tcPr/>
          <w:p>
            <w:pPr>
              <w:pStyle w:val="Compact"/>
              <w:jc w:val="left"/>
            </w:pPr>
            <w:r>
              <w:t xml:space="preserve">December 31, 2024 (expired)</w:t>
            </w:r>
          </w:p>
        </w:tc>
        <w:tc>
          <w:tcPr/>
          <w:p>
            <w:pPr>
              <w:pStyle w:val="Compact"/>
              <w:jc w:val="left"/>
            </w:pPr>
            <w:r>
              <w:t xml:space="preserve">February 28, 2025</w:t>
            </w:r>
          </w:p>
        </w:tc>
      </w:tr>
      <w:tr>
        <w:tc>
          <w:tcPr/>
          <w:p>
            <w:pPr>
              <w:pStyle w:val="Compact"/>
              <w:jc w:val="left"/>
            </w:pPr>
            <w:r>
              <w:t xml:space="preserve">Renewal notice deadline</w:t>
            </w:r>
          </w:p>
        </w:tc>
        <w:tc>
          <w:tcPr/>
          <w:p>
            <w:pPr>
              <w:pStyle w:val="Compact"/>
              <w:jc w:val="left"/>
            </w:pPr>
            <w:r>
              <w:t xml:space="preserve">March 31, 2025</w:t>
            </w:r>
          </w:p>
        </w:tc>
        <w:tc>
          <w:tcPr/>
          <w:p>
            <w:pPr>
              <w:pStyle w:val="Compact"/>
              <w:jc w:val="left"/>
            </w:pPr>
            <w:r>
              <w:t xml:space="preserve">September 30, 2024 (passed)</w:t>
            </w:r>
          </w:p>
        </w:tc>
        <w:tc>
          <w:tcPr/>
          <w:p>
            <w:pPr>
              <w:pStyle w:val="Compact"/>
              <w:jc w:val="left"/>
            </w:pPr>
            <w:r>
              <w:t xml:space="preserve">November 30, 2024 (passed)</w:t>
            </w:r>
          </w:p>
        </w:tc>
      </w:tr>
      <w:tr>
        <w:tc>
          <w:tcPr/>
          <w:p>
            <w:pPr>
              <w:pStyle w:val="Compact"/>
              <w:jc w:val="left"/>
            </w:pPr>
            <w:r>
              <w:t xml:space="preserve">Current status</w:t>
            </w:r>
          </w:p>
        </w:tc>
        <w:tc>
          <w:tcPr/>
          <w:p>
            <w:pPr>
              <w:pStyle w:val="Compact"/>
              <w:jc w:val="left"/>
            </w:pPr>
            <w:r>
              <w:t xml:space="preserve">In renewal window</w:t>
            </w:r>
          </w:p>
        </w:tc>
        <w:tc>
          <w:tcPr/>
          <w:p>
            <w:pPr>
              <w:pStyle w:val="Compact"/>
              <w:jc w:val="left"/>
            </w:pPr>
            <w:r>
              <w:t xml:space="preserve">Expired; operating under Sec. 12.6 standstill (~June 29, 2025)</w:t>
            </w:r>
          </w:p>
        </w:tc>
        <w:tc>
          <w:tcPr/>
          <w:p>
            <w:pPr>
              <w:pStyle w:val="Compact"/>
              <w:jc w:val="left"/>
            </w:pPr>
            <w:r>
              <w:t xml:space="preserve">Expiring imminently; renewal notice submitted</w:t>
            </w:r>
          </w:p>
        </w:tc>
      </w:tr>
      <w:tr>
        <w:tc>
          <w:tcPr/>
          <w:p>
            <w:pPr>
              <w:pStyle w:val="Compact"/>
              <w:jc w:val="left"/>
            </w:pPr>
            <w:r>
              <w:t xml:space="preserve">Exclusivity</w:t>
            </w:r>
          </w:p>
        </w:tc>
        <w:tc>
          <w:tcPr/>
          <w:p>
            <w:pPr>
              <w:pStyle w:val="Compact"/>
              <w:jc w:val="left"/>
            </w:pPr>
            <w:r>
              <w:t xml:space="preserve">Exclusive (corn/soybean, field of use)</w:t>
            </w:r>
          </w:p>
        </w:tc>
        <w:tc>
          <w:tcPr/>
          <w:p>
            <w:pPr>
              <w:pStyle w:val="Compact"/>
              <w:jc w:val="left"/>
            </w:pPr>
            <w:r>
              <w:t xml:space="preserve">Non-exclusive (exclusivity period ended 12/31/2020)</w:t>
            </w:r>
          </w:p>
        </w:tc>
        <w:tc>
          <w:tcPr/>
          <w:p>
            <w:pPr>
              <w:pStyle w:val="Compact"/>
              <w:jc w:val="left"/>
            </w:pPr>
            <w:r>
              <w:t xml:space="preserve">Non-exclusive</w:t>
            </w:r>
          </w:p>
        </w:tc>
      </w:tr>
      <w:tr>
        <w:tc>
          <w:tcPr/>
          <w:p>
            <w:pPr>
              <w:pStyle w:val="Compact"/>
              <w:jc w:val="left"/>
            </w:pPr>
            <w:r>
              <w:t xml:space="preserve">Royalty / fee</w:t>
            </w:r>
          </w:p>
        </w:tc>
        <w:tc>
          <w:tcPr/>
          <w:p>
            <w:pPr>
              <w:pStyle w:val="Compact"/>
              <w:jc w:val="left"/>
            </w:pPr>
            <w:r>
              <w:t xml:space="preserve">4.5% of Net Sales</w:t>
            </w:r>
          </w:p>
        </w:tc>
        <w:tc>
          <w:tcPr/>
          <w:p>
            <w:pPr>
              <w:pStyle w:val="Compact"/>
              <w:jc w:val="left"/>
            </w:pPr>
            <w:r>
              <w:t xml:space="preserve">3.75% of Net Sales</w:t>
            </w:r>
          </w:p>
        </w:tc>
        <w:tc>
          <w:tcPr/>
          <w:p>
            <w:pPr>
              <w:pStyle w:val="Compact"/>
              <w:jc w:val="left"/>
            </w:pPr>
            <w:r>
              <w:t xml:space="preserve">$3.14M flat annual</w:t>
            </w:r>
          </w:p>
        </w:tc>
      </w:tr>
      <w:tr>
        <w:tc>
          <w:tcPr/>
          <w:p>
            <w:pPr>
              <w:pStyle w:val="Compact"/>
              <w:jc w:val="left"/>
            </w:pPr>
            <w:r>
              <w:t xml:space="preserve">Minimum annual royalty</w:t>
            </w:r>
          </w:p>
        </w:tc>
        <w:tc>
          <w:tcPr/>
          <w:p>
            <w:pPr>
              <w:pStyle w:val="Compact"/>
              <w:jc w:val="left"/>
            </w:pPr>
            <w:r>
              <w:t xml:space="preserve">$4,000,000</w:t>
            </w:r>
          </w:p>
        </w:tc>
        <w:tc>
          <w:tcPr/>
          <w:p>
            <w:pPr>
              <w:pStyle w:val="Compact"/>
              <w:jc w:val="left"/>
            </w:pPr>
            <w:r>
              <w:t xml:space="preserve">$2,500,000</w:t>
            </w:r>
          </w:p>
        </w:tc>
        <w:tc>
          <w:tcPr/>
          <w:p>
            <w:pPr>
              <w:pStyle w:val="Compact"/>
              <w:jc w:val="left"/>
            </w:pPr>
            <w:r>
              <w:t xml:space="preserve">N/A</w:t>
            </w:r>
          </w:p>
        </w:tc>
      </w:tr>
      <w:tr>
        <w:tc>
          <w:tcPr/>
          <w:p>
            <w:pPr>
              <w:pStyle w:val="Compact"/>
              <w:jc w:val="left"/>
            </w:pPr>
            <w:r>
              <w:t xml:space="preserve">FY 2024 cost</w:t>
            </w:r>
          </w:p>
        </w:tc>
        <w:tc>
          <w:tcPr/>
          <w:p>
            <w:pPr>
              <w:pStyle w:val="Compact"/>
              <w:jc w:val="left"/>
            </w:pPr>
            <w:r>
              <w:t xml:space="preserve">$9.12M</w:t>
            </w:r>
          </w:p>
        </w:tc>
        <w:tc>
          <w:tcPr/>
          <w:p>
            <w:pPr>
              <w:pStyle w:val="Compact"/>
              <w:jc w:val="left"/>
            </w:pPr>
            <w:r>
              <w:t xml:space="preserve">$6.38M</w:t>
            </w:r>
          </w:p>
        </w:tc>
        <w:tc>
          <w:tcPr/>
          <w:p>
            <w:pPr>
              <w:pStyle w:val="Compact"/>
              <w:jc w:val="left"/>
            </w:pPr>
            <w:r>
              <w:t xml:space="preserve">$3.14M</w:t>
            </w:r>
          </w:p>
        </w:tc>
      </w:tr>
      <w:tr>
        <w:tc>
          <w:tcPr/>
          <w:p>
            <w:pPr>
              <w:pStyle w:val="Compact"/>
              <w:jc w:val="left"/>
            </w:pPr>
            <w:r>
              <w:t xml:space="preserve">Field of use</w:t>
            </w:r>
          </w:p>
        </w:tc>
        <w:tc>
          <w:tcPr/>
          <w:p>
            <w:pPr>
              <w:pStyle w:val="Compact"/>
              <w:jc w:val="left"/>
            </w:pPr>
            <w:r>
              <w:t xml:space="preserve">Corn, soybean; herbicide tolerance + insect resistance</w:t>
            </w:r>
          </w:p>
        </w:tc>
        <w:tc>
          <w:tcPr/>
          <w:p>
            <w:pPr>
              <w:pStyle w:val="Compact"/>
              <w:jc w:val="left"/>
            </w:pPr>
            <w:r>
              <w:t xml:space="preserve">Corn, soybean, cotton; drought tolerance + nutrient uptake</w:t>
            </w:r>
          </w:p>
        </w:tc>
        <w:tc>
          <w:tcPr/>
          <w:p>
            <w:pPr>
              <w:pStyle w:val="Compact"/>
              <w:jc w:val="left"/>
            </w:pPr>
            <w:r>
              <w:t xml:space="preserve">Internal bioinformatics use</w:t>
            </w:r>
          </w:p>
        </w:tc>
      </w:tr>
      <w:tr>
        <w:tc>
          <w:tcPr/>
          <w:p>
            <w:pPr>
              <w:pStyle w:val="Compact"/>
              <w:jc w:val="left"/>
            </w:pPr>
            <w:r>
              <w:t xml:space="preserve">Territory</w:t>
            </w:r>
          </w:p>
        </w:tc>
        <w:tc>
          <w:tcPr/>
          <w:p>
            <w:pPr>
              <w:pStyle w:val="Compact"/>
              <w:jc w:val="left"/>
            </w:pPr>
            <w:r>
              <w:t xml:space="preserve">Worldwide ex. China &amp; India</w:t>
            </w:r>
          </w:p>
        </w:tc>
        <w:tc>
          <w:tcPr/>
          <w:p>
            <w:pPr>
              <w:pStyle w:val="Compact"/>
              <w:jc w:val="left"/>
            </w:pPr>
            <w:r>
              <w:t xml:space="preserve">Western Hemisphere</w:t>
            </w:r>
          </w:p>
        </w:tc>
        <w:tc>
          <w:tcPr/>
          <w:p>
            <w:pPr>
              <w:pStyle w:val="Compact"/>
              <w:jc w:val="left"/>
            </w:pPr>
            <w:r>
              <w:t xml:space="preserve">Worldwide</w:t>
            </w:r>
          </w:p>
        </w:tc>
      </w:tr>
      <w:tr>
        <w:tc>
          <w:tcPr/>
          <w:p>
            <w:pPr>
              <w:pStyle w:val="Compact"/>
              <w:jc w:val="left"/>
            </w:pPr>
            <w:r>
              <w:t xml:space="preserve">Sublicense pass-through</w:t>
            </w:r>
          </w:p>
        </w:tc>
        <w:tc>
          <w:tcPr/>
          <w:p>
            <w:pPr>
              <w:pStyle w:val="Compact"/>
              <w:jc w:val="left"/>
            </w:pPr>
            <w:r>
              <w:t xml:space="preserve">35%</w:t>
            </w:r>
          </w:p>
        </w:tc>
        <w:tc>
          <w:tcPr/>
          <w:p>
            <w:pPr>
              <w:pStyle w:val="Compact"/>
              <w:jc w:val="left"/>
            </w:pPr>
            <w:r>
              <w:t xml:space="preserve">None</w:t>
            </w:r>
          </w:p>
        </w:tc>
        <w:tc>
          <w:tcPr/>
          <w:p>
            <w:pPr>
              <w:pStyle w:val="Compact"/>
              <w:jc w:val="left"/>
            </w:pPr>
            <w:r>
              <w:t xml:space="preserve">N/A (no sublicensing)</w:t>
            </w:r>
          </w:p>
        </w:tc>
      </w:tr>
      <w:tr>
        <w:tc>
          <w:tcPr/>
          <w:p>
            <w:pPr>
              <w:pStyle w:val="Compact"/>
              <w:jc w:val="left"/>
            </w:pPr>
            <w:r>
              <w:t xml:space="preserve">Improvements</w:t>
            </w:r>
          </w:p>
        </w:tc>
        <w:tc>
          <w:tcPr/>
          <w:p>
            <w:pPr>
              <w:pStyle w:val="Compact"/>
              <w:jc w:val="left"/>
            </w:pPr>
            <w:r>
              <w:t xml:space="preserve">Greenfield sole owner; license back to NovaTrait at commercial royalty</w:t>
            </w:r>
          </w:p>
        </w:tc>
        <w:tc>
          <w:tcPr/>
          <w:p>
            <w:pPr>
              <w:pStyle w:val="Compact"/>
              <w:jc w:val="left"/>
            </w:pPr>
            <w:r>
              <w:t xml:space="preserve">Greenfield owns Greenfield Improvements; license back at commercial royalty</w:t>
            </w:r>
          </w:p>
        </w:tc>
        <w:tc>
          <w:tcPr/>
          <w:p>
            <w:pPr>
              <w:pStyle w:val="Compact"/>
              <w:jc w:val="left"/>
            </w:pPr>
            <w:r>
              <w:t xml:space="preserve">Licensee Modifications owned by Greenfield; royalty-free license back</w:t>
            </w:r>
          </w:p>
        </w:tc>
      </w:tr>
      <w:tr>
        <w:tc>
          <w:tcPr/>
          <w:p>
            <w:pPr>
              <w:pStyle w:val="Compact"/>
              <w:jc w:val="left"/>
            </w:pPr>
            <w:r>
              <w:t xml:space="preserve">Rate-cap protection</w:t>
            </w:r>
          </w:p>
        </w:tc>
        <w:tc>
          <w:tcPr/>
          <w:p>
            <w:pPr>
              <w:pStyle w:val="Compact"/>
              <w:jc w:val="left"/>
            </w:pPr>
            <w:r>
              <w:t xml:space="preserve">Yes — Sec. 14.3 (150% cap)</w:t>
            </w:r>
          </w:p>
        </w:tc>
        <w:tc>
          <w:tcPr/>
          <w:p>
            <w:pPr>
              <w:pStyle w:val="Compact"/>
              <w:jc w:val="left"/>
            </w:pPr>
            <w:r>
              <w:t xml:space="preserve">None</w:t>
            </w:r>
          </w:p>
        </w:tc>
        <w:tc>
          <w:tcPr/>
          <w:p>
            <w:pPr>
              <w:pStyle w:val="Compact"/>
              <w:jc w:val="left"/>
            </w:pPr>
            <w:r>
              <w:t xml:space="preserve">None</w:t>
            </w:r>
          </w:p>
        </w:tc>
      </w:tr>
      <w:tr>
        <w:tc>
          <w:tcPr/>
          <w:p>
            <w:pPr>
              <w:pStyle w:val="Compact"/>
              <w:jc w:val="left"/>
            </w:pPr>
            <w:r>
              <w:t xml:space="preserve">Standstill / holdover</w:t>
            </w:r>
          </w:p>
        </w:tc>
        <w:tc>
          <w:tcPr/>
          <w:p>
            <w:pPr>
              <w:pStyle w:val="Compact"/>
              <w:jc w:val="left"/>
            </w:pPr>
            <w:r>
              <w:t xml:space="preserve">None</w:t>
            </w:r>
          </w:p>
        </w:tc>
        <w:tc>
          <w:tcPr/>
          <w:p>
            <w:pPr>
              <w:pStyle w:val="Compact"/>
              <w:jc w:val="left"/>
            </w:pPr>
            <w:r>
              <w:t xml:space="preserve">Sec. 12.6 (180 days)</w:t>
            </w:r>
          </w:p>
        </w:tc>
        <w:tc>
          <w:tcPr/>
          <w:p>
            <w:pPr>
              <w:pStyle w:val="Compact"/>
              <w:jc w:val="left"/>
            </w:pPr>
            <w:r>
              <w:t xml:space="preserve">None</w:t>
            </w:r>
          </w:p>
        </w:tc>
      </w:tr>
      <w:tr>
        <w:tc>
          <w:tcPr/>
          <w:p>
            <w:pPr>
              <w:pStyle w:val="Compact"/>
              <w:jc w:val="left"/>
            </w:pPr>
            <w:r>
              <w:t xml:space="preserve">Governing law</w:t>
            </w:r>
          </w:p>
        </w:tc>
        <w:tc>
          <w:tcPr/>
          <w:p>
            <w:pPr>
              <w:pStyle w:val="Compact"/>
              <w:jc w:val="left"/>
            </w:pPr>
            <w:r>
              <w:t xml:space="preserve">Massachusetts</w:t>
            </w:r>
          </w:p>
        </w:tc>
        <w:tc>
          <w:tcPr/>
          <w:p>
            <w:pPr>
              <w:pStyle w:val="Compact"/>
              <w:jc w:val="left"/>
            </w:pPr>
            <w:r>
              <w:t xml:space="preserve">Massachusetts</w:t>
            </w:r>
          </w:p>
        </w:tc>
        <w:tc>
          <w:tcPr/>
          <w:p>
            <w:pPr>
              <w:pStyle w:val="Compact"/>
              <w:jc w:val="left"/>
            </w:pPr>
            <w:r>
              <w:t xml:space="preserve">Massachusetts (binding arbitration)</w:t>
            </w:r>
          </w:p>
        </w:tc>
      </w:tr>
    </w:tbl>
    <w:p>
      <w:pPr>
        <w:pStyle w:val="BodyText"/>
      </w:pPr>
      <w:r>
        <w:rPr>
          <w:b/>
          <w:bCs/>
        </w:rPr>
        <w:t xml:space="preserve">The Prairielands sublicense.</w:t>
      </w:r>
      <w:r>
        <w:t xml:space="preserve"> </w:t>
      </w:r>
      <w:r>
        <w:t xml:space="preserve">Effective May 1, 2021, Greenfield granted Prairielands a non-exclusive sublicense under License B (TraitForge) limited to</w:t>
      </w:r>
      <w:r>
        <w:t xml:space="preserve"> </w:t>
      </w:r>
      <w:r>
        <w:rPr>
          <w:b/>
          <w:bCs/>
        </w:rPr>
        <w:t xml:space="preserve">soybean drought tolerance in Argentina and Brazil</w:t>
      </w:r>
      <w:r>
        <w:t xml:space="preserve"> </w:t>
      </w:r>
      <w:r>
        <w:t xml:space="preserve">at a</w:t>
      </w:r>
      <w:r>
        <w:t xml:space="preserve"> </w:t>
      </w:r>
      <w:r>
        <w:rPr>
          <w:b/>
          <w:bCs/>
        </w:rPr>
        <w:t xml:space="preserve">2.0% royalty</w:t>
      </w:r>
      <w:r>
        <w:t xml:space="preserve"> </w:t>
      </w:r>
      <w:r>
        <w:t xml:space="preserve">to Greenfield. The sublicense is</w:t>
      </w:r>
      <w:r>
        <w:t xml:space="preserve"> </w:t>
      </w:r>
      <w:r>
        <w:rPr>
          <w:b/>
          <w:bCs/>
        </w:rPr>
        <w:t xml:space="preserve">co-terminus with License B</w:t>
      </w:r>
      <w:r>
        <w:t xml:space="preserve"> </w:t>
      </w:r>
      <w:r>
        <w:t xml:space="preserve">(i.e., it expired December 31, 2024 along with License B’s Initial Term and now rides on the standstill). Critically, the existing Master License (License B)</w:t>
      </w:r>
      <w:r>
        <w:t xml:space="preserve"> </w:t>
      </w:r>
      <w:r>
        <w:rPr>
          <w:b/>
          <w:bCs/>
        </w:rPr>
        <w:t xml:space="preserve">contains no sublicense pass-through obligation</w:t>
      </w:r>
      <w:r>
        <w:t xml:space="preserve">, and NovaTrait’s April 15, 2021 consent letter expressly confirmed that no remittance to NovaTrait was required. Any renewal that introduces a pass-through on Prairielands revenue would be an entirely new cost to Greenfield.</w:t>
      </w:r>
    </w:p>
    <w:p>
      <w:pPr>
        <w:pStyle w:val="BodyText"/>
      </w:pPr>
      <w:r>
        <w:rPr>
          <w:b/>
          <w:bCs/>
        </w:rPr>
        <w:t xml:space="preserve">FY 2024 financial baseline.</w:t>
      </w:r>
      <w:r>
        <w:t xml:space="preserve"> </w:t>
      </w:r>
      <w:r>
        <w:t xml:space="preserve">Greenfield’s FY 2024 revenue was $387.2M. License A Net Sales of Licensed Products were $202.67M; License B Net Sales were $170.13M. Aggregate IP cost was $18.64M, or 4.81% of revenue.</w:t>
      </w:r>
    </w:p>
    <w:p>
      <w:r>
        <w:pict>
          <v:rect style="width:0;height:1.5pt" o:hralign="center" o:hrstd="t" o:hr="t"/>
        </w:pict>
      </w:r>
    </w:p>
    <w:bookmarkEnd w:id="21"/>
    <w:bookmarkEnd w:id="22"/>
    <w:bookmarkStart w:id="29" w:name="X1e241621525e2c1337dd945717eedba5f2014d1"/>
    <w:p>
      <w:pPr>
        <w:pStyle w:val="Heading2"/>
      </w:pPr>
      <w:r>
        <w:t xml:space="preserve">III. NovaTrait’s Consolidated Renewal Proposal — Summary</w:t>
      </w:r>
    </w:p>
    <w:p>
      <w:pPr>
        <w:pStyle w:val="FirstParagraph"/>
      </w:pPr>
      <w:r>
        <w:t xml:space="preserve">NovaTrait’s Proposal packages three separate amended-and-restated renewal agreements with aligned (but not identical) terms and a coordinated payment schedule. The Proposal is expressly subject to Fed. R. Evid. 408 / Mass. R. Evid. 408 (settlement-communication privilege) and reserves all of NovaTrait’s rights. The principal proposed changes are summarized below; a side-by-side comparison appears in Tables 2–4.</w:t>
      </w:r>
    </w:p>
    <w:bookmarkStart w:id="23" w:name="X3c0d35d7f147289a8ad37042f5356127252da0b"/>
    <w:p>
      <w:pPr>
        <w:pStyle w:val="Heading3"/>
      </w:pPr>
      <w:r>
        <w:t xml:space="preserve">License A (CRISPR-Ag Suite) — Proposed Renewal</w:t>
      </w:r>
    </w:p>
    <w:p>
      <w:pPr>
        <w:pStyle w:val="Compact"/>
        <w:numPr>
          <w:ilvl w:val="0"/>
          <w:numId w:val="1003"/>
        </w:numPr>
      </w:pPr>
      <w:r>
        <w:rPr>
          <w:b/>
          <w:bCs/>
        </w:rPr>
        <w:t xml:space="preserve">Term:</w:t>
      </w:r>
      <w:r>
        <w:t xml:space="preserve"> </w:t>
      </w:r>
      <w:r>
        <w:t xml:space="preserve">5 years (July 1, 2025 – June 30, 2030), with one further 5-year option subject to a renewed IFMV assessment.</w:t>
      </w:r>
    </w:p>
    <w:p>
      <w:pPr>
        <w:pStyle w:val="Compact"/>
        <w:numPr>
          <w:ilvl w:val="0"/>
          <w:numId w:val="1003"/>
        </w:numPr>
      </w:pPr>
      <w:r>
        <w:rPr>
          <w:b/>
          <w:bCs/>
        </w:rPr>
        <w:t xml:space="preserve">Royalty rate:</w:t>
      </w:r>
      <w:r>
        <w:t xml:space="preserve"> </w:t>
      </w:r>
      <w:r>
        <w:t xml:space="preserve">6.25% of Net Sales (from 4.5%; +38.9%). NovaTrait asserts this is within the Section 14.3 150% cap (max 6.75% without an independent fair-market-value assessment).</w:t>
      </w:r>
    </w:p>
    <w:p>
      <w:pPr>
        <w:pStyle w:val="Compact"/>
        <w:numPr>
          <w:ilvl w:val="0"/>
          <w:numId w:val="1003"/>
        </w:numPr>
      </w:pPr>
      <w:r>
        <w:rPr>
          <w:b/>
          <w:bCs/>
        </w:rPr>
        <w:t xml:space="preserve">Minimum annual royalty:</w:t>
      </w:r>
      <w:r>
        <w:t xml:space="preserve"> </w:t>
      </w:r>
      <w:r>
        <w:t xml:space="preserve">$8,000,000 (from $4M; +100%), payable quarterly at $2M/quarter.</w:t>
      </w:r>
    </w:p>
    <w:p>
      <w:pPr>
        <w:pStyle w:val="Compact"/>
        <w:numPr>
          <w:ilvl w:val="0"/>
          <w:numId w:val="1003"/>
        </w:numPr>
      </w:pPr>
      <w:r>
        <w:rPr>
          <w:b/>
          <w:bCs/>
        </w:rPr>
        <w:t xml:space="preserve">Net Sales redefinition:</w:t>
      </w:r>
      <w:r>
        <w:t xml:space="preserve"> </w:t>
      </w:r>
      <w:r>
        <w:t xml:space="preserve">Deductions narrowed to trade/cash/quantity discounts and taxes only —</w:t>
      </w:r>
      <w:r>
        <w:t xml:space="preserve"> </w:t>
      </w:r>
      <w:r>
        <w:rPr>
          <w:b/>
          <w:bCs/>
        </w:rPr>
        <w:t xml:space="preserve">eliminating</w:t>
      </w:r>
      <w:r>
        <w:t xml:space="preserve"> </w:t>
      </w:r>
      <w:r>
        <w:t xml:space="preserve">freight/shipping/insurance, returns/rejections/recalls/chargebacks, and bad-debt write-offs. This expands the royalty base by an estimated 7.2%.</w:t>
      </w:r>
    </w:p>
    <w:p>
      <w:pPr>
        <w:pStyle w:val="Compact"/>
        <w:numPr>
          <w:ilvl w:val="0"/>
          <w:numId w:val="1003"/>
        </w:numPr>
      </w:pPr>
      <w:r>
        <w:rPr>
          <w:b/>
          <w:bCs/>
        </w:rPr>
        <w:t xml:space="preserve">Field of use:</w:t>
      </w:r>
      <w:r>
        <w:t xml:space="preserve"> </w:t>
      </w:r>
      <w:r>
        <w:rPr>
          <w:b/>
          <w:bCs/>
        </w:rPr>
        <w:t xml:space="preserve">Adds wheat</w:t>
      </w:r>
      <w:r>
        <w:t xml:space="preserve"> </w:t>
      </w:r>
      <w:r>
        <w:t xml:space="preserve">(Triticum spp.);</w:t>
      </w:r>
      <w:r>
        <w:t xml:space="preserve"> </w:t>
      </w:r>
      <w:r>
        <w:rPr>
          <w:b/>
          <w:bCs/>
        </w:rPr>
        <w:t xml:space="preserve">removes insect resistance</w:t>
      </w:r>
      <w:r>
        <w:t xml:space="preserve"> </w:t>
      </w:r>
      <w:r>
        <w:t xml:space="preserve">(NovaTrait has granted an exclusive insect-resistance license to another company). A transitional license for existing insect-resistance products is offered on terms to be negotiated.</w:t>
      </w:r>
    </w:p>
    <w:p>
      <w:pPr>
        <w:pStyle w:val="Compact"/>
        <w:numPr>
          <w:ilvl w:val="0"/>
          <w:numId w:val="1003"/>
        </w:numPr>
      </w:pPr>
      <w:r>
        <w:rPr>
          <w:b/>
          <w:bCs/>
        </w:rPr>
        <w:t xml:space="preserve">Sublicense pass-through:</w:t>
      </w:r>
      <w:r>
        <w:t xml:space="preserve"> </w:t>
      </w:r>
      <w:r>
        <w:t xml:space="preserve">50% (from 35%).</w:t>
      </w:r>
    </w:p>
    <w:p>
      <w:pPr>
        <w:pStyle w:val="Compact"/>
        <w:numPr>
          <w:ilvl w:val="0"/>
          <w:numId w:val="1003"/>
        </w:numPr>
      </w:pPr>
      <w:r>
        <w:rPr>
          <w:b/>
          <w:bCs/>
        </w:rPr>
        <w:t xml:space="preserve">Improvements:</w:t>
      </w:r>
      <w:r>
        <w:t xml:space="preserve"> </w:t>
      </w:r>
      <w:r>
        <w:t xml:space="preserve">Reversed to</w:t>
      </w:r>
      <w:r>
        <w:t xml:space="preserve"> </w:t>
      </w:r>
      <w:r>
        <w:rPr>
          <w:b/>
          <w:bCs/>
        </w:rPr>
        <w:t xml:space="preserve">joint ownership</w:t>
      </w:r>
      <w:r>
        <w:t xml:space="preserve">, with an irrevocable, perpetual, royalty-free, sublicensable license to NovaTrait (Greenfield receives only a non-exclusive, royalty-bearing, non-sublicensable license for the renewal term).</w:t>
      </w:r>
    </w:p>
    <w:p>
      <w:pPr>
        <w:pStyle w:val="Compact"/>
        <w:numPr>
          <w:ilvl w:val="0"/>
          <w:numId w:val="1003"/>
        </w:numPr>
      </w:pPr>
      <w:r>
        <w:rPr>
          <w:b/>
          <w:bCs/>
        </w:rPr>
        <w:t xml:space="preserve">Anti-stacking offset (new):</w:t>
      </w:r>
      <w:r>
        <w:t xml:space="preserve"> </w:t>
      </w:r>
      <w:r>
        <w:t xml:space="preserve">Greenfield may credit 50% of third-party freedom-to-operate royalties against NovaTrait royalties, capped at 25% of quarterly royalties, with an effective-rate floor of 4.75%.</w:t>
      </w:r>
    </w:p>
    <w:p>
      <w:pPr>
        <w:pStyle w:val="Compact"/>
        <w:numPr>
          <w:ilvl w:val="0"/>
          <w:numId w:val="1003"/>
        </w:numPr>
      </w:pPr>
      <w:r>
        <w:rPr>
          <w:b/>
          <w:bCs/>
        </w:rPr>
        <w:t xml:space="preserve">Territory, audit, governing law:</w:t>
      </w:r>
      <w:r>
        <w:t xml:space="preserve"> </w:t>
      </w:r>
      <w:r>
        <w:t xml:space="preserve">Unchanged.</w:t>
      </w:r>
    </w:p>
    <w:bookmarkEnd w:id="23"/>
    <w:bookmarkStart w:id="24" w:name="license-b-traitforge-proposed-renewal"/>
    <w:p>
      <w:pPr>
        <w:pStyle w:val="Heading3"/>
      </w:pPr>
      <w:r>
        <w:t xml:space="preserve">License B (TraitForge) — Proposed Renewal</w:t>
      </w:r>
    </w:p>
    <w:p>
      <w:pPr>
        <w:pStyle w:val="Compact"/>
        <w:numPr>
          <w:ilvl w:val="0"/>
          <w:numId w:val="1004"/>
        </w:numPr>
      </w:pPr>
      <w:r>
        <w:rPr>
          <w:b/>
          <w:bCs/>
        </w:rPr>
        <w:t xml:space="preserve">Term:</w:t>
      </w:r>
      <w:r>
        <w:t xml:space="preserve"> </w:t>
      </w:r>
      <w:r>
        <w:t xml:space="preserve">5 years (January 1, 2025 – December 31, 2029), retroactive to the Initial Term expiration.</w:t>
      </w:r>
    </w:p>
    <w:p>
      <w:pPr>
        <w:pStyle w:val="Compact"/>
        <w:numPr>
          <w:ilvl w:val="0"/>
          <w:numId w:val="1004"/>
        </w:numPr>
      </w:pPr>
      <w:r>
        <w:rPr>
          <w:b/>
          <w:bCs/>
        </w:rPr>
        <w:t xml:space="preserve">Royalty rate:</w:t>
      </w:r>
      <w:r>
        <w:t xml:space="preserve"> </w:t>
      </w:r>
      <w:r>
        <w:t xml:space="preserve">5.0% of Net Sales (from 3.75%; +33.3%).</w:t>
      </w:r>
    </w:p>
    <w:p>
      <w:pPr>
        <w:pStyle w:val="Compact"/>
        <w:numPr>
          <w:ilvl w:val="0"/>
          <w:numId w:val="1004"/>
        </w:numPr>
      </w:pPr>
      <w:r>
        <w:rPr>
          <w:b/>
          <w:bCs/>
        </w:rPr>
        <w:t xml:space="preserve">Minimum annual royalty:</w:t>
      </w:r>
      <w:r>
        <w:t xml:space="preserve"> </w:t>
      </w:r>
      <w:r>
        <w:t xml:space="preserve">$5,000,000 (from $2.5M; +100%), payable quarterly at $1.25M/quarter.</w:t>
      </w:r>
    </w:p>
    <w:p>
      <w:pPr>
        <w:pStyle w:val="Compact"/>
        <w:numPr>
          <w:ilvl w:val="0"/>
          <w:numId w:val="1004"/>
        </w:numPr>
      </w:pPr>
      <w:r>
        <w:rPr>
          <w:b/>
          <w:bCs/>
        </w:rPr>
        <w:t xml:space="preserve">Net Sales redefinition:</w:t>
      </w:r>
      <w:r>
        <w:t xml:space="preserve"> </w:t>
      </w:r>
      <w:r>
        <w:t xml:space="preserve">Same narrowing as License A (estimated +6.8% base expansion).</w:t>
      </w:r>
    </w:p>
    <w:p>
      <w:pPr>
        <w:pStyle w:val="Compact"/>
        <w:numPr>
          <w:ilvl w:val="0"/>
          <w:numId w:val="1004"/>
        </w:numPr>
      </w:pPr>
      <w:r>
        <w:rPr>
          <w:b/>
          <w:bCs/>
        </w:rPr>
        <w:t xml:space="preserve">Field of use / territory:</w:t>
      </w:r>
      <w:r>
        <w:t xml:space="preserve"> </w:t>
      </w:r>
      <w:r>
        <w:t xml:space="preserve">Unchanged.</w:t>
      </w:r>
    </w:p>
    <w:p>
      <w:pPr>
        <w:pStyle w:val="Compact"/>
        <w:numPr>
          <w:ilvl w:val="0"/>
          <w:numId w:val="1004"/>
        </w:numPr>
      </w:pPr>
      <w:r>
        <w:rPr>
          <w:b/>
          <w:bCs/>
        </w:rPr>
        <w:t xml:space="preserve">Audit rights:</w:t>
      </w:r>
      <w:r>
        <w:t xml:space="preserve"> </w:t>
      </w:r>
      <w:r>
        <w:t xml:space="preserve">Expanded to</w:t>
      </w:r>
      <w:r>
        <w:t xml:space="preserve"> </w:t>
      </w:r>
      <w:r>
        <w:rPr>
          <w:b/>
          <w:bCs/>
        </w:rPr>
        <w:t xml:space="preserve">twice per year</w:t>
      </w:r>
      <w:r>
        <w:t xml:space="preserve"> </w:t>
      </w:r>
      <w:r>
        <w:t xml:space="preserve">(from once), with</w:t>
      </w:r>
      <w:r>
        <w:t xml:space="preserve"> </w:t>
      </w:r>
      <w:r>
        <w:rPr>
          <w:b/>
          <w:bCs/>
        </w:rPr>
        <w:t xml:space="preserve">15 business days’ notice</w:t>
      </w:r>
      <w:r>
        <w:t xml:space="preserve"> </w:t>
      </w:r>
      <w:r>
        <w:t xml:space="preserve">(from 30 calendar days) and a</w:t>
      </w:r>
      <w:r>
        <w:t xml:space="preserve"> </w:t>
      </w:r>
      <w:r>
        <w:rPr>
          <w:b/>
          <w:bCs/>
        </w:rPr>
        <w:t xml:space="preserve">five-year look-back</w:t>
      </w:r>
      <w:r>
        <w:t xml:space="preserve"> </w:t>
      </w:r>
      <w:r>
        <w:t xml:space="preserve">(from three years).</w:t>
      </w:r>
    </w:p>
    <w:p>
      <w:pPr>
        <w:pStyle w:val="Compact"/>
        <w:numPr>
          <w:ilvl w:val="0"/>
          <w:numId w:val="1004"/>
        </w:numPr>
      </w:pPr>
      <w:r>
        <w:rPr>
          <w:b/>
          <w:bCs/>
        </w:rPr>
        <w:t xml:space="preserve">Biological materials return:</w:t>
      </w:r>
      <w:r>
        <w:t xml:space="preserve"> </w:t>
      </w:r>
      <w:r>
        <w:t xml:space="preserve">Shortened to</w:t>
      </w:r>
      <w:r>
        <w:t xml:space="preserve"> </w:t>
      </w:r>
      <w:r>
        <w:rPr>
          <w:b/>
          <w:bCs/>
        </w:rPr>
        <w:t xml:space="preserve">30 days with no wind-down</w:t>
      </w:r>
      <w:r>
        <w:t xml:space="preserve"> </w:t>
      </w:r>
      <w:r>
        <w:t xml:space="preserve">(from a 90-day wind-down period during which ongoing breeding/field trials could continue).</w:t>
      </w:r>
    </w:p>
    <w:p>
      <w:pPr>
        <w:pStyle w:val="Compact"/>
        <w:numPr>
          <w:ilvl w:val="0"/>
          <w:numId w:val="1004"/>
        </w:numPr>
      </w:pPr>
      <w:r>
        <w:rPr>
          <w:b/>
          <w:bCs/>
        </w:rPr>
        <w:t xml:space="preserve">Improvements:</w:t>
      </w:r>
      <w:r>
        <w:t xml:space="preserve"> </w:t>
      </w:r>
      <w:r>
        <w:t xml:space="preserve">Conformed to the joint-ownership / royalty-free license-back structure proposed for License A.</w:t>
      </w:r>
    </w:p>
    <w:p>
      <w:pPr>
        <w:pStyle w:val="Compact"/>
        <w:numPr>
          <w:ilvl w:val="0"/>
          <w:numId w:val="1004"/>
        </w:numPr>
      </w:pPr>
      <w:r>
        <w:rPr>
          <w:b/>
          <w:bCs/>
        </w:rPr>
        <w:t xml:space="preserve">Standstill:</w:t>
      </w:r>
      <w:r>
        <w:t xml:space="preserve"> </w:t>
      </w:r>
      <w:r>
        <w:t xml:space="preserve">Retained (180 days).</w:t>
      </w:r>
    </w:p>
    <w:p>
      <w:pPr>
        <w:pStyle w:val="Compact"/>
        <w:numPr>
          <w:ilvl w:val="0"/>
          <w:numId w:val="1004"/>
        </w:numPr>
      </w:pPr>
      <w:r>
        <w:rPr>
          <w:b/>
          <w:bCs/>
        </w:rPr>
        <w:t xml:space="preserve">Prairielands / sublicense economics:</w:t>
      </w:r>
      <w:r>
        <w:t xml:space="preserve"> </w:t>
      </w:r>
      <w:r>
        <w:t xml:space="preserve">NovaTrait signals that consent to any renewal/amendment of the Prairielands sublicense will be</w:t>
      </w:r>
      <w:r>
        <w:t xml:space="preserve"> </w:t>
      </w:r>
      <w:r>
        <w:t xml:space="preserve">“</w:t>
      </w:r>
      <w:r>
        <w:t xml:space="preserve">on reasonable terms.</w:t>
      </w:r>
      <w:r>
        <w:t xml:space="preserve">”</w:t>
      </w:r>
      <w:r>
        <w:t xml:space="preserve"> </w:t>
      </w:r>
      <w:r>
        <w:t xml:space="preserve">Our financial advisors model this as a new</w:t>
      </w:r>
      <w:r>
        <w:t xml:space="preserve"> </w:t>
      </w:r>
      <w:r>
        <w:rPr>
          <w:b/>
          <w:bCs/>
        </w:rPr>
        <w:t xml:space="preserve">40% pass-through</w:t>
      </w:r>
      <w:r>
        <w:t xml:space="preserve"> </w:t>
      </w:r>
      <w:r>
        <w:t xml:space="preserve">on Prairielands sublicense revenue — an obligation that does not exist today.</w:t>
      </w:r>
    </w:p>
    <w:bookmarkEnd w:id="24"/>
    <w:bookmarkStart w:id="25" w:name="license-c-genomap-pro-proposed-renewal"/>
    <w:p>
      <w:pPr>
        <w:pStyle w:val="Heading3"/>
      </w:pPr>
      <w:r>
        <w:t xml:space="preserve">License C (GenoMap Pro) — Proposed Renewal</w:t>
      </w:r>
    </w:p>
    <w:p>
      <w:pPr>
        <w:pStyle w:val="Compact"/>
        <w:numPr>
          <w:ilvl w:val="0"/>
          <w:numId w:val="1005"/>
        </w:numPr>
      </w:pPr>
      <w:r>
        <w:rPr>
          <w:b/>
          <w:bCs/>
        </w:rPr>
        <w:t xml:space="preserve">Term:</w:t>
      </w:r>
      <w:r>
        <w:t xml:space="preserve"> </w:t>
      </w:r>
      <w:r>
        <w:t xml:space="preserve">3 years (March 1, 2025 – February 28, 2028), with one further 3-year option.</w:t>
      </w:r>
    </w:p>
    <w:p>
      <w:pPr>
        <w:pStyle w:val="Compact"/>
        <w:numPr>
          <w:ilvl w:val="0"/>
          <w:numId w:val="1005"/>
        </w:numPr>
      </w:pPr>
      <w:r>
        <w:rPr>
          <w:b/>
          <w:bCs/>
        </w:rPr>
        <w:t xml:space="preserve">Fee structure:</w:t>
      </w:r>
      <w:r>
        <w:t xml:space="preserve"> </w:t>
      </w:r>
      <w:r>
        <w:t xml:space="preserve">Base annual license fee of</w:t>
      </w:r>
      <w:r>
        <w:t xml:space="preserve"> </w:t>
      </w:r>
      <w:r>
        <w:rPr>
          <w:b/>
          <w:bCs/>
        </w:rPr>
        <w:t xml:space="preserve">$4.8M–$4.85M</w:t>
      </w:r>
      <w:r>
        <w:t xml:space="preserve"> </w:t>
      </w:r>
      <w:r>
        <w:t xml:space="preserve">(the Proposal states $4.8M; our advisors’ analysis models $4.85M) plus a support/maintenance fee (~$305K), a one-time Version 5.x migration fee of $175K, and — per our advisors’ analysis — a</w:t>
      </w:r>
      <w:r>
        <w:t xml:space="preserve"> </w:t>
      </w:r>
      <w:r>
        <w:rPr>
          <w:b/>
          <w:bCs/>
        </w:rPr>
        <w:t xml:space="preserve">50 named-user cap</w:t>
      </w:r>
      <w:r>
        <w:t xml:space="preserve"> </w:t>
      </w:r>
      <w:r>
        <w:t xml:space="preserve">with a</w:t>
      </w:r>
      <w:r>
        <w:t xml:space="preserve"> </w:t>
      </w:r>
      <w:r>
        <w:rPr>
          <w:b/>
          <w:bCs/>
        </w:rPr>
        <w:t xml:space="preserve">$18,500/user overage</w:t>
      </w:r>
      <w:r>
        <w:t xml:space="preserve">. Greenfield currently has 73 users, implying 23 excess users and ~$425,500/year in overage. Total estimated annual cost:</w:t>
      </w:r>
      <w:r>
        <w:t xml:space="preserve"> </w:t>
      </w:r>
      <w:r>
        <w:rPr>
          <w:b/>
          <w:bCs/>
        </w:rPr>
        <w:t xml:space="preserve">~$5.28M</w:t>
      </w:r>
      <w:r>
        <w:t xml:space="preserve"> </w:t>
      </w:r>
      <w:r>
        <w:t xml:space="preserve">(vs. $3.14M current; +68%).</w:t>
      </w:r>
    </w:p>
    <w:p>
      <w:pPr>
        <w:pStyle w:val="Compact"/>
        <w:numPr>
          <w:ilvl w:val="0"/>
          <w:numId w:val="1005"/>
        </w:numPr>
      </w:pPr>
      <w:r>
        <w:rPr>
          <w:b/>
          <w:bCs/>
        </w:rPr>
        <w:t xml:space="preserve">Software version:</w:t>
      </w:r>
      <w:r>
        <w:t xml:space="preserve"> </w:t>
      </w:r>
      <w:r>
        <w:t xml:space="preserve">Transition from Version 4.x to Version 5.x (machine-learning trait prediction, ~22% accuracy improvement; new database schemas; cloud deployment). Version 4.x and 5.x file formats are incompatible without the conversion tool.</w:t>
      </w:r>
    </w:p>
    <w:p>
      <w:pPr>
        <w:pStyle w:val="Compact"/>
        <w:numPr>
          <w:ilvl w:val="0"/>
          <w:numId w:val="1005"/>
        </w:numPr>
      </w:pPr>
      <w:r>
        <w:rPr>
          <w:b/>
          <w:bCs/>
        </w:rPr>
        <w:t xml:space="preserve">Source code access:</w:t>
      </w:r>
      <w:r>
        <w:t xml:space="preserve"> </w:t>
      </w:r>
      <w:r>
        <w:rPr>
          <w:b/>
          <w:bCs/>
        </w:rPr>
        <w:t xml:space="preserve">Eliminated.</w:t>
      </w:r>
      <w:r>
        <w:t xml:space="preserve"> </w:t>
      </w:r>
      <w:r>
        <w:t xml:space="preserve">Greenfield would receive object code only; the existing right to access and internally modify source code (Section 5.2) would be deleted. Source-code escrow is retained. Existing Licensee Modifications would become jointly owned or, at Greenfield’s election, purchased by NovaTrait at fair market value.</w:t>
      </w:r>
    </w:p>
    <w:p>
      <w:pPr>
        <w:pStyle w:val="Compact"/>
        <w:numPr>
          <w:ilvl w:val="0"/>
          <w:numId w:val="1005"/>
        </w:numPr>
      </w:pPr>
      <w:r>
        <w:rPr>
          <w:b/>
          <w:bCs/>
        </w:rPr>
        <w:t xml:space="preserve">Data ownership:</w:t>
      </w:r>
      <w:r>
        <w:t xml:space="preserve"> </w:t>
      </w:r>
      <w:r>
        <w:t xml:space="preserve">A new provision would make</w:t>
      </w:r>
      <w:r>
        <w:t xml:space="preserve"> </w:t>
      </w:r>
      <w:r>
        <w:rPr>
          <w:b/>
          <w:bCs/>
        </w:rPr>
        <w:t xml:space="preserve">NovaTrait the owner of all Derivative Data</w:t>
      </w:r>
      <w:r>
        <w:t xml:space="preserve"> </w:t>
      </w:r>
      <w:r>
        <w:t xml:space="preserve">(outputs/analyses generated by the software), with Greenfield receiving only a non-exclusive, non-transferable license that</w:t>
      </w:r>
      <w:r>
        <w:t xml:space="preserve"> </w:t>
      </w:r>
      <w:r>
        <w:rPr>
          <w:b/>
          <w:bCs/>
        </w:rPr>
        <w:t xml:space="preserve">terminates with the agreement</w:t>
      </w:r>
      <w:r>
        <w:t xml:space="preserve">. This is a material change from the current regime, under which Greenfield owns its Input Data and output ownership is silent.</w:t>
      </w:r>
    </w:p>
    <w:p>
      <w:pPr>
        <w:pStyle w:val="Compact"/>
        <w:numPr>
          <w:ilvl w:val="0"/>
          <w:numId w:val="1005"/>
        </w:numPr>
      </w:pPr>
      <w:r>
        <w:rPr>
          <w:b/>
          <w:bCs/>
        </w:rPr>
        <w:t xml:space="preserve">Input data ownership:</w:t>
      </w:r>
      <w:r>
        <w:t xml:space="preserve"> </w:t>
      </w:r>
      <w:r>
        <w:t xml:space="preserve">Unchanged (Greenfield retains Input Data).</w:t>
      </w:r>
    </w:p>
    <w:bookmarkEnd w:id="25"/>
    <w:bookmarkStart w:id="26" w:name="table-2-license-a-current-vs.-proposed"/>
    <w:p>
      <w:pPr>
        <w:pStyle w:val="Heading3"/>
      </w:pPr>
      <w:r>
        <w:t xml:space="preserve">Table 2 — License A: Current vs. Proposed</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Provision</w:t>
            </w:r>
          </w:p>
        </w:tc>
        <w:tc>
          <w:tcPr/>
          <w:p>
            <w:pPr>
              <w:pStyle w:val="Compact"/>
              <w:jc w:val="left"/>
            </w:pPr>
            <w:r>
              <w:t xml:space="preserve">Current</w:t>
            </w:r>
          </w:p>
        </w:tc>
        <w:tc>
          <w:tcPr/>
          <w:p>
            <w:pPr>
              <w:pStyle w:val="Compact"/>
              <w:jc w:val="left"/>
            </w:pPr>
            <w:r>
              <w:t xml:space="preserve">Proposed</w:t>
            </w:r>
          </w:p>
        </w:tc>
        <w:tc>
          <w:tcPr/>
          <w:p>
            <w:pPr>
              <w:pStyle w:val="Compact"/>
              <w:jc w:val="left"/>
            </w:pPr>
            <w:r>
              <w:t xml:space="preserve">Direction</w:t>
            </w:r>
          </w:p>
        </w:tc>
      </w:tr>
      <w:tr>
        <w:tc>
          <w:tcPr/>
          <w:p>
            <w:pPr>
              <w:pStyle w:val="Compact"/>
              <w:jc w:val="left"/>
            </w:pPr>
            <w:r>
              <w:t xml:space="preserve">Royalty rate (§7.1)</w:t>
            </w:r>
          </w:p>
        </w:tc>
        <w:tc>
          <w:tcPr/>
          <w:p>
            <w:pPr>
              <w:pStyle w:val="Compact"/>
              <w:jc w:val="left"/>
            </w:pPr>
            <w:r>
              <w:t xml:space="preserve">4.5%</w:t>
            </w:r>
          </w:p>
        </w:tc>
        <w:tc>
          <w:tcPr/>
          <w:p>
            <w:pPr>
              <w:pStyle w:val="Compact"/>
              <w:jc w:val="left"/>
            </w:pPr>
            <w:r>
              <w:t xml:space="preserve">6.25%</w:t>
            </w:r>
          </w:p>
        </w:tc>
        <w:tc>
          <w:tcPr/>
          <w:p>
            <w:pPr>
              <w:pStyle w:val="Compact"/>
              <w:jc w:val="left"/>
            </w:pPr>
            <w:r>
              <w:t xml:space="preserve">+38.9%</w:t>
            </w:r>
          </w:p>
        </w:tc>
      </w:tr>
      <w:tr>
        <w:tc>
          <w:tcPr/>
          <w:p>
            <w:pPr>
              <w:pStyle w:val="Compact"/>
              <w:jc w:val="left"/>
            </w:pPr>
            <w:r>
              <w:t xml:space="preserve">Minimum annual royalty (§7.2)</w:t>
            </w:r>
          </w:p>
        </w:tc>
        <w:tc>
          <w:tcPr/>
          <w:p>
            <w:pPr>
              <w:pStyle w:val="Compact"/>
              <w:jc w:val="left"/>
            </w:pPr>
            <w:r>
              <w:t xml:space="preserve">$4,000,000</w:t>
            </w:r>
          </w:p>
        </w:tc>
        <w:tc>
          <w:tcPr/>
          <w:p>
            <w:pPr>
              <w:pStyle w:val="Compact"/>
              <w:jc w:val="left"/>
            </w:pPr>
            <w:r>
              <w:t xml:space="preserve">$8,000,000</w:t>
            </w:r>
          </w:p>
        </w:tc>
        <w:tc>
          <w:tcPr/>
          <w:p>
            <w:pPr>
              <w:pStyle w:val="Compact"/>
              <w:jc w:val="left"/>
            </w:pPr>
            <w:r>
              <w:t xml:space="preserve">+100%</w:t>
            </w:r>
          </w:p>
        </w:tc>
      </w:tr>
      <w:tr>
        <w:tc>
          <w:tcPr/>
          <w:p>
            <w:pPr>
              <w:pStyle w:val="Compact"/>
              <w:jc w:val="left"/>
            </w:pPr>
            <w:r>
              <w:t xml:space="preserve">Net Sales deductions (§1.14)</w:t>
            </w:r>
          </w:p>
        </w:tc>
        <w:tc>
          <w:tcPr/>
          <w:p>
            <w:pPr>
              <w:pStyle w:val="Compact"/>
              <w:jc w:val="left"/>
            </w:pPr>
            <w:r>
              <w:t xml:space="preserve">Includes freight, insurance, returns, bad debt</w:t>
            </w:r>
          </w:p>
        </w:tc>
        <w:tc>
          <w:tcPr/>
          <w:p>
            <w:pPr>
              <w:pStyle w:val="Compact"/>
              <w:jc w:val="left"/>
            </w:pPr>
            <w:r>
              <w:t xml:space="preserve">Only taxes and trade discounts</w:t>
            </w:r>
          </w:p>
        </w:tc>
        <w:tc>
          <w:tcPr/>
          <w:p>
            <w:pPr>
              <w:pStyle w:val="Compact"/>
              <w:jc w:val="left"/>
            </w:pPr>
            <w:r>
              <w:t xml:space="preserve">Narrowed (base +7.2%)</w:t>
            </w:r>
          </w:p>
        </w:tc>
      </w:tr>
      <w:tr>
        <w:tc>
          <w:tcPr/>
          <w:p>
            <w:pPr>
              <w:pStyle w:val="Compact"/>
              <w:jc w:val="left"/>
            </w:pPr>
            <w:r>
              <w:t xml:space="preserve">Field of use — crops</w:t>
            </w:r>
          </w:p>
        </w:tc>
        <w:tc>
          <w:tcPr/>
          <w:p>
            <w:pPr>
              <w:pStyle w:val="Compact"/>
              <w:jc w:val="left"/>
            </w:pPr>
            <w:r>
              <w:t xml:space="preserve">Corn, soybean</w:t>
            </w:r>
          </w:p>
        </w:tc>
        <w:tc>
          <w:tcPr/>
          <w:p>
            <w:pPr>
              <w:pStyle w:val="Compact"/>
              <w:jc w:val="left"/>
            </w:pPr>
            <w:r>
              <w:t xml:space="preserve">Corn, soybean,</w:t>
            </w:r>
            <w:r>
              <w:t xml:space="preserve"> </w:t>
            </w:r>
            <w:r>
              <w:rPr>
                <w:b/>
                <w:bCs/>
              </w:rPr>
              <w:t xml:space="preserve">wheat</w:t>
            </w:r>
          </w:p>
        </w:tc>
        <w:tc>
          <w:tcPr/>
          <w:p>
            <w:pPr>
              <w:pStyle w:val="Compact"/>
              <w:jc w:val="left"/>
            </w:pPr>
            <w:r>
              <w:t xml:space="preserve">Expanded</w:t>
            </w:r>
          </w:p>
        </w:tc>
      </w:tr>
      <w:tr>
        <w:tc>
          <w:tcPr/>
          <w:p>
            <w:pPr>
              <w:pStyle w:val="Compact"/>
              <w:jc w:val="left"/>
            </w:pPr>
            <w:r>
              <w:t xml:space="preserve">Field of use — traits</w:t>
            </w:r>
          </w:p>
        </w:tc>
        <w:tc>
          <w:tcPr/>
          <w:p>
            <w:pPr>
              <w:pStyle w:val="Compact"/>
              <w:jc w:val="left"/>
            </w:pPr>
            <w:r>
              <w:t xml:space="preserve">Herbicide tolerance + insect resistance</w:t>
            </w:r>
          </w:p>
        </w:tc>
        <w:tc>
          <w:tcPr/>
          <w:p>
            <w:pPr>
              <w:pStyle w:val="Compact"/>
              <w:jc w:val="left"/>
            </w:pPr>
            <w:r>
              <w:t xml:space="preserve">Herbicide tolerance</w:t>
            </w:r>
            <w:r>
              <w:t xml:space="preserve"> </w:t>
            </w:r>
            <w:r>
              <w:rPr>
                <w:b/>
                <w:bCs/>
              </w:rPr>
              <w:t xml:space="preserve">only</w:t>
            </w:r>
          </w:p>
        </w:tc>
        <w:tc>
          <w:tcPr/>
          <w:p>
            <w:pPr>
              <w:pStyle w:val="Compact"/>
              <w:jc w:val="left"/>
            </w:pPr>
            <w:r>
              <w:rPr>
                <w:b/>
                <w:bCs/>
              </w:rPr>
              <w:t xml:space="preserve">Narrowed</w:t>
            </w:r>
          </w:p>
        </w:tc>
      </w:tr>
      <w:tr>
        <w:tc>
          <w:tcPr/>
          <w:p>
            <w:pPr>
              <w:pStyle w:val="Compact"/>
              <w:jc w:val="left"/>
            </w:pPr>
            <w:r>
              <w:t xml:space="preserve">Territory</w:t>
            </w:r>
          </w:p>
        </w:tc>
        <w:tc>
          <w:tcPr/>
          <w:p>
            <w:pPr>
              <w:pStyle w:val="Compact"/>
              <w:jc w:val="left"/>
            </w:pPr>
            <w:r>
              <w:t xml:space="preserve">Worldwide ex. China/India</w:t>
            </w:r>
          </w:p>
        </w:tc>
        <w:tc>
          <w:tcPr/>
          <w:p>
            <w:pPr>
              <w:pStyle w:val="Compact"/>
              <w:jc w:val="left"/>
            </w:pPr>
            <w:r>
              <w:t xml:space="preserve">Unchanged</w:t>
            </w:r>
          </w:p>
        </w:tc>
        <w:tc>
          <w:tcPr/>
          <w:p>
            <w:pPr>
              <w:pStyle w:val="Compact"/>
              <w:jc w:val="left"/>
            </w:pPr>
            <w:r>
              <w:t xml:space="preserve">No change</w:t>
            </w:r>
          </w:p>
        </w:tc>
      </w:tr>
      <w:tr>
        <w:tc>
          <w:tcPr/>
          <w:p>
            <w:pPr>
              <w:pStyle w:val="Compact"/>
              <w:jc w:val="left"/>
            </w:pPr>
            <w:r>
              <w:t xml:space="preserve">Sublicense pass-through (§10.3)</w:t>
            </w:r>
          </w:p>
        </w:tc>
        <w:tc>
          <w:tcPr/>
          <w:p>
            <w:pPr>
              <w:pStyle w:val="Compact"/>
              <w:jc w:val="left"/>
            </w:pPr>
            <w:r>
              <w:t xml:space="preserve">35%</w:t>
            </w:r>
          </w:p>
        </w:tc>
        <w:tc>
          <w:tcPr/>
          <w:p>
            <w:pPr>
              <w:pStyle w:val="Compact"/>
              <w:jc w:val="left"/>
            </w:pPr>
            <w:r>
              <w:t xml:space="preserve">50%</w:t>
            </w:r>
          </w:p>
        </w:tc>
        <w:tc>
          <w:tcPr/>
          <w:p>
            <w:pPr>
              <w:pStyle w:val="Compact"/>
              <w:jc w:val="left"/>
            </w:pPr>
            <w:r>
              <w:t xml:space="preserve">+15 pts</w:t>
            </w:r>
          </w:p>
        </w:tc>
      </w:tr>
      <w:tr>
        <w:tc>
          <w:tcPr/>
          <w:p>
            <w:pPr>
              <w:pStyle w:val="Compact"/>
              <w:jc w:val="left"/>
            </w:pPr>
            <w:r>
              <w:t xml:space="preserve">Improvements (§8.1)</w:t>
            </w:r>
          </w:p>
        </w:tc>
        <w:tc>
          <w:tcPr/>
          <w:p>
            <w:pPr>
              <w:pStyle w:val="Compact"/>
              <w:jc w:val="left"/>
            </w:pPr>
            <w:r>
              <w:t xml:space="preserve">Greenfield sole owner; license back at commercial royalty</w:t>
            </w:r>
          </w:p>
        </w:tc>
        <w:tc>
          <w:tcPr/>
          <w:p>
            <w:pPr>
              <w:pStyle w:val="Compact"/>
              <w:jc w:val="left"/>
            </w:pPr>
            <w:r>
              <w:t xml:space="preserve">Jointly owned; royalty-free license to NovaTrait</w:t>
            </w:r>
          </w:p>
        </w:tc>
        <w:tc>
          <w:tcPr/>
          <w:p>
            <w:pPr>
              <w:pStyle w:val="Compact"/>
              <w:jc w:val="left"/>
            </w:pPr>
            <w:r>
              <w:rPr>
                <w:b/>
                <w:bCs/>
              </w:rPr>
              <w:t xml:space="preserve">Reversed</w:t>
            </w:r>
          </w:p>
        </w:tc>
      </w:tr>
      <w:tr>
        <w:tc>
          <w:tcPr/>
          <w:p>
            <w:pPr>
              <w:pStyle w:val="Compact"/>
              <w:jc w:val="left"/>
            </w:pPr>
            <w:r>
              <w:t xml:space="preserve">Anti-stacking offset</w:t>
            </w:r>
          </w:p>
        </w:tc>
        <w:tc>
          <w:tcPr/>
          <w:p>
            <w:pPr>
              <w:pStyle w:val="Compact"/>
              <w:jc w:val="left"/>
            </w:pPr>
            <w:r>
              <w:t xml:space="preserve">None</w:t>
            </w:r>
          </w:p>
        </w:tc>
        <w:tc>
          <w:tcPr/>
          <w:p>
            <w:pPr>
              <w:pStyle w:val="Compact"/>
              <w:jc w:val="left"/>
            </w:pPr>
            <w:r>
              <w:t xml:space="preserve">50% offset; cap 25%/qtr; floor 4.75%</w:t>
            </w:r>
          </w:p>
        </w:tc>
        <w:tc>
          <w:tcPr/>
          <w:p>
            <w:pPr>
              <w:pStyle w:val="Compact"/>
              <w:jc w:val="left"/>
            </w:pPr>
            <w:r>
              <w:t xml:space="preserve">New (beneficial, with caveats)</w:t>
            </w:r>
          </w:p>
        </w:tc>
      </w:tr>
      <w:tr>
        <w:tc>
          <w:tcPr/>
          <w:p>
            <w:pPr>
              <w:pStyle w:val="Compact"/>
              <w:jc w:val="left"/>
            </w:pPr>
            <w:r>
              <w:t xml:space="preserve">Audit (§9.2)</w:t>
            </w:r>
          </w:p>
        </w:tc>
        <w:tc>
          <w:tcPr/>
          <w:p>
            <w:pPr>
              <w:pStyle w:val="Compact"/>
              <w:jc w:val="left"/>
            </w:pPr>
            <w:r>
              <w:t xml:space="preserve">1x/year, 30 days</w:t>
            </w:r>
          </w:p>
        </w:tc>
        <w:tc>
          <w:tcPr/>
          <w:p>
            <w:pPr>
              <w:pStyle w:val="Compact"/>
              <w:jc w:val="left"/>
            </w:pPr>
            <w:r>
              <w:t xml:space="preserve">Unchanged</w:t>
            </w:r>
          </w:p>
        </w:tc>
        <w:tc>
          <w:tcPr/>
          <w:p>
            <w:pPr>
              <w:pStyle w:val="Compact"/>
              <w:jc w:val="left"/>
            </w:pPr>
            <w:r>
              <w:t xml:space="preserve">No change</w:t>
            </w:r>
          </w:p>
        </w:tc>
      </w:tr>
      <w:tr>
        <w:tc>
          <w:tcPr/>
          <w:p>
            <w:pPr>
              <w:pStyle w:val="Compact"/>
              <w:jc w:val="left"/>
            </w:pPr>
            <w:r>
              <w:t xml:space="preserve">Term</w:t>
            </w:r>
          </w:p>
        </w:tc>
        <w:tc>
          <w:tcPr/>
          <w:p>
            <w:pPr>
              <w:pStyle w:val="Compact"/>
              <w:jc w:val="left"/>
            </w:pPr>
            <w:r>
              <w:t xml:space="preserve">10 years (ends 6/30/2025)</w:t>
            </w:r>
          </w:p>
        </w:tc>
        <w:tc>
          <w:tcPr/>
          <w:p>
            <w:pPr>
              <w:pStyle w:val="Compact"/>
              <w:jc w:val="left"/>
            </w:pPr>
            <w:r>
              <w:t xml:space="preserve">5 years (ends 6/30/2030)</w:t>
            </w:r>
          </w:p>
        </w:tc>
        <w:tc>
          <w:tcPr/>
          <w:p>
            <w:pPr>
              <w:pStyle w:val="Compact"/>
              <w:jc w:val="left"/>
            </w:pPr>
            <w:r>
              <w:t xml:space="preserve">Shorter</w:t>
            </w:r>
          </w:p>
        </w:tc>
      </w:tr>
      <w:tr>
        <w:tc>
          <w:tcPr/>
          <w:p>
            <w:pPr>
              <w:pStyle w:val="Compact"/>
              <w:jc w:val="left"/>
            </w:pPr>
            <w:r>
              <w:t xml:space="preserve">Rate cap (§14.3)</w:t>
            </w:r>
          </w:p>
        </w:tc>
        <w:tc>
          <w:tcPr/>
          <w:p>
            <w:pPr>
              <w:pStyle w:val="Compact"/>
              <w:jc w:val="left"/>
            </w:pPr>
            <w:r>
              <w:t xml:space="preserve">150% (6.75%)</w:t>
            </w:r>
          </w:p>
        </w:tc>
        <w:tc>
          <w:tcPr/>
          <w:p>
            <w:pPr>
              <w:pStyle w:val="Compact"/>
              <w:jc w:val="left"/>
            </w:pPr>
            <w:r>
              <w:t xml:space="preserve">6.25% nominal / 6.70% effective</w:t>
            </w:r>
          </w:p>
        </w:tc>
        <w:tc>
          <w:tcPr/>
          <w:p>
            <w:pPr>
              <w:pStyle w:val="Compact"/>
              <w:jc w:val="left"/>
            </w:pPr>
            <w:r>
              <w:t xml:space="preserve">Within cap (barely)</w:t>
            </w:r>
          </w:p>
        </w:tc>
      </w:tr>
    </w:tbl>
    <w:bookmarkEnd w:id="26"/>
    <w:bookmarkStart w:id="27" w:name="table-3-license-b-current-vs.-proposed"/>
    <w:p>
      <w:pPr>
        <w:pStyle w:val="Heading3"/>
      </w:pPr>
      <w:r>
        <w:t xml:space="preserve">Table 3 — License B: Current vs. Proposed</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Provision</w:t>
            </w:r>
          </w:p>
        </w:tc>
        <w:tc>
          <w:tcPr/>
          <w:p>
            <w:pPr>
              <w:pStyle w:val="Compact"/>
              <w:jc w:val="left"/>
            </w:pPr>
            <w:r>
              <w:t xml:space="preserve">Current</w:t>
            </w:r>
          </w:p>
        </w:tc>
        <w:tc>
          <w:tcPr/>
          <w:p>
            <w:pPr>
              <w:pStyle w:val="Compact"/>
              <w:jc w:val="left"/>
            </w:pPr>
            <w:r>
              <w:t xml:space="preserve">Proposed</w:t>
            </w:r>
          </w:p>
        </w:tc>
        <w:tc>
          <w:tcPr/>
          <w:p>
            <w:pPr>
              <w:pStyle w:val="Compact"/>
              <w:jc w:val="left"/>
            </w:pPr>
            <w:r>
              <w:t xml:space="preserve">Direction</w:t>
            </w:r>
          </w:p>
        </w:tc>
      </w:tr>
      <w:tr>
        <w:tc>
          <w:tcPr/>
          <w:p>
            <w:pPr>
              <w:pStyle w:val="Compact"/>
              <w:jc w:val="left"/>
            </w:pPr>
            <w:r>
              <w:t xml:space="preserve">Royalty rate (§4.1)</w:t>
            </w:r>
          </w:p>
        </w:tc>
        <w:tc>
          <w:tcPr/>
          <w:p>
            <w:pPr>
              <w:pStyle w:val="Compact"/>
              <w:jc w:val="left"/>
            </w:pPr>
            <w:r>
              <w:t xml:space="preserve">3.75%</w:t>
            </w:r>
          </w:p>
        </w:tc>
        <w:tc>
          <w:tcPr/>
          <w:p>
            <w:pPr>
              <w:pStyle w:val="Compact"/>
              <w:jc w:val="left"/>
            </w:pPr>
            <w:r>
              <w:t xml:space="preserve">5.0%</w:t>
            </w:r>
          </w:p>
        </w:tc>
        <w:tc>
          <w:tcPr/>
          <w:p>
            <w:pPr>
              <w:pStyle w:val="Compact"/>
              <w:jc w:val="left"/>
            </w:pPr>
            <w:r>
              <w:t xml:space="preserve">+33.3%</w:t>
            </w:r>
          </w:p>
        </w:tc>
      </w:tr>
      <w:tr>
        <w:tc>
          <w:tcPr/>
          <w:p>
            <w:pPr>
              <w:pStyle w:val="Compact"/>
              <w:jc w:val="left"/>
            </w:pPr>
            <w:r>
              <w:t xml:space="preserve">Minimum annual royalty (§4.2)</w:t>
            </w:r>
          </w:p>
        </w:tc>
        <w:tc>
          <w:tcPr/>
          <w:p>
            <w:pPr>
              <w:pStyle w:val="Compact"/>
              <w:jc w:val="left"/>
            </w:pPr>
            <w:r>
              <w:t xml:space="preserve">$2,500,000</w:t>
            </w:r>
          </w:p>
        </w:tc>
        <w:tc>
          <w:tcPr/>
          <w:p>
            <w:pPr>
              <w:pStyle w:val="Compact"/>
              <w:jc w:val="left"/>
            </w:pPr>
            <w:r>
              <w:t xml:space="preserve">$5,000,000</w:t>
            </w:r>
          </w:p>
        </w:tc>
        <w:tc>
          <w:tcPr/>
          <w:p>
            <w:pPr>
              <w:pStyle w:val="Compact"/>
              <w:jc w:val="left"/>
            </w:pPr>
            <w:r>
              <w:t xml:space="preserve">+100%</w:t>
            </w:r>
          </w:p>
        </w:tc>
      </w:tr>
      <w:tr>
        <w:tc>
          <w:tcPr/>
          <w:p>
            <w:pPr>
              <w:pStyle w:val="Compact"/>
              <w:jc w:val="left"/>
            </w:pPr>
            <w:r>
              <w:t xml:space="preserve">Net Sales deductions</w:t>
            </w:r>
          </w:p>
        </w:tc>
        <w:tc>
          <w:tcPr/>
          <w:p>
            <w:pPr>
              <w:pStyle w:val="Compact"/>
              <w:jc w:val="left"/>
            </w:pPr>
            <w:r>
              <w:t xml:space="preserve">Standard</w:t>
            </w:r>
          </w:p>
        </w:tc>
        <w:tc>
          <w:tcPr/>
          <w:p>
            <w:pPr>
              <w:pStyle w:val="Compact"/>
              <w:jc w:val="left"/>
            </w:pPr>
            <w:r>
              <w:t xml:space="preserve">Narrowed (base +6.8%)</w:t>
            </w:r>
          </w:p>
        </w:tc>
        <w:tc>
          <w:tcPr/>
          <w:p>
            <w:pPr>
              <w:pStyle w:val="Compact"/>
              <w:jc w:val="left"/>
            </w:pPr>
            <w:r>
              <w:t xml:space="preserve">Narrowed</w:t>
            </w:r>
          </w:p>
        </w:tc>
      </w:tr>
      <w:tr>
        <w:tc>
          <w:tcPr/>
          <w:p>
            <w:pPr>
              <w:pStyle w:val="Compact"/>
              <w:jc w:val="left"/>
            </w:pPr>
            <w:r>
              <w:t xml:space="preserve">Field of use / territory</w:t>
            </w:r>
          </w:p>
        </w:tc>
        <w:tc>
          <w:tcPr/>
          <w:p>
            <w:pPr>
              <w:pStyle w:val="Compact"/>
              <w:jc w:val="left"/>
            </w:pPr>
            <w:r>
              <w:t xml:space="preserve">Drought + nutrient; corn/soybean/cotton; Western Hemisphere</w:t>
            </w:r>
          </w:p>
        </w:tc>
        <w:tc>
          <w:tcPr/>
          <w:p>
            <w:pPr>
              <w:pStyle w:val="Compact"/>
              <w:jc w:val="left"/>
            </w:pPr>
            <w:r>
              <w:t xml:space="preserve">Unchanged</w:t>
            </w:r>
          </w:p>
        </w:tc>
        <w:tc>
          <w:tcPr/>
          <w:p>
            <w:pPr>
              <w:pStyle w:val="Compact"/>
              <w:jc w:val="left"/>
            </w:pPr>
            <w:r>
              <w:t xml:space="preserve">No change</w:t>
            </w:r>
          </w:p>
        </w:tc>
      </w:tr>
      <w:tr>
        <w:tc>
          <w:tcPr/>
          <w:p>
            <w:pPr>
              <w:pStyle w:val="Compact"/>
              <w:jc w:val="left"/>
            </w:pPr>
            <w:r>
              <w:t xml:space="preserve">Exclusivity</w:t>
            </w:r>
          </w:p>
        </w:tc>
        <w:tc>
          <w:tcPr/>
          <w:p>
            <w:pPr>
              <w:pStyle w:val="Compact"/>
              <w:jc w:val="left"/>
            </w:pPr>
            <w:r>
              <w:t xml:space="preserve">Non-exclusive (since 12/31/2020)</w:t>
            </w:r>
          </w:p>
        </w:tc>
        <w:tc>
          <w:tcPr/>
          <w:p>
            <w:pPr>
              <w:pStyle w:val="Compact"/>
              <w:jc w:val="left"/>
            </w:pPr>
            <w:r>
              <w:t xml:space="preserve">Not addressed</w:t>
            </w:r>
          </w:p>
        </w:tc>
        <w:tc>
          <w:tcPr/>
          <w:p>
            <w:pPr>
              <w:pStyle w:val="Compact"/>
              <w:jc w:val="left"/>
            </w:pPr>
            <w:r>
              <w:t xml:space="preserve">No change</w:t>
            </w:r>
          </w:p>
        </w:tc>
      </w:tr>
      <w:tr>
        <w:tc>
          <w:tcPr/>
          <w:p>
            <w:pPr>
              <w:pStyle w:val="Compact"/>
              <w:jc w:val="left"/>
            </w:pPr>
            <w:r>
              <w:t xml:space="preserve">Sublicense pass-through</w:t>
            </w:r>
          </w:p>
        </w:tc>
        <w:tc>
          <w:tcPr/>
          <w:p>
            <w:pPr>
              <w:pStyle w:val="Compact"/>
              <w:jc w:val="left"/>
            </w:pPr>
            <w:r>
              <w:t xml:space="preserve">None</w:t>
            </w:r>
          </w:p>
        </w:tc>
        <w:tc>
          <w:tcPr/>
          <w:p>
            <w:pPr>
              <w:pStyle w:val="Compact"/>
              <w:jc w:val="left"/>
            </w:pPr>
            <w:r>
              <w:t xml:space="preserve">~40% on Prairielands (new)</w:t>
            </w:r>
          </w:p>
        </w:tc>
        <w:tc>
          <w:tcPr/>
          <w:p>
            <w:pPr>
              <w:pStyle w:val="Compact"/>
              <w:jc w:val="left"/>
            </w:pPr>
            <w:r>
              <w:rPr>
                <w:b/>
                <w:bCs/>
              </w:rPr>
              <w:t xml:space="preserve">New cost</w:t>
            </w:r>
          </w:p>
        </w:tc>
      </w:tr>
      <w:tr>
        <w:tc>
          <w:tcPr/>
          <w:p>
            <w:pPr>
              <w:pStyle w:val="Compact"/>
              <w:jc w:val="left"/>
            </w:pPr>
            <w:r>
              <w:t xml:space="preserve">Audit (§5.2)</w:t>
            </w:r>
          </w:p>
        </w:tc>
        <w:tc>
          <w:tcPr/>
          <w:p>
            <w:pPr>
              <w:pStyle w:val="Compact"/>
              <w:jc w:val="left"/>
            </w:pPr>
            <w:r>
              <w:t xml:space="preserve">1x/year, 30 cal. days, 3-yr look-back</w:t>
            </w:r>
          </w:p>
        </w:tc>
        <w:tc>
          <w:tcPr/>
          <w:p>
            <w:pPr>
              <w:pStyle w:val="Compact"/>
              <w:jc w:val="left"/>
            </w:pPr>
            <w:r>
              <w:t xml:space="preserve">2x/year, 15 bus. days, 5-yr look-back</w:t>
            </w:r>
          </w:p>
        </w:tc>
        <w:tc>
          <w:tcPr/>
          <w:p>
            <w:pPr>
              <w:pStyle w:val="Compact"/>
              <w:jc w:val="left"/>
            </w:pPr>
            <w:r>
              <w:rPr>
                <w:b/>
                <w:bCs/>
              </w:rPr>
              <w:t xml:space="preserve">Expanded</w:t>
            </w:r>
          </w:p>
        </w:tc>
      </w:tr>
      <w:tr>
        <w:tc>
          <w:tcPr/>
          <w:p>
            <w:pPr>
              <w:pStyle w:val="Compact"/>
              <w:jc w:val="left"/>
            </w:pPr>
            <w:r>
              <w:t xml:space="preserve">Biological materials return (§7.4)</w:t>
            </w:r>
          </w:p>
        </w:tc>
        <w:tc>
          <w:tcPr/>
          <w:p>
            <w:pPr>
              <w:pStyle w:val="Compact"/>
              <w:jc w:val="left"/>
            </w:pPr>
            <w:r>
              <w:t xml:space="preserve">90-day wind-down</w:t>
            </w:r>
          </w:p>
        </w:tc>
        <w:tc>
          <w:tcPr/>
          <w:p>
            <w:pPr>
              <w:pStyle w:val="Compact"/>
              <w:jc w:val="left"/>
            </w:pPr>
            <w:r>
              <w:t xml:space="preserve">30 days, no wind-down</w:t>
            </w:r>
          </w:p>
        </w:tc>
        <w:tc>
          <w:tcPr/>
          <w:p>
            <w:pPr>
              <w:pStyle w:val="Compact"/>
              <w:jc w:val="left"/>
            </w:pPr>
            <w:r>
              <w:rPr>
                <w:b/>
                <w:bCs/>
              </w:rPr>
              <w:t xml:space="preserve">Shortened</w:t>
            </w:r>
          </w:p>
        </w:tc>
      </w:tr>
      <w:tr>
        <w:tc>
          <w:tcPr/>
          <w:p>
            <w:pPr>
              <w:pStyle w:val="Compact"/>
              <w:jc w:val="left"/>
            </w:pPr>
            <w:r>
              <w:t xml:space="preserve">Improvements (§8)</w:t>
            </w:r>
          </w:p>
        </w:tc>
        <w:tc>
          <w:tcPr/>
          <w:p>
            <w:pPr>
              <w:pStyle w:val="Compact"/>
              <w:jc w:val="left"/>
            </w:pPr>
            <w:r>
              <w:t xml:space="preserve">Greenfield owns Greenfield Improvements; license back at commercial royalty</w:t>
            </w:r>
          </w:p>
        </w:tc>
        <w:tc>
          <w:tcPr/>
          <w:p>
            <w:pPr>
              <w:pStyle w:val="Compact"/>
              <w:jc w:val="left"/>
            </w:pPr>
            <w:r>
              <w:t xml:space="preserve">Jointly owned; royalty-free license to NovaTrait</w:t>
            </w:r>
          </w:p>
        </w:tc>
        <w:tc>
          <w:tcPr/>
          <w:p>
            <w:pPr>
              <w:pStyle w:val="Compact"/>
              <w:jc w:val="left"/>
            </w:pPr>
            <w:r>
              <w:t xml:space="preserve">Modified</w:t>
            </w:r>
          </w:p>
        </w:tc>
      </w:tr>
      <w:tr>
        <w:tc>
          <w:tcPr/>
          <w:p>
            <w:pPr>
              <w:pStyle w:val="Compact"/>
              <w:jc w:val="left"/>
            </w:pPr>
            <w:r>
              <w:t xml:space="preserve">Standstill (§12.6)</w:t>
            </w:r>
          </w:p>
        </w:tc>
        <w:tc>
          <w:tcPr/>
          <w:p>
            <w:pPr>
              <w:pStyle w:val="Compact"/>
              <w:jc w:val="left"/>
            </w:pPr>
            <w:r>
              <w:t xml:space="preserve">180 days</w:t>
            </w:r>
          </w:p>
        </w:tc>
        <w:tc>
          <w:tcPr/>
          <w:p>
            <w:pPr>
              <w:pStyle w:val="Compact"/>
              <w:jc w:val="left"/>
            </w:pPr>
            <w:r>
              <w:t xml:space="preserve">Retained</w:t>
            </w:r>
          </w:p>
        </w:tc>
        <w:tc>
          <w:tcPr/>
          <w:p>
            <w:pPr>
              <w:pStyle w:val="Compact"/>
              <w:jc w:val="left"/>
            </w:pPr>
            <w:r>
              <w:t xml:space="preserve">Unchanged</w:t>
            </w:r>
          </w:p>
        </w:tc>
      </w:tr>
      <w:tr>
        <w:tc>
          <w:tcPr/>
          <w:p>
            <w:pPr>
              <w:pStyle w:val="Compact"/>
              <w:jc w:val="left"/>
            </w:pPr>
            <w:r>
              <w:t xml:space="preserve">Term</w:t>
            </w:r>
          </w:p>
        </w:tc>
        <w:tc>
          <w:tcPr/>
          <w:p>
            <w:pPr>
              <w:pStyle w:val="Compact"/>
              <w:jc w:val="left"/>
            </w:pPr>
            <w:r>
              <w:t xml:space="preserve">7 years (ended 12/31/2024)</w:t>
            </w:r>
          </w:p>
        </w:tc>
        <w:tc>
          <w:tcPr/>
          <w:p>
            <w:pPr>
              <w:pStyle w:val="Compact"/>
              <w:jc w:val="left"/>
            </w:pPr>
            <w:r>
              <w:t xml:space="preserve">5 years (1/1/2025–12/31/2029)</w:t>
            </w:r>
          </w:p>
        </w:tc>
        <w:tc>
          <w:tcPr/>
          <w:p>
            <w:pPr>
              <w:pStyle w:val="Compact"/>
              <w:jc w:val="left"/>
            </w:pPr>
            <w:r>
              <w:t xml:space="preserve">Renewal</w:t>
            </w:r>
          </w:p>
        </w:tc>
      </w:tr>
      <w:tr>
        <w:tc>
          <w:tcPr/>
          <w:p>
            <w:pPr>
              <w:pStyle w:val="Compact"/>
              <w:jc w:val="left"/>
            </w:pPr>
            <w:r>
              <w:t xml:space="preserve">Rate cap</w:t>
            </w:r>
          </w:p>
        </w:tc>
        <w:tc>
          <w:tcPr/>
          <w:p>
            <w:pPr>
              <w:pStyle w:val="Compact"/>
              <w:jc w:val="left"/>
            </w:pPr>
            <w:r>
              <w:t xml:space="preserve">None</w:t>
            </w:r>
          </w:p>
        </w:tc>
        <w:tc>
          <w:tcPr/>
          <w:p>
            <w:pPr>
              <w:pStyle w:val="Compact"/>
              <w:jc w:val="left"/>
            </w:pPr>
            <w:r>
              <w:t xml:space="preserve">None</w:t>
            </w:r>
          </w:p>
        </w:tc>
        <w:tc>
          <w:tcPr/>
          <w:p>
            <w:pPr>
              <w:pStyle w:val="Compact"/>
              <w:jc w:val="left"/>
            </w:pPr>
            <w:r>
              <w:t xml:space="preserve">N/A</w:t>
            </w:r>
          </w:p>
        </w:tc>
      </w:tr>
    </w:tbl>
    <w:bookmarkEnd w:id="27"/>
    <w:bookmarkStart w:id="28" w:name="table-4-license-c-current-vs.-proposed"/>
    <w:p>
      <w:pPr>
        <w:pStyle w:val="Heading3"/>
      </w:pPr>
      <w:r>
        <w:t xml:space="preserve">Table 4 — License C: Current vs. Proposed</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Provision</w:t>
            </w:r>
          </w:p>
        </w:tc>
        <w:tc>
          <w:tcPr/>
          <w:p>
            <w:pPr>
              <w:pStyle w:val="Compact"/>
              <w:jc w:val="left"/>
            </w:pPr>
            <w:r>
              <w:t xml:space="preserve">Current</w:t>
            </w:r>
          </w:p>
        </w:tc>
        <w:tc>
          <w:tcPr/>
          <w:p>
            <w:pPr>
              <w:pStyle w:val="Compact"/>
              <w:jc w:val="left"/>
            </w:pPr>
            <w:r>
              <w:t xml:space="preserve">Proposed</w:t>
            </w:r>
          </w:p>
        </w:tc>
        <w:tc>
          <w:tcPr/>
          <w:p>
            <w:pPr>
              <w:pStyle w:val="Compact"/>
              <w:jc w:val="left"/>
            </w:pPr>
            <w:r>
              <w:t xml:space="preserve">Direction</w:t>
            </w:r>
          </w:p>
        </w:tc>
      </w:tr>
      <w:tr>
        <w:tc>
          <w:tcPr/>
          <w:p>
            <w:pPr>
              <w:pStyle w:val="Compact"/>
              <w:jc w:val="left"/>
            </w:pPr>
            <w:r>
              <w:t xml:space="preserve">Annual fee</w:t>
            </w:r>
          </w:p>
        </w:tc>
        <w:tc>
          <w:tcPr/>
          <w:p>
            <w:pPr>
              <w:pStyle w:val="Compact"/>
              <w:jc w:val="left"/>
            </w:pPr>
            <w:r>
              <w:t xml:space="preserve">~$3.14M flat, unlimited users</w:t>
            </w:r>
          </w:p>
        </w:tc>
        <w:tc>
          <w:tcPr/>
          <w:p>
            <w:pPr>
              <w:pStyle w:val="Compact"/>
              <w:jc w:val="left"/>
            </w:pPr>
            <w:r>
              <w:t xml:space="preserve">~$5.28M (base + support + overage)</w:t>
            </w:r>
          </w:p>
        </w:tc>
        <w:tc>
          <w:tcPr/>
          <w:p>
            <w:pPr>
              <w:pStyle w:val="Compact"/>
              <w:jc w:val="left"/>
            </w:pPr>
            <w:r>
              <w:t xml:space="preserve">+68%</w:t>
            </w:r>
          </w:p>
        </w:tc>
      </w:tr>
      <w:tr>
        <w:tc>
          <w:tcPr/>
          <w:p>
            <w:pPr>
              <w:pStyle w:val="Compact"/>
              <w:jc w:val="left"/>
            </w:pPr>
            <w:r>
              <w:t xml:space="preserve">One-time costs</w:t>
            </w:r>
          </w:p>
        </w:tc>
        <w:tc>
          <w:tcPr/>
          <w:p>
            <w:pPr>
              <w:pStyle w:val="Compact"/>
              <w:jc w:val="left"/>
            </w:pPr>
            <w:r>
              <w:t xml:space="preserve">None</w:t>
            </w:r>
          </w:p>
        </w:tc>
        <w:tc>
          <w:tcPr/>
          <w:p>
            <w:pPr>
              <w:pStyle w:val="Compact"/>
              <w:jc w:val="left"/>
            </w:pPr>
            <w:r>
              <w:t xml:space="preserve">~$270K (migration + integration)</w:t>
            </w:r>
          </w:p>
        </w:tc>
        <w:tc>
          <w:tcPr/>
          <w:p>
            <w:pPr>
              <w:pStyle w:val="Compact"/>
              <w:jc w:val="left"/>
            </w:pPr>
            <w:r>
              <w:t xml:space="preserve">New</w:t>
            </w:r>
          </w:p>
        </w:tc>
      </w:tr>
      <w:tr>
        <w:tc>
          <w:tcPr/>
          <w:p>
            <w:pPr>
              <w:pStyle w:val="Compact"/>
              <w:jc w:val="left"/>
            </w:pPr>
            <w:r>
              <w:t xml:space="preserve">Software version</w:t>
            </w:r>
          </w:p>
        </w:tc>
        <w:tc>
          <w:tcPr/>
          <w:p>
            <w:pPr>
              <w:pStyle w:val="Compact"/>
              <w:jc w:val="left"/>
            </w:pPr>
            <w:r>
              <w:t xml:space="preserve">4.x</w:t>
            </w:r>
          </w:p>
        </w:tc>
        <w:tc>
          <w:tcPr/>
          <w:p>
            <w:pPr>
              <w:pStyle w:val="Compact"/>
              <w:jc w:val="left"/>
            </w:pPr>
            <w:r>
              <w:t xml:space="preserve">5.x</w:t>
            </w:r>
          </w:p>
        </w:tc>
        <w:tc>
          <w:tcPr/>
          <w:p>
            <w:pPr>
              <w:pStyle w:val="Compact"/>
              <w:jc w:val="left"/>
            </w:pPr>
            <w:r>
              <w:t xml:space="preserve">Upgraded</w:t>
            </w:r>
          </w:p>
        </w:tc>
      </w:tr>
      <w:tr>
        <w:tc>
          <w:tcPr/>
          <w:p>
            <w:pPr>
              <w:pStyle w:val="Compact"/>
              <w:jc w:val="left"/>
            </w:pPr>
            <w:r>
              <w:t xml:space="preserve">Source code access (§5.2)</w:t>
            </w:r>
          </w:p>
        </w:tc>
        <w:tc>
          <w:tcPr/>
          <w:p>
            <w:pPr>
              <w:pStyle w:val="Compact"/>
              <w:jc w:val="left"/>
            </w:pPr>
            <w:r>
              <w:t xml:space="preserve">Granted for internal modification</w:t>
            </w:r>
          </w:p>
        </w:tc>
        <w:tc>
          <w:tcPr/>
          <w:p>
            <w:pPr>
              <w:pStyle w:val="Compact"/>
              <w:jc w:val="left"/>
            </w:pPr>
            <w:r>
              <w:rPr>
                <w:b/>
                <w:bCs/>
              </w:rPr>
              <w:t xml:space="preserve">Eliminated</w:t>
            </w:r>
            <w:r>
              <w:t xml:space="preserve"> </w:t>
            </w:r>
            <w:r>
              <w:t xml:space="preserve">(object code only)</w:t>
            </w:r>
          </w:p>
        </w:tc>
        <w:tc>
          <w:tcPr/>
          <w:p>
            <w:pPr>
              <w:pStyle w:val="Compact"/>
              <w:jc w:val="left"/>
            </w:pPr>
            <w:r>
              <w:rPr>
                <w:b/>
                <w:bCs/>
              </w:rPr>
              <w:t xml:space="preserve">Material adverse</w:t>
            </w:r>
          </w:p>
        </w:tc>
      </w:tr>
      <w:tr>
        <w:tc>
          <w:tcPr/>
          <w:p>
            <w:pPr>
              <w:pStyle w:val="Compact"/>
              <w:jc w:val="left"/>
            </w:pPr>
            <w:r>
              <w:t xml:space="preserve">Source code escrow (§5.3)</w:t>
            </w:r>
          </w:p>
        </w:tc>
        <w:tc>
          <w:tcPr/>
          <w:p>
            <w:pPr>
              <w:pStyle w:val="Compact"/>
              <w:jc w:val="left"/>
            </w:pPr>
            <w:r>
              <w:t xml:space="preserve">Retained</w:t>
            </w:r>
          </w:p>
        </w:tc>
        <w:tc>
          <w:tcPr/>
          <w:p>
            <w:pPr>
              <w:pStyle w:val="Compact"/>
              <w:jc w:val="left"/>
            </w:pPr>
            <w:r>
              <w:t xml:space="preserve">Retained</w:t>
            </w:r>
          </w:p>
        </w:tc>
        <w:tc>
          <w:tcPr/>
          <w:p>
            <w:pPr>
              <w:pStyle w:val="Compact"/>
              <w:jc w:val="left"/>
            </w:pPr>
            <w:r>
              <w:t xml:space="preserve">Unchanged</w:t>
            </w:r>
          </w:p>
        </w:tc>
      </w:tr>
      <w:tr>
        <w:tc>
          <w:tcPr/>
          <w:p>
            <w:pPr>
              <w:pStyle w:val="Compact"/>
              <w:jc w:val="left"/>
            </w:pPr>
            <w:r>
              <w:t xml:space="preserve">Input data ownership (§9.2)</w:t>
            </w:r>
          </w:p>
        </w:tc>
        <w:tc>
          <w:tcPr/>
          <w:p>
            <w:pPr>
              <w:pStyle w:val="Compact"/>
              <w:jc w:val="left"/>
            </w:pPr>
            <w:r>
              <w:t xml:space="preserve">Greenfield</w:t>
            </w:r>
          </w:p>
        </w:tc>
        <w:tc>
          <w:tcPr/>
          <w:p>
            <w:pPr>
              <w:pStyle w:val="Compact"/>
              <w:jc w:val="left"/>
            </w:pPr>
            <w:r>
              <w:t xml:space="preserve">Greenfield</w:t>
            </w:r>
          </w:p>
        </w:tc>
        <w:tc>
          <w:tcPr/>
          <w:p>
            <w:pPr>
              <w:pStyle w:val="Compact"/>
              <w:jc w:val="left"/>
            </w:pPr>
            <w:r>
              <w:t xml:space="preserve">Unchanged</w:t>
            </w:r>
          </w:p>
        </w:tc>
      </w:tr>
      <w:tr>
        <w:tc>
          <w:tcPr/>
          <w:p>
            <w:pPr>
              <w:pStyle w:val="Compact"/>
              <w:jc w:val="left"/>
            </w:pPr>
            <w:r>
              <w:t xml:space="preserve">Derivative data ownership</w:t>
            </w:r>
          </w:p>
        </w:tc>
        <w:tc>
          <w:tcPr/>
          <w:p>
            <w:pPr>
              <w:pStyle w:val="Compact"/>
              <w:jc w:val="left"/>
            </w:pPr>
            <w:r>
              <w:t xml:space="preserve">Silent</w:t>
            </w:r>
          </w:p>
        </w:tc>
        <w:tc>
          <w:tcPr/>
          <w:p>
            <w:pPr>
              <w:pStyle w:val="Compact"/>
              <w:jc w:val="left"/>
            </w:pPr>
            <w:r>
              <w:rPr>
                <w:b/>
                <w:bCs/>
              </w:rPr>
              <w:t xml:space="preserve">NovaTrait</w:t>
            </w:r>
            <w:r>
              <w:t xml:space="preserve">; Greenfield non-exclusive license (terminates)</w:t>
            </w:r>
          </w:p>
        </w:tc>
        <w:tc>
          <w:tcPr/>
          <w:p>
            <w:pPr>
              <w:pStyle w:val="Compact"/>
              <w:jc w:val="left"/>
            </w:pPr>
            <w:r>
              <w:rPr>
                <w:b/>
                <w:bCs/>
              </w:rPr>
              <w:t xml:space="preserve">Material adverse</w:t>
            </w:r>
          </w:p>
        </w:tc>
      </w:tr>
      <w:tr>
        <w:tc>
          <w:tcPr/>
          <w:p>
            <w:pPr>
              <w:pStyle w:val="Compact"/>
              <w:jc w:val="left"/>
            </w:pPr>
            <w:r>
              <w:t xml:space="preserve">User cap</w:t>
            </w:r>
          </w:p>
        </w:tc>
        <w:tc>
          <w:tcPr/>
          <w:p>
            <w:pPr>
              <w:pStyle w:val="Compact"/>
              <w:jc w:val="left"/>
            </w:pPr>
            <w:r>
              <w:t xml:space="preserve">Unlimited</w:t>
            </w:r>
          </w:p>
        </w:tc>
        <w:tc>
          <w:tcPr/>
          <w:p>
            <w:pPr>
              <w:pStyle w:val="Compact"/>
              <w:jc w:val="left"/>
            </w:pPr>
            <w:r>
              <w:t xml:space="preserve">50 (overage $18,500/user)</w:t>
            </w:r>
          </w:p>
        </w:tc>
        <w:tc>
          <w:tcPr/>
          <w:p>
            <w:pPr>
              <w:pStyle w:val="Compact"/>
              <w:jc w:val="left"/>
            </w:pPr>
            <w:r>
              <w:rPr>
                <w:b/>
                <w:bCs/>
              </w:rPr>
              <w:t xml:space="preserve">New cost</w:t>
            </w:r>
          </w:p>
        </w:tc>
      </w:tr>
      <w:tr>
        <w:tc>
          <w:tcPr/>
          <w:p>
            <w:pPr>
              <w:pStyle w:val="Compact"/>
              <w:jc w:val="left"/>
            </w:pPr>
            <w:r>
              <w:t xml:space="preserve">Term</w:t>
            </w:r>
          </w:p>
        </w:tc>
        <w:tc>
          <w:tcPr/>
          <w:p>
            <w:pPr>
              <w:pStyle w:val="Compact"/>
              <w:jc w:val="left"/>
            </w:pPr>
            <w:r>
              <w:t xml:space="preserve">5 years (ends 2/28/2025)</w:t>
            </w:r>
          </w:p>
        </w:tc>
        <w:tc>
          <w:tcPr/>
          <w:p>
            <w:pPr>
              <w:pStyle w:val="Compact"/>
              <w:jc w:val="left"/>
            </w:pPr>
            <w:r>
              <w:t xml:space="preserve">3 years (ends 2/28/2028)</w:t>
            </w:r>
          </w:p>
        </w:tc>
        <w:tc>
          <w:tcPr/>
          <w:p>
            <w:pPr>
              <w:pStyle w:val="Compact"/>
              <w:jc w:val="left"/>
            </w:pPr>
            <w:r>
              <w:t xml:space="preserve">Shorter</w:t>
            </w:r>
          </w:p>
        </w:tc>
      </w:tr>
      <w:tr>
        <w:tc>
          <w:tcPr/>
          <w:p>
            <w:pPr>
              <w:pStyle w:val="Compact"/>
              <w:jc w:val="left"/>
            </w:pPr>
            <w:r>
              <w:t xml:space="preserve">Audit (§4.6)</w:t>
            </w:r>
          </w:p>
        </w:tc>
        <w:tc>
          <w:tcPr/>
          <w:p>
            <w:pPr>
              <w:pStyle w:val="Compact"/>
              <w:jc w:val="left"/>
            </w:pPr>
            <w:r>
              <w:t xml:space="preserve">1x/year, 30 days</w:t>
            </w:r>
          </w:p>
        </w:tc>
        <w:tc>
          <w:tcPr/>
          <w:p>
            <w:pPr>
              <w:pStyle w:val="Compact"/>
              <w:jc w:val="left"/>
            </w:pPr>
            <w:r>
              <w:t xml:space="preserve">Unchanged</w:t>
            </w:r>
          </w:p>
        </w:tc>
        <w:tc>
          <w:tcPr/>
          <w:p>
            <w:pPr>
              <w:pStyle w:val="Compact"/>
              <w:jc w:val="left"/>
            </w:pPr>
            <w:r>
              <w:t xml:space="preserve">No change</w:t>
            </w:r>
          </w:p>
        </w:tc>
      </w:tr>
    </w:tbl>
    <w:p>
      <w:r>
        <w:pict>
          <v:rect style="width:0;height:1.5pt" o:hralign="center" o:hrstd="t" o:hr="t"/>
        </w:pict>
      </w:r>
    </w:p>
    <w:bookmarkEnd w:id="28"/>
    <w:bookmarkEnd w:id="29"/>
    <w:bookmarkStart w:id="35" w:name="iv.-financial-impact-analysis"/>
    <w:p>
      <w:pPr>
        <w:pStyle w:val="Heading2"/>
      </w:pPr>
      <w:r>
        <w:t xml:space="preserve">IV. Financial Impact Analysis</w:t>
      </w:r>
    </w:p>
    <w:p>
      <w:pPr>
        <w:pStyle w:val="FirstParagraph"/>
      </w:pPr>
      <w:r>
        <w:t xml:space="preserve">Our financial advisors (Ridgemont / Oakvale Advisory Group) have modeled the Proposal against Greenfield’s actual FY 2024 results and management growth assumptions (5% for License A; 4% for License B). The principal findings follow.</w:t>
      </w:r>
    </w:p>
    <w:bookmarkStart w:id="30" w:name="a.-aggregate-impact"/>
    <w:p>
      <w:pPr>
        <w:pStyle w:val="Heading3"/>
      </w:pPr>
      <w:r>
        <w:t xml:space="preserve">A. Aggregate Impact</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Item</w:t>
            </w:r>
          </w:p>
        </w:tc>
        <w:tc>
          <w:tcPr/>
          <w:p>
            <w:pPr>
              <w:pStyle w:val="Compact"/>
              <w:jc w:val="left"/>
            </w:pPr>
            <w:r>
              <w:t xml:space="preserve">Current Annualized</w:t>
            </w:r>
          </w:p>
        </w:tc>
        <w:tc>
          <w:tcPr/>
          <w:p>
            <w:pPr>
              <w:pStyle w:val="Compact"/>
              <w:jc w:val="left"/>
            </w:pPr>
            <w:r>
              <w:t xml:space="preserve">Proposed (Year 1)</w:t>
            </w:r>
          </w:p>
        </w:tc>
        <w:tc>
          <w:tcPr/>
          <w:p>
            <w:pPr>
              <w:pStyle w:val="Compact"/>
              <w:jc w:val="left"/>
            </w:pPr>
            <w:r>
              <w:t xml:space="preserve">Change</w:t>
            </w:r>
          </w:p>
        </w:tc>
      </w:tr>
      <w:tr>
        <w:tc>
          <w:tcPr/>
          <w:p>
            <w:pPr>
              <w:pStyle w:val="Compact"/>
              <w:jc w:val="left"/>
            </w:pPr>
            <w:r>
              <w:t xml:space="preserve">License A (royalties + MAR)</w:t>
            </w:r>
          </w:p>
        </w:tc>
        <w:tc>
          <w:tcPr/>
          <w:p>
            <w:pPr>
              <w:pStyle w:val="Compact"/>
              <w:jc w:val="left"/>
            </w:pPr>
            <w:r>
              <w:t xml:space="preserve">~$9.12M</w:t>
            </w:r>
          </w:p>
        </w:tc>
        <w:tc>
          <w:tcPr/>
          <w:p>
            <w:pPr>
              <w:pStyle w:val="Compact"/>
              <w:jc w:val="left"/>
            </w:pPr>
            <w:r>
              <w:t xml:space="preserve">~$13.58M</w:t>
            </w:r>
          </w:p>
        </w:tc>
        <w:tc>
          <w:tcPr/>
          <w:p>
            <w:pPr>
              <w:pStyle w:val="Compact"/>
              <w:jc w:val="left"/>
            </w:pPr>
            <w:r>
              <w:t xml:space="preserve">+$4.46M</w:t>
            </w:r>
          </w:p>
        </w:tc>
      </w:tr>
      <w:tr>
        <w:tc>
          <w:tcPr/>
          <w:p>
            <w:pPr>
              <w:pStyle w:val="Compact"/>
              <w:jc w:val="left"/>
            </w:pPr>
            <w:r>
              <w:t xml:space="preserve">License B (royalties + MAR)</w:t>
            </w:r>
          </w:p>
        </w:tc>
        <w:tc>
          <w:tcPr/>
          <w:p>
            <w:pPr>
              <w:pStyle w:val="Compact"/>
              <w:jc w:val="left"/>
            </w:pPr>
            <w:r>
              <w:t xml:space="preserve">~$6.38M</w:t>
            </w:r>
          </w:p>
        </w:tc>
        <w:tc>
          <w:tcPr/>
          <w:p>
            <w:pPr>
              <w:pStyle w:val="Compact"/>
              <w:jc w:val="left"/>
            </w:pPr>
            <w:r>
              <w:t xml:space="preserve">~$9.09M</w:t>
            </w:r>
          </w:p>
        </w:tc>
        <w:tc>
          <w:tcPr/>
          <w:p>
            <w:pPr>
              <w:pStyle w:val="Compact"/>
              <w:jc w:val="left"/>
            </w:pPr>
            <w:r>
              <w:t xml:space="preserve">+$2.71M</w:t>
            </w:r>
          </w:p>
        </w:tc>
      </w:tr>
      <w:tr>
        <w:tc>
          <w:tcPr/>
          <w:p>
            <w:pPr>
              <w:pStyle w:val="Compact"/>
              <w:jc w:val="left"/>
            </w:pPr>
            <w:r>
              <w:t xml:space="preserve">License C (fees)</w:t>
            </w:r>
          </w:p>
        </w:tc>
        <w:tc>
          <w:tcPr/>
          <w:p>
            <w:pPr>
              <w:pStyle w:val="Compact"/>
              <w:jc w:val="left"/>
            </w:pPr>
            <w:r>
              <w:t xml:space="preserve">~$3.14M</w:t>
            </w:r>
          </w:p>
        </w:tc>
        <w:tc>
          <w:tcPr/>
          <w:p>
            <w:pPr>
              <w:pStyle w:val="Compact"/>
              <w:jc w:val="left"/>
            </w:pPr>
            <w:r>
              <w:t xml:space="preserve">~$5.28M</w:t>
            </w:r>
          </w:p>
        </w:tc>
        <w:tc>
          <w:tcPr/>
          <w:p>
            <w:pPr>
              <w:pStyle w:val="Compact"/>
              <w:jc w:val="left"/>
            </w:pPr>
            <w:r>
              <w:t xml:space="preserve">+$2.14M</w:t>
            </w:r>
          </w:p>
        </w:tc>
      </w:tr>
      <w:tr>
        <w:tc>
          <w:tcPr/>
          <w:p>
            <w:pPr>
              <w:pStyle w:val="Compact"/>
              <w:jc w:val="left"/>
            </w:pPr>
            <w:r>
              <w:rPr>
                <w:b/>
                <w:bCs/>
              </w:rPr>
              <w:t xml:space="preserve">Total</w:t>
            </w:r>
          </w:p>
        </w:tc>
        <w:tc>
          <w:tcPr/>
          <w:p>
            <w:pPr>
              <w:pStyle w:val="Compact"/>
              <w:jc w:val="left"/>
            </w:pPr>
            <w:r>
              <w:rPr>
                <w:b/>
                <w:bCs/>
              </w:rPr>
              <w:t xml:space="preserve">~$18.64M</w:t>
            </w:r>
          </w:p>
        </w:tc>
        <w:tc>
          <w:tcPr/>
          <w:p>
            <w:pPr>
              <w:pStyle w:val="Compact"/>
              <w:jc w:val="left"/>
            </w:pPr>
            <w:r>
              <w:rPr>
                <w:b/>
                <w:bCs/>
              </w:rPr>
              <w:t xml:space="preserve">~$27.95M</w:t>
            </w:r>
          </w:p>
        </w:tc>
        <w:tc>
          <w:tcPr/>
          <w:p>
            <w:pPr>
              <w:pStyle w:val="Compact"/>
              <w:jc w:val="left"/>
            </w:pPr>
            <w:r>
              <w:rPr>
                <w:b/>
                <w:bCs/>
              </w:rPr>
              <w:t xml:space="preserve">+$9.31M (+49.9%)</w:t>
            </w:r>
          </w:p>
        </w:tc>
      </w:tr>
      <w:tr>
        <w:tc>
          <w:tcPr/>
          <w:p>
            <w:pPr>
              <w:pStyle w:val="Compact"/>
              <w:jc w:val="left"/>
            </w:pPr>
            <w:r>
              <w:t xml:space="preserve">As % of FY 2024 revenue ($387.2M)</w:t>
            </w:r>
          </w:p>
        </w:tc>
        <w:tc>
          <w:tcPr/>
          <w:p>
            <w:pPr>
              <w:pStyle w:val="Compact"/>
              <w:jc w:val="left"/>
            </w:pPr>
            <w:r>
              <w:t xml:space="preserve">4.81%</w:t>
            </w:r>
          </w:p>
        </w:tc>
        <w:tc>
          <w:tcPr/>
          <w:p>
            <w:pPr>
              <w:pStyle w:val="Compact"/>
              <w:jc w:val="left"/>
            </w:pPr>
            <w:r>
              <w:t xml:space="preserve">7.22%</w:t>
            </w:r>
          </w:p>
        </w:tc>
        <w:tc>
          <w:tcPr/>
          <w:p>
            <w:pPr>
              <w:pStyle w:val="Compact"/>
              <w:jc w:val="left"/>
            </w:pPr>
            <w:r>
              <w:t xml:space="preserve">+2.41 pts</w:t>
            </w:r>
          </w:p>
        </w:tc>
      </w:tr>
    </w:tbl>
    <w:p>
      <w:pPr>
        <w:pStyle w:val="BodyText"/>
      </w:pPr>
      <w:r>
        <w:t xml:space="preserve">Over the proposed renewal terms, the cumulative incremental cost is substantial:</w:t>
      </w:r>
    </w:p>
    <w:p>
      <w:pPr>
        <w:pStyle w:val="Compact"/>
        <w:numPr>
          <w:ilvl w:val="0"/>
          <w:numId w:val="1006"/>
        </w:numPr>
      </w:pPr>
      <w:r>
        <w:rPr>
          <w:b/>
          <w:bCs/>
        </w:rPr>
        <w:t xml:space="preserve">License A:</w:t>
      </w:r>
      <w:r>
        <w:t xml:space="preserve"> </w:t>
      </w:r>
      <w:r>
        <w:t xml:space="preserve">~$31.8M cumulative incremental royalty over the five-year renewal (FY 2025–2030, base-case 5% growth).</w:t>
      </w:r>
    </w:p>
    <w:p>
      <w:pPr>
        <w:pStyle w:val="Compact"/>
        <w:numPr>
          <w:ilvl w:val="0"/>
          <w:numId w:val="1006"/>
        </w:numPr>
      </w:pPr>
      <w:r>
        <w:rPr>
          <w:b/>
          <w:bCs/>
        </w:rPr>
        <w:t xml:space="preserve">License B:</w:t>
      </w:r>
      <w:r>
        <w:t xml:space="preserve"> </w:t>
      </w:r>
      <w:r>
        <w:t xml:space="preserve">~$15.3M cumulative direct incremental royalty over five years (FY 2025–2029, 4% growth); rising to</w:t>
      </w:r>
      <w:r>
        <w:t xml:space="preserve"> </w:t>
      </w:r>
      <w:r>
        <w:rPr>
          <w:b/>
          <w:bCs/>
        </w:rPr>
        <w:t xml:space="preserve">~$42.3M cumulative</w:t>
      </w:r>
      <w:r>
        <w:t xml:space="preserve"> </w:t>
      </w:r>
      <w:r>
        <w:t xml:space="preserve">when the new ~40% Prairielands pass-through is included.</w:t>
      </w:r>
    </w:p>
    <w:p>
      <w:pPr>
        <w:pStyle w:val="Compact"/>
        <w:numPr>
          <w:ilvl w:val="0"/>
          <w:numId w:val="1006"/>
        </w:numPr>
      </w:pPr>
      <w:r>
        <w:rPr>
          <w:b/>
          <w:bCs/>
        </w:rPr>
        <w:t xml:space="preserve">License C:</w:t>
      </w:r>
      <w:r>
        <w:t xml:space="preserve"> </w:t>
      </w:r>
      <w:r>
        <w:t xml:space="preserve">~$6.68M incremental over the three-year term (three-year total cost of ownership rising from $9.42M to ~$16.10M, +70.9%).</w:t>
      </w:r>
    </w:p>
    <w:bookmarkEnd w:id="30"/>
    <w:bookmarkStart w:id="31" w:name="Xaa0cc5c7191e3d7b405d42f018a5611d7303c76"/>
    <w:p>
      <w:pPr>
        <w:pStyle w:val="Heading3"/>
      </w:pPr>
      <w:r>
        <w:t xml:space="preserve">B. The Net Sales Redefinition Is a Hidden Rate Increase</w:t>
      </w:r>
    </w:p>
    <w:p>
      <w:pPr>
        <w:pStyle w:val="FirstParagraph"/>
      </w:pPr>
      <w:r>
        <w:t xml:space="preserve">The most easily overlooked element of the Proposal is the narrowing of the Net Sales definition for Licenses A and B. By eliminating deductions for freight/insurance, returns/recalls/chargebacks, and bad-debt write-offs, NovaTrait expands the royalty base by an estimated</w:t>
      </w:r>
      <w:r>
        <w:t xml:space="preserve"> </w:t>
      </w:r>
      <w:r>
        <w:rPr>
          <w:b/>
          <w:bCs/>
        </w:rPr>
        <w:t xml:space="preserve">7.2% (License A)</w:t>
      </w:r>
      <w:r>
        <w:t xml:space="preserve"> </w:t>
      </w:r>
      <w:r>
        <w:t xml:space="preserve">and</w:t>
      </w:r>
      <w:r>
        <w:t xml:space="preserve"> </w:t>
      </w:r>
      <w:r>
        <w:rPr>
          <w:b/>
          <w:bCs/>
        </w:rPr>
        <w:t xml:space="preserve">6.8% (License B)</w:t>
      </w:r>
      <w:r>
        <w:t xml:space="preserve"> </w:t>
      </w:r>
      <w:r>
        <w:t xml:space="preserve">without changing the nominal rate. Measured against the</w:t>
      </w:r>
      <w:r>
        <w:t xml:space="preserve"> </w:t>
      </w:r>
      <w:r>
        <w:rPr>
          <w:i/>
          <w:iCs/>
        </w:rPr>
        <w:t xml:space="preserve">original</w:t>
      </w:r>
      <w:r>
        <w:t xml:space="preserve"> </w:t>
      </w:r>
      <w:r>
        <w:t xml:space="preserve">Net Sales base, the proposed rates translate into materially higher</w:t>
      </w:r>
      <w:r>
        <w:t xml:space="preserve"> </w:t>
      </w:r>
      <w:r>
        <w:rPr>
          <w:i/>
          <w:iCs/>
        </w:rPr>
        <w:t xml:space="preserve">effective</w:t>
      </w:r>
      <w:r>
        <w:t xml:space="preserve"> </w:t>
      </w:r>
      <w:r>
        <w:t xml:space="preserve">rates: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License</w:t>
            </w:r>
          </w:p>
        </w:tc>
        <w:tc>
          <w:tcPr/>
          <w:p>
            <w:pPr>
              <w:pStyle w:val="Compact"/>
              <w:jc w:val="left"/>
            </w:pPr>
            <w:r>
              <w:t xml:space="preserve">Nominal proposed rate</w:t>
            </w:r>
          </w:p>
        </w:tc>
        <w:tc>
          <w:tcPr/>
          <w:p>
            <w:pPr>
              <w:pStyle w:val="Compact"/>
              <w:jc w:val="left"/>
            </w:pPr>
            <w:r>
              <w:t xml:space="preserve">Effective rate on original Net Sales base</w:t>
            </w:r>
          </w:p>
        </w:tc>
        <w:tc>
          <w:tcPr/>
          <w:p>
            <w:pPr>
              <w:pStyle w:val="Compact"/>
              <w:jc w:val="left"/>
            </w:pPr>
            <w:r>
              <w:t xml:space="preserve">As % of current rate</w:t>
            </w:r>
          </w:p>
        </w:tc>
      </w:tr>
      <w:tr>
        <w:tc>
          <w:tcPr/>
          <w:p>
            <w:pPr>
              <w:pStyle w:val="Compact"/>
              <w:jc w:val="left"/>
            </w:pPr>
            <w:r>
              <w:t xml:space="preserve">A</w:t>
            </w:r>
          </w:p>
        </w:tc>
        <w:tc>
          <w:tcPr/>
          <w:p>
            <w:pPr>
              <w:pStyle w:val="Compact"/>
              <w:jc w:val="left"/>
            </w:pPr>
            <w:r>
              <w:t xml:space="preserve">6.25%</w:t>
            </w:r>
          </w:p>
        </w:tc>
        <w:tc>
          <w:tcPr/>
          <w:p>
            <w:pPr>
              <w:pStyle w:val="Compact"/>
              <w:jc w:val="left"/>
            </w:pPr>
            <w:r>
              <w:rPr>
                <w:b/>
                <w:bCs/>
              </w:rPr>
              <w:t xml:space="preserve">6.70%</w:t>
            </w:r>
            <w:r>
              <w:t xml:space="preserve"> </w:t>
            </w:r>
            <w:r>
              <w:t xml:space="preserve">($217.26M × 6.25% ÷ $202.67M)</w:t>
            </w:r>
          </w:p>
        </w:tc>
        <w:tc>
          <w:tcPr/>
          <w:p>
            <w:pPr>
              <w:pStyle w:val="Compact"/>
              <w:jc w:val="left"/>
            </w:pPr>
            <w:r>
              <w:t xml:space="preserve">148.9%</w:t>
            </w:r>
          </w:p>
        </w:tc>
      </w:tr>
      <w:tr>
        <w:tc>
          <w:tcPr/>
          <w:p>
            <w:pPr>
              <w:pStyle w:val="Compact"/>
              <w:jc w:val="left"/>
            </w:pPr>
            <w:r>
              <w:t xml:space="preserve">B</w:t>
            </w:r>
          </w:p>
        </w:tc>
        <w:tc>
          <w:tcPr/>
          <w:p>
            <w:pPr>
              <w:pStyle w:val="Compact"/>
              <w:jc w:val="left"/>
            </w:pPr>
            <w:r>
              <w:t xml:space="preserve">5.0%</w:t>
            </w:r>
          </w:p>
        </w:tc>
        <w:tc>
          <w:tcPr/>
          <w:p>
            <w:pPr>
              <w:pStyle w:val="Compact"/>
              <w:jc w:val="left"/>
            </w:pPr>
            <w:r>
              <w:rPr>
                <w:b/>
                <w:bCs/>
              </w:rPr>
              <w:t xml:space="preserve">5.34%</w:t>
            </w:r>
            <w:r>
              <w:t xml:space="preserve"> </w:t>
            </w:r>
            <w:r>
              <w:t xml:space="preserve">($181.70M × 5.0% ÷ $170.13M)</w:t>
            </w:r>
          </w:p>
        </w:tc>
        <w:tc>
          <w:tcPr/>
          <w:p>
            <w:pPr>
              <w:pStyle w:val="Compact"/>
              <w:jc w:val="left"/>
            </w:pPr>
            <w:r>
              <w:t xml:space="preserve">142.4%</w:t>
            </w:r>
          </w:p>
        </w:tc>
      </w:tr>
    </w:tbl>
    <w:bookmarkEnd w:id="31"/>
    <w:bookmarkStart w:id="32" w:name="Xe8999e88db937f2c5d7433a988e516a22fc22f3"/>
    <w:p>
      <w:pPr>
        <w:pStyle w:val="Heading3"/>
      </w:pPr>
      <w:r>
        <w:t xml:space="preserve">C. Section 14.3 Rate-Cap Analysis (License A)</w:t>
      </w:r>
    </w:p>
    <w:p>
      <w:pPr>
        <w:pStyle w:val="FirstParagraph"/>
      </w:pPr>
      <w:r>
        <w:t xml:space="preserve">License A is the only agreement containing a rate cap. Section 14.3(a) provides that any royalty-rate increase exceeding</w:t>
      </w:r>
      <w:r>
        <w:t xml:space="preserve"> </w:t>
      </w:r>
      <w:r>
        <w:rPr>
          <w:b/>
          <w:bCs/>
        </w:rPr>
        <w:t xml:space="preserve">150% of the then-current rate</w:t>
      </w:r>
      <w:r>
        <w:t xml:space="preserve"> </w:t>
      </w:r>
      <w:r>
        <w:t xml:space="preserve">(i.e., above 6.75%) requires completion of an independent fair-market-value (IFMV) assessment. The analysis:</w:t>
      </w:r>
    </w:p>
    <w:p>
      <w:pPr>
        <w:pStyle w:val="Compact"/>
        <w:numPr>
          <w:ilvl w:val="0"/>
          <w:numId w:val="1007"/>
        </w:numPr>
      </w:pPr>
      <w:r>
        <w:rPr>
          <w:b/>
          <w:bCs/>
        </w:rPr>
        <w:t xml:space="preserve">Nominal rate:</w:t>
      </w:r>
      <w:r>
        <w:t xml:space="preserve"> </w:t>
      </w:r>
      <w:r>
        <w:t xml:space="preserve">6.25% is below the 6.75% cap — facially compliant.</w:t>
      </w:r>
    </w:p>
    <w:p>
      <w:pPr>
        <w:pStyle w:val="Compact"/>
        <w:numPr>
          <w:ilvl w:val="0"/>
          <w:numId w:val="1007"/>
        </w:numPr>
      </w:pPr>
      <w:r>
        <w:rPr>
          <w:b/>
          <w:bCs/>
        </w:rPr>
        <w:t xml:space="preserve">Effective rate:</w:t>
      </w:r>
      <w:r>
        <w:t xml:space="preserve"> </w:t>
      </w:r>
      <w:r>
        <w:t xml:space="preserve">6.70% on the original base equals 148.9% of the current rate —</w:t>
      </w:r>
      <w:r>
        <w:t xml:space="preserve"> </w:t>
      </w:r>
      <w:r>
        <w:rPr>
          <w:i/>
          <w:iCs/>
        </w:rPr>
        <w:t xml:space="preserve">within</w:t>
      </w:r>
      <w:r>
        <w:t xml:space="preserve"> </w:t>
      </w:r>
      <w:r>
        <w:t xml:space="preserve">the 150% cap, but with only ~1.1 percentage points of headroom.</w:t>
      </w:r>
    </w:p>
    <w:p>
      <w:pPr>
        <w:pStyle w:val="Compact"/>
        <w:numPr>
          <w:ilvl w:val="0"/>
          <w:numId w:val="1007"/>
        </w:numPr>
      </w:pPr>
      <w:r>
        <w:rPr>
          <w:b/>
          <w:bCs/>
        </w:rPr>
        <w:t xml:space="preserve">Legal ambiguity:</w:t>
      </w:r>
      <w:r>
        <w:t xml:space="preserve"> </w:t>
      </w:r>
      <w:r>
        <w:t xml:space="preserve">Section 14.3 refers to the</w:t>
      </w:r>
      <w:r>
        <w:t xml:space="preserve"> </w:t>
      </w:r>
      <w:r>
        <w:t xml:space="preserve">“</w:t>
      </w:r>
      <w:r>
        <w:t xml:space="preserve">royalty rate.</w:t>
      </w:r>
      <w:r>
        <w:t xml:space="preserve">”</w:t>
      </w:r>
      <w:r>
        <w:t xml:space="preserve"> </w:t>
      </w:r>
      <w:r>
        <w:t xml:space="preserve">It is arguable whether the Net Sales redefinition — which produces an effective economic burden of 6.70% — should be measured against the 150% cap. If the redefinition is treated as part of the</w:t>
      </w:r>
      <w:r>
        <w:t xml:space="preserve"> </w:t>
      </w:r>
      <w:r>
        <w:t xml:space="preserve">“</w:t>
      </w:r>
      <w:r>
        <w:t xml:space="preserve">rate,</w:t>
      </w:r>
      <w:r>
        <w:t xml:space="preserve">”</w:t>
      </w:r>
      <w:r>
        <w:t xml:space="preserve"> </w:t>
      </w:r>
      <w:r>
        <w:t xml:space="preserve">the Proposal sits just inside the cap; if a further increase or base expansion were sought, an IFMV assessment would be triggered.</w:t>
      </w:r>
    </w:p>
    <w:p>
      <w:pPr>
        <w:pStyle w:val="Compact"/>
        <w:numPr>
          <w:ilvl w:val="0"/>
          <w:numId w:val="1007"/>
        </w:numPr>
      </w:pPr>
      <w:r>
        <w:rPr>
          <w:b/>
          <w:bCs/>
        </w:rPr>
        <w:t xml:space="preserve">Even if within the cap, acceptance is not mandatory.</w:t>
      </w:r>
      <w:r>
        <w:t xml:space="preserve"> </w:t>
      </w:r>
      <w:r>
        <w:t xml:space="preserve">Section 14.3 states that any increase must be</w:t>
      </w:r>
      <w:r>
        <w:t xml:space="preserve"> </w:t>
      </w:r>
      <w:r>
        <w:t xml:space="preserve">“</w:t>
      </w:r>
      <w:r>
        <w:t xml:space="preserve">by mutual agreement.</w:t>
      </w:r>
      <w:r>
        <w:t xml:space="preserve">”</w:t>
      </w:r>
      <w:r>
        <w:t xml:space="preserve"> </w:t>
      </w:r>
      <w:r>
        <w:t xml:space="preserve">The cap is a ceiling on what may be agreed</w:t>
      </w:r>
      <w:r>
        <w:t xml:space="preserve"> </w:t>
      </w:r>
      <w:r>
        <w:rPr>
          <w:i/>
          <w:iCs/>
        </w:rPr>
        <w:t xml:space="preserve">without</w:t>
      </w:r>
      <w:r>
        <w:t xml:space="preserve"> </w:t>
      </w:r>
      <w:r>
        <w:t xml:space="preserve">an IFMV assessment; it is not an entitlement for NovaTrait. Greenfield remains free to reject any increase and to insist on an IFMV assessment (the 2020 Clarendon landscape analysis may serve as a starting point, though it should be updated).</w:t>
      </w:r>
    </w:p>
    <w:p>
      <w:pPr>
        <w:pStyle w:val="Compact"/>
        <w:numPr>
          <w:ilvl w:val="0"/>
          <w:numId w:val="1007"/>
        </w:numPr>
      </w:pPr>
      <w:r>
        <w:rPr>
          <w:b/>
          <w:bCs/>
        </w:rPr>
        <w:t xml:space="preserve">Licenses B and C have no rate-cap provisions</w:t>
      </w:r>
      <w:r>
        <w:t xml:space="preserve">, so there is no analogous constraint on NovaTrait’s asks — making market comparables and switching-cost analysis the primary counter-leverage.</w:t>
      </w:r>
    </w:p>
    <w:bookmarkEnd w:id="32"/>
    <w:bookmarkStart w:id="33" w:name="d.-sensitivity-to-growth-assumptions"/>
    <w:p>
      <w:pPr>
        <w:pStyle w:val="Heading3"/>
      </w:pPr>
      <w:r>
        <w:t xml:space="preserve">D. Sensitivity to Growth Assumptions</w:t>
      </w:r>
    </w:p>
    <w:p>
      <w:pPr>
        <w:pStyle w:val="FirstParagraph"/>
      </w:pPr>
      <w:r>
        <w:t xml:space="preserve">The incremental cost is robust across growth scenarios. Under the aggregate sensitivity analysis, cumulative three-year incremental cost (FY 2025–2027) ranges from</w:t>
      </w:r>
      <w:r>
        <w:t xml:space="preserve"> </w:t>
      </w:r>
      <w:r>
        <w:rPr>
          <w:b/>
          <w:bCs/>
        </w:rPr>
        <w:t xml:space="preserve">~$24.8M (3% growth)</w:t>
      </w:r>
      <w:r>
        <w:t xml:space="preserve"> </w:t>
      </w:r>
      <w:r>
        <w:t xml:space="preserve">to</w:t>
      </w:r>
      <w:r>
        <w:t xml:space="preserve"> </w:t>
      </w:r>
      <w:r>
        <w:rPr>
          <w:b/>
          <w:bCs/>
        </w:rPr>
        <w:t xml:space="preserve">~$30.3M (7% growth)</w:t>
      </w:r>
      <w:r>
        <w:t xml:space="preserve">, with the base case at ~$30.0M. In all scenarios, total IP cost rises to</w:t>
      </w:r>
      <w:r>
        <w:t xml:space="preserve"> </w:t>
      </w:r>
      <w:r>
        <w:rPr>
          <w:b/>
          <w:bCs/>
        </w:rPr>
        <w:t xml:space="preserve">7.15%–8.24% of FY 2024 revenue</w:t>
      </w:r>
      <w:r>
        <w:t xml:space="preserve"> </w:t>
      </w:r>
      <w:r>
        <w:t xml:space="preserve">by FY 2027 (from 5.00%–5.39% under current terms). The proposed minimum annual royalties ($8M for A; $5M for B) are not binding in any modeled scenario (calculated royalties exceed the minimums throughout), which means the minimums function primarily as downside protection for NovaTrait rather than as a near-term cash burden — but they materially raise Greenfield’s fixed obligations if sales soften.</w:t>
      </w:r>
    </w:p>
    <w:bookmarkEnd w:id="33"/>
    <w:bookmarkStart w:id="34" w:name="e.-prairielands-pass-through-impact"/>
    <w:p>
      <w:pPr>
        <w:pStyle w:val="Heading3"/>
      </w:pPr>
      <w:r>
        <w:t xml:space="preserve">E. Prairielands Pass-Through Impact</w:t>
      </w:r>
    </w:p>
    <w:p>
      <w:pPr>
        <w:pStyle w:val="FirstParagraph"/>
      </w:pPr>
      <w:r>
        <w:t xml:space="preserve">Because License B currently has no pass-through, the introduction of a ~40% pass-through on Prairielands sublicense revenue is a pure incremental cost. On an estimated Prairielands base of ~$12M growing at 4%, the pass-through adds approximately</w:t>
      </w:r>
      <w:r>
        <w:t xml:space="preserve"> </w:t>
      </w:r>
      <w:r>
        <w:rPr>
          <w:b/>
          <w:bCs/>
        </w:rPr>
        <w:t xml:space="preserve">$5.0M in Year 1</w:t>
      </w:r>
      <w:r>
        <w:t xml:space="preserve">, rising to ~$5.8M by Year 5 — roughly</w:t>
      </w:r>
      <w:r>
        <w:t xml:space="preserve"> </w:t>
      </w:r>
      <w:r>
        <w:rPr>
          <w:b/>
          <w:bCs/>
        </w:rPr>
        <w:t xml:space="preserve">$26M cumulative</w:t>
      </w:r>
      <w:r>
        <w:t xml:space="preserve"> </w:t>
      </w:r>
      <w:r>
        <w:t xml:space="preserve">over the renewal term on top of the direct License B royalty increase. This single item nearly doubles the modeled License B incremental cost and must be a focal point of negotiation.</w:t>
      </w:r>
    </w:p>
    <w:p>
      <w:r>
        <w:pict>
          <v:rect style="width:0;height:1.5pt" o:hralign="center" o:hrstd="t" o:hr="t"/>
        </w:pict>
      </w:r>
    </w:p>
    <w:bookmarkEnd w:id="34"/>
    <w:bookmarkEnd w:id="35"/>
    <w:bookmarkStart w:id="41" w:name="X88001ced53f0960d9d4d2c0c90efd214d765b95"/>
    <w:p>
      <w:pPr>
        <w:pStyle w:val="Heading2"/>
      </w:pPr>
      <w:r>
        <w:t xml:space="preserve">V. Patent Landscape and IP-Value Assessment</w:t>
      </w:r>
    </w:p>
    <w:p>
      <w:pPr>
        <w:pStyle w:val="FirstParagraph"/>
      </w:pPr>
      <w:r>
        <w:t xml:space="preserve">Clarendon Intellectual Property Consulting, LLC prepared a patent-landscape analysis for Greenfield dated</w:t>
      </w:r>
      <w:r>
        <w:t xml:space="preserve"> </w:t>
      </w:r>
      <w:r>
        <w:rPr>
          <w:b/>
          <w:bCs/>
        </w:rPr>
        <w:t xml:space="preserve">September 14, 2020</w:t>
      </w:r>
      <w:r>
        <w:t xml:space="preserve"> </w:t>
      </w:r>
      <w:r>
        <w:t xml:space="preserve">(the</w:t>
      </w:r>
      <w:r>
        <w:t xml:space="preserve"> </w:t>
      </w:r>
      <w:r>
        <w:t xml:space="preserve">“</w:t>
      </w:r>
      <w:r>
        <w:t xml:space="preserve">Clarendon Report</w:t>
      </w:r>
      <w:r>
        <w:t xml:space="preserve">”</w:t>
      </w:r>
      <w:r>
        <w:t xml:space="preserve">). Although now more than four years old and in need of updating, its core findings remain directionally sound and are corroborated by our advisors’ market-comparable work.</w:t>
      </w:r>
    </w:p>
    <w:bookmarkStart w:id="36" w:name="Xc1410d3534ca32901219c7700c2c928b9e0dd5b"/>
    <w:p>
      <w:pPr>
        <w:pStyle w:val="Heading3"/>
      </w:pPr>
      <w:r>
        <w:t xml:space="preserve">A. License A — Strong, but Declining Over the Renewal Term</w:t>
      </w:r>
    </w:p>
    <w:p>
      <w:pPr>
        <w:pStyle w:val="Compact"/>
        <w:numPr>
          <w:ilvl w:val="0"/>
          <w:numId w:val="1008"/>
        </w:numPr>
      </w:pPr>
      <w:r>
        <w:t xml:space="preserve">The portfolio is anchored by</w:t>
      </w:r>
      <w:r>
        <w:t xml:space="preserve"> </w:t>
      </w:r>
      <w:r>
        <w:rPr>
          <w:b/>
          <w:bCs/>
        </w:rPr>
        <w:t xml:space="preserve">U.S. Patent No. 9,234,117</w:t>
      </w:r>
      <w:r>
        <w:t xml:space="preserve">, assessed at</w:t>
      </w:r>
      <w:r>
        <w:t xml:space="preserve"> </w:t>
      </w:r>
      <w:r>
        <w:rPr>
          <w:b/>
          <w:bCs/>
        </w:rPr>
        <w:t xml:space="preserve">~60% of the portfolio’s commercial value</w:t>
      </w:r>
      <w:r>
        <w:t xml:space="preserve">. It claims broad CRISPR-based editing methods for monocot and dicot crops and survived prosecution with all 23 original claims intact; NovaTrait also reports it was successfully defended in an inter partes review before the PTAB.</w:t>
      </w:r>
    </w:p>
    <w:p>
      <w:pPr>
        <w:pStyle w:val="Compact"/>
        <w:numPr>
          <w:ilvl w:val="0"/>
          <w:numId w:val="1008"/>
        </w:numPr>
      </w:pPr>
      <w:r>
        <w:rPr>
          <w:b/>
          <w:bCs/>
        </w:rPr>
        <w:t xml:space="preserve">9,234,117 expires March 12, 2028</w:t>
      </w:r>
      <w:r>
        <w:t xml:space="preserve"> </w:t>
      </w:r>
      <w:r>
        <w:t xml:space="preserve">— mid-way through the proposed five-year renewal. Upon expiry, the core methods enter the public domain; Clarendon estimates the</w:t>
      </w:r>
      <w:r>
        <w:t xml:space="preserve"> </w:t>
      </w:r>
      <w:r>
        <w:rPr>
          <w:b/>
          <w:bCs/>
        </w:rPr>
        <w:t xml:space="preserve">residual portfolio value at only ~35–40%</w:t>
      </w:r>
      <w:r>
        <w:t xml:space="preserve"> </w:t>
      </w:r>
      <w:r>
        <w:t xml:space="preserve">of current aggregate value, with the remaining patents (9,234,118; 9,651,002; 10,112,445) providing narrower, incremental protection.</w:t>
      </w:r>
    </w:p>
    <w:p>
      <w:pPr>
        <w:pStyle w:val="Compact"/>
        <w:numPr>
          <w:ilvl w:val="0"/>
          <w:numId w:val="1008"/>
        </w:numPr>
      </w:pPr>
      <w:r>
        <w:rPr>
          <w:b/>
          <w:bCs/>
        </w:rPr>
        <w:t xml:space="preserve">Competitive alternatives are emerging.</w:t>
      </w:r>
      <w:r>
        <w:t xml:space="preserve"> </w:t>
      </w:r>
      <w:r>
        <w:t xml:space="preserve">Clarendon identified 47 third-party patent families, most notably</w:t>
      </w:r>
      <w:r>
        <w:t xml:space="preserve"> </w:t>
      </w:r>
      <w:r>
        <w:rPr>
          <w:b/>
          <w:bCs/>
        </w:rPr>
        <w:t xml:space="preserve">AgriGenome Solutions</w:t>
      </w:r>
      <w:r>
        <w:t xml:space="preserve"> </w:t>
      </w:r>
      <w:r>
        <w:t xml:space="preserve">(seven improvement patents expected in force through ~2037) and</w:t>
      </w:r>
      <w:r>
        <w:t xml:space="preserve"> </w:t>
      </w:r>
      <w:r>
        <w:rPr>
          <w:b/>
          <w:bCs/>
        </w:rPr>
        <w:t xml:space="preserve">CropTech Innovations</w:t>
      </w:r>
      <w:r>
        <w:t xml:space="preserve"> </w:t>
      </w:r>
      <w:r>
        <w:t xml:space="preserve">(base-editing applications offering a partially distinct pathway). By 2029–2030, at least two commercially viable alternative platforms are expected, exerting downward pressure on market royalty rates (currently 3.5%–5.5%; expected to gravitate toward the lower end or below post-2028).</w:t>
      </w:r>
    </w:p>
    <w:p>
      <w:pPr>
        <w:pStyle w:val="Compact"/>
        <w:numPr>
          <w:ilvl w:val="0"/>
          <w:numId w:val="1008"/>
        </w:numPr>
      </w:pPr>
      <w:r>
        <w:rPr>
          <w:b/>
          <w:bCs/>
        </w:rPr>
        <w:t xml:space="preserve">Strategic implication:</w:t>
      </w:r>
      <w:r>
        <w:t xml:space="preserve"> </w:t>
      </w:r>
      <w:r>
        <w:t xml:space="preserve">A flat 6.25% rate across the full renewal term would have Greenfield overpaying for the ~2.25 years following the ’117 expiry. Clarendon recommends a</w:t>
      </w:r>
      <w:r>
        <w:t xml:space="preserve"> </w:t>
      </w:r>
      <w:r>
        <w:rPr>
          <w:b/>
          <w:bCs/>
        </w:rPr>
        <w:t xml:space="preserve">step-down royalty mechanism</w:t>
      </w:r>
      <w:r>
        <w:t xml:space="preserve"> </w:t>
      </w:r>
      <w:r>
        <w:t xml:space="preserve">or a renegotiation trigger upon ’117 expiry, with post-2028 rates in the</w:t>
      </w:r>
      <w:r>
        <w:t xml:space="preserve"> </w:t>
      </w:r>
      <w:r>
        <w:rPr>
          <w:b/>
          <w:bCs/>
        </w:rPr>
        <w:t xml:space="preserve">2.0%–3.5%</w:t>
      </w:r>
      <w:r>
        <w:t xml:space="preserve"> </w:t>
      </w:r>
      <w:r>
        <w:t xml:space="preserve">range reflecting residual value. We endorse this approach.</w:t>
      </w:r>
    </w:p>
    <w:p>
      <w:pPr>
        <w:pStyle w:val="Compact"/>
        <w:numPr>
          <w:ilvl w:val="0"/>
          <w:numId w:val="1008"/>
        </w:numPr>
      </w:pPr>
      <w:r>
        <w:rPr>
          <w:b/>
          <w:bCs/>
        </w:rPr>
        <w:t xml:space="preserve">Field-of-use expansion caution.</w:t>
      </w:r>
      <w:r>
        <w:t xml:space="preserve"> </w:t>
      </w:r>
      <w:r>
        <w:t xml:space="preserve">Clarendon warns that any field-of-use expansion (e.g., to wheat) must be evaluated against the actual scope of the licensed patents. If NovaTrait’s patents lack specific wheat embodiments or data, the</w:t>
      </w:r>
      <w:r>
        <w:t xml:space="preserve"> </w:t>
      </w:r>
      <w:r>
        <w:t xml:space="preserve">“</w:t>
      </w:r>
      <w:r>
        <w:t xml:space="preserve">expanded</w:t>
      </w:r>
      <w:r>
        <w:t xml:space="preserve">”</w:t>
      </w:r>
      <w:r>
        <w:t xml:space="preserve"> </w:t>
      </w:r>
      <w:r>
        <w:t xml:space="preserve">field may not confer real exclusivity — and a higher rate for an expanded field that the patents do not actually block would be unjustified.</w:t>
      </w:r>
    </w:p>
    <w:bookmarkEnd w:id="36"/>
    <w:bookmarkStart w:id="37" w:name="b.-license-b-very-strong-irreplaceable"/>
    <w:p>
      <w:pPr>
        <w:pStyle w:val="Heading3"/>
      </w:pPr>
      <w:r>
        <w:t xml:space="preserve">B. License B — Very Strong; Irreplaceable</w:t>
      </w:r>
    </w:p>
    <w:p>
      <w:pPr>
        <w:pStyle w:val="Compact"/>
        <w:numPr>
          <w:ilvl w:val="0"/>
          <w:numId w:val="1009"/>
        </w:numPr>
      </w:pPr>
      <w:r>
        <w:t xml:space="preserve">All three TraitForge patents (10,443,076; 10,443,077; 10,889,201) are recently issued with terms extending to</w:t>
      </w:r>
      <w:r>
        <w:t xml:space="preserve"> </w:t>
      </w:r>
      <w:r>
        <w:rPr>
          <w:b/>
          <w:bCs/>
        </w:rPr>
        <w:t xml:space="preserve">2036–2038</w:t>
      </w:r>
      <w:r>
        <w:t xml:space="preserve">, well beyond any plausible renewal period.</w:t>
      </w:r>
    </w:p>
    <w:p>
      <w:pPr>
        <w:pStyle w:val="Compact"/>
        <w:numPr>
          <w:ilvl w:val="0"/>
          <w:numId w:val="1009"/>
        </w:numPr>
      </w:pPr>
      <w:r>
        <w:t xml:space="preserve">Clarendon identified</w:t>
      </w:r>
      <w:r>
        <w:t xml:space="preserve"> </w:t>
      </w:r>
      <w:r>
        <w:rPr>
          <w:b/>
          <w:bCs/>
        </w:rPr>
        <w:t xml:space="preserve">no close commercial alternatives</w:t>
      </w:r>
      <w:r>
        <w:t xml:space="preserve">; the proprietary promoter-enhancer system and multi-gene cassette architecture have no equivalent in the published or commercial landscape. Internal development of a comparable platform is estimated at</w:t>
      </w:r>
      <w:r>
        <w:t xml:space="preserve"> </w:t>
      </w:r>
      <w:r>
        <w:rPr>
          <w:b/>
          <w:bCs/>
        </w:rPr>
        <w:t xml:space="preserve">3–4 years and $25–30M</w:t>
      </w:r>
      <w:r>
        <w:t xml:space="preserve">, with no guarantee of success, and the biological materials are not independently available.</w:t>
      </w:r>
    </w:p>
    <w:p>
      <w:pPr>
        <w:pStyle w:val="Compact"/>
        <w:numPr>
          <w:ilvl w:val="0"/>
          <w:numId w:val="1009"/>
        </w:numPr>
      </w:pPr>
      <w:r>
        <w:rPr>
          <w:b/>
          <w:bCs/>
        </w:rPr>
        <w:t xml:space="preserve">Strategic implication:</w:t>
      </w:r>
      <w:r>
        <w:t xml:space="preserve"> </w:t>
      </w:r>
      <w:r>
        <w:t xml:space="preserve">NovaTrait’s negotiating leverage on License B is genuine and substantial. The appropriate strategy is to secure a long renewal at a</w:t>
      </w:r>
      <w:r>
        <w:t xml:space="preserve"> </w:t>
      </w:r>
      <w:r>
        <w:rPr>
          <w:i/>
          <w:iCs/>
        </w:rPr>
        <w:t xml:space="preserve">market-reasonable</w:t>
      </w:r>
      <w:r>
        <w:t xml:space="preserve"> </w:t>
      </w:r>
      <w:r>
        <w:t xml:space="preserve">rate rather than to threaten switching. However, the proposed 5.0% rate exceeds the market range for trait-expression licenses (3.0%–4.5%), and the absence of any exclusivity restoration (License B has been non-exclusive since 2020) further undercuts the case for a top-of-market rate.</w:t>
      </w:r>
    </w:p>
    <w:bookmarkEnd w:id="37"/>
    <w:bookmarkStart w:id="38" w:name="c.-license-c-moderate-substitutable"/>
    <w:p>
      <w:pPr>
        <w:pStyle w:val="Heading3"/>
      </w:pPr>
      <w:r>
        <w:t xml:space="preserve">C. License C — Moderate; Substitutable</w:t>
      </w:r>
    </w:p>
    <w:p>
      <w:pPr>
        <w:pStyle w:val="Compact"/>
        <w:numPr>
          <w:ilvl w:val="0"/>
          <w:numId w:val="1010"/>
        </w:numPr>
      </w:pPr>
      <w:r>
        <w:t xml:space="preserve">GenoMap Pro is protected principally by copyright and trade secrets rather than patents. The bioinformatics market is competitive, with at least three commercial alternatives (BioSphere Analytics, PlantLogic Suite, TraitView Pro) at annual fees of</w:t>
      </w:r>
      <w:r>
        <w:t xml:space="preserve"> </w:t>
      </w:r>
      <w:r>
        <w:rPr>
          <w:b/>
          <w:bCs/>
        </w:rPr>
        <w:t xml:space="preserve">$1.8M–$3.5M</w:t>
      </w:r>
      <w:r>
        <w:t xml:space="preserve"> </w:t>
      </w:r>
      <w:r>
        <w:t xml:space="preserve">(Clarendon market range $2.5M–$4.0M).</w:t>
      </w:r>
    </w:p>
    <w:p>
      <w:pPr>
        <w:pStyle w:val="Compact"/>
        <w:numPr>
          <w:ilvl w:val="0"/>
          <w:numId w:val="1010"/>
        </w:numPr>
      </w:pPr>
      <w:r>
        <w:rPr>
          <w:b/>
          <w:bCs/>
        </w:rPr>
        <w:t xml:space="preserve">Strategic implication:</w:t>
      </w:r>
      <w:r>
        <w:t xml:space="preserve"> </w:t>
      </w:r>
      <w:r>
        <w:t xml:space="preserve">Greenfield has meaningful leverage. NovaTrait’s proposed ~$5.28M is</w:t>
      </w:r>
      <w:r>
        <w:t xml:space="preserve"> </w:t>
      </w:r>
      <w:r>
        <w:rPr>
          <w:b/>
          <w:bCs/>
        </w:rPr>
        <w:t xml:space="preserve">31.9% above the market high</w:t>
      </w:r>
      <w:r>
        <w:t xml:space="preserve"> </w:t>
      </w:r>
      <w:r>
        <w:t xml:space="preserve">and the base fee alone (~$4.85M) is ~21% above the market high. A credible switching threat is Greenfield’s strongest tool here.</w:t>
      </w:r>
    </w:p>
    <w:bookmarkEnd w:id="38"/>
    <w:bookmarkStart w:id="39" w:name="d.-risk-rating-summary-per-clarendon"/>
    <w:p>
      <w:pPr>
        <w:pStyle w:val="Heading3"/>
      </w:pPr>
      <w:r>
        <w:t xml:space="preserve">D. Risk-Rating Summary (per Clarendon)</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License</w:t>
            </w:r>
          </w:p>
        </w:tc>
        <w:tc>
          <w:tcPr/>
          <w:p>
            <w:pPr>
              <w:pStyle w:val="Compact"/>
              <w:jc w:val="left"/>
            </w:pPr>
            <w:r>
              <w:t xml:space="preserve">Portfolio strength</w:t>
            </w:r>
          </w:p>
        </w:tc>
        <w:tc>
          <w:tcPr/>
          <w:p>
            <w:pPr>
              <w:pStyle w:val="Compact"/>
              <w:jc w:val="left"/>
            </w:pPr>
            <w:r>
              <w:t xml:space="preserve">Competitive alternatives</w:t>
            </w:r>
          </w:p>
        </w:tc>
        <w:tc>
          <w:tcPr/>
          <w:p>
            <w:pPr>
              <w:pStyle w:val="Compact"/>
              <w:jc w:val="left"/>
            </w:pPr>
            <w:r>
              <w:t xml:space="preserve">Renewal risk to Greenfield</w:t>
            </w:r>
          </w:p>
        </w:tc>
        <w:tc>
          <w:tcPr/>
          <w:p>
            <w:pPr>
              <w:pStyle w:val="Compact"/>
              <w:jc w:val="left"/>
            </w:pPr>
            <w:r>
              <w:t xml:space="preserve">Licensor leverage</w:t>
            </w:r>
          </w:p>
        </w:tc>
      </w:tr>
      <w:tr>
        <w:tc>
          <w:tcPr/>
          <w:p>
            <w:pPr>
              <w:pStyle w:val="Compact"/>
              <w:jc w:val="left"/>
            </w:pPr>
            <w:r>
              <w:t xml:space="preserve">A (CRISPR-Ag)</w:t>
            </w:r>
          </w:p>
        </w:tc>
        <w:tc>
          <w:tcPr/>
          <w:p>
            <w:pPr>
              <w:pStyle w:val="Compact"/>
              <w:jc w:val="left"/>
            </w:pPr>
            <w:r>
              <w:t xml:space="preserve">Strong</w:t>
            </w:r>
          </w:p>
        </w:tc>
        <w:tc>
          <w:tcPr/>
          <w:p>
            <w:pPr>
              <w:pStyle w:val="Compact"/>
              <w:jc w:val="left"/>
            </w:pPr>
            <w:r>
              <w:t xml:space="preserve">Emerging (post-2028)</w:t>
            </w:r>
          </w:p>
        </w:tc>
        <w:tc>
          <w:tcPr/>
          <w:p>
            <w:pPr>
              <w:pStyle w:val="Compact"/>
              <w:jc w:val="left"/>
            </w:pPr>
            <w:r>
              <w:t xml:space="preserve">Moderate — declining over term</w:t>
            </w:r>
          </w:p>
        </w:tc>
        <w:tc>
          <w:tcPr/>
          <w:p>
            <w:pPr>
              <w:pStyle w:val="Compact"/>
              <w:jc w:val="left"/>
            </w:pPr>
            <w:r>
              <w:t xml:space="preserve">Moderate — declining</w:t>
            </w:r>
          </w:p>
        </w:tc>
      </w:tr>
      <w:tr>
        <w:tc>
          <w:tcPr/>
          <w:p>
            <w:pPr>
              <w:pStyle w:val="Compact"/>
              <w:jc w:val="left"/>
            </w:pPr>
            <w:r>
              <w:t xml:space="preserve">B (TraitForge)</w:t>
            </w:r>
          </w:p>
        </w:tc>
        <w:tc>
          <w:tcPr/>
          <w:p>
            <w:pPr>
              <w:pStyle w:val="Compact"/>
              <w:jc w:val="left"/>
            </w:pPr>
            <w:r>
              <w:t xml:space="preserve">Very strong</w:t>
            </w:r>
          </w:p>
        </w:tc>
        <w:tc>
          <w:tcPr/>
          <w:p>
            <w:pPr>
              <w:pStyle w:val="Compact"/>
              <w:jc w:val="left"/>
            </w:pPr>
            <w:r>
              <w:t xml:space="preserve">None identified</w:t>
            </w:r>
          </w:p>
        </w:tc>
        <w:tc>
          <w:tcPr/>
          <w:p>
            <w:pPr>
              <w:pStyle w:val="Compact"/>
              <w:jc w:val="left"/>
            </w:pPr>
            <w:r>
              <w:t xml:space="preserve">High — irreplaceable</w:t>
            </w:r>
          </w:p>
        </w:tc>
        <w:tc>
          <w:tcPr/>
          <w:p>
            <w:pPr>
              <w:pStyle w:val="Compact"/>
              <w:jc w:val="left"/>
            </w:pPr>
            <w:r>
              <w:t xml:space="preserve">Very high</w:t>
            </w:r>
          </w:p>
        </w:tc>
      </w:tr>
      <w:tr>
        <w:tc>
          <w:tcPr/>
          <w:p>
            <w:pPr>
              <w:pStyle w:val="Compact"/>
              <w:jc w:val="left"/>
            </w:pPr>
            <w:r>
              <w:t xml:space="preserve">C (GenoMap Pro)</w:t>
            </w:r>
          </w:p>
        </w:tc>
        <w:tc>
          <w:tcPr/>
          <w:p>
            <w:pPr>
              <w:pStyle w:val="Compact"/>
              <w:jc w:val="left"/>
            </w:pPr>
            <w:r>
              <w:t xml:space="preserve">Moderate (copyright/trade secret)</w:t>
            </w:r>
          </w:p>
        </w:tc>
        <w:tc>
          <w:tcPr/>
          <w:p>
            <w:pPr>
              <w:pStyle w:val="Compact"/>
              <w:jc w:val="left"/>
            </w:pPr>
            <w:r>
              <w:t xml:space="preserve">Multiple</w:t>
            </w:r>
          </w:p>
        </w:tc>
        <w:tc>
          <w:tcPr/>
          <w:p>
            <w:pPr>
              <w:pStyle w:val="Compact"/>
              <w:jc w:val="left"/>
            </w:pPr>
            <w:r>
              <w:t xml:space="preserve">Low — substitutable</w:t>
            </w:r>
          </w:p>
        </w:tc>
        <w:tc>
          <w:tcPr/>
          <w:p>
            <w:pPr>
              <w:pStyle w:val="Compact"/>
              <w:jc w:val="left"/>
            </w:pPr>
            <w:r>
              <w:t xml:space="preserve">Low to moderate</w:t>
            </w:r>
          </w:p>
        </w:tc>
      </w:tr>
    </w:tbl>
    <w:bookmarkEnd w:id="39"/>
    <w:bookmarkStart w:id="40" w:name="e.-data-quality-and-diligence-flags"/>
    <w:p>
      <w:pPr>
        <w:pStyle w:val="Heading3"/>
      </w:pPr>
      <w:r>
        <w:t xml:space="preserve">E. Data-Quality and Diligence Flags</w:t>
      </w:r>
    </w:p>
    <w:p>
      <w:pPr>
        <w:pStyle w:val="FirstParagraph"/>
      </w:pPr>
      <w:r>
        <w:t xml:space="preserve">Two items warrant immediate attention:</w:t>
      </w:r>
    </w:p>
    <w:p>
      <w:pPr>
        <w:pStyle w:val="Compact"/>
        <w:numPr>
          <w:ilvl w:val="0"/>
          <w:numId w:val="1011"/>
        </w:numPr>
      </w:pPr>
      <w:r>
        <w:rPr>
          <w:b/>
          <w:bCs/>
        </w:rPr>
        <w:t xml:space="preserve">Stale landscape analysis.</w:t>
      </w:r>
      <w:r>
        <w:t xml:space="preserve"> </w:t>
      </w:r>
      <w:r>
        <w:t xml:space="preserve">The Clarendon Report predates the Proposal by more than four years. Both Clarendon and our financial advisors recommend an updated analysis before formal negotiations conclude, particularly to track the AgriGenome Solutions and CropTech Innovations portfolios (which were in early prosecution in 2020) and to confirm current market royalty rates.</w:t>
      </w:r>
    </w:p>
    <w:p>
      <w:pPr>
        <w:pStyle w:val="Compact"/>
        <w:numPr>
          <w:ilvl w:val="0"/>
          <w:numId w:val="1011"/>
        </w:numPr>
      </w:pPr>
      <w:r>
        <w:rPr>
          <w:b/>
          <w:bCs/>
        </w:rPr>
        <w:t xml:space="preserve">Patent-expiration-date discrepancies.</w:t>
      </w:r>
      <w:r>
        <w:t xml:space="preserve"> </w:t>
      </w:r>
      <w:r>
        <w:t xml:space="preserve">The expiration dates in the Proposal’s Appendix A differ materially from those in the original License A Exhibit A and the Clarendon Report — e.g., U.S. 9,234,118 (Exhibit A: September 22, 2033; Proposal Appendix A: December 19, 2028); U.S. 9,651,002 (Exhibit A: March 8, 2034; Proposal: March 8, 2029); U.S. 10,112,445 (Exhibit A: October 6, 2035; Proposal: November 3, 2031). The ’117 date (March 12, 2028) is consistent across sources, so the core step-down argument is unaffected, but the remaining dates should be reconciled (they may reflect terminal disclaimers or term adjustments) before Greenfield relies on them. We recommend requesting NovaTrait’s prosecution file histories and any terminal-disclaimer records.</w:t>
      </w:r>
    </w:p>
    <w:p>
      <w:r>
        <w:pict>
          <v:rect style="width:0;height:1.5pt" o:hralign="center" o:hrstd="t" o:hr="t"/>
        </w:pict>
      </w:r>
    </w:p>
    <w:bookmarkEnd w:id="40"/>
    <w:bookmarkEnd w:id="41"/>
    <w:bookmarkStart w:id="56" w:name="Xcdae07a1b66f82b5b280cfe5f0d85d4bc9ceb57"/>
    <w:p>
      <w:pPr>
        <w:pStyle w:val="Heading2"/>
      </w:pPr>
      <w:r>
        <w:t xml:space="preserve">VI. Issue-by-Issue Analysis and Recommended Positions</w:t>
      </w:r>
    </w:p>
    <w:p>
      <w:pPr>
        <w:pStyle w:val="FirstParagraph"/>
      </w:pPr>
      <w:r>
        <w:t xml:space="preserve">The following prioritized positions integrate the financial, IP-landscape, and contractual analyses. They are ordered by risk level and commercial importance. Each reflects our recommended counter to NovaTrait’s Proposal.</w:t>
      </w:r>
    </w:p>
    <w:bookmarkStart w:id="42" w:name="Xf6606fe489eec218b4f833ed600344b2652ef73"/>
    <w:p>
      <w:pPr>
        <w:pStyle w:val="Heading3"/>
      </w:pPr>
      <w:r>
        <w:t xml:space="preserve">Priority 1 — CRITICAL: License B Standstill Expiration</w:t>
      </w:r>
    </w:p>
    <w:p>
      <w:pPr>
        <w:pStyle w:val="Compact"/>
        <w:numPr>
          <w:ilvl w:val="0"/>
          <w:numId w:val="1012"/>
        </w:numPr>
      </w:pPr>
      <w:r>
        <w:rPr>
          <w:b/>
          <w:bCs/>
        </w:rPr>
        <w:t xml:space="preserve">NovaTrait position:</w:t>
      </w:r>
      <w:r>
        <w:t xml:space="preserve"> </w:t>
      </w:r>
      <w:r>
        <w:t xml:space="preserve">Renewal effective January 1, 2025; standstill confirmation offered through June 30, 2025 (Appendix B form).</w:t>
      </w:r>
    </w:p>
    <w:p>
      <w:pPr>
        <w:pStyle w:val="Compact"/>
        <w:numPr>
          <w:ilvl w:val="0"/>
          <w:numId w:val="1012"/>
        </w:numPr>
      </w:pPr>
      <w:r>
        <w:rPr>
          <w:b/>
          <w:bCs/>
        </w:rPr>
        <w:t xml:space="preserve">Greenfield position:</w:t>
      </w:r>
      <w:r>
        <w:t xml:space="preserve"> </w:t>
      </w:r>
      <w:r>
        <w:t xml:space="preserve">The Section 12.6 standstill expires approximately</w:t>
      </w:r>
      <w:r>
        <w:t xml:space="preserve"> </w:t>
      </w:r>
      <w:r>
        <w:rPr>
          <w:b/>
          <w:bCs/>
        </w:rPr>
        <w:t xml:space="preserve">June 29, 2025</w:t>
      </w:r>
      <w:r>
        <w:t xml:space="preserve">. If no renewal is executed and the standstill is not extended, License B terminates entirely — triggering biological-materials return and disrupting the Prairielands sublicense and Greenfield’s drought/nutrient trait programs.</w:t>
      </w:r>
    </w:p>
    <w:p>
      <w:pPr>
        <w:pStyle w:val="Compact"/>
        <w:numPr>
          <w:ilvl w:val="0"/>
          <w:numId w:val="1012"/>
        </w:numPr>
      </w:pPr>
      <w:r>
        <w:rPr>
          <w:b/>
          <w:bCs/>
        </w:rPr>
        <w:t xml:space="preserve">Recommended counter:</w:t>
      </w:r>
      <w:r>
        <w:t xml:space="preserve"> </w:t>
      </w:r>
      <w:r>
        <w:t xml:space="preserve">Make a written</w:t>
      </w:r>
      <w:r>
        <w:t xml:space="preserve"> </w:t>
      </w:r>
      <w:r>
        <w:rPr>
          <w:b/>
          <w:bCs/>
        </w:rPr>
        <w:t xml:space="preserve">extension of the standstill through December 31, 2025</w:t>
      </w:r>
      <w:r>
        <w:t xml:space="preserve"> </w:t>
      </w:r>
      <w:r>
        <w:t xml:space="preserve">a condition of continued good-faith negotiation. Do not allow the standstill to lapse while substantive terms remain open. Execute NovaTrait’s standstill-confirmation form promptly (with the extended date) to document the parties’ ongoing negotiation.</w:t>
      </w:r>
    </w:p>
    <w:bookmarkEnd w:id="42"/>
    <w:bookmarkStart w:id="43" w:name="X9279a05e8cc6cff7cd67fb83699521a28f3dbe8"/>
    <w:p>
      <w:pPr>
        <w:pStyle w:val="Heading3"/>
      </w:pPr>
      <w:r>
        <w:t xml:space="preserve">Priority 2 — CRITICAL: License C Derivative-Data Ownership</w:t>
      </w:r>
    </w:p>
    <w:p>
      <w:pPr>
        <w:pStyle w:val="Compact"/>
        <w:numPr>
          <w:ilvl w:val="0"/>
          <w:numId w:val="1013"/>
        </w:numPr>
      </w:pPr>
      <w:r>
        <w:rPr>
          <w:b/>
          <w:bCs/>
        </w:rPr>
        <w:t xml:space="preserve">NovaTrait position:</w:t>
      </w:r>
      <w:r>
        <w:t xml:space="preserve"> </w:t>
      </w:r>
      <w:r>
        <w:t xml:space="preserve">NovaTrait owns all Derivative Data; Greenfield receives a non-exclusive license that terminates with the agreement and bars sublicensing, publication, and post-term use.</w:t>
      </w:r>
    </w:p>
    <w:p>
      <w:pPr>
        <w:pStyle w:val="Compact"/>
        <w:numPr>
          <w:ilvl w:val="0"/>
          <w:numId w:val="1013"/>
        </w:numPr>
      </w:pPr>
      <w:r>
        <w:rPr>
          <w:b/>
          <w:bCs/>
        </w:rPr>
        <w:t xml:space="preserve">Greenfield position:</w:t>
      </w:r>
      <w:r>
        <w:t xml:space="preserve"> </w:t>
      </w:r>
      <w:r>
        <w:t xml:space="preserve">This is a material adverse change. It conflicts with the principle of Section 9.2 (Greenfield owns its Input Data) and would jeopardize Greenfield’s proprietary trait-mapping datasets and analyses — the very outputs for which Greenfield licenses the software.</w:t>
      </w:r>
    </w:p>
    <w:p>
      <w:pPr>
        <w:pStyle w:val="Compact"/>
        <w:numPr>
          <w:ilvl w:val="0"/>
          <w:numId w:val="1013"/>
        </w:numPr>
      </w:pPr>
      <w:r>
        <w:rPr>
          <w:b/>
          <w:bCs/>
        </w:rPr>
        <w:t xml:space="preserve">Recommended counter:</w:t>
      </w:r>
      <w:r>
        <w:t xml:space="preserve"> </w:t>
      </w:r>
      <w:r>
        <w:rPr>
          <w:b/>
          <w:bCs/>
        </w:rPr>
        <w:t xml:space="preserve">All output and derived data must be solely owned by Greenfield</w:t>
      </w:r>
      <w:r>
        <w:t xml:space="preserve">, consistent with the Section 9.2 principle. This is a non-negotiable. If NovaTrait will not concede, Greenfield should pivot to the switching analysis (Section VII.C), which favors replacing GenoMap Pro.</w:t>
      </w:r>
    </w:p>
    <w:bookmarkEnd w:id="43"/>
    <w:bookmarkStart w:id="44" w:name="X717d7f4ec4bd2224c97901bbcb49140cd2da1d9"/>
    <w:p>
      <w:pPr>
        <w:pStyle w:val="Heading3"/>
      </w:pPr>
      <w:r>
        <w:t xml:space="preserve">Priority 3 — HIGH: License A Improvement Ownership</w:t>
      </w:r>
    </w:p>
    <w:p>
      <w:pPr>
        <w:pStyle w:val="Compact"/>
        <w:numPr>
          <w:ilvl w:val="0"/>
          <w:numId w:val="1014"/>
        </w:numPr>
      </w:pPr>
      <w:r>
        <w:rPr>
          <w:b/>
          <w:bCs/>
        </w:rPr>
        <w:t xml:space="preserve">NovaTrait position:</w:t>
      </w:r>
      <w:r>
        <w:t xml:space="preserve"> </w:t>
      </w:r>
      <w:r>
        <w:t xml:space="preserve">Joint ownership with an irrevocable, perpetual, royalty-free, sublicensable license to NovaTrait; Greenfield receives only a non-exclusive, royalty-bearing, non-sublicensable license for the renewal term.</w:t>
      </w:r>
    </w:p>
    <w:p>
      <w:pPr>
        <w:pStyle w:val="Compact"/>
        <w:numPr>
          <w:ilvl w:val="0"/>
          <w:numId w:val="1014"/>
        </w:numPr>
      </w:pPr>
      <w:r>
        <w:rPr>
          <w:b/>
          <w:bCs/>
        </w:rPr>
        <w:t xml:space="preserve">Greenfield position:</w:t>
      </w:r>
      <w:r>
        <w:t xml:space="preserve"> </w:t>
      </w:r>
      <w:r>
        <w:t xml:space="preserve">Current Section 8.1 provides</w:t>
      </w:r>
      <w:r>
        <w:t xml:space="preserve"> </w:t>
      </w:r>
      <w:r>
        <w:rPr>
          <w:b/>
          <w:bCs/>
        </w:rPr>
        <w:t xml:space="preserve">sole Greenfield ownership</w:t>
      </w:r>
      <w:r>
        <w:t xml:space="preserve"> </w:t>
      </w:r>
      <w:r>
        <w:t xml:space="preserve">of its improvements, with a non-exclusive license back to NovaTrait at a commercially reasonable royalty. The Proposal would reverse this entirely — Greenfield would give away ownership of its own R&amp;D outputs and the perpetual, royalty-free, sublicensable grant to NovaTrait would let NovaTrait commercialize Greenfield’s improvements (including, potentially, with competitors) indefinitely.</w:t>
      </w:r>
    </w:p>
    <w:p>
      <w:pPr>
        <w:pStyle w:val="Compact"/>
        <w:numPr>
          <w:ilvl w:val="0"/>
          <w:numId w:val="1014"/>
        </w:numPr>
      </w:pPr>
      <w:r>
        <w:rPr>
          <w:b/>
          <w:bCs/>
        </w:rPr>
        <w:t xml:space="preserve">Recommended counter:</w:t>
      </w:r>
      <w:r>
        <w:t xml:space="preserve"> </w:t>
      </w:r>
      <w:r>
        <w:rPr>
          <w:b/>
          <w:bCs/>
        </w:rPr>
        <w:t xml:space="preserve">Retain sole Greenfield ownership</w:t>
      </w:r>
      <w:r>
        <w:t xml:space="preserve"> </w:t>
      </w:r>
      <w:r>
        <w:t xml:space="preserve">of Greenfield improvements. Offer a non-exclusive license back to NovaTrait at a</w:t>
      </w:r>
      <w:r>
        <w:t xml:space="preserve"> </w:t>
      </w:r>
      <w:r>
        <w:rPr>
          <w:i/>
          <w:iCs/>
        </w:rPr>
        <w:t xml:space="preserve">reduced</w:t>
      </w:r>
      <w:r>
        <w:t xml:space="preserve"> </w:t>
      </w:r>
      <w:r>
        <w:t xml:space="preserve">(but non-zero) royalty, limited to use outside Greenfield’s field of use, and with a non-compete carve-out consistent with current Section 8.1.</w:t>
      </w:r>
    </w:p>
    <w:bookmarkEnd w:id="44"/>
    <w:bookmarkStart w:id="45" w:name="X63acb41e4228db094ac48e314ae7aed3565c332"/>
    <w:p>
      <w:pPr>
        <w:pStyle w:val="Heading3"/>
      </w:pPr>
      <w:r>
        <w:t xml:space="preserve">Priority 4 — HIGH: License A Royalty Rate + Net Sales Redefinition (Combined Effect)</w:t>
      </w:r>
    </w:p>
    <w:p>
      <w:pPr>
        <w:pStyle w:val="Compact"/>
        <w:numPr>
          <w:ilvl w:val="0"/>
          <w:numId w:val="1015"/>
        </w:numPr>
      </w:pPr>
      <w:r>
        <w:rPr>
          <w:b/>
          <w:bCs/>
        </w:rPr>
        <w:t xml:space="preserve">NovaTrait position:</w:t>
      </w:r>
      <w:r>
        <w:t xml:space="preserve"> </w:t>
      </w:r>
      <w:r>
        <w:t xml:space="preserve">6.25% on a redefined (narrowed-deduction) Net Sales base — an effective 6.70% on the original base.</w:t>
      </w:r>
    </w:p>
    <w:p>
      <w:pPr>
        <w:pStyle w:val="Compact"/>
        <w:numPr>
          <w:ilvl w:val="0"/>
          <w:numId w:val="1015"/>
        </w:numPr>
      </w:pPr>
      <w:r>
        <w:rPr>
          <w:b/>
          <w:bCs/>
        </w:rPr>
        <w:t xml:space="preserve">Greenfield position:</w:t>
      </w:r>
      <w:r>
        <w:t xml:space="preserve"> </w:t>
      </w:r>
      <w:r>
        <w:t xml:space="preserve">The combined economic burden (148.9% of the current rate) approaches the Section 14.3 150% cap and exceeds market comparables (gene-editing median 4.0%; range 3.5%–5.5%). It also ignores the declining IP value post-’117-expiry (March 2028).</w:t>
      </w:r>
    </w:p>
    <w:p>
      <w:pPr>
        <w:pStyle w:val="Compact"/>
        <w:numPr>
          <w:ilvl w:val="0"/>
          <w:numId w:val="1015"/>
        </w:numPr>
      </w:pPr>
      <w:r>
        <w:rPr>
          <w:b/>
          <w:bCs/>
        </w:rPr>
        <w:t xml:space="preserve">Recommended counter:</w:t>
      </w:r>
      <w:r>
        <w:t xml:space="preserve"> </w:t>
      </w:r>
      <w:r>
        <w:rPr>
          <w:b/>
          <w:bCs/>
        </w:rPr>
        <w:t xml:space="preserve">5.0% on the original Net Sales definition</w:t>
      </w:r>
      <w:r>
        <w:t xml:space="preserve">,</w:t>
      </w:r>
      <w:r>
        <w:t xml:space="preserve"> </w:t>
      </w:r>
      <w:r>
        <w:rPr>
          <w:i/>
          <w:iCs/>
        </w:rPr>
        <w:t xml:space="preserve">or</w:t>
      </w:r>
      <w:r>
        <w:t xml:space="preserve"> </w:t>
      </w:r>
      <w:r>
        <w:rPr>
          <w:b/>
          <w:bCs/>
        </w:rPr>
        <w:t xml:space="preserve">4.75% on the redefined definition</w:t>
      </w:r>
      <w:r>
        <w:t xml:space="preserve">, coupled with a</w:t>
      </w:r>
      <w:r>
        <w:t xml:space="preserve"> </w:t>
      </w:r>
      <w:r>
        <w:rPr>
          <w:b/>
          <w:bCs/>
        </w:rPr>
        <w:t xml:space="preserve">step-down to 3.0%–3.5% effective upon expiry of U.S. 9,234,117 (March 12, 2028)</w:t>
      </w:r>
      <w:r>
        <w:t xml:space="preserve"> </w:t>
      </w:r>
      <w:r>
        <w:t xml:space="preserve">for the balance of the renewal term. Retain the standard Net Sales deductions. If NovaTrait insists on the redefined base, demand an IFMV assessment (to which the 148.9% effective increase gives Greenfield a strong entitlement argument).</w:t>
      </w:r>
    </w:p>
    <w:bookmarkEnd w:id="45"/>
    <w:bookmarkStart w:id="46" w:name="priority-5-high-license-b-royalty-rate"/>
    <w:p>
      <w:pPr>
        <w:pStyle w:val="Heading3"/>
      </w:pPr>
      <w:r>
        <w:t xml:space="preserve">Priority 5 — HIGH: License B Royalty Rate</w:t>
      </w:r>
    </w:p>
    <w:p>
      <w:pPr>
        <w:pStyle w:val="Compact"/>
        <w:numPr>
          <w:ilvl w:val="0"/>
          <w:numId w:val="1016"/>
        </w:numPr>
      </w:pPr>
      <w:r>
        <w:rPr>
          <w:b/>
          <w:bCs/>
        </w:rPr>
        <w:t xml:space="preserve">NovaTrait position:</w:t>
      </w:r>
      <w:r>
        <w:t xml:space="preserve"> </w:t>
      </w:r>
      <w:r>
        <w:t xml:space="preserve">5.0% (above the 3.0%–4.5% market range for trait-expression licenses).</w:t>
      </w:r>
    </w:p>
    <w:p>
      <w:pPr>
        <w:pStyle w:val="Compact"/>
        <w:numPr>
          <w:ilvl w:val="0"/>
          <w:numId w:val="1016"/>
        </w:numPr>
      </w:pPr>
      <w:r>
        <w:rPr>
          <w:b/>
          <w:bCs/>
        </w:rPr>
        <w:t xml:space="preserve">Greenfield position:</w:t>
      </w:r>
      <w:r>
        <w:t xml:space="preserve"> </w:t>
      </w:r>
      <w:r>
        <w:t xml:space="preserve">The proposed rate exceeds market highs, and License B is non-exclusive (no exclusivity restoration is offered). While TraitForge is irreplaceable, irreplaceability supports locking in a</w:t>
      </w:r>
      <w:r>
        <w:t xml:space="preserve"> </w:t>
      </w:r>
      <w:r>
        <w:rPr>
          <w:i/>
          <w:iCs/>
        </w:rPr>
        <w:t xml:space="preserve">long</w:t>
      </w:r>
      <w:r>
        <w:t xml:space="preserve"> </w:t>
      </w:r>
      <w:r>
        <w:t xml:space="preserve">term — not paying above market.</w:t>
      </w:r>
    </w:p>
    <w:p>
      <w:pPr>
        <w:pStyle w:val="Compact"/>
        <w:numPr>
          <w:ilvl w:val="0"/>
          <w:numId w:val="1016"/>
        </w:numPr>
      </w:pPr>
      <w:r>
        <w:rPr>
          <w:b/>
          <w:bCs/>
        </w:rPr>
        <w:t xml:space="preserve">Recommended counter:</w:t>
      </w:r>
      <w:r>
        <w:t xml:space="preserve"> </w:t>
      </w:r>
      <w:r>
        <w:rPr>
          <w:b/>
          <w:bCs/>
        </w:rPr>
        <w:t xml:space="preserve">4.25% on the original Net Sales definition</w:t>
      </w:r>
      <w:r>
        <w:t xml:space="preserve">, with the standard deductions retained. Use the market comparables (median 3.25%; range 3.0%–4.5%) and the non-exclusive status as the principal levers. Consider seeking exclusivity restoration (at least for soybean drought tolerance, the Prairielands field) as a concession that would justify a rate toward the upper end of the range.</w:t>
      </w:r>
    </w:p>
    <w:bookmarkEnd w:id="46"/>
    <w:bookmarkStart w:id="47" w:name="X6c61ae4731c18d38c8ba31d6ece48226e02affe"/>
    <w:p>
      <w:pPr>
        <w:pStyle w:val="Heading3"/>
      </w:pPr>
      <w:r>
        <w:t xml:space="preserve">Priority 6 — HIGH: License C Source-Code Access</w:t>
      </w:r>
    </w:p>
    <w:p>
      <w:pPr>
        <w:pStyle w:val="Compact"/>
        <w:numPr>
          <w:ilvl w:val="0"/>
          <w:numId w:val="1017"/>
        </w:numPr>
      </w:pPr>
      <w:r>
        <w:rPr>
          <w:b/>
          <w:bCs/>
        </w:rPr>
        <w:t xml:space="preserve">NovaTrait position:</w:t>
      </w:r>
      <w:r>
        <w:t xml:space="preserve"> </w:t>
      </w:r>
      <w:r>
        <w:t xml:space="preserve">Eliminate source-code access; object code only.</w:t>
      </w:r>
    </w:p>
    <w:p>
      <w:pPr>
        <w:pStyle w:val="Compact"/>
        <w:numPr>
          <w:ilvl w:val="0"/>
          <w:numId w:val="1017"/>
        </w:numPr>
      </w:pPr>
      <w:r>
        <w:rPr>
          <w:b/>
          <w:bCs/>
        </w:rPr>
        <w:t xml:space="preserve">Greenfield position:</w:t>
      </w:r>
      <w:r>
        <w:t xml:space="preserve"> </w:t>
      </w:r>
      <w:r>
        <w:t xml:space="preserve">Greenfield has built custom analytics pipelines on the source-code access right (Section 5.2). Loss of source access eliminates the ability to customize, maintain, or extend those pipelines and renders Greenfield’s existing Licensee Modifications orphaned (or subject to a forced joint-ownership/purchase outcome). This is a material adverse change.</w:t>
      </w:r>
    </w:p>
    <w:p>
      <w:pPr>
        <w:pStyle w:val="Compact"/>
        <w:numPr>
          <w:ilvl w:val="0"/>
          <w:numId w:val="1017"/>
        </w:numPr>
      </w:pPr>
      <w:r>
        <w:rPr>
          <w:b/>
          <w:bCs/>
        </w:rPr>
        <w:t xml:space="preserve">Recommended counter:</w:t>
      </w:r>
      <w:r>
        <w:t xml:space="preserve"> </w:t>
      </w:r>
      <w:r>
        <w:rPr>
          <w:b/>
          <w:bCs/>
        </w:rPr>
        <w:t xml:space="preserve">Retain source-code access</w:t>
      </w:r>
      <w:r>
        <w:t xml:space="preserve"> </w:t>
      </w:r>
      <w:r>
        <w:t xml:space="preserve">for internal modification, subject to the existing enhanced security obligations (Section 10.3) and escrow. If NovaTrait will not retain source access for Version 5.x, treat this as a decisive factor in the switching analysis.</w:t>
      </w:r>
    </w:p>
    <w:bookmarkEnd w:id="47"/>
    <w:bookmarkStart w:id="48" w:name="X670b52f957ad6d16d6459bb78859d89104f566e"/>
    <w:p>
      <w:pPr>
        <w:pStyle w:val="Heading3"/>
      </w:pPr>
      <w:r>
        <w:t xml:space="preserve">Priority 7 — HIGH: License B Biological-Materials Return</w:t>
      </w:r>
    </w:p>
    <w:p>
      <w:pPr>
        <w:pStyle w:val="Compact"/>
        <w:numPr>
          <w:ilvl w:val="0"/>
          <w:numId w:val="1018"/>
        </w:numPr>
      </w:pPr>
      <w:r>
        <w:rPr>
          <w:b/>
          <w:bCs/>
        </w:rPr>
        <w:t xml:space="preserve">NovaTrait position:</w:t>
      </w:r>
      <w:r>
        <w:t xml:space="preserve"> </w:t>
      </w:r>
      <w:r>
        <w:t xml:space="preserve">30-day return/destruction with no wind-down.</w:t>
      </w:r>
    </w:p>
    <w:p>
      <w:pPr>
        <w:pStyle w:val="Compact"/>
        <w:numPr>
          <w:ilvl w:val="0"/>
          <w:numId w:val="1018"/>
        </w:numPr>
      </w:pPr>
      <w:r>
        <w:rPr>
          <w:b/>
          <w:bCs/>
        </w:rPr>
        <w:t xml:space="preserve">Greenfield position:</w:t>
      </w:r>
      <w:r>
        <w:t xml:space="preserve"> </w:t>
      </w:r>
      <w:r>
        <w:t xml:space="preserve">Greenfield runs multi-year breeding programs and field trials that cannot be wound down in 30 days. The current 90-day wind-down (during which ongoing programs may continue, subject to royalties) is operationally necessary.</w:t>
      </w:r>
    </w:p>
    <w:p>
      <w:pPr>
        <w:pStyle w:val="Compact"/>
        <w:numPr>
          <w:ilvl w:val="0"/>
          <w:numId w:val="1018"/>
        </w:numPr>
      </w:pPr>
      <w:r>
        <w:rPr>
          <w:b/>
          <w:bCs/>
        </w:rPr>
        <w:t xml:space="preserve">Recommended counter:</w:t>
      </w:r>
      <w:r>
        <w:t xml:space="preserve"> </w:t>
      </w:r>
      <w:r>
        <w:rPr>
          <w:b/>
          <w:bCs/>
        </w:rPr>
        <w:t xml:space="preserve">180-day wind-down</w:t>
      </w:r>
      <w:r>
        <w:t xml:space="preserve"> </w:t>
      </w:r>
      <w:r>
        <w:t xml:space="preserve">with the right to continue using remaining materials in already-initiated trials and breeding programs, subject to ongoing royalty obligations, before the return/destruction obligation attaches.</w:t>
      </w:r>
    </w:p>
    <w:bookmarkEnd w:id="48"/>
    <w:bookmarkStart w:id="49" w:name="Xf54dd2bfa3b948ac59784b071c73d503635ecb0"/>
    <w:p>
      <w:pPr>
        <w:pStyle w:val="Heading3"/>
      </w:pPr>
      <w:r>
        <w:t xml:space="preserve">Priority 8 — MEDIUM: License C Annual Fee and User Cap</w:t>
      </w:r>
    </w:p>
    <w:p>
      <w:pPr>
        <w:pStyle w:val="Compact"/>
        <w:numPr>
          <w:ilvl w:val="0"/>
          <w:numId w:val="1019"/>
        </w:numPr>
      </w:pPr>
      <w:r>
        <w:rPr>
          <w:b/>
          <w:bCs/>
        </w:rPr>
        <w:t xml:space="preserve">NovaTrait position:</w:t>
      </w:r>
      <w:r>
        <w:t xml:space="preserve"> </w:t>
      </w:r>
      <w:r>
        <w:t xml:space="preserve">~$4.85M base + 50-user cap + $18,500/user overage (~$5.28M total).</w:t>
      </w:r>
    </w:p>
    <w:p>
      <w:pPr>
        <w:pStyle w:val="Compact"/>
        <w:numPr>
          <w:ilvl w:val="0"/>
          <w:numId w:val="1019"/>
        </w:numPr>
      </w:pPr>
      <w:r>
        <w:rPr>
          <w:b/>
          <w:bCs/>
        </w:rPr>
        <w:t xml:space="preserve">Greenfield position:</w:t>
      </w:r>
      <w:r>
        <w:t xml:space="preserve"> </w:t>
      </w:r>
      <w:r>
        <w:t xml:space="preserve">The proposed total is 31.9% above the market high and ~68% above current; the user cap is a new restriction (currently unlimited) that immediately generates ~$425,500/year in overage for 23 excess users.</w:t>
      </w:r>
    </w:p>
    <w:p>
      <w:pPr>
        <w:pStyle w:val="Compact"/>
        <w:numPr>
          <w:ilvl w:val="0"/>
          <w:numId w:val="1019"/>
        </w:numPr>
      </w:pPr>
      <w:r>
        <w:rPr>
          <w:b/>
          <w:bCs/>
        </w:rPr>
        <w:t xml:space="preserve">Recommended counter:</w:t>
      </w:r>
      <w:r>
        <w:t xml:space="preserve"> </w:t>
      </w:r>
      <w:r>
        <w:rPr>
          <w:b/>
          <w:bCs/>
        </w:rPr>
        <w:t xml:space="preserve">$3.75M base</w:t>
      </w:r>
      <w:r>
        <w:t xml:space="preserve"> </w:t>
      </w:r>
      <w:r>
        <w:t xml:space="preserve">with an</w:t>
      </w:r>
      <w:r>
        <w:t xml:space="preserve"> </w:t>
      </w:r>
      <w:r>
        <w:rPr>
          <w:b/>
          <w:bCs/>
        </w:rPr>
        <w:t xml:space="preserve">80-user cap</w:t>
      </w:r>
      <w:r>
        <w:t xml:space="preserve"> </w:t>
      </w:r>
      <w:r>
        <w:t xml:space="preserve">and overage at</w:t>
      </w:r>
      <w:r>
        <w:t xml:space="preserve"> </w:t>
      </w:r>
      <w:r>
        <w:rPr>
          <w:b/>
          <w:bCs/>
        </w:rPr>
        <w:t xml:space="preserve">$12,000/user</w:t>
      </w:r>
      <w:r>
        <w:t xml:space="preserve">. Anchor to the market range ($2.5M–$4.0M) and the credible switching threat. Obtain competitive proposals from BioSphere Analytics, PlantLogic Suite, and TraitView Pro to support the ask.</w:t>
      </w:r>
    </w:p>
    <w:bookmarkEnd w:id="49"/>
    <w:bookmarkStart w:id="50" w:name="X8d3470a5a45d26e0e6ee75236d77e9309d2ce9d"/>
    <w:p>
      <w:pPr>
        <w:pStyle w:val="Heading3"/>
      </w:pPr>
      <w:r>
        <w:t xml:space="preserve">Priority 9 — MEDIUM: License A Sublicense Pass-Through</w:t>
      </w:r>
    </w:p>
    <w:p>
      <w:pPr>
        <w:pStyle w:val="Compact"/>
        <w:numPr>
          <w:ilvl w:val="0"/>
          <w:numId w:val="1020"/>
        </w:numPr>
      </w:pPr>
      <w:r>
        <w:rPr>
          <w:b/>
          <w:bCs/>
        </w:rPr>
        <w:t xml:space="preserve">NovaTrait position:</w:t>
      </w:r>
      <w:r>
        <w:t xml:space="preserve"> </w:t>
      </w:r>
      <w:r>
        <w:t xml:space="preserve">Increase from 35% to 50%.</w:t>
      </w:r>
    </w:p>
    <w:p>
      <w:pPr>
        <w:pStyle w:val="Compact"/>
        <w:numPr>
          <w:ilvl w:val="0"/>
          <w:numId w:val="1020"/>
        </w:numPr>
      </w:pPr>
      <w:r>
        <w:rPr>
          <w:b/>
          <w:bCs/>
        </w:rPr>
        <w:t xml:space="preserve">Greenfield position:</w:t>
      </w:r>
      <w:r>
        <w:t xml:space="preserve"> </w:t>
      </w:r>
      <w:r>
        <w:t xml:space="preserve">The current 35% is already above the market median (comparables show 30%–40% pass-through). A jump to 50% is unwarranted.</w:t>
      </w:r>
    </w:p>
    <w:p>
      <w:pPr>
        <w:pStyle w:val="Compact"/>
        <w:numPr>
          <w:ilvl w:val="0"/>
          <w:numId w:val="1020"/>
        </w:numPr>
      </w:pPr>
      <w:r>
        <w:rPr>
          <w:b/>
          <w:bCs/>
        </w:rPr>
        <w:t xml:space="preserve">Recommended counter:</w:t>
      </w:r>
      <w:r>
        <w:t xml:space="preserve"> </w:t>
      </w:r>
      <w:r>
        <w:rPr>
          <w:b/>
          <w:bCs/>
        </w:rPr>
        <w:t xml:space="preserve">Retain 35%</w:t>
      </w:r>
      <w:r>
        <w:t xml:space="preserve">, or accept</w:t>
      </w:r>
      <w:r>
        <w:t xml:space="preserve"> </w:t>
      </w:r>
      <w:r>
        <w:rPr>
          <w:b/>
          <w:bCs/>
        </w:rPr>
        <w:t xml:space="preserve">40%</w:t>
      </w:r>
      <w:r>
        <w:t xml:space="preserve"> </w:t>
      </w:r>
      <w:r>
        <w:t xml:space="preserve">only with a volume discount above $2M in annual pass-through. Note that Greenfield currently has no active License A sublicensees, so this is principally a term-setting issue — but it sets the economics for any future sublicensing.</w:t>
      </w:r>
    </w:p>
    <w:bookmarkEnd w:id="50"/>
    <w:bookmarkStart w:id="51" w:name="X4057856ed722c2a001ac498715003bc92b41cc6"/>
    <w:p>
      <w:pPr>
        <w:pStyle w:val="Heading3"/>
      </w:pPr>
      <w:r>
        <w:t xml:space="preserve">Priority 10 — MEDIUM: License B / Prairielands Pass-Through</w:t>
      </w:r>
    </w:p>
    <w:p>
      <w:pPr>
        <w:pStyle w:val="Compact"/>
        <w:numPr>
          <w:ilvl w:val="0"/>
          <w:numId w:val="1021"/>
        </w:numPr>
      </w:pPr>
      <w:r>
        <w:rPr>
          <w:b/>
          <w:bCs/>
        </w:rPr>
        <w:t xml:space="preserve">NovaTrait position:</w:t>
      </w:r>
      <w:r>
        <w:t xml:space="preserve"> </w:t>
      </w:r>
      <w:r>
        <w:t xml:space="preserve">~40% pass-through on Prairielands sublicense revenue (a new obligation; License B currently has none).</w:t>
      </w:r>
    </w:p>
    <w:p>
      <w:pPr>
        <w:pStyle w:val="Compact"/>
        <w:numPr>
          <w:ilvl w:val="0"/>
          <w:numId w:val="1021"/>
        </w:numPr>
      </w:pPr>
      <w:r>
        <w:rPr>
          <w:b/>
          <w:bCs/>
        </w:rPr>
        <w:t xml:space="preserve">Greenfield position:</w:t>
      </w:r>
      <w:r>
        <w:t xml:space="preserve"> </w:t>
      </w:r>
      <w:r>
        <w:t xml:space="preserve">Introducing any pass-through where none exists is a significant new cost (~$5M/year, ~$26M cumulative). The Prairielands sublicense was consented by NovaTrait in 2021 on the express basis that no pass-through was required.</w:t>
      </w:r>
    </w:p>
    <w:p>
      <w:pPr>
        <w:pStyle w:val="Compact"/>
        <w:numPr>
          <w:ilvl w:val="0"/>
          <w:numId w:val="1021"/>
        </w:numPr>
      </w:pPr>
      <w:r>
        <w:rPr>
          <w:b/>
          <w:bCs/>
        </w:rPr>
        <w:t xml:space="preserve">Recommended counter:</w:t>
      </w:r>
      <w:r>
        <w:t xml:space="preserve"> </w:t>
      </w:r>
      <w:r>
        <w:rPr>
          <w:b/>
          <w:bCs/>
        </w:rPr>
        <w:t xml:space="preserve">20% pass-through</w:t>
      </w:r>
      <w:r>
        <w:t xml:space="preserve"> </w:t>
      </w:r>
      <w:r>
        <w:t xml:space="preserve">with a</w:t>
      </w:r>
      <w:r>
        <w:t xml:space="preserve"> </w:t>
      </w:r>
      <w:r>
        <w:rPr>
          <w:b/>
          <w:bCs/>
        </w:rPr>
        <w:t xml:space="preserve">12-month implementation/phase-in period</w:t>
      </w:r>
      <w:r>
        <w:t xml:space="preserve">, and seek NovaTrait’s consent to renew the Prairielands sublicense on substantially the existing economic terms as part of the License B renewal.</w:t>
      </w:r>
    </w:p>
    <w:bookmarkEnd w:id="51"/>
    <w:bookmarkStart w:id="52" w:name="X2cbcf5f01fdcba9d119fb4c38f89de4cc48a8f3"/>
    <w:p>
      <w:pPr>
        <w:pStyle w:val="Heading3"/>
      </w:pPr>
      <w:r>
        <w:t xml:space="preserve">Priority 11 — MEDIUM: License A Insect-Resistance Field-of-Use Removal</w:t>
      </w:r>
    </w:p>
    <w:p>
      <w:pPr>
        <w:pStyle w:val="Compact"/>
        <w:numPr>
          <w:ilvl w:val="0"/>
          <w:numId w:val="1022"/>
        </w:numPr>
      </w:pPr>
      <w:r>
        <w:rPr>
          <w:b/>
          <w:bCs/>
        </w:rPr>
        <w:t xml:space="preserve">NovaTrait position:</w:t>
      </w:r>
      <w:r>
        <w:t xml:space="preserve"> </w:t>
      </w:r>
      <w:r>
        <w:t xml:space="preserve">Remove insect resistance (exclusive license granted to a third party); add wheat; offer a transitional license for existing insect-resistance products.</w:t>
      </w:r>
    </w:p>
    <w:p>
      <w:pPr>
        <w:pStyle w:val="Compact"/>
        <w:numPr>
          <w:ilvl w:val="0"/>
          <w:numId w:val="1022"/>
        </w:numPr>
      </w:pPr>
      <w:r>
        <w:rPr>
          <w:b/>
          <w:bCs/>
        </w:rPr>
        <w:t xml:space="preserve">Greenfield position:</w:t>
      </w:r>
      <w:r>
        <w:t xml:space="preserve"> </w:t>
      </w:r>
      <w:r>
        <w:t xml:space="preserve">Insect resistance is a core product line representing roughly</w:t>
      </w:r>
      <w:r>
        <w:t xml:space="preserve"> </w:t>
      </w:r>
      <w:r>
        <w:rPr>
          <w:b/>
          <w:bCs/>
        </w:rPr>
        <w:t xml:space="preserve">30% of License A revenue (~$60.8M of FY 2024 Net Sales)</w:t>
      </w:r>
      <w:r>
        <w:t xml:space="preserve">. Losing it is a major commercial contraction, not a mere scope adjustment. Conversely, the value of adding wheat is uncertain unless NovaTrait can demonstrate that its patents actually cover wheat embodiments (see Section V.A).</w:t>
      </w:r>
    </w:p>
    <w:p>
      <w:pPr>
        <w:pStyle w:val="Compact"/>
        <w:numPr>
          <w:ilvl w:val="0"/>
          <w:numId w:val="1022"/>
        </w:numPr>
      </w:pPr>
      <w:r>
        <w:rPr>
          <w:b/>
          <w:bCs/>
        </w:rPr>
        <w:t xml:space="preserve">Recommended counter:</w:t>
      </w:r>
      <w:r>
        <w:t xml:space="preserve"> </w:t>
      </w:r>
      <w:r>
        <w:rPr>
          <w:b/>
          <w:bCs/>
        </w:rPr>
        <w:t xml:space="preserve">Retain insect resistance AND add wheat.</w:t>
      </w:r>
      <w:r>
        <w:t xml:space="preserve"> </w:t>
      </w:r>
      <w:r>
        <w:t xml:space="preserve">If NovaTrait cannot retain insect resistance (because of its third-party exclusive grant), negotiate a</w:t>
      </w:r>
      <w:r>
        <w:t xml:space="preserve"> </w:t>
      </w:r>
      <w:r>
        <w:rPr>
          <w:b/>
          <w:bCs/>
        </w:rPr>
        <w:t xml:space="preserve">long-transition, non-exclusive license</w:t>
      </w:r>
      <w:r>
        <w:t xml:space="preserve"> </w:t>
      </w:r>
      <w:r>
        <w:t xml:space="preserve">for insect resistance with a sunset of at least 5–7 years (not a short transitional period), and</w:t>
      </w:r>
      <w:r>
        <w:t xml:space="preserve"> </w:t>
      </w:r>
      <w:r>
        <w:rPr>
          <w:b/>
          <w:bCs/>
        </w:rPr>
        <w:t xml:space="preserve">condition any rate increase on wheat</w:t>
      </w:r>
      <w:r>
        <w:t xml:space="preserve"> </w:t>
      </w:r>
      <w:r>
        <w:t xml:space="preserve">on NovaTrait’s demonstration of meaningful patent coverage in wheat. Do not accept a higher rate for an expanded field that the patents do not actually block.</w:t>
      </w:r>
    </w:p>
    <w:bookmarkEnd w:id="52"/>
    <w:bookmarkStart w:id="53" w:name="priority-12-low-license-b-audit-rights"/>
    <w:p>
      <w:pPr>
        <w:pStyle w:val="Heading3"/>
      </w:pPr>
      <w:r>
        <w:t xml:space="preserve">Priority 12 — LOW: License B Audit Rights</w:t>
      </w:r>
    </w:p>
    <w:p>
      <w:pPr>
        <w:pStyle w:val="Compact"/>
        <w:numPr>
          <w:ilvl w:val="0"/>
          <w:numId w:val="1023"/>
        </w:numPr>
      </w:pPr>
      <w:r>
        <w:rPr>
          <w:b/>
          <w:bCs/>
        </w:rPr>
        <w:t xml:space="preserve">NovaTrait position:</w:t>
      </w:r>
      <w:r>
        <w:t xml:space="preserve"> </w:t>
      </w:r>
      <w:r>
        <w:t xml:space="preserve">2x/year, 15 business days’ notice, 5-year look-back.</w:t>
      </w:r>
    </w:p>
    <w:p>
      <w:pPr>
        <w:pStyle w:val="Compact"/>
        <w:numPr>
          <w:ilvl w:val="0"/>
          <w:numId w:val="1023"/>
        </w:numPr>
      </w:pPr>
      <w:r>
        <w:rPr>
          <w:b/>
          <w:bCs/>
        </w:rPr>
        <w:t xml:space="preserve">Greenfield position:</w:t>
      </w:r>
      <w:r>
        <w:t xml:space="preserve"> </w:t>
      </w:r>
      <w:r>
        <w:t xml:space="preserve">Doubled frequency, shortened notice, and an expanded look-back materially increase compliance burden and intrusion.</w:t>
      </w:r>
    </w:p>
    <w:p>
      <w:pPr>
        <w:pStyle w:val="Compact"/>
        <w:numPr>
          <w:ilvl w:val="0"/>
          <w:numId w:val="1023"/>
        </w:numPr>
      </w:pPr>
      <w:r>
        <w:rPr>
          <w:b/>
          <w:bCs/>
        </w:rPr>
        <w:t xml:space="preserve">Recommended counter:</w:t>
      </w:r>
      <w:r>
        <w:t xml:space="preserve"> </w:t>
      </w:r>
      <w:r>
        <w:rPr>
          <w:b/>
          <w:bCs/>
        </w:rPr>
        <w:t xml:space="preserve">Retain 1x/year</w:t>
      </w:r>
      <w:r>
        <w:t xml:space="preserve"> </w:t>
      </w:r>
      <w:r>
        <w:t xml:space="preserve">frequency; accept</w:t>
      </w:r>
      <w:r>
        <w:t xml:space="preserve"> </w:t>
      </w:r>
      <w:r>
        <w:rPr>
          <w:b/>
          <w:bCs/>
        </w:rPr>
        <w:t xml:space="preserve">20 business days’ notice</w:t>
      </w:r>
      <w:r>
        <w:t xml:space="preserve"> </w:t>
      </w:r>
      <w:r>
        <w:t xml:space="preserve">as a reasonable compromise; retain the</w:t>
      </w:r>
      <w:r>
        <w:t xml:space="preserve"> </w:t>
      </w:r>
      <w:r>
        <w:rPr>
          <w:b/>
          <w:bCs/>
        </w:rPr>
        <w:t xml:space="preserve">3-year look-back</w:t>
      </w:r>
      <w:r>
        <w:t xml:space="preserve">.</w:t>
      </w:r>
    </w:p>
    <w:bookmarkEnd w:id="53"/>
    <w:bookmarkStart w:id="54" w:name="X14ab74113ae20c46a7ae2c9784dd3e1f7d7d1c9"/>
    <w:p>
      <w:pPr>
        <w:pStyle w:val="Heading3"/>
      </w:pPr>
      <w:r>
        <w:t xml:space="preserve">Priority 13 — LOW: License A Anti-Stacking Floor</w:t>
      </w:r>
    </w:p>
    <w:p>
      <w:pPr>
        <w:pStyle w:val="Compact"/>
        <w:numPr>
          <w:ilvl w:val="0"/>
          <w:numId w:val="1024"/>
        </w:numPr>
      </w:pPr>
      <w:r>
        <w:rPr>
          <w:b/>
          <w:bCs/>
        </w:rPr>
        <w:t xml:space="preserve">NovaTrait position:</w:t>
      </w:r>
      <w:r>
        <w:t xml:space="preserve"> </w:t>
      </w:r>
      <w:r>
        <w:t xml:space="preserve">50% third-party-royalty offset, capped at 25% of quarterly royalties, with an effective-rate floor of 4.75%.</w:t>
      </w:r>
    </w:p>
    <w:p>
      <w:pPr>
        <w:pStyle w:val="Compact"/>
        <w:numPr>
          <w:ilvl w:val="0"/>
          <w:numId w:val="1024"/>
        </w:numPr>
      </w:pPr>
      <w:r>
        <w:rPr>
          <w:b/>
          <w:bCs/>
        </w:rPr>
        <w:t xml:space="preserve">Greenfield position:</w:t>
      </w:r>
      <w:r>
        <w:t xml:space="preserve"> </w:t>
      </w:r>
      <w:r>
        <w:t xml:space="preserve">The anti-stacking offset is a genuinely favorable new provision and Greenfield should welcome it. The principal concern is the floor, which limits the offset’s utility when third-party royalties are high.</w:t>
      </w:r>
    </w:p>
    <w:p>
      <w:pPr>
        <w:pStyle w:val="Compact"/>
        <w:numPr>
          <w:ilvl w:val="0"/>
          <w:numId w:val="1024"/>
        </w:numPr>
      </w:pPr>
      <w:r>
        <w:rPr>
          <w:b/>
          <w:bCs/>
        </w:rPr>
        <w:t xml:space="preserve">Recommended counter:</w:t>
      </w:r>
      <w:r>
        <w:t xml:space="preserve"> </w:t>
      </w:r>
      <w:r>
        <w:rPr>
          <w:b/>
          <w:bCs/>
        </w:rPr>
        <w:t xml:space="preserve">Accept the offset</w:t>
      </w:r>
      <w:r>
        <w:t xml:space="preserve">; modify the floor to</w:t>
      </w:r>
      <w:r>
        <w:t xml:space="preserve"> </w:t>
      </w:r>
      <w:r>
        <w:rPr>
          <w:b/>
          <w:bCs/>
        </w:rPr>
        <w:t xml:space="preserve">75% of the calculated royalty</w:t>
      </w:r>
      <w:r>
        <w:t xml:space="preserve"> </w:t>
      </w:r>
      <w:r>
        <w:t xml:space="preserve">(rather than a flat 4.75% effective rate) so that the offset retains meaningful value in high-stack scenarios.</w:t>
      </w:r>
    </w:p>
    <w:bookmarkEnd w:id="54"/>
    <w:bookmarkStart w:id="55" w:name="Xfaadc1d85f48fec41b870b4577c8428fbdda56d"/>
    <w:p>
      <w:pPr>
        <w:pStyle w:val="Heading3"/>
      </w:pPr>
      <w:r>
        <w:t xml:space="preserve">Priority 14 — LOW: License C Version 5.x Conversion-Tool Cost</w:t>
      </w:r>
    </w:p>
    <w:p>
      <w:pPr>
        <w:pStyle w:val="Compact"/>
        <w:numPr>
          <w:ilvl w:val="0"/>
          <w:numId w:val="1025"/>
        </w:numPr>
      </w:pPr>
      <w:r>
        <w:rPr>
          <w:b/>
          <w:bCs/>
        </w:rPr>
        <w:t xml:space="preserve">NovaTrait position:</w:t>
      </w:r>
      <w:r>
        <w:t xml:space="preserve"> </w:t>
      </w:r>
      <w:r>
        <w:t xml:space="preserve">$175,000 one-time conversion-tool fee.</w:t>
      </w:r>
    </w:p>
    <w:p>
      <w:pPr>
        <w:pStyle w:val="Compact"/>
        <w:numPr>
          <w:ilvl w:val="0"/>
          <w:numId w:val="1025"/>
        </w:numPr>
      </w:pPr>
      <w:r>
        <w:rPr>
          <w:b/>
          <w:bCs/>
        </w:rPr>
        <w:t xml:space="preserve">Greenfield position:</w:t>
      </w:r>
      <w:r>
        <w:t xml:space="preserve"> </w:t>
      </w:r>
      <w:r>
        <w:t xml:space="preserve">The migration to Version 5.x is NovaTrait’s product evolution; the conversion tool should be included as a cost of doing business in the renewal.</w:t>
      </w:r>
    </w:p>
    <w:p>
      <w:pPr>
        <w:pStyle w:val="Compact"/>
        <w:numPr>
          <w:ilvl w:val="0"/>
          <w:numId w:val="1025"/>
        </w:numPr>
      </w:pPr>
      <w:r>
        <w:rPr>
          <w:b/>
          <w:bCs/>
        </w:rPr>
        <w:t xml:space="preserve">Recommended counter:</w:t>
      </w:r>
      <w:r>
        <w:t xml:space="preserve"> </w:t>
      </w:r>
      <w:r>
        <w:rPr>
          <w:b/>
          <w:bCs/>
        </w:rPr>
        <w:t xml:space="preserve">Conversion tool included at no additional cost</w:t>
      </w:r>
      <w:r>
        <w:t xml:space="preserve"> </w:t>
      </w:r>
      <w:r>
        <w:t xml:space="preserve">as a condition of renewal.</w:t>
      </w:r>
    </w:p>
    <w:p>
      <w:r>
        <w:pict>
          <v:rect style="width:0;height:1.5pt" o:hralign="center" o:hrstd="t" o:hr="t"/>
        </w:pict>
      </w:r>
    </w:p>
    <w:bookmarkEnd w:id="55"/>
    <w:bookmarkEnd w:id="56"/>
    <w:bookmarkStart w:id="60" w:name="vii.-switching-cost-and-batna-assessment"/>
    <w:p>
      <w:pPr>
        <w:pStyle w:val="Heading2"/>
      </w:pPr>
      <w:r>
        <w:t xml:space="preserve">VII. Switching-Cost and BATNA Assessment</w:t>
      </w:r>
    </w:p>
    <w:p>
      <w:pPr>
        <w:pStyle w:val="FirstParagraph"/>
      </w:pPr>
      <w:r>
        <w:t xml:space="preserve">Our advisors modeled the cost and feasibility of replacing each licensed technology. The results define Greenfield’s best alternative to a negotiated agreement (BATNA) and, accordingly, its leverage.</w:t>
      </w:r>
    </w:p>
    <w:bookmarkStart w:id="57" w:name="X2a2fbebe85bc5d9c1cac6ec0ea3bef60db74cf7"/>
    <w:p>
      <w:pPr>
        <w:pStyle w:val="Heading3"/>
      </w:pPr>
      <w:r>
        <w:t xml:space="preserve">A. License A — Switching Not Justified Near-Term, but Strengthens Leverage</w:t>
      </w:r>
    </w:p>
    <w:p>
      <w:pPr>
        <w:pStyle w:val="Compact"/>
        <w:numPr>
          <w:ilvl w:val="0"/>
          <w:numId w:val="1026"/>
        </w:numPr>
      </w:pPr>
      <w:r>
        <w:rPr>
          <w:b/>
          <w:bCs/>
        </w:rPr>
        <w:t xml:space="preserve">Alternatives:</w:t>
      </w:r>
      <w:r>
        <w:t xml:space="preserve"> </w:t>
      </w:r>
      <w:r>
        <w:t xml:space="preserve">AgriGenome Solutions and CropTech Innovations platforms (not yet fully commercial, but maturing toward 2028–2030).</w:t>
      </w:r>
    </w:p>
    <w:p>
      <w:pPr>
        <w:pStyle w:val="Compact"/>
        <w:numPr>
          <w:ilvl w:val="0"/>
          <w:numId w:val="1026"/>
        </w:numPr>
      </w:pPr>
      <w:r>
        <w:rPr>
          <w:b/>
          <w:bCs/>
        </w:rPr>
        <w:t xml:space="preserve">Direct switching cost:</w:t>
      </w:r>
      <w:r>
        <w:t xml:space="preserve"> </w:t>
      </w:r>
      <w:r>
        <w:t xml:space="preserve">$16.65M–$23.6M (midpoint ~$20.1M), comprising alternative platform licensing, technology integration, regulatory re-submission (EPA/USDA), retraining, data migration, and legal fees.</w:t>
      </w:r>
    </w:p>
    <w:p>
      <w:pPr>
        <w:pStyle w:val="Compact"/>
        <w:numPr>
          <w:ilvl w:val="0"/>
          <w:numId w:val="1026"/>
        </w:numPr>
      </w:pPr>
      <w:r>
        <w:rPr>
          <w:b/>
          <w:bCs/>
        </w:rPr>
        <w:t xml:space="preserve">Indirect/opportunity cost:</w:t>
      </w:r>
      <w:r>
        <w:t xml:space="preserve"> </w:t>
      </w:r>
      <w:r>
        <w:t xml:space="preserve">$8M–$15M in revenue at risk during an 18–24 month transition.</w:t>
      </w:r>
    </w:p>
    <w:p>
      <w:pPr>
        <w:pStyle w:val="Compact"/>
        <w:numPr>
          <w:ilvl w:val="0"/>
          <w:numId w:val="1026"/>
        </w:numPr>
      </w:pPr>
      <w:r>
        <w:rPr>
          <w:b/>
          <w:bCs/>
        </w:rPr>
        <w:t xml:space="preserve">Break-even:</w:t>
      </w:r>
      <w:r>
        <w:t xml:space="preserve"> </w:t>
      </w:r>
      <w:r>
        <w:t xml:space="preserve">2.8–7.9 years (direct costs only); 4.1–12.9 years (direct + indirect).</w:t>
      </w:r>
    </w:p>
    <w:p>
      <w:pPr>
        <w:pStyle w:val="Compact"/>
        <w:numPr>
          <w:ilvl w:val="0"/>
          <w:numId w:val="1026"/>
        </w:numPr>
      </w:pPr>
      <w:r>
        <w:rPr>
          <w:b/>
          <w:bCs/>
        </w:rPr>
        <w:t xml:space="preserve">Assessment:</w:t>
      </w:r>
      <w:r>
        <w:t xml:space="preserve"> </w:t>
      </w:r>
      <w:r>
        <w:t xml:space="preserve">Switching is</w:t>
      </w:r>
      <w:r>
        <w:t xml:space="preserve"> </w:t>
      </w:r>
      <w:r>
        <w:rPr>
          <w:b/>
          <w:bCs/>
        </w:rPr>
        <w:t xml:space="preserve">not economically justified</w:t>
      </w:r>
      <w:r>
        <w:t xml:space="preserve"> </w:t>
      </w:r>
      <w:r>
        <w:t xml:space="preserve">within the proposed five-year renewal. However, the analysis — together with the ’117 patent expiry in 2028 — strengthens Greenfield’s leverage to negotiate the rate down to the</w:t>
      </w:r>
      <w:r>
        <w:t xml:space="preserve"> </w:t>
      </w:r>
      <w:r>
        <w:rPr>
          <w:b/>
          <w:bCs/>
        </w:rPr>
        <w:t xml:space="preserve">5.0%–5.5% range</w:t>
      </w:r>
      <w:r>
        <w:t xml:space="preserve"> </w:t>
      </w:r>
      <w:r>
        <w:t xml:space="preserve">and to insist on a post-2028 step-down. The switching option becomes increasingly viable late in the renewal term and should be re-evaluated by 2029.</w:t>
      </w:r>
    </w:p>
    <w:bookmarkEnd w:id="57"/>
    <w:bookmarkStart w:id="58" w:name="X9a934e2be37a81275de4618796d989f3a97eebe"/>
    <w:p>
      <w:pPr>
        <w:pStyle w:val="Heading3"/>
      </w:pPr>
      <w:r>
        <w:t xml:space="preserve">B. License B — Minimal Leverage; Internal Development Prohibitive</w:t>
      </w:r>
    </w:p>
    <w:p>
      <w:pPr>
        <w:pStyle w:val="Compact"/>
        <w:numPr>
          <w:ilvl w:val="0"/>
          <w:numId w:val="1027"/>
        </w:numPr>
      </w:pPr>
      <w:r>
        <w:rPr>
          <w:b/>
          <w:bCs/>
        </w:rPr>
        <w:t xml:space="preserve">Alternatives:</w:t>
      </w:r>
      <w:r>
        <w:t xml:space="preserve"> </w:t>
      </w:r>
      <w:r>
        <w:t xml:space="preserve">None commercially. The only alternative is internal development of a comparable platform.</w:t>
      </w:r>
    </w:p>
    <w:p>
      <w:pPr>
        <w:pStyle w:val="Compact"/>
        <w:numPr>
          <w:ilvl w:val="0"/>
          <w:numId w:val="1027"/>
        </w:numPr>
      </w:pPr>
      <w:r>
        <w:rPr>
          <w:b/>
          <w:bCs/>
        </w:rPr>
        <w:t xml:space="preserve">Internal development cost:</w:t>
      </w:r>
      <w:r>
        <w:t xml:space="preserve"> </w:t>
      </w:r>
      <w:r>
        <w:t xml:space="preserve">$24.3M–$33.7M (midpoint ~$29M) over a</w:t>
      </w:r>
      <w:r>
        <w:t xml:space="preserve"> </w:t>
      </w:r>
      <w:r>
        <w:rPr>
          <w:b/>
          <w:bCs/>
        </w:rPr>
        <w:t xml:space="preserve">3–4 year</w:t>
      </w:r>
      <w:r>
        <w:t xml:space="preserve"> </w:t>
      </w:r>
      <w:r>
        <w:t xml:space="preserve">program, plus $15M–$25M in revenue at risk during the development gap and $5M–$8M in Prairielands sublicense disruption.</w:t>
      </w:r>
    </w:p>
    <w:p>
      <w:pPr>
        <w:pStyle w:val="Compact"/>
        <w:numPr>
          <w:ilvl w:val="0"/>
          <w:numId w:val="1027"/>
        </w:numPr>
      </w:pPr>
      <w:r>
        <w:rPr>
          <w:b/>
          <w:bCs/>
        </w:rPr>
        <w:t xml:space="preserve">Assessment:</w:t>
      </w:r>
      <w:r>
        <w:t xml:space="preserve"> </w:t>
      </w:r>
      <w:r>
        <w:t xml:space="preserve">Greenfield has</w:t>
      </w:r>
      <w:r>
        <w:t xml:space="preserve"> </w:t>
      </w:r>
      <w:r>
        <w:rPr>
          <w:b/>
          <w:bCs/>
        </w:rPr>
        <w:t xml:space="preserve">minimal switching leverage</w:t>
      </w:r>
      <w:r>
        <w:t xml:space="preserve"> </w:t>
      </w:r>
      <w:r>
        <w:t xml:space="preserve">on License B. The recommended strategy is to negotiate the rate to</w:t>
      </w:r>
      <w:r>
        <w:t xml:space="preserve"> </w:t>
      </w:r>
      <w:r>
        <w:rPr>
          <w:b/>
          <w:bCs/>
        </w:rPr>
        <w:t xml:space="preserve">4.25%–4.5%</w:t>
      </w:r>
      <w:r>
        <w:t xml:space="preserve"> </w:t>
      </w:r>
      <w:r>
        <w:t xml:space="preserve">(within market) using comparables, and to prioritize the operational protections (180-day wind-down, annual audit, 30-day notice) and resisting the Prairielands pass-through. Lock in the longest defensible term to forestall future increases. Initiate an internal-platform feasibility study by 2027 to build optionality for the next renewal cycle.</w:t>
      </w:r>
    </w:p>
    <w:bookmarkEnd w:id="58"/>
    <w:bookmarkStart w:id="59" w:name="X396f7aefde4edec241139c4f86fe1aa11d5adef"/>
    <w:p>
      <w:pPr>
        <w:pStyle w:val="Heading3"/>
      </w:pPr>
      <w:r>
        <w:t xml:space="preserve">C. License C — Strongest Switching Case; Credible Threat</w:t>
      </w:r>
    </w:p>
    <w:p>
      <w:pPr>
        <w:pStyle w:val="Compact"/>
        <w:numPr>
          <w:ilvl w:val="0"/>
          <w:numId w:val="1028"/>
        </w:numPr>
      </w:pPr>
      <w:r>
        <w:rPr>
          <w:b/>
          <w:bCs/>
        </w:rPr>
        <w:t xml:space="preserve">Alternatives:</w:t>
      </w:r>
      <w:r>
        <w:t xml:space="preserve"> </w:t>
      </w:r>
      <w:r>
        <w:t xml:space="preserve">BioSphere Analytics (~$2.8M), PlantLogic Suite (~$3.5M), TraitView Pro (~$1.8M) — all at or below the market range of $2.5M–$4.0M.</w:t>
      </w:r>
    </w:p>
    <w:p>
      <w:pPr>
        <w:pStyle w:val="Compact"/>
        <w:numPr>
          <w:ilvl w:val="0"/>
          <w:numId w:val="1028"/>
        </w:numPr>
      </w:pPr>
      <w:r>
        <w:rPr>
          <w:b/>
          <w:bCs/>
        </w:rPr>
        <w:t xml:space="preserve">One-time switching cost:</w:t>
      </w:r>
      <w:r>
        <w:t xml:space="preserve"> </w:t>
      </w:r>
      <w:r>
        <w:t xml:space="preserve">$2.55M–$4.375M (midpoint ~$3.5M), including platform evaluation, data migration, custom-pipeline redevelopment (currently built on source-code access), retraining of 73 users, and integration with the License A/B workflows.</w:t>
      </w:r>
    </w:p>
    <w:p>
      <w:pPr>
        <w:pStyle w:val="Compact"/>
        <w:numPr>
          <w:ilvl w:val="0"/>
          <w:numId w:val="1028"/>
        </w:numPr>
      </w:pPr>
      <w:r>
        <w:rPr>
          <w:b/>
          <w:bCs/>
        </w:rPr>
        <w:t xml:space="preserve">Annual savings from switching:</w:t>
      </w:r>
      <w:r>
        <w:t xml:space="preserve"> </w:t>
      </w:r>
      <w:r>
        <w:t xml:space="preserve">$1.78M–$3.48M depending on the alternative chosen.</w:t>
      </w:r>
    </w:p>
    <w:p>
      <w:pPr>
        <w:pStyle w:val="Compact"/>
        <w:numPr>
          <w:ilvl w:val="0"/>
          <w:numId w:val="1028"/>
        </w:numPr>
      </w:pPr>
      <w:r>
        <w:rPr>
          <w:b/>
          <w:bCs/>
        </w:rPr>
        <w:t xml:space="preserve">Break-even:</w:t>
      </w:r>
      <w:r>
        <w:t xml:space="preserve"> </w:t>
      </w:r>
      <w:r>
        <w:rPr>
          <w:b/>
          <w:bCs/>
        </w:rPr>
        <w:t xml:space="preserve">0.7–2.5 years</w:t>
      </w:r>
      <w:r>
        <w:t xml:space="preserve"> </w:t>
      </w:r>
      <w:r>
        <w:t xml:space="preserve">across the alternatives.</w:t>
      </w:r>
    </w:p>
    <w:p>
      <w:pPr>
        <w:pStyle w:val="Compact"/>
        <w:numPr>
          <w:ilvl w:val="0"/>
          <w:numId w:val="1028"/>
        </w:numPr>
      </w:pPr>
      <w:r>
        <w:rPr>
          <w:b/>
          <w:bCs/>
        </w:rPr>
        <w:t xml:space="preserve">Assessment:</w:t>
      </w:r>
      <w:r>
        <w:t xml:space="preserve"> </w:t>
      </w:r>
      <w:r>
        <w:t xml:space="preserve">License C presents the</w:t>
      </w:r>
      <w:r>
        <w:t xml:space="preserve"> </w:t>
      </w:r>
      <w:r>
        <w:rPr>
          <w:b/>
          <w:bCs/>
        </w:rPr>
        <w:t xml:space="preserve">strongest switching case</w:t>
      </w:r>
      <w:r>
        <w:t xml:space="preserve">. Multiple alternatives exist at lower cost with rapid break-even. The principal risk is the</w:t>
      </w:r>
      <w:r>
        <w:t xml:space="preserve"> </w:t>
      </w:r>
      <w:r>
        <w:rPr>
          <w:b/>
          <w:bCs/>
        </w:rPr>
        <w:t xml:space="preserve">12–18 month transition period</w:t>
      </w:r>
      <w:r>
        <w:t xml:space="preserve"> </w:t>
      </w:r>
      <w:r>
        <w:t xml:space="preserve">during which GenoMap Pro access must be maintained (it is integral to the License A and B workflows), and the loss of source-code access would require pipeline redevelopment.</w:t>
      </w:r>
      <w:r>
        <w:t xml:space="preserve"> </w:t>
      </w:r>
      <w:r>
        <w:rPr>
          <w:b/>
          <w:bCs/>
        </w:rPr>
        <w:t xml:space="preserve">Recommended strategy:</w:t>
      </w:r>
      <w:r>
        <w:t xml:space="preserve"> </w:t>
      </w:r>
      <w:r>
        <w:t xml:space="preserve">use the switching analysis as leverage to negotiate the fee to the</w:t>
      </w:r>
      <w:r>
        <w:t xml:space="preserve"> </w:t>
      </w:r>
      <w:r>
        <w:rPr>
          <w:b/>
          <w:bCs/>
        </w:rPr>
        <w:t xml:space="preserve">$3.5M–$4.0M range</w:t>
      </w:r>
      <w:r>
        <w:t xml:space="preserve">, retain source-code access, reject the data-ownership clause, and eliminate or raise the user cap. Obtain competitive proposals from the alternatives to make the threat concrete. Begin alternative-platform evaluation no later than mid-2027 if a renewal is executed.</w:t>
      </w:r>
    </w:p>
    <w:p>
      <w:r>
        <w:pict>
          <v:rect style="width:0;height:1.5pt" o:hralign="center" o:hrstd="t" o:hr="t"/>
        </w:pict>
      </w:r>
    </w:p>
    <w:bookmarkEnd w:id="59"/>
    <w:bookmarkEnd w:id="60"/>
    <w:bookmarkStart w:id="61" w:name="Xbed7094ff0eb22e1c7418676b2ae5d3013b0ade"/>
    <w:p>
      <w:pPr>
        <w:pStyle w:val="Heading2"/>
      </w:pPr>
      <w:r>
        <w:t xml:space="preserve">VIII. Critical Deadlines and Procedural Status</w:t>
      </w:r>
    </w:p>
    <w:p>
      <w:pPr>
        <w:pStyle w:val="FirstParagraph"/>
      </w:pPr>
      <w:r>
        <w:t xml:space="preserve">The three renewals are on overlapping but distinct clocks. Several deadlines are imminent or have already passed. The following timeline consolidates the contractual and strategic deadlines.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Date</w:t>
            </w:r>
          </w:p>
        </w:tc>
        <w:tc>
          <w:tcPr/>
          <w:p>
            <w:pPr>
              <w:pStyle w:val="Compact"/>
              <w:jc w:val="left"/>
            </w:pPr>
            <w:r>
              <w:t xml:space="preserve">Event</w:t>
            </w:r>
          </w:p>
        </w:tc>
        <w:tc>
          <w:tcPr/>
          <w:p>
            <w:pPr>
              <w:pStyle w:val="Compact"/>
              <w:jc w:val="left"/>
            </w:pPr>
            <w:r>
              <w:t xml:space="preserve">License</w:t>
            </w:r>
          </w:p>
        </w:tc>
        <w:tc>
          <w:tcPr/>
          <w:p>
            <w:pPr>
              <w:pStyle w:val="Compact"/>
              <w:jc w:val="left"/>
            </w:pPr>
            <w:r>
              <w:t xml:space="preserve">Status</w:t>
            </w:r>
          </w:p>
        </w:tc>
        <w:tc>
          <w:tcPr/>
          <w:p>
            <w:pPr>
              <w:pStyle w:val="Compact"/>
              <w:jc w:val="left"/>
            </w:pPr>
            <w:r>
              <w:t xml:space="preserve">Action Required</w:t>
            </w:r>
          </w:p>
        </w:tc>
      </w:tr>
      <w:tr>
        <w:tc>
          <w:tcPr/>
          <w:p>
            <w:pPr>
              <w:pStyle w:val="Compact"/>
              <w:jc w:val="left"/>
            </w:pPr>
            <w:r>
              <w:t xml:space="preserve">Sep 30, 2024</w:t>
            </w:r>
          </w:p>
        </w:tc>
        <w:tc>
          <w:tcPr/>
          <w:p>
            <w:pPr>
              <w:pStyle w:val="Compact"/>
              <w:jc w:val="left"/>
            </w:pPr>
            <w:r>
              <w:t xml:space="preserve">Renewal-notice deadline</w:t>
            </w:r>
          </w:p>
        </w:tc>
        <w:tc>
          <w:tcPr/>
          <w:p>
            <w:pPr>
              <w:pStyle w:val="Compact"/>
              <w:jc w:val="left"/>
            </w:pPr>
            <w:r>
              <w:t xml:space="preserve">B</w:t>
            </w:r>
          </w:p>
        </w:tc>
        <w:tc>
          <w:tcPr/>
          <w:p>
            <w:pPr>
              <w:pStyle w:val="Compact"/>
              <w:jc w:val="left"/>
            </w:pPr>
            <w:r>
              <w:t xml:space="preserve">Passed (notice believed submitted)</w:t>
            </w:r>
          </w:p>
        </w:tc>
        <w:tc>
          <w:tcPr/>
          <w:p>
            <w:pPr>
              <w:pStyle w:val="Compact"/>
              <w:jc w:val="left"/>
            </w:pPr>
            <w:r>
              <w:t xml:space="preserve">Confirm with GC that notice was timely delivered</w:t>
            </w:r>
          </w:p>
        </w:tc>
      </w:tr>
      <w:tr>
        <w:tc>
          <w:tcPr/>
          <w:p>
            <w:pPr>
              <w:pStyle w:val="Compact"/>
              <w:jc w:val="left"/>
            </w:pPr>
            <w:r>
              <w:t xml:space="preserve">Nov 30, 2024</w:t>
            </w:r>
          </w:p>
        </w:tc>
        <w:tc>
          <w:tcPr/>
          <w:p>
            <w:pPr>
              <w:pStyle w:val="Compact"/>
              <w:jc w:val="left"/>
            </w:pPr>
            <w:r>
              <w:t xml:space="preserve">Renewal-notice deadline</w:t>
            </w:r>
          </w:p>
        </w:tc>
        <w:tc>
          <w:tcPr/>
          <w:p>
            <w:pPr>
              <w:pStyle w:val="Compact"/>
              <w:jc w:val="left"/>
            </w:pPr>
            <w:r>
              <w:t xml:space="preserve">C</w:t>
            </w:r>
          </w:p>
        </w:tc>
        <w:tc>
          <w:tcPr/>
          <w:p>
            <w:pPr>
              <w:pStyle w:val="Compact"/>
              <w:jc w:val="left"/>
            </w:pPr>
            <w:r>
              <w:t xml:space="preserve">Passed (notice believed submitted)</w:t>
            </w:r>
          </w:p>
        </w:tc>
        <w:tc>
          <w:tcPr/>
          <w:p>
            <w:pPr>
              <w:pStyle w:val="Compact"/>
              <w:jc w:val="left"/>
            </w:pPr>
            <w:r>
              <w:t xml:space="preserve">Confirm with GC that notice was timely delivered</w:t>
            </w:r>
          </w:p>
        </w:tc>
      </w:tr>
      <w:tr>
        <w:tc>
          <w:tcPr/>
          <w:p>
            <w:pPr>
              <w:pStyle w:val="Compact"/>
              <w:jc w:val="left"/>
            </w:pPr>
            <w:r>
              <w:t xml:space="preserve">Dec 31, 2024</w:t>
            </w:r>
          </w:p>
        </w:tc>
        <w:tc>
          <w:tcPr/>
          <w:p>
            <w:pPr>
              <w:pStyle w:val="Compact"/>
              <w:jc w:val="left"/>
            </w:pPr>
            <w:r>
              <w:t xml:space="preserve">Initial Term expiration</w:t>
            </w:r>
          </w:p>
        </w:tc>
        <w:tc>
          <w:tcPr/>
          <w:p>
            <w:pPr>
              <w:pStyle w:val="Compact"/>
              <w:jc w:val="left"/>
            </w:pPr>
            <w:r>
              <w:t xml:space="preserve">B</w:t>
            </w:r>
          </w:p>
        </w:tc>
        <w:tc>
          <w:tcPr/>
          <w:p>
            <w:pPr>
              <w:pStyle w:val="Compact"/>
              <w:jc w:val="left"/>
            </w:pPr>
            <w:r>
              <w:t xml:space="preserve">Expired; standstill active</w:t>
            </w:r>
          </w:p>
        </w:tc>
        <w:tc>
          <w:tcPr/>
          <w:p>
            <w:pPr>
              <w:pStyle w:val="Compact"/>
              <w:jc w:val="left"/>
            </w:pPr>
            <w:r>
              <w:t xml:space="preserve">Confirm good-faith negotiation status to preserve standstill</w:t>
            </w:r>
          </w:p>
        </w:tc>
      </w:tr>
      <w:tr>
        <w:tc>
          <w:tcPr/>
          <w:p>
            <w:pPr>
              <w:pStyle w:val="Compact"/>
              <w:jc w:val="left"/>
            </w:pPr>
            <w:r>
              <w:t xml:space="preserve">Jan 15, 2025</w:t>
            </w:r>
          </w:p>
        </w:tc>
        <w:tc>
          <w:tcPr/>
          <w:p>
            <w:pPr>
              <w:pStyle w:val="Compact"/>
              <w:jc w:val="left"/>
            </w:pPr>
            <w:r>
              <w:t xml:space="preserve">NovaTrait Proposal transmitted</w:t>
            </w:r>
          </w:p>
        </w:tc>
        <w:tc>
          <w:tcPr/>
          <w:p>
            <w:pPr>
              <w:pStyle w:val="Compact"/>
              <w:jc w:val="left"/>
            </w:pPr>
            <w:r>
              <w:t xml:space="preserve">A/B/C</w:t>
            </w:r>
          </w:p>
        </w:tc>
        <w:tc>
          <w:tcPr/>
          <w:p>
            <w:pPr>
              <w:pStyle w:val="Compact"/>
              <w:jc w:val="left"/>
            </w:pPr>
            <w:r>
              <w:t xml:space="preserve">Received</w:t>
            </w:r>
          </w:p>
        </w:tc>
        <w:tc>
          <w:tcPr/>
          <w:p>
            <w:pPr>
              <w:pStyle w:val="Compact"/>
              <w:jc w:val="left"/>
            </w:pPr>
            <w:r>
              <w:t xml:space="preserve">Under review by counsel and advisors</w:t>
            </w:r>
          </w:p>
        </w:tc>
      </w:tr>
      <w:tr>
        <w:tc>
          <w:tcPr/>
          <w:p>
            <w:pPr>
              <w:pStyle w:val="Compact"/>
              <w:jc w:val="left"/>
            </w:pPr>
            <w:r>
              <w:rPr>
                <w:b/>
                <w:bCs/>
              </w:rPr>
              <w:t xml:space="preserve">Feb 28, 2025</w:t>
            </w:r>
          </w:p>
        </w:tc>
        <w:tc>
          <w:tcPr/>
          <w:p>
            <w:pPr>
              <w:pStyle w:val="Compact"/>
              <w:jc w:val="left"/>
            </w:pPr>
            <w:r>
              <w:rPr>
                <w:b/>
                <w:bCs/>
              </w:rPr>
              <w:t xml:space="preserve">Initial Term expiration</w:t>
            </w:r>
          </w:p>
        </w:tc>
        <w:tc>
          <w:tcPr/>
          <w:p>
            <w:pPr>
              <w:pStyle w:val="Compact"/>
              <w:jc w:val="left"/>
            </w:pPr>
            <w:r>
              <w:rPr>
                <w:b/>
                <w:bCs/>
              </w:rPr>
              <w:t xml:space="preserve">C</w:t>
            </w:r>
          </w:p>
        </w:tc>
        <w:tc>
          <w:tcPr/>
          <w:p>
            <w:pPr>
              <w:pStyle w:val="Compact"/>
              <w:jc w:val="left"/>
            </w:pPr>
            <w:r>
              <w:rPr>
                <w:b/>
                <w:bCs/>
              </w:rPr>
              <w:t xml:space="preserve">Imminent</w:t>
            </w:r>
          </w:p>
        </w:tc>
        <w:tc>
          <w:tcPr/>
          <w:p>
            <w:pPr>
              <w:pStyle w:val="Compact"/>
              <w:jc w:val="left"/>
            </w:pPr>
            <w:r>
              <w:rPr>
                <w:b/>
                <w:bCs/>
              </w:rPr>
              <w:t xml:space="preserve">Secure interim/holdover access letter immediately</w:t>
            </w:r>
          </w:p>
        </w:tc>
      </w:tr>
      <w:tr>
        <w:tc>
          <w:tcPr/>
          <w:p>
            <w:pPr>
              <w:pStyle w:val="Compact"/>
              <w:jc w:val="left"/>
            </w:pPr>
            <w:r>
              <w:rPr>
                <w:b/>
                <w:bCs/>
              </w:rPr>
              <w:t xml:space="preserve">Mar 31, 2025</w:t>
            </w:r>
          </w:p>
        </w:tc>
        <w:tc>
          <w:tcPr/>
          <w:p>
            <w:pPr>
              <w:pStyle w:val="Compact"/>
              <w:jc w:val="left"/>
            </w:pPr>
            <w:r>
              <w:rPr>
                <w:b/>
                <w:bCs/>
              </w:rPr>
              <w:t xml:space="preserve">Renewal-notice deadline</w:t>
            </w:r>
          </w:p>
        </w:tc>
        <w:tc>
          <w:tcPr/>
          <w:p>
            <w:pPr>
              <w:pStyle w:val="Compact"/>
              <w:jc w:val="left"/>
            </w:pPr>
            <w:r>
              <w:rPr>
                <w:b/>
                <w:bCs/>
              </w:rPr>
              <w:t xml:space="preserve">A</w:t>
            </w:r>
          </w:p>
        </w:tc>
        <w:tc>
          <w:tcPr/>
          <w:p>
            <w:pPr>
              <w:pStyle w:val="Compact"/>
              <w:jc w:val="left"/>
            </w:pPr>
            <w:r>
              <w:rPr>
                <w:b/>
                <w:bCs/>
              </w:rPr>
              <w:t xml:space="preserve">Upcoming</w:t>
            </w:r>
          </w:p>
        </w:tc>
        <w:tc>
          <w:tcPr/>
          <w:p>
            <w:pPr>
              <w:pStyle w:val="Compact"/>
              <w:jc w:val="left"/>
            </w:pPr>
            <w:r>
              <w:rPr>
                <w:b/>
                <w:bCs/>
              </w:rPr>
              <w:t xml:space="preserve">Deliver Section 14.2 Renewal Notice (hard deadline)</w:t>
            </w:r>
          </w:p>
        </w:tc>
      </w:tr>
      <w:tr>
        <w:tc>
          <w:tcPr/>
          <w:p>
            <w:pPr>
              <w:pStyle w:val="Compact"/>
              <w:jc w:val="left"/>
            </w:pPr>
            <w:r>
              <w:t xml:space="preserve">Apr 15, 2025</w:t>
            </w:r>
          </w:p>
        </w:tc>
        <w:tc>
          <w:tcPr/>
          <w:p>
            <w:pPr>
              <w:pStyle w:val="Compact"/>
              <w:jc w:val="left"/>
            </w:pPr>
            <w:r>
              <w:t xml:space="preserve">Target: Greenfield counter-proposal</w:t>
            </w:r>
          </w:p>
        </w:tc>
        <w:tc>
          <w:tcPr/>
          <w:p>
            <w:pPr>
              <w:pStyle w:val="Compact"/>
              <w:jc w:val="left"/>
            </w:pPr>
            <w:r>
              <w:t xml:space="preserve">A/B/C</w:t>
            </w:r>
          </w:p>
        </w:tc>
        <w:tc>
          <w:tcPr/>
          <w:p>
            <w:pPr>
              <w:pStyle w:val="Compact"/>
              <w:jc w:val="left"/>
            </w:pPr>
            <w:r>
              <w:t xml:space="preserve">Planned</w:t>
            </w:r>
          </w:p>
        </w:tc>
        <w:tc>
          <w:tcPr/>
          <w:p>
            <w:pPr>
              <w:pStyle w:val="Compact"/>
              <w:jc w:val="left"/>
            </w:pPr>
            <w:r>
              <w:t xml:space="preserve">Counsel to prepare and transmit consolidated counter</w:t>
            </w:r>
          </w:p>
        </w:tc>
      </w:tr>
      <w:tr>
        <w:tc>
          <w:tcPr/>
          <w:p>
            <w:pPr>
              <w:pStyle w:val="Compact"/>
              <w:jc w:val="left"/>
            </w:pPr>
            <w:r>
              <w:rPr>
                <w:b/>
                <w:bCs/>
              </w:rPr>
              <w:t xml:space="preserve">Jun 29, 2025</w:t>
            </w:r>
          </w:p>
        </w:tc>
        <w:tc>
          <w:tcPr/>
          <w:p>
            <w:pPr>
              <w:pStyle w:val="Compact"/>
              <w:jc w:val="left"/>
            </w:pPr>
            <w:r>
              <w:rPr>
                <w:b/>
                <w:bCs/>
              </w:rPr>
              <w:t xml:space="preserve">Standstill expiration (180 days)</w:t>
            </w:r>
          </w:p>
        </w:tc>
        <w:tc>
          <w:tcPr/>
          <w:p>
            <w:pPr>
              <w:pStyle w:val="Compact"/>
              <w:jc w:val="left"/>
            </w:pPr>
            <w:r>
              <w:rPr>
                <w:b/>
                <w:bCs/>
              </w:rPr>
              <w:t xml:space="preserve">B</w:t>
            </w:r>
          </w:p>
        </w:tc>
        <w:tc>
          <w:tcPr/>
          <w:p>
            <w:pPr>
              <w:pStyle w:val="Compact"/>
              <w:jc w:val="left"/>
            </w:pPr>
            <w:r>
              <w:rPr>
                <w:b/>
                <w:bCs/>
              </w:rPr>
              <w:t xml:space="preserve">CRITICAL</w:t>
            </w:r>
          </w:p>
        </w:tc>
        <w:tc>
          <w:tcPr/>
          <w:p>
            <w:pPr>
              <w:pStyle w:val="Compact"/>
              <w:jc w:val="left"/>
            </w:pPr>
            <w:r>
              <w:rPr>
                <w:b/>
                <w:bCs/>
              </w:rPr>
              <w:t xml:space="preserve">Execute renewal or secure standstill extension before this date</w:t>
            </w:r>
          </w:p>
        </w:tc>
      </w:tr>
      <w:tr>
        <w:tc>
          <w:tcPr/>
          <w:p>
            <w:pPr>
              <w:pStyle w:val="Compact"/>
              <w:jc w:val="left"/>
            </w:pPr>
            <w:r>
              <w:rPr>
                <w:b/>
                <w:bCs/>
              </w:rPr>
              <w:t xml:space="preserve">Jun 30, 2025</w:t>
            </w:r>
          </w:p>
        </w:tc>
        <w:tc>
          <w:tcPr/>
          <w:p>
            <w:pPr>
              <w:pStyle w:val="Compact"/>
              <w:jc w:val="left"/>
            </w:pPr>
            <w:r>
              <w:rPr>
                <w:b/>
                <w:bCs/>
              </w:rPr>
              <w:t xml:space="preserve">Initial Term expiration</w:t>
            </w:r>
          </w:p>
        </w:tc>
        <w:tc>
          <w:tcPr/>
          <w:p>
            <w:pPr>
              <w:pStyle w:val="Compact"/>
              <w:jc w:val="left"/>
            </w:pPr>
            <w:r>
              <w:rPr>
                <w:b/>
                <w:bCs/>
              </w:rPr>
              <w:t xml:space="preserve">A</w:t>
            </w:r>
          </w:p>
        </w:tc>
        <w:tc>
          <w:tcPr/>
          <w:p>
            <w:pPr>
              <w:pStyle w:val="Compact"/>
              <w:jc w:val="left"/>
            </w:pPr>
            <w:r>
              <w:rPr>
                <w:b/>
                <w:bCs/>
              </w:rPr>
              <w:t xml:space="preserve">Upcoming</w:t>
            </w:r>
          </w:p>
        </w:tc>
        <w:tc>
          <w:tcPr/>
          <w:p>
            <w:pPr>
              <w:pStyle w:val="Compact"/>
              <w:jc w:val="left"/>
            </w:pPr>
            <w:r>
              <w:rPr>
                <w:b/>
                <w:bCs/>
              </w:rPr>
              <w:t xml:space="preserve">No standstill in License A — hard stop if not renewed</w:t>
            </w:r>
          </w:p>
        </w:tc>
      </w:tr>
      <w:tr>
        <w:tc>
          <w:tcPr/>
          <w:p>
            <w:pPr>
              <w:pStyle w:val="Compact"/>
              <w:jc w:val="left"/>
            </w:pPr>
            <w:r>
              <w:t xml:space="preserve">Mar 12, 2028</w:t>
            </w:r>
          </w:p>
        </w:tc>
        <w:tc>
          <w:tcPr/>
          <w:p>
            <w:pPr>
              <w:pStyle w:val="Compact"/>
              <w:jc w:val="left"/>
            </w:pPr>
            <w:r>
              <w:t xml:space="preserve">U.S. 9,234,117 expiry</w:t>
            </w:r>
          </w:p>
        </w:tc>
        <w:tc>
          <w:tcPr/>
          <w:p>
            <w:pPr>
              <w:pStyle w:val="Compact"/>
              <w:jc w:val="left"/>
            </w:pPr>
            <w:r>
              <w:t xml:space="preserve">A</w:t>
            </w:r>
          </w:p>
        </w:tc>
        <w:tc>
          <w:tcPr/>
          <w:p>
            <w:pPr>
              <w:pStyle w:val="Compact"/>
              <w:jc w:val="left"/>
            </w:pPr>
            <w:r>
              <w:t xml:space="preserve">Future</w:t>
            </w:r>
          </w:p>
        </w:tc>
        <w:tc>
          <w:tcPr/>
          <w:p>
            <w:pPr>
              <w:pStyle w:val="Compact"/>
              <w:jc w:val="left"/>
            </w:pPr>
            <w:r>
              <w:t xml:space="preserve">Royalty step-down / renegotiation trigger</w:t>
            </w:r>
          </w:p>
        </w:tc>
      </w:tr>
      <w:tr>
        <w:tc>
          <w:tcPr/>
          <w:p>
            <w:pPr>
              <w:pStyle w:val="Compact"/>
              <w:jc w:val="left"/>
            </w:pPr>
            <w:r>
              <w:t xml:space="preserve">Feb 28, 2028</w:t>
            </w:r>
          </w:p>
        </w:tc>
        <w:tc>
          <w:tcPr/>
          <w:p>
            <w:pPr>
              <w:pStyle w:val="Compact"/>
              <w:jc w:val="left"/>
            </w:pPr>
            <w:r>
              <w:t xml:space="preserve">Proposed renewal-term end</w:t>
            </w:r>
          </w:p>
        </w:tc>
        <w:tc>
          <w:tcPr/>
          <w:p>
            <w:pPr>
              <w:pStyle w:val="Compact"/>
              <w:jc w:val="left"/>
            </w:pPr>
            <w:r>
              <w:t xml:space="preserve">C</w:t>
            </w:r>
          </w:p>
        </w:tc>
        <w:tc>
          <w:tcPr/>
          <w:p>
            <w:pPr>
              <w:pStyle w:val="Compact"/>
              <w:jc w:val="left"/>
            </w:pPr>
            <w:r>
              <w:t xml:space="preserve">Future</w:t>
            </w:r>
          </w:p>
        </w:tc>
        <w:tc>
          <w:tcPr/>
          <w:p>
            <w:pPr>
              <w:pStyle w:val="Compact"/>
              <w:jc w:val="left"/>
            </w:pPr>
            <w:r>
              <w:t xml:space="preserve">Begin alternative evaluation by mid-2027</w:t>
            </w:r>
          </w:p>
        </w:tc>
      </w:tr>
      <w:tr>
        <w:tc>
          <w:tcPr/>
          <w:p>
            <w:pPr>
              <w:pStyle w:val="Compact"/>
              <w:jc w:val="left"/>
            </w:pPr>
            <w:r>
              <w:t xml:space="preserve">Dec 31, 2029</w:t>
            </w:r>
          </w:p>
        </w:tc>
        <w:tc>
          <w:tcPr/>
          <w:p>
            <w:pPr>
              <w:pStyle w:val="Compact"/>
              <w:jc w:val="left"/>
            </w:pPr>
            <w:r>
              <w:t xml:space="preserve">Proposed renewal-term end</w:t>
            </w:r>
          </w:p>
        </w:tc>
        <w:tc>
          <w:tcPr/>
          <w:p>
            <w:pPr>
              <w:pStyle w:val="Compact"/>
              <w:jc w:val="left"/>
            </w:pPr>
            <w:r>
              <w:t xml:space="preserve">B</w:t>
            </w:r>
          </w:p>
        </w:tc>
        <w:tc>
          <w:tcPr/>
          <w:p>
            <w:pPr>
              <w:pStyle w:val="Compact"/>
              <w:jc w:val="left"/>
            </w:pPr>
            <w:r>
              <w:t xml:space="preserve">Future</w:t>
            </w:r>
          </w:p>
        </w:tc>
        <w:tc>
          <w:tcPr/>
          <w:p>
            <w:pPr>
              <w:pStyle w:val="Compact"/>
              <w:jc w:val="left"/>
            </w:pPr>
            <w:r>
              <w:t xml:space="preserve">Initiate internal-platform feasibility study by 2027</w:t>
            </w:r>
          </w:p>
        </w:tc>
      </w:tr>
      <w:tr>
        <w:tc>
          <w:tcPr/>
          <w:p>
            <w:pPr>
              <w:pStyle w:val="Compact"/>
              <w:jc w:val="left"/>
            </w:pPr>
            <w:r>
              <w:t xml:space="preserve">Jun 30, 2030</w:t>
            </w:r>
          </w:p>
        </w:tc>
        <w:tc>
          <w:tcPr/>
          <w:p>
            <w:pPr>
              <w:pStyle w:val="Compact"/>
              <w:jc w:val="left"/>
            </w:pPr>
            <w:r>
              <w:t xml:space="preserve">Proposed renewal-term end</w:t>
            </w:r>
          </w:p>
        </w:tc>
        <w:tc>
          <w:tcPr/>
          <w:p>
            <w:pPr>
              <w:pStyle w:val="Compact"/>
              <w:jc w:val="left"/>
            </w:pPr>
            <w:r>
              <w:t xml:space="preserve">A</w:t>
            </w:r>
          </w:p>
        </w:tc>
        <w:tc>
          <w:tcPr/>
          <w:p>
            <w:pPr>
              <w:pStyle w:val="Compact"/>
              <w:jc w:val="left"/>
            </w:pPr>
            <w:r>
              <w:t xml:space="preserve">Future</w:t>
            </w:r>
          </w:p>
        </w:tc>
        <w:tc>
          <w:tcPr/>
          <w:p>
            <w:pPr>
              <w:pStyle w:val="Compact"/>
              <w:jc w:val="left"/>
            </w:pPr>
            <w:r>
              <w:t xml:space="preserve">Reassess landscape and switching costs by 2029</w:t>
            </w:r>
          </w:p>
        </w:tc>
      </w:tr>
      <w:tr>
        <w:tc>
          <w:tcPr/>
          <w:p>
            <w:pPr>
              <w:pStyle w:val="Compact"/>
              <w:jc w:val="left"/>
            </w:pPr>
            <w:r>
              <w:t xml:space="preserve">Oct 6, 2035</w:t>
            </w:r>
          </w:p>
        </w:tc>
        <w:tc>
          <w:tcPr/>
          <w:p>
            <w:pPr>
              <w:pStyle w:val="Compact"/>
              <w:jc w:val="left"/>
            </w:pPr>
            <w:r>
              <w:t xml:space="preserve">U.S. 10,112,445 expiry</w:t>
            </w:r>
          </w:p>
        </w:tc>
        <w:tc>
          <w:tcPr/>
          <w:p>
            <w:pPr>
              <w:pStyle w:val="Compact"/>
              <w:jc w:val="left"/>
            </w:pPr>
            <w:r>
              <w:t xml:space="preserve">A</w:t>
            </w:r>
          </w:p>
        </w:tc>
        <w:tc>
          <w:tcPr/>
          <w:p>
            <w:pPr>
              <w:pStyle w:val="Compact"/>
              <w:jc w:val="left"/>
            </w:pPr>
            <w:r>
              <w:t xml:space="preserve">Future</w:t>
            </w:r>
          </w:p>
        </w:tc>
        <w:tc>
          <w:tcPr/>
          <w:p>
            <w:pPr>
              <w:pStyle w:val="Compact"/>
              <w:jc w:val="left"/>
            </w:pPr>
            <w:r>
              <w:t xml:space="preserve">Full freedom-to-operate for CRISPR-Ag technology</w:t>
            </w:r>
          </w:p>
        </w:tc>
      </w:tr>
    </w:tbl>
    <w:p>
      <w:pPr>
        <w:pStyle w:val="BodyText"/>
      </w:pPr>
      <w:r>
        <w:rPr>
          <w:b/>
          <w:bCs/>
        </w:rPr>
        <w:t xml:space="preserve">Key procedural observations:</w:t>
      </w:r>
    </w:p>
    <w:p>
      <w:pPr>
        <w:pStyle w:val="Compact"/>
        <w:numPr>
          <w:ilvl w:val="0"/>
          <w:numId w:val="1029"/>
        </w:numPr>
      </w:pPr>
      <w:r>
        <w:rPr>
          <w:b/>
          <w:bCs/>
        </w:rPr>
        <w:t xml:space="preserve">License A has no standstill provision.</w:t>
      </w:r>
      <w:r>
        <w:t xml:space="preserve"> </w:t>
      </w:r>
      <w:r>
        <w:t xml:space="preserve">Unlike License B, there is no automatic bridge past the June 30, 2025 expiration. If a renewal is not executed by that date, License A expires (with only the 12-month sell-off period under Section 15.5(b) permitting sale of existing inventory — no new Licensed Products may be made). Greenfield should either close the renewal by June 30, 2025 or negotiate an explicit holdover/standstill side letter. Delivering the Renewal Notice early (well before March 31, 2025) maximizes the negotiation window.</w:t>
      </w:r>
    </w:p>
    <w:p>
      <w:pPr>
        <w:pStyle w:val="Compact"/>
        <w:numPr>
          <w:ilvl w:val="0"/>
          <w:numId w:val="1029"/>
        </w:numPr>
      </w:pPr>
      <w:r>
        <w:rPr>
          <w:b/>
          <w:bCs/>
        </w:rPr>
        <w:t xml:space="preserve">License B’s standstill is the single most time-pressured item.</w:t>
      </w:r>
      <w:r>
        <w:t xml:space="preserve"> </w:t>
      </w:r>
      <w:r>
        <w:t xml:space="preserve">The 180-day standstill runs from December 31, 2024 and expires approximately June 29, 2025. If it lapses without a renewal or extension, License B terminates and the (current) 90-day biological-materials wind-down and 180-day sell-off apply — but the license is lost. The Proposal’s Appendix B standstill-confirmation form runs only through June 30, 2025; we recommend negotiating an extension to December 31, 2025.</w:t>
      </w:r>
    </w:p>
    <w:p>
      <w:pPr>
        <w:pStyle w:val="Compact"/>
        <w:numPr>
          <w:ilvl w:val="0"/>
          <w:numId w:val="1029"/>
        </w:numPr>
      </w:pPr>
      <w:r>
        <w:rPr>
          <w:b/>
          <w:bCs/>
        </w:rPr>
        <w:t xml:space="preserve">License C expires February 28, 2025 — four days from the date of this memo.</w:t>
      </w:r>
      <w:r>
        <w:t xml:space="preserve"> </w:t>
      </w:r>
      <w:r>
        <w:t xml:space="preserve">An interim access arrangement must be in place before that date to avoid disruption to the License A and B workflows that depend on GenoMap Pro. NovaTrait has stated it will treat the Proposal as initiation of renewal negotiations, but Greenfield should obtain a written holdover/bridge letter confirming continued access on existing terms pending execution of a renewal.</w:t>
      </w:r>
    </w:p>
    <w:p>
      <w:r>
        <w:pict>
          <v:rect style="width:0;height:1.5pt" o:hralign="center" o:hrstd="t" o:hr="t"/>
        </w:pict>
      </w:r>
    </w:p>
    <w:bookmarkEnd w:id="61"/>
    <w:bookmarkStart w:id="62" w:name="ix.-key-risks-and-red-flags"/>
    <w:p>
      <w:pPr>
        <w:pStyle w:val="Heading2"/>
      </w:pPr>
      <w:r>
        <w:t xml:space="preserve">IX. Key Risks and Red Flags</w:t>
      </w:r>
    </w:p>
    <w:p>
      <w:pPr>
        <w:pStyle w:val="FirstParagraph"/>
      </w:pPr>
      <w:r>
        <w:t xml:space="preserve">Beyond the negotiated terms, the following risks and diligence items merit attention:</w:t>
      </w:r>
    </w:p>
    <w:p>
      <w:pPr>
        <w:numPr>
          <w:ilvl w:val="0"/>
          <w:numId w:val="1030"/>
        </w:numPr>
      </w:pPr>
      <w:r>
        <w:rPr>
          <w:b/>
          <w:bCs/>
        </w:rPr>
        <w:t xml:space="preserve">License B standstill lapse (CRITICAL).</w:t>
      </w:r>
      <w:r>
        <w:t xml:space="preserve"> </w:t>
      </w:r>
      <w:r>
        <w:t xml:space="preserve">Loss of an irreplaceable license and disruption of the Prairielands sublicense and Greenfield’s drought/nutrient programs. Mitigation: secure written extension (Priority 1).</w:t>
      </w:r>
    </w:p>
    <w:p>
      <w:pPr>
        <w:numPr>
          <w:ilvl w:val="0"/>
          <w:numId w:val="1030"/>
        </w:numPr>
      </w:pPr>
      <w:r>
        <w:rPr>
          <w:b/>
          <w:bCs/>
        </w:rPr>
        <w:t xml:space="preserve">License C data-ownership and source-code changes (CRITICAL/HIGH).</w:t>
      </w:r>
      <w:r>
        <w:t xml:space="preserve"> </w:t>
      </w:r>
      <w:r>
        <w:t xml:space="preserve">The Derivative-Data ownership clause could strip Greenfield of proprietary datasets; loss of source-code access strands custom pipelines. Both are material adverse changes. Mitigation: reject outright; leverage switching threat (Priorities 2, 6).</w:t>
      </w:r>
    </w:p>
    <w:p>
      <w:pPr>
        <w:numPr>
          <w:ilvl w:val="0"/>
          <w:numId w:val="1030"/>
        </w:numPr>
      </w:pPr>
      <w:r>
        <w:rPr>
          <w:b/>
          <w:bCs/>
        </w:rPr>
        <w:t xml:space="preserve">License A insect-resistance removal (HIGH).</w:t>
      </w:r>
      <w:r>
        <w:t xml:space="preserve"> </w:t>
      </w:r>
      <w:r>
        <w:t xml:space="preserve">~30% of License A revenue at risk. Mitigation: insist on retention or a long-transition license (Priority 11).</w:t>
      </w:r>
    </w:p>
    <w:p>
      <w:pPr>
        <w:numPr>
          <w:ilvl w:val="0"/>
          <w:numId w:val="1030"/>
        </w:numPr>
      </w:pPr>
      <w:r>
        <w:rPr>
          <w:b/>
          <w:bCs/>
        </w:rPr>
        <w:t xml:space="preserve">Net Sales redefinition as hidden rate increase (HIGH).</w:t>
      </w:r>
      <w:r>
        <w:t xml:space="preserve"> </w:t>
      </w:r>
      <w:r>
        <w:t xml:space="preserve">Effectively raises the economic burden beyond the nominal rate and consumes most of the Section 14.3 cap headroom. Mitigation: insist on original definition or demand IFMV assessment (Priority 4).</w:t>
      </w:r>
    </w:p>
    <w:p>
      <w:pPr>
        <w:numPr>
          <w:ilvl w:val="0"/>
          <w:numId w:val="1030"/>
        </w:numPr>
      </w:pPr>
      <w:r>
        <w:rPr>
          <w:b/>
          <w:bCs/>
        </w:rPr>
        <w:t xml:space="preserve">Improvement-ownership reversal (HIGH).</w:t>
      </w:r>
      <w:r>
        <w:t xml:space="preserve"> </w:t>
      </w:r>
      <w:r>
        <w:t xml:space="preserve">Greenfield would surrender ownership of its own R&amp;D outputs and grant a perpetual, royalty-free, sublicensable license to NovaTrait under both Licenses A and B. Mitigation: retain sole ownership (Priorities 3, and License B improvements).</w:t>
      </w:r>
    </w:p>
    <w:p>
      <w:pPr>
        <w:numPr>
          <w:ilvl w:val="0"/>
          <w:numId w:val="1030"/>
        </w:numPr>
      </w:pPr>
      <w:r>
        <w:rPr>
          <w:b/>
          <w:bCs/>
        </w:rPr>
        <w:t xml:space="preserve">License B 30-day biological-materials return (HIGH).</w:t>
      </w:r>
      <w:r>
        <w:t xml:space="preserve"> </w:t>
      </w:r>
      <w:r>
        <w:t xml:space="preserve">Operationally infeasible for ongoing breeding/field trials. Mitigation: 180-day wind-down (Priority 7).</w:t>
      </w:r>
    </w:p>
    <w:p>
      <w:pPr>
        <w:numPr>
          <w:ilvl w:val="0"/>
          <w:numId w:val="1030"/>
        </w:numPr>
      </w:pPr>
      <w:r>
        <w:rPr>
          <w:b/>
          <w:bCs/>
        </w:rPr>
        <w:t xml:space="preserve">License B non-exclusivity unaddressed.</w:t>
      </w:r>
      <w:r>
        <w:t xml:space="preserve"> </w:t>
      </w:r>
      <w:r>
        <w:t xml:space="preserve">NovaTrait seeks a top-of-market rate for a non-exclusive license without offering exclusivity restoration. This is leverage for Greenfield to demand exclusivity (at least in the Prairielands field) or a lower rate.</w:t>
      </w:r>
    </w:p>
    <w:p>
      <w:pPr>
        <w:numPr>
          <w:ilvl w:val="0"/>
          <w:numId w:val="1030"/>
        </w:numPr>
      </w:pPr>
      <w:r>
        <w:rPr>
          <w:b/>
          <w:bCs/>
        </w:rPr>
        <w:t xml:space="preserve">Encumbrances on License A patents.</w:t>
      </w:r>
      <w:r>
        <w:t xml:space="preserve"> </w:t>
      </w:r>
      <w:r>
        <w:t xml:space="preserve">Schedule 5.2 discloses a security interest in the Licensed Patents granted to</w:t>
      </w:r>
      <w:r>
        <w:t xml:space="preserve"> </w:t>
      </w:r>
      <w:r>
        <w:rPr>
          <w:b/>
          <w:bCs/>
        </w:rPr>
        <w:t xml:space="preserve">Cambridge Innovation Capital Fund II, L.P.</w:t>
      </w:r>
      <w:r>
        <w:t xml:space="preserve"> </w:t>
      </w:r>
      <w:r>
        <w:t xml:space="preserve">(venture credit facility, March 2013) and a prior non-exclusive academic license to the Meridian Agricultural Research Institute. If NovaTrait were to default on its venture credit facility, the security interest could complicate Greenfield’s exclusive rights. Greenfield should confirm the security interest remains subordinated to Greenfield’s license rights and monitor NovaTrait’s financial condition.</w:t>
      </w:r>
    </w:p>
    <w:p>
      <w:pPr>
        <w:numPr>
          <w:ilvl w:val="0"/>
          <w:numId w:val="1030"/>
        </w:numPr>
      </w:pPr>
      <w:r>
        <w:rPr>
          <w:b/>
          <w:bCs/>
        </w:rPr>
        <w:t xml:space="preserve">Patent-challenge restriction (License A, Section 15.4).</w:t>
      </w:r>
      <w:r>
        <w:t xml:space="preserve"> </w:t>
      </w:r>
      <w:r>
        <w:t xml:space="preserve">Greenfield’s challenge of any Licensed Patent permits NovaTrait to terminate on 60 days’ notice. This constrains Greenfield’s ability to contest the ’117 patent or others and reinforces the importance of the step-down mechanism (which captures the value decline without requiring a challenge) rather than a validity attack.</w:t>
      </w:r>
    </w:p>
    <w:p>
      <w:pPr>
        <w:numPr>
          <w:ilvl w:val="0"/>
          <w:numId w:val="1030"/>
        </w:numPr>
      </w:pPr>
      <w:r>
        <w:rPr>
          <w:b/>
          <w:bCs/>
        </w:rPr>
        <w:t xml:space="preserve">Most-Favored-Licensee (MFL) reference.</w:t>
      </w:r>
      <w:r>
        <w:t xml:space="preserve"> </w:t>
      </w:r>
      <w:r>
        <w:t xml:space="preserve">The Proposal states NovaTrait will</w:t>
      </w:r>
      <w:r>
        <w:t xml:space="preserve"> </w:t>
      </w:r>
      <w:r>
        <w:t xml:space="preserve">“</w:t>
      </w:r>
      <w:r>
        <w:t xml:space="preserve">maintain existing Section 14.5 (MFL)</w:t>
      </w:r>
      <w:r>
        <w:t xml:space="preserve">”</w:t>
      </w:r>
      <w:r>
        <w:t xml:space="preserve"> </w:t>
      </w:r>
      <w:r>
        <w:t xml:space="preserve">for License A. However, the License A agreement as executed contains</w:t>
      </w:r>
      <w:r>
        <w:t xml:space="preserve"> </w:t>
      </w:r>
      <w:r>
        <w:rPr>
          <w:b/>
          <w:bCs/>
        </w:rPr>
        <w:t xml:space="preserve">no Section 14.5</w:t>
      </w:r>
      <w:r>
        <w:t xml:space="preserve"> </w:t>
      </w:r>
      <w:r>
        <w:t xml:space="preserve">(Article 14 ends at Section 14.4). This should be verified: if no MFL exists, NovaTrait’s representation is inaccurate; if an MFL exists in a side letter or amendment not in our files, its terms must be reviewed. In either case, given that NovaTrait is now granting exclusive licenses to others (e.g., insect resistance), Greenfield should consider</w:t>
      </w:r>
      <w:r>
        <w:t xml:space="preserve"> </w:t>
      </w:r>
      <w:r>
        <w:rPr>
          <w:b/>
          <w:bCs/>
        </w:rPr>
        <w:t xml:space="preserve">requesting an MFL</w:t>
      </w:r>
      <w:r>
        <w:t xml:space="preserve"> </w:t>
      </w:r>
      <w:r>
        <w:t xml:space="preserve">as a negotiation point to protect against more favorable terms being extended to competitors.</w:t>
      </w:r>
    </w:p>
    <w:p>
      <w:pPr>
        <w:numPr>
          <w:ilvl w:val="0"/>
          <w:numId w:val="1030"/>
        </w:numPr>
      </w:pPr>
      <w:r>
        <w:rPr>
          <w:b/>
          <w:bCs/>
        </w:rPr>
        <w:t xml:space="preserve">Stale IP landscape.</w:t>
      </w:r>
      <w:r>
        <w:t xml:space="preserve"> </w:t>
      </w:r>
      <w:r>
        <w:t xml:space="preserve">The Clarendon Report (September 2020) should be updated before negotiations conclude (Section V.E).</w:t>
      </w:r>
    </w:p>
    <w:p>
      <w:pPr>
        <w:numPr>
          <w:ilvl w:val="0"/>
          <w:numId w:val="1030"/>
        </w:numPr>
      </w:pPr>
      <w:r>
        <w:rPr>
          <w:b/>
          <w:bCs/>
        </w:rPr>
        <w:t xml:space="preserve">Patent-expiration-date discrepancies.</w:t>
      </w:r>
      <w:r>
        <w:t xml:space="preserve"> </w:t>
      </w:r>
      <w:r>
        <w:t xml:space="preserve">Reconcile Exhibit A vs. Proposal Appendix A dates; request prosecution histories and terminal-disclaimer records (Section V.E).</w:t>
      </w:r>
    </w:p>
    <w:p>
      <w:pPr>
        <w:numPr>
          <w:ilvl w:val="0"/>
          <w:numId w:val="1030"/>
        </w:numPr>
      </w:pPr>
      <w:r>
        <w:rPr>
          <w:b/>
          <w:bCs/>
        </w:rPr>
        <w:t xml:space="preserve">Proposal internal inconsistencies.</w:t>
      </w:r>
      <w:r>
        <w:t xml:space="preserve"> </w:t>
      </w:r>
      <w:r>
        <w:t xml:space="preserve">The Proposal is dated October 14, 2024, while our advisors reference a January 15, 2025 transmission; the License C base fee is stated as $4.8M in Part III but modeled as $4.85M (with a user cap not appearing in Part III); and the Proposal references Greenfield outside counsel as</w:t>
      </w:r>
      <w:r>
        <w:t xml:space="preserve"> </w:t>
      </w:r>
      <w:r>
        <w:t xml:space="preserve">“</w:t>
      </w:r>
      <w:r>
        <w:t xml:space="preserve">Bergerac Whitlock LLP</w:t>
      </w:r>
      <w:r>
        <w:t xml:space="preserve">”</w:t>
      </w:r>
      <w:r>
        <w:t xml:space="preserve"> </w:t>
      </w:r>
      <w:r>
        <w:t xml:space="preserve">whereas our license notices and advisor work reference Ashworth &amp; Calder LLP. These should be reconciled but do not affect the substantive analysis.</w:t>
      </w:r>
    </w:p>
    <w:p>
      <w:r>
        <w:pict>
          <v:rect style="width:0;height:1.5pt" o:hralign="center" o:hrstd="t" o:hr="t"/>
        </w:pict>
      </w:r>
    </w:p>
    <w:bookmarkEnd w:id="62"/>
    <w:bookmarkStart w:id="66" w:name="X95ae45f891ee149078a9e4aac28ad9491fbbe85"/>
    <w:p>
      <w:pPr>
        <w:pStyle w:val="Heading2"/>
      </w:pPr>
      <w:r>
        <w:t xml:space="preserve">X. Recommended Negotiation Strategy and Next Steps</w:t>
      </w:r>
    </w:p>
    <w:bookmarkStart w:id="63" w:name="a.-overall-posture"/>
    <w:p>
      <w:pPr>
        <w:pStyle w:val="Heading3"/>
      </w:pPr>
      <w:r>
        <w:t xml:space="preserve">A. Overall Posture</w:t>
      </w:r>
    </w:p>
    <w:p>
      <w:pPr>
        <w:pStyle w:val="FirstParagraph"/>
      </w:pPr>
      <w:r>
        <w:t xml:space="preserve">Greenfield should approach the renewal as a</w:t>
      </w:r>
      <w:r>
        <w:t xml:space="preserve"> </w:t>
      </w:r>
      <w:r>
        <w:rPr>
          <w:b/>
          <w:bCs/>
        </w:rPr>
        <w:t xml:space="preserve">single, coordinated negotiation</w:t>
      </w:r>
      <w:r>
        <w:t xml:space="preserve"> </w:t>
      </w:r>
      <w:r>
        <w:t xml:space="preserve">(as NovaTrait has framed it) while exploiting the very different leverage profiles of the three licenses:</w:t>
      </w:r>
    </w:p>
    <w:p>
      <w:pPr>
        <w:pStyle w:val="Compact"/>
        <w:numPr>
          <w:ilvl w:val="0"/>
          <w:numId w:val="1031"/>
        </w:numPr>
      </w:pPr>
      <w:r>
        <w:rPr>
          <w:b/>
          <w:bCs/>
        </w:rPr>
        <w:t xml:space="preserve">Concede rate on License B</w:t>
      </w:r>
      <w:r>
        <w:t xml:space="preserve"> </w:t>
      </w:r>
      <w:r>
        <w:t xml:space="preserve">only to the top of the market range (4.25%–4.5%), in exchange for a long term, operational protections, and a constrained Prairielands pass-through. Do not threaten switching — it is not credible.</w:t>
      </w:r>
    </w:p>
    <w:p>
      <w:pPr>
        <w:pStyle w:val="Compact"/>
        <w:numPr>
          <w:ilvl w:val="0"/>
          <w:numId w:val="1031"/>
        </w:numPr>
      </w:pPr>
      <w:r>
        <w:rPr>
          <w:b/>
          <w:bCs/>
        </w:rPr>
        <w:t xml:space="preserve">Drive License A rate down</w:t>
      </w:r>
      <w:r>
        <w:t xml:space="preserve"> </w:t>
      </w:r>
      <w:r>
        <w:t xml:space="preserve">to 5.0% (original Net Sales) with a post-2028 step-down, using the ’117 expiry, market comparables, and the insect-resistance retention as the principal levers. Treat the anti-stacking offset as a welcome concession to be accepted with a floor modification.</w:t>
      </w:r>
    </w:p>
    <w:p>
      <w:pPr>
        <w:pStyle w:val="Compact"/>
        <w:numPr>
          <w:ilvl w:val="0"/>
          <w:numId w:val="1031"/>
        </w:numPr>
      </w:pPr>
      <w:r>
        <w:rPr>
          <w:b/>
          <w:bCs/>
        </w:rPr>
        <w:t xml:space="preserve">Hold a hard line on License C</w:t>
      </w:r>
      <w:r>
        <w:t xml:space="preserve">, anchored by a credible switching threat. Target $3.5M–$4.0M with source-code access retained, Greenfield data ownership preserved, and no (or a high) user cap. Be prepared to walk to an alternative if NovaTrait will not concede on data ownership and source access.</w:t>
      </w:r>
    </w:p>
    <w:bookmarkEnd w:id="63"/>
    <w:bookmarkStart w:id="64" w:name="b.-sequencing-next-60-days"/>
    <w:p>
      <w:pPr>
        <w:pStyle w:val="Heading3"/>
      </w:pPr>
      <w:r>
        <w:t xml:space="preserve">B. Sequencing (Next 60 Days)</w:t>
      </w:r>
    </w:p>
    <w:p>
      <w:pPr>
        <w:pStyle w:val="Compact"/>
        <w:numPr>
          <w:ilvl w:val="0"/>
          <w:numId w:val="1032"/>
        </w:numPr>
      </w:pPr>
      <w:r>
        <w:rPr>
          <w:b/>
          <w:bCs/>
        </w:rPr>
        <w:t xml:space="preserve">Immediately (this week):</w:t>
      </w:r>
      <w:r>
        <w:t xml:space="preserve"> </w:t>
      </w:r>
      <w:r>
        <w:t xml:space="preserve">Obtain a written interim/holdover access letter for License C bridging February 28, 2025. Confirm that License B and License C renewal notices were timely delivered.</w:t>
      </w:r>
    </w:p>
    <w:p>
      <w:pPr>
        <w:pStyle w:val="Compact"/>
        <w:numPr>
          <w:ilvl w:val="0"/>
          <w:numId w:val="1032"/>
        </w:numPr>
      </w:pPr>
      <w:r>
        <w:rPr>
          <w:b/>
          <w:bCs/>
        </w:rPr>
        <w:t xml:space="preserve">By March 15, 2025:</w:t>
      </w:r>
      <w:r>
        <w:t xml:space="preserve"> </w:t>
      </w:r>
      <w:r>
        <w:t xml:space="preserve">Execute NovaTrait’s standstill-confirmation form for License B, amended to extend through December 31, 2025. Deliver the License A Section 14.2 Renewal Notice (no later than March 31, 2025).</w:t>
      </w:r>
    </w:p>
    <w:p>
      <w:pPr>
        <w:pStyle w:val="Compact"/>
        <w:numPr>
          <w:ilvl w:val="0"/>
          <w:numId w:val="1032"/>
        </w:numPr>
      </w:pPr>
      <w:r>
        <w:rPr>
          <w:b/>
          <w:bCs/>
        </w:rPr>
        <w:t xml:space="preserve">By March 31, 2025:</w:t>
      </w:r>
      <w:r>
        <w:t xml:space="preserve"> </w:t>
      </w:r>
      <w:r>
        <w:t xml:space="preserve">Commission an updated patent-landscape analysis (Clarendon or equivalent) focused on the AgriGenome Solutions and CropTech Innovations portfolios and current market royalty rates.</w:t>
      </w:r>
    </w:p>
    <w:p>
      <w:pPr>
        <w:pStyle w:val="Compact"/>
        <w:numPr>
          <w:ilvl w:val="0"/>
          <w:numId w:val="1032"/>
        </w:numPr>
      </w:pPr>
      <w:r>
        <w:rPr>
          <w:b/>
          <w:bCs/>
        </w:rPr>
        <w:t xml:space="preserve">By April 15, 2025:</w:t>
      </w:r>
      <w:r>
        <w:t xml:space="preserve"> </w:t>
      </w:r>
      <w:r>
        <w:t xml:space="preserve">Transmit a consolidated counter-proposal incorporating the 14 prioritized positions in Section VI, supported by the market-comparable and switching-cost analyses.</w:t>
      </w:r>
    </w:p>
    <w:p>
      <w:pPr>
        <w:pStyle w:val="Compact"/>
        <w:numPr>
          <w:ilvl w:val="0"/>
          <w:numId w:val="1032"/>
        </w:numPr>
      </w:pPr>
      <w:r>
        <w:rPr>
          <w:b/>
          <w:bCs/>
        </w:rPr>
        <w:t xml:space="preserve">Ongoing:</w:t>
      </w:r>
      <w:r>
        <w:t xml:space="preserve"> </w:t>
      </w:r>
      <w:r>
        <w:t xml:space="preserve">Obtain competitive proposals from the three GenoMap Pro alternatives to make the License C switching threat concrete; reconcile the patent-expiration-date discrepancies; verify the MFL position.</w:t>
      </w:r>
    </w:p>
    <w:bookmarkEnd w:id="64"/>
    <w:bookmarkStart w:id="65" w:name="c.-summary-of-recommended-counter-terms"/>
    <w:p>
      <w:pPr>
        <w:pStyle w:val="Heading3"/>
      </w:pPr>
      <w:r>
        <w:t xml:space="preserve">C. Summary of Recommended Counter-Terms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License</w:t>
            </w:r>
          </w:p>
        </w:tc>
        <w:tc>
          <w:tcPr/>
          <w:p>
            <w:pPr>
              <w:pStyle w:val="Compact"/>
              <w:jc w:val="left"/>
            </w:pPr>
            <w:r>
              <w:t xml:space="preserve">Issue</w:t>
            </w:r>
          </w:p>
        </w:tc>
        <w:tc>
          <w:tcPr/>
          <w:p>
            <w:pPr>
              <w:pStyle w:val="Compact"/>
              <w:jc w:val="left"/>
            </w:pPr>
            <w:r>
              <w:t xml:space="preserve">NovaTrait Proposal</w:t>
            </w:r>
          </w:p>
        </w:tc>
        <w:tc>
          <w:tcPr/>
          <w:p>
            <w:pPr>
              <w:pStyle w:val="Compact"/>
              <w:jc w:val="left"/>
            </w:pPr>
            <w:r>
              <w:t xml:space="preserve">Recommended Greenfield Counter</w:t>
            </w:r>
          </w:p>
        </w:tc>
      </w:tr>
      <w:tr>
        <w:tc>
          <w:tcPr/>
          <w:p>
            <w:pPr>
              <w:pStyle w:val="Compact"/>
              <w:jc w:val="left"/>
            </w:pPr>
            <w:r>
              <w:t xml:space="preserve">1</w:t>
            </w:r>
          </w:p>
        </w:tc>
        <w:tc>
          <w:tcPr/>
          <w:p>
            <w:pPr>
              <w:pStyle w:val="Compact"/>
              <w:jc w:val="left"/>
            </w:pPr>
            <w:r>
              <w:t xml:space="preserve">B</w:t>
            </w:r>
          </w:p>
        </w:tc>
        <w:tc>
          <w:tcPr/>
          <w:p>
            <w:pPr>
              <w:pStyle w:val="Compact"/>
              <w:jc w:val="left"/>
            </w:pPr>
            <w:r>
              <w:t xml:space="preserve">Standstill</w:t>
            </w:r>
          </w:p>
        </w:tc>
        <w:tc>
          <w:tcPr/>
          <w:p>
            <w:pPr>
              <w:pStyle w:val="Compact"/>
              <w:jc w:val="left"/>
            </w:pPr>
            <w:r>
              <w:t xml:space="preserve">Through Jun 30, 2025</w:t>
            </w:r>
          </w:p>
        </w:tc>
        <w:tc>
          <w:tcPr/>
          <w:p>
            <w:pPr>
              <w:pStyle w:val="Compact"/>
              <w:jc w:val="left"/>
            </w:pPr>
            <w:r>
              <w:t xml:space="preserve">Extend to Dec 31, 2025</w:t>
            </w:r>
          </w:p>
        </w:tc>
      </w:tr>
      <w:tr>
        <w:tc>
          <w:tcPr/>
          <w:p>
            <w:pPr>
              <w:pStyle w:val="Compact"/>
              <w:jc w:val="left"/>
            </w:pPr>
            <w:r>
              <w:t xml:space="preserve">2</w:t>
            </w:r>
          </w:p>
        </w:tc>
        <w:tc>
          <w:tcPr/>
          <w:p>
            <w:pPr>
              <w:pStyle w:val="Compact"/>
              <w:jc w:val="left"/>
            </w:pPr>
            <w:r>
              <w:t xml:space="preserve">C</w:t>
            </w:r>
          </w:p>
        </w:tc>
        <w:tc>
          <w:tcPr/>
          <w:p>
            <w:pPr>
              <w:pStyle w:val="Compact"/>
              <w:jc w:val="left"/>
            </w:pPr>
            <w:r>
              <w:t xml:space="preserve">Derivative-data ownership</w:t>
            </w:r>
          </w:p>
        </w:tc>
        <w:tc>
          <w:tcPr/>
          <w:p>
            <w:pPr>
              <w:pStyle w:val="Compact"/>
              <w:jc w:val="left"/>
            </w:pPr>
            <w:r>
              <w:t xml:space="preserve">NovaTrait owns</w:t>
            </w:r>
          </w:p>
        </w:tc>
        <w:tc>
          <w:tcPr/>
          <w:p>
            <w:pPr>
              <w:pStyle w:val="Compact"/>
              <w:jc w:val="left"/>
            </w:pPr>
            <w:r>
              <w:t xml:space="preserve">Greenfield owns (non-negotiable)</w:t>
            </w:r>
          </w:p>
        </w:tc>
      </w:tr>
      <w:tr>
        <w:tc>
          <w:tcPr/>
          <w:p>
            <w:pPr>
              <w:pStyle w:val="Compact"/>
              <w:jc w:val="left"/>
            </w:pPr>
            <w:r>
              <w:t xml:space="preserve">3</w:t>
            </w:r>
          </w:p>
        </w:tc>
        <w:tc>
          <w:tcPr/>
          <w:p>
            <w:pPr>
              <w:pStyle w:val="Compact"/>
              <w:jc w:val="left"/>
            </w:pPr>
            <w:r>
              <w:t xml:space="preserve">A</w:t>
            </w:r>
          </w:p>
        </w:tc>
        <w:tc>
          <w:tcPr/>
          <w:p>
            <w:pPr>
              <w:pStyle w:val="Compact"/>
              <w:jc w:val="left"/>
            </w:pPr>
            <w:r>
              <w:t xml:space="preserve">Improvement ownership</w:t>
            </w:r>
          </w:p>
        </w:tc>
        <w:tc>
          <w:tcPr/>
          <w:p>
            <w:pPr>
              <w:pStyle w:val="Compact"/>
              <w:jc w:val="left"/>
            </w:pPr>
            <w:r>
              <w:t xml:space="preserve">Joint; royalty-free to NovaTrait</w:t>
            </w:r>
          </w:p>
        </w:tc>
        <w:tc>
          <w:tcPr/>
          <w:p>
            <w:pPr>
              <w:pStyle w:val="Compact"/>
              <w:jc w:val="left"/>
            </w:pPr>
            <w:r>
              <w:t xml:space="preserve">Greenfield sole; license back at reduced royalty</w:t>
            </w:r>
          </w:p>
        </w:tc>
      </w:tr>
      <w:tr>
        <w:tc>
          <w:tcPr/>
          <w:p>
            <w:pPr>
              <w:pStyle w:val="Compact"/>
              <w:jc w:val="left"/>
            </w:pPr>
            <w:r>
              <w:t xml:space="preserve">4</w:t>
            </w:r>
          </w:p>
        </w:tc>
        <w:tc>
          <w:tcPr/>
          <w:p>
            <w:pPr>
              <w:pStyle w:val="Compact"/>
              <w:jc w:val="left"/>
            </w:pPr>
            <w:r>
              <w:t xml:space="preserve">A</w:t>
            </w:r>
          </w:p>
        </w:tc>
        <w:tc>
          <w:tcPr/>
          <w:p>
            <w:pPr>
              <w:pStyle w:val="Compact"/>
              <w:jc w:val="left"/>
            </w:pPr>
            <w:r>
              <w:t xml:space="preserve">Royalty + Net Sales</w:t>
            </w:r>
          </w:p>
        </w:tc>
        <w:tc>
          <w:tcPr/>
          <w:p>
            <w:pPr>
              <w:pStyle w:val="Compact"/>
              <w:jc w:val="left"/>
            </w:pPr>
            <w:r>
              <w:t xml:space="preserve">6.25% on redefined base</w:t>
            </w:r>
          </w:p>
        </w:tc>
        <w:tc>
          <w:tcPr/>
          <w:p>
            <w:pPr>
              <w:pStyle w:val="Compact"/>
              <w:jc w:val="left"/>
            </w:pPr>
            <w:r>
              <w:t xml:space="preserve">5.0% on original base (or 4.75% redefined) + post-2028 step-down to 3.0%–3.5%</w:t>
            </w:r>
          </w:p>
        </w:tc>
      </w:tr>
      <w:tr>
        <w:tc>
          <w:tcPr/>
          <w:p>
            <w:pPr>
              <w:pStyle w:val="Compact"/>
              <w:jc w:val="left"/>
            </w:pPr>
            <w:r>
              <w:t xml:space="preserve">5</w:t>
            </w:r>
          </w:p>
        </w:tc>
        <w:tc>
          <w:tcPr/>
          <w:p>
            <w:pPr>
              <w:pStyle w:val="Compact"/>
              <w:jc w:val="left"/>
            </w:pPr>
            <w:r>
              <w:t xml:space="preserve">B</w:t>
            </w:r>
          </w:p>
        </w:tc>
        <w:tc>
          <w:tcPr/>
          <w:p>
            <w:pPr>
              <w:pStyle w:val="Compact"/>
              <w:jc w:val="left"/>
            </w:pPr>
            <w:r>
              <w:t xml:space="preserve">Royalty rate</w:t>
            </w:r>
          </w:p>
        </w:tc>
        <w:tc>
          <w:tcPr/>
          <w:p>
            <w:pPr>
              <w:pStyle w:val="Compact"/>
              <w:jc w:val="left"/>
            </w:pPr>
            <w:r>
              <w:t xml:space="preserve">5.0%</w:t>
            </w:r>
          </w:p>
        </w:tc>
        <w:tc>
          <w:tcPr/>
          <w:p>
            <w:pPr>
              <w:pStyle w:val="Compact"/>
              <w:jc w:val="left"/>
            </w:pPr>
            <w:r>
              <w:t xml:space="preserve">4.25% on original base</w:t>
            </w:r>
          </w:p>
        </w:tc>
      </w:tr>
      <w:tr>
        <w:tc>
          <w:tcPr/>
          <w:p>
            <w:pPr>
              <w:pStyle w:val="Compact"/>
              <w:jc w:val="left"/>
            </w:pPr>
            <w:r>
              <w:t xml:space="preserve">6</w:t>
            </w:r>
          </w:p>
        </w:tc>
        <w:tc>
          <w:tcPr/>
          <w:p>
            <w:pPr>
              <w:pStyle w:val="Compact"/>
              <w:jc w:val="left"/>
            </w:pPr>
            <w:r>
              <w:t xml:space="preserve">C</w:t>
            </w:r>
          </w:p>
        </w:tc>
        <w:tc>
          <w:tcPr/>
          <w:p>
            <w:pPr>
              <w:pStyle w:val="Compact"/>
              <w:jc w:val="left"/>
            </w:pPr>
            <w:r>
              <w:t xml:space="preserve">Source-code access</w:t>
            </w:r>
          </w:p>
        </w:tc>
        <w:tc>
          <w:tcPr/>
          <w:p>
            <w:pPr>
              <w:pStyle w:val="Compact"/>
              <w:jc w:val="left"/>
            </w:pPr>
            <w:r>
              <w:t xml:space="preserve">Eliminated</w:t>
            </w:r>
          </w:p>
        </w:tc>
        <w:tc>
          <w:tcPr/>
          <w:p>
            <w:pPr>
              <w:pStyle w:val="Compact"/>
              <w:jc w:val="left"/>
            </w:pPr>
            <w:r>
              <w:t xml:space="preserve">Retain (with security/escrow)</w:t>
            </w:r>
          </w:p>
        </w:tc>
      </w:tr>
      <w:tr>
        <w:tc>
          <w:tcPr/>
          <w:p>
            <w:pPr>
              <w:pStyle w:val="Compact"/>
              <w:jc w:val="left"/>
            </w:pPr>
            <w:r>
              <w:t xml:space="preserve">7</w:t>
            </w:r>
          </w:p>
        </w:tc>
        <w:tc>
          <w:tcPr/>
          <w:p>
            <w:pPr>
              <w:pStyle w:val="Compact"/>
              <w:jc w:val="left"/>
            </w:pPr>
            <w:r>
              <w:t xml:space="preserve">B</w:t>
            </w:r>
          </w:p>
        </w:tc>
        <w:tc>
          <w:tcPr/>
          <w:p>
            <w:pPr>
              <w:pStyle w:val="Compact"/>
              <w:jc w:val="left"/>
            </w:pPr>
            <w:r>
              <w:t xml:space="preserve">Bio-materials return</w:t>
            </w:r>
          </w:p>
        </w:tc>
        <w:tc>
          <w:tcPr/>
          <w:p>
            <w:pPr>
              <w:pStyle w:val="Compact"/>
              <w:jc w:val="left"/>
            </w:pPr>
            <w:r>
              <w:t xml:space="preserve">30 days, no wind-down</w:t>
            </w:r>
          </w:p>
        </w:tc>
        <w:tc>
          <w:tcPr/>
          <w:p>
            <w:pPr>
              <w:pStyle w:val="Compact"/>
              <w:jc w:val="left"/>
            </w:pPr>
            <w:r>
              <w:t xml:space="preserve">180-day wind-down</w:t>
            </w:r>
          </w:p>
        </w:tc>
      </w:tr>
      <w:tr>
        <w:tc>
          <w:tcPr/>
          <w:p>
            <w:pPr>
              <w:pStyle w:val="Compact"/>
              <w:jc w:val="left"/>
            </w:pPr>
            <w:r>
              <w:t xml:space="preserve">8</w:t>
            </w:r>
          </w:p>
        </w:tc>
        <w:tc>
          <w:tcPr/>
          <w:p>
            <w:pPr>
              <w:pStyle w:val="Compact"/>
              <w:jc w:val="left"/>
            </w:pPr>
            <w:r>
              <w:t xml:space="preserve">C</w:t>
            </w:r>
          </w:p>
        </w:tc>
        <w:tc>
          <w:tcPr/>
          <w:p>
            <w:pPr>
              <w:pStyle w:val="Compact"/>
              <w:jc w:val="left"/>
            </w:pPr>
            <w:r>
              <w:t xml:space="preserve">Fee + user cap</w:t>
            </w:r>
          </w:p>
        </w:tc>
        <w:tc>
          <w:tcPr/>
          <w:p>
            <w:pPr>
              <w:pStyle w:val="Compact"/>
              <w:jc w:val="left"/>
            </w:pPr>
            <w:r>
              <w:t xml:space="preserve">~$5.28M; 50-user cap</w:t>
            </w:r>
          </w:p>
        </w:tc>
        <w:tc>
          <w:tcPr/>
          <w:p>
            <w:pPr>
              <w:pStyle w:val="Compact"/>
              <w:jc w:val="left"/>
            </w:pPr>
            <w:r>
              <w:t xml:space="preserve">$3.75M; 80-user cap; $12K/user overage</w:t>
            </w:r>
          </w:p>
        </w:tc>
      </w:tr>
      <w:tr>
        <w:tc>
          <w:tcPr/>
          <w:p>
            <w:pPr>
              <w:pStyle w:val="Compact"/>
              <w:jc w:val="left"/>
            </w:pPr>
            <w:r>
              <w:t xml:space="preserve">9</w:t>
            </w:r>
          </w:p>
        </w:tc>
        <w:tc>
          <w:tcPr/>
          <w:p>
            <w:pPr>
              <w:pStyle w:val="Compact"/>
              <w:jc w:val="left"/>
            </w:pPr>
            <w:r>
              <w:t xml:space="preserve">A</w:t>
            </w:r>
          </w:p>
        </w:tc>
        <w:tc>
          <w:tcPr/>
          <w:p>
            <w:pPr>
              <w:pStyle w:val="Compact"/>
              <w:jc w:val="left"/>
            </w:pPr>
            <w:r>
              <w:t xml:space="preserve">Sublicense pass-through</w:t>
            </w:r>
          </w:p>
        </w:tc>
        <w:tc>
          <w:tcPr/>
          <w:p>
            <w:pPr>
              <w:pStyle w:val="Compact"/>
              <w:jc w:val="left"/>
            </w:pPr>
            <w:r>
              <w:t xml:space="preserve">50%</w:t>
            </w:r>
          </w:p>
        </w:tc>
        <w:tc>
          <w:tcPr/>
          <w:p>
            <w:pPr>
              <w:pStyle w:val="Compact"/>
              <w:jc w:val="left"/>
            </w:pPr>
            <w:r>
              <w:t xml:space="preserve">Retain 35% (or 40% with volume discount)</w:t>
            </w:r>
          </w:p>
        </w:tc>
      </w:tr>
      <w:tr>
        <w:tc>
          <w:tcPr/>
          <w:p>
            <w:pPr>
              <w:pStyle w:val="Compact"/>
              <w:jc w:val="left"/>
            </w:pPr>
            <w:r>
              <w:t xml:space="preserve">10</w:t>
            </w:r>
          </w:p>
        </w:tc>
        <w:tc>
          <w:tcPr/>
          <w:p>
            <w:pPr>
              <w:pStyle w:val="Compact"/>
              <w:jc w:val="left"/>
            </w:pPr>
            <w:r>
              <w:t xml:space="preserve">B</w:t>
            </w:r>
          </w:p>
        </w:tc>
        <w:tc>
          <w:tcPr/>
          <w:p>
            <w:pPr>
              <w:pStyle w:val="Compact"/>
              <w:jc w:val="left"/>
            </w:pPr>
            <w:r>
              <w:t xml:space="preserve">Prairielands pass-through</w:t>
            </w:r>
          </w:p>
        </w:tc>
        <w:tc>
          <w:tcPr/>
          <w:p>
            <w:pPr>
              <w:pStyle w:val="Compact"/>
              <w:jc w:val="left"/>
            </w:pPr>
            <w:r>
              <w:t xml:space="preserve">~40% (new)</w:t>
            </w:r>
          </w:p>
        </w:tc>
        <w:tc>
          <w:tcPr/>
          <w:p>
            <w:pPr>
              <w:pStyle w:val="Compact"/>
              <w:jc w:val="left"/>
            </w:pPr>
            <w:r>
              <w:t xml:space="preserve">20% with 12-month phase-in</w:t>
            </w:r>
          </w:p>
        </w:tc>
      </w:tr>
      <w:tr>
        <w:tc>
          <w:tcPr/>
          <w:p>
            <w:pPr>
              <w:pStyle w:val="Compact"/>
              <w:jc w:val="left"/>
            </w:pPr>
            <w:r>
              <w:t xml:space="preserve">11</w:t>
            </w:r>
          </w:p>
        </w:tc>
        <w:tc>
          <w:tcPr/>
          <w:p>
            <w:pPr>
              <w:pStyle w:val="Compact"/>
              <w:jc w:val="left"/>
            </w:pPr>
            <w:r>
              <w:t xml:space="preserve">A</w:t>
            </w:r>
          </w:p>
        </w:tc>
        <w:tc>
          <w:tcPr/>
          <w:p>
            <w:pPr>
              <w:pStyle w:val="Compact"/>
              <w:jc w:val="left"/>
            </w:pPr>
            <w:r>
              <w:t xml:space="preserve">Insect-resistance removal</w:t>
            </w:r>
          </w:p>
        </w:tc>
        <w:tc>
          <w:tcPr/>
          <w:p>
            <w:pPr>
              <w:pStyle w:val="Compact"/>
              <w:jc w:val="left"/>
            </w:pPr>
            <w:r>
              <w:t xml:space="preserve">Removed; wheat added</w:t>
            </w:r>
          </w:p>
        </w:tc>
        <w:tc>
          <w:tcPr/>
          <w:p>
            <w:pPr>
              <w:pStyle w:val="Compact"/>
              <w:jc w:val="left"/>
            </w:pPr>
            <w:r>
              <w:t xml:space="preserve">Retain insect resistance AND add wheat; long-transition license if needed</w:t>
            </w:r>
          </w:p>
        </w:tc>
      </w:tr>
      <w:tr>
        <w:tc>
          <w:tcPr/>
          <w:p>
            <w:pPr>
              <w:pStyle w:val="Compact"/>
              <w:jc w:val="left"/>
            </w:pPr>
            <w:r>
              <w:t xml:space="preserve">12</w:t>
            </w:r>
          </w:p>
        </w:tc>
        <w:tc>
          <w:tcPr/>
          <w:p>
            <w:pPr>
              <w:pStyle w:val="Compact"/>
              <w:jc w:val="left"/>
            </w:pPr>
            <w:r>
              <w:t xml:space="preserve">B</w:t>
            </w:r>
          </w:p>
        </w:tc>
        <w:tc>
          <w:tcPr/>
          <w:p>
            <w:pPr>
              <w:pStyle w:val="Compact"/>
              <w:jc w:val="left"/>
            </w:pPr>
            <w:r>
              <w:t xml:space="preserve">Audit rights</w:t>
            </w:r>
          </w:p>
        </w:tc>
        <w:tc>
          <w:tcPr/>
          <w:p>
            <w:pPr>
              <w:pStyle w:val="Compact"/>
              <w:jc w:val="left"/>
            </w:pPr>
            <w:r>
              <w:t xml:space="preserve">2x/yr; 15 bus. days; 5-yr look-back</w:t>
            </w:r>
          </w:p>
        </w:tc>
        <w:tc>
          <w:tcPr/>
          <w:p>
            <w:pPr>
              <w:pStyle w:val="Compact"/>
              <w:jc w:val="left"/>
            </w:pPr>
            <w:r>
              <w:t xml:space="preserve">1x/yr; 20 bus. days; 3-yr look-back</w:t>
            </w:r>
          </w:p>
        </w:tc>
      </w:tr>
      <w:tr>
        <w:tc>
          <w:tcPr/>
          <w:p>
            <w:pPr>
              <w:pStyle w:val="Compact"/>
              <w:jc w:val="left"/>
            </w:pPr>
            <w:r>
              <w:t xml:space="preserve">13</w:t>
            </w:r>
          </w:p>
        </w:tc>
        <w:tc>
          <w:tcPr/>
          <w:p>
            <w:pPr>
              <w:pStyle w:val="Compact"/>
              <w:jc w:val="left"/>
            </w:pPr>
            <w:r>
              <w:t xml:space="preserve">A</w:t>
            </w:r>
          </w:p>
        </w:tc>
        <w:tc>
          <w:tcPr/>
          <w:p>
            <w:pPr>
              <w:pStyle w:val="Compact"/>
              <w:jc w:val="left"/>
            </w:pPr>
            <w:r>
              <w:t xml:space="preserve">Anti-stacking floor</w:t>
            </w:r>
          </w:p>
        </w:tc>
        <w:tc>
          <w:tcPr/>
          <w:p>
            <w:pPr>
              <w:pStyle w:val="Compact"/>
              <w:jc w:val="left"/>
            </w:pPr>
            <w:r>
              <w:t xml:space="preserve">4.75% effective floor</w:t>
            </w:r>
          </w:p>
        </w:tc>
        <w:tc>
          <w:tcPr/>
          <w:p>
            <w:pPr>
              <w:pStyle w:val="Compact"/>
              <w:jc w:val="left"/>
            </w:pPr>
            <w:r>
              <w:t xml:space="preserve">Accept offset; floor at 75% of calculated royalty</w:t>
            </w:r>
          </w:p>
        </w:tc>
      </w:tr>
      <w:tr>
        <w:tc>
          <w:tcPr/>
          <w:p>
            <w:pPr>
              <w:pStyle w:val="Compact"/>
              <w:jc w:val="left"/>
            </w:pPr>
            <w:r>
              <w:t xml:space="preserve">14</w:t>
            </w:r>
          </w:p>
        </w:tc>
        <w:tc>
          <w:tcPr/>
          <w:p>
            <w:pPr>
              <w:pStyle w:val="Compact"/>
              <w:jc w:val="left"/>
            </w:pPr>
            <w:r>
              <w:t xml:space="preserve">C</w:t>
            </w:r>
          </w:p>
        </w:tc>
        <w:tc>
          <w:tcPr/>
          <w:p>
            <w:pPr>
              <w:pStyle w:val="Compact"/>
              <w:jc w:val="left"/>
            </w:pPr>
            <w:r>
              <w:t xml:space="preserve">Conversion-tool cost</w:t>
            </w:r>
          </w:p>
        </w:tc>
        <w:tc>
          <w:tcPr/>
          <w:p>
            <w:pPr>
              <w:pStyle w:val="Compact"/>
              <w:jc w:val="left"/>
            </w:pPr>
            <w:r>
              <w:t xml:space="preserve">$175K</w:t>
            </w:r>
          </w:p>
        </w:tc>
        <w:tc>
          <w:tcPr/>
          <w:p>
            <w:pPr>
              <w:pStyle w:val="Compact"/>
              <w:jc w:val="left"/>
            </w:pPr>
            <w:r>
              <w:t xml:space="preserve">Included at no cost</w:t>
            </w:r>
          </w:p>
        </w:tc>
      </w:tr>
    </w:tbl>
    <w:p>
      <w:r>
        <w:pict>
          <v:rect style="width:0;height:1.5pt" o:hralign="center" o:hrstd="t" o:hr="t"/>
        </w:pict>
      </w:r>
    </w:p>
    <w:bookmarkEnd w:id="65"/>
    <w:bookmarkEnd w:id="66"/>
    <w:bookmarkStart w:id="67" w:name="xi.-conclusion"/>
    <w:p>
      <w:pPr>
        <w:pStyle w:val="Heading2"/>
      </w:pPr>
      <w:r>
        <w:t xml:space="preserve">XI. Conclusion</w:t>
      </w:r>
    </w:p>
    <w:p>
      <w:pPr>
        <w:pStyle w:val="FirstParagraph"/>
      </w:pPr>
      <w:r>
        <w:t xml:space="preserve">NovaTrait’s consolidated Proposal would increase Greenfield’s aggregate annual IP cost by roughly 50% — to over 7% of revenue — while narrowing Greenfield’s rights in several commercially significant respects and exceeding market comparables across all three licenses. The Proposal is not acceptable as presented.</w:t>
      </w:r>
    </w:p>
    <w:p>
      <w:pPr>
        <w:pStyle w:val="BodyText"/>
      </w:pPr>
      <w:r>
        <w:t xml:space="preserve">At the same time, the three licenses are not equally negotiable. License B is irreplaceable and must be renewed, but at a market-reasonable rate (4.25%–4.5%) and with operational protections and a constrained pass-through. License A should be renewed with a rate reduction (to ~5.0%), a post-2028 step-down reflecting the ’117 patent expiry, retention of the insect-resistance field, and preservation of Greenfield’s improvement ownership. License C is the strongest candidate for a hard line: Greenfield should demand a fee within the market range ($3.5M–$4.0M), retention of source-code access, and Greenfield ownership of all output data — backed by a credible, rapidly break-even switching alternative.</w:t>
      </w:r>
    </w:p>
    <w:p>
      <w:pPr>
        <w:pStyle w:val="BodyText"/>
      </w:pPr>
      <w:r>
        <w:t xml:space="preserve">The most immediate risks are procedural: the License C expiration on February 28, 2025, the License A renewal-notice deadline of March 31, 2025, and the License B standstill expiration of approximately June 29, 2025. Securing interim access, delivering the renewal notice, and extending the standstill are the first-order actions required to preserve Greenfield’s negotiating optionality while the substantive counter-proposal is developed.</w:t>
      </w:r>
    </w:p>
    <w:p>
      <w:pPr>
        <w:pStyle w:val="BodyText"/>
      </w:pPr>
      <w:r>
        <w:t xml:space="preserve">We are available to discuss any aspect of this analysis and to assist in preparing the consolidated counter-proposal.</w:t>
      </w:r>
    </w:p>
    <w:p>
      <w:r>
        <w:pict>
          <v:rect style="width:0;height:1.5pt" o:hralign="center" o:hrstd="t" o:hr="t"/>
        </w:pict>
      </w:r>
    </w:p>
    <w:p>
      <w:pPr>
        <w:pStyle w:val="FirstParagraph"/>
      </w:pPr>
      <w:r>
        <w:rPr>
          <w:i/>
          <w:iCs/>
        </w:rPr>
        <w:t xml:space="preserve">Prepared on the basis of: the three existing license agreements (Licenses A, B, C); the Prairielands sublicense agreement and NovaTrait consent letter; NovaTrait’s consolidated renewal proposal dated October 14, 2024; the Clarendon Intellectual Property Consulting patent-landscape analysis dated September 14, 2020; and the Ridgemont / Oakvale Advisory Group financial-impact analysis dated February 2025. This memorandum is privileged and confidential, is prepared in anticipation of license-renewal negotiations, and does not constitute a final legal opinion on any specific provision.</w:t>
      </w:r>
    </w:p>
    <w:bookmarkEnd w:id="67"/>
    <w:bookmarkEnd w:id="6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2026-06-28T10:20:57Z</dcterms:created>
  <dcterms:modified xsi:type="dcterms:W3CDTF">2026-06-28T10:20:57Z</dcterms:modified>
</cp:coreProperties>
</file>

<file path=docProps/custom.xml><?xml version="1.0" encoding="utf-8"?>
<Properties xmlns="http://schemas.openxmlformats.org/officeDocument/2006/custom-properties" xmlns:vt="http://schemas.openxmlformats.org/officeDocument/2006/docPropsVTypes"/>
</file>