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memorandum"/>
    <w:p>
      <w:pPr>
        <w:pStyle w:val="Heading1"/>
      </w:pPr>
      <w:r>
        <w:t xml:space="preserve">MEMORANDUM</w:t>
      </w:r>
    </w:p>
    <w:p>
      <w:pPr>
        <w:pStyle w:val="FirstParagraph"/>
      </w:pPr>
      <w:r>
        <w:rPr>
          <w:b/>
          <w:bCs/>
        </w:rPr>
        <w:t xml:space="preserve">PRIVILEGED &amp; CONFIDENTIAL — ATTORNEY-CLIENT PRIVILEGE / ATTORNEY WORK PRODUCT</w:t>
      </w:r>
      <w:r>
        <w:t xml:space="preserve"> </w:t>
      </w:r>
      <w:r>
        <w:rPr>
          <w:b/>
          <w:bCs/>
        </w:rPr>
        <w:t xml:space="preserve">PREPARED IN ANTICIPATION OF LICENSE RENEWAL NEGOTIATIONS</w:t>
      </w:r>
    </w:p>
    <w:p>
      <w:r>
        <w:pict>
          <v:rect style="width:0;height:1.5pt" o:hralign="center" o:hrstd="t" o:hr="t"/>
        </w:pict>
      </w:r>
    </w:p>
    <w:p>
      <w:pPr>
        <w:pStyle w:val="FirstParagraph"/>
      </w:pPr>
      <w:r>
        <w:rPr>
          <w:b/>
          <w:bCs/>
        </w:rPr>
        <w:t xml:space="preserve">TO:</w:t>
      </w:r>
      <w:r>
        <w:t xml:space="preserve"> </w:t>
      </w:r>
      <w:r>
        <w:t xml:space="preserve">Dr. Eleanor Harrington, Chief Executive Officer</w:t>
      </w:r>
      <w:r>
        <w:t xml:space="preserve"> </w:t>
      </w:r>
      <w:r>
        <w:t xml:space="preserve">Marcus J. Whitfield, Esq., General Counsel</w:t>
      </w:r>
      <w:r>
        <w:t xml:space="preserve"> </w:t>
      </w:r>
      <w:r>
        <w:t xml:space="preserve">Renewal Steering Committee, Board of Directors</w:t>
      </w:r>
      <w:r>
        <w:t xml:space="preserve"> </w:t>
      </w:r>
      <w:r>
        <w:t xml:space="preserve">Greenfield Biosciences, Inc.</w:t>
      </w:r>
    </w:p>
    <w:p>
      <w:pPr>
        <w:pStyle w:val="BodyText"/>
      </w:pPr>
      <w:r>
        <w:rPr>
          <w:b/>
          <w:bCs/>
        </w:rPr>
        <w:t xml:space="preserve">FROM:</w:t>
      </w:r>
      <w:r>
        <w:t xml:space="preserve"> </w:t>
      </w:r>
      <w:r>
        <w:t xml:space="preserve">Ashworth &amp; Calder LLP (Outside Intellectual Property Counsel)</w:t>
      </w:r>
      <w:r>
        <w:t xml:space="preserve"> </w:t>
      </w:r>
      <w:r>
        <w:t xml:space="preserve">Ridgemont Advisory Group / Oakvale Advisory Group (Financial Advisors)</w:t>
      </w:r>
    </w:p>
    <w:p>
      <w:pPr>
        <w:pStyle w:val="BodyText"/>
      </w:pPr>
      <w:r>
        <w:rPr>
          <w:b/>
          <w:bCs/>
        </w:rPr>
        <w:t xml:space="preserve">DATE:</w:t>
      </w:r>
      <w:r>
        <w:t xml:space="preserve"> </w:t>
      </w:r>
      <w:r>
        <w:t xml:space="preserve">March 7, 2025</w:t>
      </w:r>
    </w:p>
    <w:p>
      <w:pPr>
        <w:pStyle w:val="BodyText"/>
      </w:pPr>
      <w:r>
        <w:rPr>
          <w:b/>
          <w:bCs/>
        </w:rPr>
        <w:t xml:space="preserve">RE:</w:t>
      </w:r>
      <w:r>
        <w:t xml:space="preserve"> </w:t>
      </w:r>
      <w:r>
        <w:t xml:space="preserve">Analysis of NovaTrait Genomics Corporation’s Consolidated Renewal Proposal for License A (CRISPR-Ag Suite), License B (TraitForge), and License C (GenoMap Pro) — Contractual, Intellectual Property, and Financial Assessment, with Negotiation Recommendations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NovaTrait Genomics Corporation (</w:t>
      </w:r>
      <w:r>
        <w:t xml:space="preserve">“</w:t>
      </w:r>
      <w:r>
        <w:t xml:space="preserve">NovaTrait</w:t>
      </w:r>
      <w:r>
        <w:t xml:space="preserve">”</w:t>
      </w:r>
      <w:r>
        <w:t xml:space="preserve">) has submitted a consolidated renewal proposal (the</w:t>
      </w:r>
      <w:r>
        <w:t xml:space="preserve"> </w:t>
      </w:r>
      <w:r>
        <w:t xml:space="preserve">“</w:t>
      </w:r>
      <w:r>
        <w:t xml:space="preserve">Proposal,</w:t>
      </w:r>
      <w:r>
        <w:t xml:space="preserve">”</w:t>
      </w:r>
      <w:r>
        <w:t xml:space="preserve"> </w:t>
      </w:r>
      <w:r>
        <w:t xml:space="preserve">cover letter dated October 14, 2024, with updated commercial terms reflected in the January 15, 2025 transmittal) covering the three intellectual property and software licenses under which Greenfield Biosciences, Inc. (</w:t>
      </w:r>
      <w:r>
        <w:t xml:space="preserve">“</w:t>
      </w:r>
      <w:r>
        <w:t xml:space="preserve">Greenfield</w:t>
      </w:r>
      <w:r>
        <w:t xml:space="preserve">”</w:t>
      </w:r>
      <w:r>
        <w:t xml:space="preserve">) operates its corn, soybean, cotton, and (proposed) wheat product lines: (i) the CRISPR-Ag Suite Gene-Editing Platform license, No. NT-GF-2015-001 (License A); (ii) the TraitForge Plant Trait Expression Platform license (License B); and (iii) the GenoMap Pro Software License (License C). This memorandum analyzes the Proposal from Greenfield’s perspective as licensee and recommends a coordinated negotiation strategy.</w:t>
      </w:r>
    </w:p>
    <w:p>
      <w:pPr>
        <w:pStyle w:val="BodyText"/>
      </w:pPr>
      <w:r>
        <w:rPr>
          <w:b/>
          <w:bCs/>
        </w:rPr>
        <w:t xml:space="preserve">Bottom line.</w:t>
      </w:r>
      <w:r>
        <w:t xml:space="preserve"> </w:t>
      </w:r>
      <w:r>
        <w:t xml:space="preserve">The Proposal, taken as a whole, would raise Greenfield’s aggregate annual IP cost from approximately</w:t>
      </w:r>
      <w:r>
        <w:t xml:space="preserve"> </w:t>
      </w:r>
      <w:r>
        <w:rPr>
          <w:b/>
          <w:bCs/>
        </w:rPr>
        <w:t xml:space="preserve">$18.6 million (4.81% of FY 2024 revenue)</w:t>
      </w:r>
      <w:r>
        <w:t xml:space="preserve"> </w:t>
      </w:r>
      <w:r>
        <w:t xml:space="preserve">to approximately</w:t>
      </w:r>
      <w:r>
        <w:t xml:space="preserve"> </w:t>
      </w:r>
      <w:r>
        <w:rPr>
          <w:b/>
          <w:bCs/>
        </w:rPr>
        <w:t xml:space="preserve">$27.95 million (7.22% of FY 2024 revenue)</w:t>
      </w:r>
      <w:r>
        <w:t xml:space="preserve"> </w:t>
      </w:r>
      <w:r>
        <w:t xml:space="preserve">in the first renewal year — an increase of roughly</w:t>
      </w:r>
      <w:r>
        <w:t xml:space="preserve"> </w:t>
      </w:r>
      <w:r>
        <w:rPr>
          <w:b/>
          <w:bCs/>
        </w:rPr>
        <w:t xml:space="preserve">$9.3 million (+49.9%)</w:t>
      </w:r>
      <w:r>
        <w:t xml:space="preserve"> </w:t>
      </w:r>
      <w:r>
        <w:t xml:space="preserve">— and materially more over the renewal terms as Net Sales grow. Every proposed royalty rate and fee exceeds the upper end of the relevant market range, and several non-price terms would transfer material value and risk from Greenfield to NovaTrait. At the same time, the three licenses present very different leverage profiles, and Greenfield’s negotiating posture should be calibrated accordingly:</w:t>
      </w:r>
    </w:p>
    <w:p>
      <w:pPr>
        <w:numPr>
          <w:ilvl w:val="0"/>
          <w:numId w:val="1001"/>
        </w:numPr>
      </w:pPr>
      <w:r>
        <w:rPr>
          <w:b/>
          <w:bCs/>
        </w:rPr>
        <w:t xml:space="preserve">License A (CRISPR-Ag Suite): Moderate leverage, declining.</w:t>
      </w:r>
      <w:r>
        <w:t xml:space="preserve"> </w:t>
      </w:r>
      <w:r>
        <w:t xml:space="preserve">The proposed 6.25% rate is above the market high (5.5%) and the foundational patent (U.S. 9,234,117, ~60% of portfolio value) expires March 12, 2028 — mid-renewal-term — after which residual portfolio value falls to roughly 35–40%. A flat 6.25% across the full term overpays for the post-2028 period. The proposed removal of insect resistance from the Field of Use (approximately 30% of License A revenue) and the reversal of the Improvements ownership regime are unacceptable as proposed and must be re-negotiated.</w:t>
      </w:r>
    </w:p>
    <w:p>
      <w:pPr>
        <w:numPr>
          <w:ilvl w:val="0"/>
          <w:numId w:val="1001"/>
        </w:numPr>
      </w:pPr>
      <w:r>
        <w:rPr>
          <w:b/>
          <w:bCs/>
        </w:rPr>
        <w:t xml:space="preserve">License B (TraitForge): Low leverage; treat as critical strategic asset.</w:t>
      </w:r>
      <w:r>
        <w:t xml:space="preserve"> </w:t>
      </w:r>
      <w:r>
        <w:t xml:space="preserve">TraitForge is, per the Clarendon patent landscape analysis, irreplaceable — no commercial alternatives exist, and internal development would cost $24–34 million over 3–4 years with no guarantee of success. NovaTrait accordingly holds very high leverage. Greenfield should seek the longest available term to lock in rates, while resisting the above-market 5.0% rate (market range 3.0–4.5%) and the operationally dangerous 30-day biological-materials return with no wind-down. The standstill under Section 12.6 expires June 29, 2025 — a hard deadline that drives the overall timeline.</w:t>
      </w:r>
    </w:p>
    <w:p>
      <w:pPr>
        <w:numPr>
          <w:ilvl w:val="0"/>
          <w:numId w:val="1001"/>
        </w:numPr>
      </w:pPr>
      <w:r>
        <w:rPr>
          <w:b/>
          <w:bCs/>
        </w:rPr>
        <w:t xml:space="preserve">License C (GenoMap Pro): Strong leverage; credible alternative exists.</w:t>
      </w:r>
      <w:r>
        <w:t xml:space="preserve"> </w:t>
      </w:r>
      <w:r>
        <w:t xml:space="preserve">Multiple competing bioinformatics platforms are available at $1.8–3.5 million annually versus the proposed ~$5.28 million. Switching breaks even in 0.7–2.5 years. Greenfield should use this leverage aggressively, while managing the 12–18 month transition risk and GenoMap Pro’s integration with the License A and B workflows. The proposed elimination of source-code access and the new Derivative Data ownership clause (NovaTrait ownership) are material adverse changes that must be rejected.</w:t>
      </w:r>
    </w:p>
    <w:p>
      <w:pPr>
        <w:pStyle w:val="FirstParagraph"/>
      </w:pPr>
      <w:r>
        <w:rPr>
          <w:b/>
          <w:bCs/>
        </w:rPr>
        <w:t xml:space="preserve">Immediate actions required.</w:t>
      </w:r>
      <w:r>
        <w:t xml:space="preserve"> </w:t>
      </w:r>
      <w:r>
        <w:t xml:space="preserve">(1) Confirm that renewal notices for License B (deadline September 30, 2024) and License C (deadline November 30, 2024) were timely delivered; (2) secure a written extension of the License B standstill beyond June 29, 2025 as a condition of continued negotiation; (3) put an interim/holdover access arrangement in place for License C before its February 28, 2025 expiration; (4) deliver the License A renewal notice on or before March 31, 2025; and (5) prepare and transmit a comprehensive counter-proposal on or about April 15, 2025. A prioritized negotiation matrix and counter-positions appear in Section XI.</w:t>
      </w:r>
    </w:p>
    <w:p>
      <w:r>
        <w:pict>
          <v:rect style="width:0;height:1.5pt" o:hralign="center" o:hrstd="t" o:hr="t"/>
        </w:pict>
      </w:r>
    </w:p>
    <w:bookmarkEnd w:id="20"/>
    <w:bookmarkStart w:id="25" w:name="ii.-background-and-scope"/>
    <w:p>
      <w:pPr>
        <w:pStyle w:val="Heading2"/>
      </w:pPr>
      <w:r>
        <w:t xml:space="preserve">II. Background and Scope</w:t>
      </w:r>
    </w:p>
    <w:bookmarkStart w:id="21" w:name="Xf3693abf6ef783c5e6f8848255d7332bfe41791"/>
    <w:p>
      <w:pPr>
        <w:pStyle w:val="Heading3"/>
      </w:pPr>
      <w:r>
        <w:t xml:space="preserve">A. The Parties and the Existing Relationship</w:t>
      </w:r>
    </w:p>
    <w:p>
      <w:pPr>
        <w:pStyle w:val="FirstParagraph"/>
      </w:pPr>
      <w:r>
        <w:t xml:space="preserve">Greenfield is a Delaware corporation headquartered in Raleigh, North Carolina, with FY 2024 revenue of $387.2 million. NovaTrait is a Massachusetts corporation headquartered in Cambridge, with reported revenue of approximately $1.24 billion. The parties have been in a licensing relationship since July 1, 2015. NovaTrait’s CRISPR-Ag platform, TraitForge expression cassettes, and GenoMap Pro bioinformatics tools collectively underpin Greenfield’s corn and soybean product lines, Greenfield’s sublicensing program with Prairielands Seed Cooperative, and a substantial portion of Greenfield’s reported revenue.</w:t>
      </w:r>
    </w:p>
    <w:p>
      <w:pPr>
        <w:pStyle w:val="BodyText"/>
      </w:pPr>
      <w:r>
        <w:t xml:space="preserve">Counsel of record: Stonebridge Harmon LLP (Graham Whitfield) for NovaTrait; Ashworth &amp; Calder LLP (Victoria Chen) for Greenfield. (NovaTrait’s October 14, 2024 cover letter refers to</w:t>
      </w:r>
      <w:r>
        <w:t xml:space="preserve"> </w:t>
      </w:r>
      <w:r>
        <w:t xml:space="preserve">“</w:t>
      </w:r>
      <w:r>
        <w:t xml:space="preserve">Bergerac Whitlock LLP</w:t>
      </w:r>
      <w:r>
        <w:t xml:space="preserve">”</w:t>
      </w:r>
      <w:r>
        <w:t xml:space="preserve"> </w:t>
      </w:r>
      <w:r>
        <w:t xml:space="preserve">as Greenfield’s counsel — this appears to be an error and should be corrected in the next correspondence so that all formal notices are properly routed.) Financial analysis was prepared by Ridgemont Advisory Group (lead analyst: James Torricelli) in coordination with Oakvale Advisory Group; the patent landscape analysis was prepared by Clarendon Intellectual Property Consulting, LLC (Dr. Nadia Petrov, Ph.D., J.D.) under engagement CPC-2020-0447, dated September 14, 2020.</w:t>
      </w:r>
    </w:p>
    <w:bookmarkEnd w:id="21"/>
    <w:bookmarkStart w:id="22" w:name="b.-the-three-existing-agreements"/>
    <w:p>
      <w:pPr>
        <w:pStyle w:val="Heading3"/>
      </w:pPr>
      <w:r>
        <w:t xml:space="preserve">B. The Three Existing Agreements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License</w:t>
            </w:r>
          </w:p>
        </w:tc>
        <w:tc>
          <w:tcPr/>
          <w:p>
            <w:pPr>
              <w:pStyle w:val="Compact"/>
              <w:jc w:val="left"/>
            </w:pPr>
            <w:r>
              <w:t xml:space="preserve">Technology</w:t>
            </w:r>
          </w:p>
        </w:tc>
        <w:tc>
          <w:tcPr/>
          <w:p>
            <w:pPr>
              <w:pStyle w:val="Compact"/>
              <w:jc w:val="left"/>
            </w:pPr>
            <w:r>
              <w:t xml:space="preserve">Effective Date</w:t>
            </w:r>
          </w:p>
        </w:tc>
        <w:tc>
          <w:tcPr/>
          <w:p>
            <w:pPr>
              <w:pStyle w:val="Compact"/>
              <w:jc w:val="left"/>
            </w:pPr>
            <w:r>
              <w:t xml:space="preserve">Initial Term</w:t>
            </w:r>
          </w:p>
        </w:tc>
        <w:tc>
          <w:tcPr/>
          <w:p>
            <w:pPr>
              <w:pStyle w:val="Compact"/>
              <w:jc w:val="left"/>
            </w:pPr>
            <w:r>
              <w:t xml:space="preserve">Expiration</w:t>
            </w:r>
          </w:p>
        </w:tc>
        <w:tc>
          <w:tcPr/>
          <w:p>
            <w:pPr>
              <w:pStyle w:val="Compact"/>
              <w:jc w:val="left"/>
            </w:pPr>
            <w:r>
              <w:t xml:space="preserve">Renewal Notice Deadline</w:t>
            </w:r>
          </w:p>
        </w:tc>
      </w:tr>
      <w:tr>
        <w:tc>
          <w:tcPr/>
          <w:p>
            <w:pPr>
              <w:pStyle w:val="Compact"/>
              <w:jc w:val="left"/>
            </w:pPr>
            <w:r>
              <w:rPr>
                <w:b/>
                <w:bCs/>
              </w:rPr>
              <w:t xml:space="preserve">A</w:t>
            </w:r>
            <w:r>
              <w:t xml:space="preserve"> </w:t>
            </w:r>
            <w:r>
              <w:t xml:space="preserve">— CRISPR-Ag Suite</w:t>
            </w:r>
          </w:p>
        </w:tc>
        <w:tc>
          <w:tcPr/>
          <w:p>
            <w:pPr>
              <w:pStyle w:val="Compact"/>
              <w:jc w:val="left"/>
            </w:pPr>
            <w:r>
              <w:t xml:space="preserve">Gene-editing platform</w:t>
            </w:r>
          </w:p>
        </w:tc>
        <w:tc>
          <w:tcPr/>
          <w:p>
            <w:pPr>
              <w:pStyle w:val="Compact"/>
              <w:jc w:val="left"/>
            </w:pPr>
            <w:r>
              <w:t xml:space="preserve">July 1, 2015</w:t>
            </w:r>
          </w:p>
        </w:tc>
        <w:tc>
          <w:tcPr/>
          <w:p>
            <w:pPr>
              <w:pStyle w:val="Compact"/>
              <w:jc w:val="left"/>
            </w:pPr>
            <w:r>
              <w:t xml:space="preserve">10 years</w:t>
            </w:r>
          </w:p>
        </w:tc>
        <w:tc>
          <w:tcPr/>
          <w:p>
            <w:pPr>
              <w:pStyle w:val="Compact"/>
              <w:jc w:val="left"/>
            </w:pPr>
            <w:r>
              <w:t xml:space="preserve">June 30, 2025</w:t>
            </w:r>
          </w:p>
        </w:tc>
        <w:tc>
          <w:tcPr/>
          <w:p>
            <w:pPr>
              <w:pStyle w:val="Compact"/>
              <w:jc w:val="left"/>
            </w:pPr>
            <w:r>
              <w:t xml:space="preserve">March 31, 2025 (§14.2)</w:t>
            </w:r>
          </w:p>
        </w:tc>
      </w:tr>
      <w:tr>
        <w:tc>
          <w:tcPr/>
          <w:p>
            <w:pPr>
              <w:pStyle w:val="Compact"/>
              <w:jc w:val="left"/>
            </w:pPr>
            <w:r>
              <w:rPr>
                <w:b/>
                <w:bCs/>
              </w:rPr>
              <w:t xml:space="preserve">B</w:t>
            </w:r>
            <w:r>
              <w:t xml:space="preserve"> </w:t>
            </w:r>
            <w:r>
              <w:t xml:space="preserve">— TraitForge</w:t>
            </w:r>
          </w:p>
        </w:tc>
        <w:tc>
          <w:tcPr/>
          <w:p>
            <w:pPr>
              <w:pStyle w:val="Compact"/>
              <w:jc w:val="left"/>
            </w:pPr>
            <w:r>
              <w:t xml:space="preserve">Plant trait expression platform</w:t>
            </w:r>
          </w:p>
        </w:tc>
        <w:tc>
          <w:tcPr/>
          <w:p>
            <w:pPr>
              <w:pStyle w:val="Compact"/>
              <w:jc w:val="left"/>
            </w:pPr>
            <w:r>
              <w:t xml:space="preserve">January 1, 2018</w:t>
            </w:r>
          </w:p>
        </w:tc>
        <w:tc>
          <w:tcPr/>
          <w:p>
            <w:pPr>
              <w:pStyle w:val="Compact"/>
              <w:jc w:val="left"/>
            </w:pPr>
            <w:r>
              <w:t xml:space="preserve">7 years</w:t>
            </w:r>
          </w:p>
        </w:tc>
        <w:tc>
          <w:tcPr/>
          <w:p>
            <w:pPr>
              <w:pStyle w:val="Compact"/>
              <w:jc w:val="left"/>
            </w:pPr>
            <w:r>
              <w:t xml:space="preserve">December 31, 2024 (expired)</w:t>
            </w:r>
          </w:p>
        </w:tc>
        <w:tc>
          <w:tcPr/>
          <w:p>
            <w:pPr>
              <w:pStyle w:val="Compact"/>
              <w:jc w:val="left"/>
            </w:pPr>
            <w:r>
              <w:t xml:space="preserve">September 30, 2024 (§12.2)</w:t>
            </w:r>
          </w:p>
        </w:tc>
      </w:tr>
      <w:tr>
        <w:tc>
          <w:tcPr/>
          <w:p>
            <w:pPr>
              <w:pStyle w:val="Compact"/>
              <w:jc w:val="left"/>
            </w:pPr>
            <w:r>
              <w:rPr>
                <w:b/>
                <w:bCs/>
              </w:rPr>
              <w:t xml:space="preserve">C</w:t>
            </w:r>
            <w:r>
              <w:t xml:space="preserve"> </w:t>
            </w:r>
            <w:r>
              <w:t xml:space="preserve">— GenoMap Pro</w:t>
            </w:r>
          </w:p>
        </w:tc>
        <w:tc>
          <w:tcPr/>
          <w:p>
            <w:pPr>
              <w:pStyle w:val="Compact"/>
              <w:jc w:val="left"/>
            </w:pPr>
            <w:r>
              <w:t xml:space="preserve">Bioinformatics software</w:t>
            </w:r>
          </w:p>
        </w:tc>
        <w:tc>
          <w:tcPr/>
          <w:p>
            <w:pPr>
              <w:pStyle w:val="Compact"/>
              <w:jc w:val="left"/>
            </w:pPr>
            <w:r>
              <w:t xml:space="preserve">March 1, 2020</w:t>
            </w:r>
          </w:p>
        </w:tc>
        <w:tc>
          <w:tcPr/>
          <w:p>
            <w:pPr>
              <w:pStyle w:val="Compact"/>
              <w:jc w:val="left"/>
            </w:pPr>
            <w:r>
              <w:t xml:space="preserve">5 years</w:t>
            </w:r>
          </w:p>
        </w:tc>
        <w:tc>
          <w:tcPr/>
          <w:p>
            <w:pPr>
              <w:pStyle w:val="Compact"/>
              <w:jc w:val="left"/>
            </w:pPr>
            <w:r>
              <w:t xml:space="preserve">February 28, 2025</w:t>
            </w:r>
          </w:p>
        </w:tc>
        <w:tc>
          <w:tcPr/>
          <w:p>
            <w:pPr>
              <w:pStyle w:val="Compact"/>
              <w:jc w:val="left"/>
            </w:pPr>
            <w:r>
              <w:t xml:space="preserve">November 30, 2024 (§3.2)</w:t>
            </w:r>
          </w:p>
        </w:tc>
      </w:tr>
    </w:tbl>
    <w:p>
      <w:pPr>
        <w:pStyle w:val="BodyText"/>
      </w:pPr>
      <w:r>
        <w:t xml:space="preserve">All three agreements are governed by Massachusetts law. License A is exclusive within the Field of Use as to corn and soybean (subject to NovaTrait’s retained research rights and excluded territories). License B was exclusive for the first three years and converted to non-exclusive thereafter. License C is non-exclusive.</w:t>
      </w:r>
    </w:p>
    <w:bookmarkEnd w:id="22"/>
    <w:bookmarkStart w:id="23" w:name="c.-the-prairielands-sublicense"/>
    <w:p>
      <w:pPr>
        <w:pStyle w:val="Heading3"/>
      </w:pPr>
      <w:r>
        <w:t xml:space="preserve">C. The Prairielands Sublicense</w:t>
      </w:r>
    </w:p>
    <w:p>
      <w:pPr>
        <w:pStyle w:val="FirstParagraph"/>
      </w:pPr>
      <w:r>
        <w:t xml:space="preserve">Greenfield granted a sublicense to Prairielands Seed Cooperative (Iowa) effective May 1, 2021, under License B, limited to soybean drought-tolerance traits in Argentina and Brazil, at a 2.0% royalty to Greenfield. The sublicense is co-terminus with the Master License (License B) and therefore, by its terms, expired on December 31, 2024. Critically, the sublicense (Section 3.6) and NovaTrait’s consent letter (April 15, 2021) both confirm that the Master License does</w:t>
      </w:r>
      <w:r>
        <w:t xml:space="preserve"> </w:t>
      </w:r>
      <w:r>
        <w:rPr>
          <w:b/>
          <w:bCs/>
        </w:rPr>
        <w:t xml:space="preserve">not</w:t>
      </w:r>
      <w:r>
        <w:t xml:space="preserve"> </w:t>
      </w:r>
      <w:r>
        <w:t xml:space="preserve">require Greenfield to remit any portion of sublicensee royalties to NovaTrait — i.e., there is currently</w:t>
      </w:r>
      <w:r>
        <w:t xml:space="preserve"> </w:t>
      </w:r>
      <w:r>
        <w:rPr>
          <w:b/>
          <w:bCs/>
        </w:rPr>
        <w:t xml:space="preserve">no pass-through obligation</w:t>
      </w:r>
      <w:r>
        <w:t xml:space="preserve"> </w:t>
      </w:r>
      <w:r>
        <w:t xml:space="preserve">on License B sublicense revenue. The implications of the License B renewal for this sublicense are addressed in Section VII.</w:t>
      </w:r>
    </w:p>
    <w:bookmarkEnd w:id="23"/>
    <w:bookmarkStart w:id="24" w:name="d.-documents-reviewed"/>
    <w:p>
      <w:pPr>
        <w:pStyle w:val="Heading3"/>
      </w:pPr>
      <w:r>
        <w:t xml:space="preserve">D. Documents Reviewed</w:t>
      </w:r>
    </w:p>
    <w:p>
      <w:pPr>
        <w:pStyle w:val="FirstParagraph"/>
      </w:pPr>
      <w:r>
        <w:t xml:space="preserve">This memorandum is based on our review of: (1) the three existing license agreements (Licenses A, B, and C) and their exhibits; (2) NovaTrait’s Consolidated Renewal Proposal (cover letter dated October 14, 2024, Parts I–VIII and Appendices A–B); (3) the Prairielands Sublicense Agreement and NovaTrait’s consent letter; (4) the Clarendon Patent Landscape Executive Summary (September 14, 2020); and (5) the Ridgemont/Oakvale Financial Impact Analysis (February 2025), including royalty models, sensitivity analyses, market comparables, switching-cost analyses, and the negotiation-priorities matrix.</w:t>
      </w:r>
    </w:p>
    <w:p>
      <w:r>
        <w:pict>
          <v:rect style="width:0;height:1.5pt" o:hralign="center" o:hrstd="t" o:hr="t"/>
        </w:pict>
      </w:r>
    </w:p>
    <w:bookmarkEnd w:id="24"/>
    <w:bookmarkEnd w:id="25"/>
    <w:bookmarkStart w:id="26" w:name="X05e6e949fff78aee5f8607af5594903d548c992"/>
    <w:p>
      <w:pPr>
        <w:pStyle w:val="Heading2"/>
      </w:pPr>
      <w:r>
        <w:t xml:space="preserve">III. Procedural and Timing Issues (Critical)</w:t>
      </w:r>
    </w:p>
    <w:p>
      <w:pPr>
        <w:pStyle w:val="FirstParagraph"/>
      </w:pPr>
      <w:r>
        <w:t xml:space="preserve">The three licenses are on overlapping but misaligned expiration timelines, and License B has already expired and is operating under a standstill. The following deadlines govern the negotiation and must be actively managed: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License</w:t>
            </w:r>
          </w:p>
        </w:tc>
        <w:tc>
          <w:tcPr/>
          <w:p>
            <w:pPr>
              <w:pStyle w:val="Compact"/>
              <w:jc w:val="left"/>
            </w:pPr>
            <w:r>
              <w:t xml:space="preserve">Status / Action</w:t>
            </w:r>
          </w:p>
        </w:tc>
      </w:tr>
      <w:tr>
        <w:tc>
          <w:tcPr/>
          <w:p>
            <w:pPr>
              <w:pStyle w:val="Compact"/>
              <w:jc w:val="left"/>
            </w:pPr>
            <w:r>
              <w:t xml:space="preserve">Sep 30, 2024</w:t>
            </w:r>
          </w:p>
        </w:tc>
        <w:tc>
          <w:tcPr/>
          <w:p>
            <w:pPr>
              <w:pStyle w:val="Compact"/>
              <w:jc w:val="left"/>
            </w:pPr>
            <w:r>
              <w:t xml:space="preserve">Renewal notice deadline (§12.2)</w:t>
            </w:r>
          </w:p>
        </w:tc>
        <w:tc>
          <w:tcPr/>
          <w:p>
            <w:pPr>
              <w:pStyle w:val="Compact"/>
              <w:jc w:val="left"/>
            </w:pPr>
            <w:r>
              <w:t xml:space="preserve">B</w:t>
            </w:r>
          </w:p>
        </w:tc>
        <w:tc>
          <w:tcPr/>
          <w:p>
            <w:pPr>
              <w:pStyle w:val="Compact"/>
              <w:jc w:val="left"/>
            </w:pPr>
            <w:r>
              <w:rPr>
                <w:b/>
                <w:bCs/>
              </w:rPr>
              <w:t xml:space="preserve">Passed.</w:t>
            </w:r>
            <w:r>
              <w:t xml:space="preserve"> </w:t>
            </w:r>
            <w:r>
              <w:t xml:space="preserve">Confirm with the General Counsel that timely notice was delivered; preserve evidence.</w:t>
            </w:r>
          </w:p>
        </w:tc>
      </w:tr>
      <w:tr>
        <w:tc>
          <w:tcPr/>
          <w:p>
            <w:pPr>
              <w:pStyle w:val="Compact"/>
              <w:jc w:val="left"/>
            </w:pPr>
            <w:r>
              <w:t xml:space="preserve">Nov 30, 2024</w:t>
            </w:r>
          </w:p>
        </w:tc>
        <w:tc>
          <w:tcPr/>
          <w:p>
            <w:pPr>
              <w:pStyle w:val="Compact"/>
              <w:jc w:val="left"/>
            </w:pPr>
            <w:r>
              <w:t xml:space="preserve">Renewal notice deadline (§3.2)</w:t>
            </w:r>
          </w:p>
        </w:tc>
        <w:tc>
          <w:tcPr/>
          <w:p>
            <w:pPr>
              <w:pStyle w:val="Compact"/>
              <w:jc w:val="left"/>
            </w:pPr>
            <w:r>
              <w:t xml:space="preserve">C</w:t>
            </w:r>
          </w:p>
        </w:tc>
        <w:tc>
          <w:tcPr/>
          <w:p>
            <w:pPr>
              <w:pStyle w:val="Compact"/>
              <w:jc w:val="left"/>
            </w:pPr>
            <w:r>
              <w:rPr>
                <w:b/>
                <w:bCs/>
              </w:rPr>
              <w:t xml:space="preserve">Passed.</w:t>
            </w:r>
            <w:r>
              <w:t xml:space="preserve"> </w:t>
            </w:r>
            <w:r>
              <w:t xml:space="preserve">Confirm timely notice was delivered; preserve evidence.</w:t>
            </w:r>
          </w:p>
        </w:tc>
      </w:tr>
      <w:tr>
        <w:tc>
          <w:tcPr/>
          <w:p>
            <w:pPr>
              <w:pStyle w:val="Compact"/>
              <w:jc w:val="left"/>
            </w:pPr>
            <w:r>
              <w:t xml:space="preserve">Dec 31, 2024</w:t>
            </w:r>
          </w:p>
        </w:tc>
        <w:tc>
          <w:tcPr/>
          <w:p>
            <w:pPr>
              <w:pStyle w:val="Compact"/>
              <w:jc w:val="left"/>
            </w:pPr>
            <w:r>
              <w:t xml:space="preserve">Initial Term expiration</w:t>
            </w:r>
          </w:p>
        </w:tc>
        <w:tc>
          <w:tcPr/>
          <w:p>
            <w:pPr>
              <w:pStyle w:val="Compact"/>
              <w:jc w:val="left"/>
            </w:pPr>
            <w:r>
              <w:t xml:space="preserve">B</w:t>
            </w:r>
          </w:p>
        </w:tc>
        <w:tc>
          <w:tcPr/>
          <w:p>
            <w:pPr>
              <w:pStyle w:val="Compact"/>
              <w:jc w:val="left"/>
            </w:pPr>
            <w:r>
              <w:rPr>
                <w:b/>
                <w:bCs/>
              </w:rPr>
              <w:t xml:space="preserve">Expired.</w:t>
            </w:r>
            <w:r>
              <w:t xml:space="preserve"> </w:t>
            </w:r>
            <w:r>
              <w:t xml:space="preserve">Operating under §12.6 Standstill (180 days).</w:t>
            </w:r>
          </w:p>
        </w:tc>
      </w:tr>
      <w:tr>
        <w:tc>
          <w:tcPr/>
          <w:p>
            <w:pPr>
              <w:pStyle w:val="Compact"/>
              <w:jc w:val="left"/>
            </w:pPr>
            <w:r>
              <w:t xml:space="preserve">Jan 15, 2025</w:t>
            </w:r>
          </w:p>
        </w:tc>
        <w:tc>
          <w:tcPr/>
          <w:p>
            <w:pPr>
              <w:pStyle w:val="Compact"/>
              <w:jc w:val="left"/>
            </w:pPr>
            <w:r>
              <w:t xml:space="preserve">NovaTrait Proposal transmitted (updated terms)</w:t>
            </w:r>
          </w:p>
        </w:tc>
        <w:tc>
          <w:tcPr/>
          <w:p>
            <w:pPr>
              <w:pStyle w:val="Compact"/>
              <w:jc w:val="left"/>
            </w:pPr>
            <w:r>
              <w:t xml:space="preserve">A/B/C</w:t>
            </w:r>
          </w:p>
        </w:tc>
        <w:tc>
          <w:tcPr/>
          <w:p>
            <w:pPr>
              <w:pStyle w:val="Compact"/>
              <w:jc w:val="left"/>
            </w:pPr>
            <w:r>
              <w:t xml:space="preserve">Received; under review.</w:t>
            </w:r>
          </w:p>
        </w:tc>
      </w:tr>
      <w:tr>
        <w:tc>
          <w:tcPr/>
          <w:p>
            <w:pPr>
              <w:pStyle w:val="Compact"/>
              <w:jc w:val="left"/>
            </w:pPr>
            <w:r>
              <w:t xml:space="preserve">Feb 28, 2025</w:t>
            </w:r>
          </w:p>
        </w:tc>
        <w:tc>
          <w:tcPr/>
          <w:p>
            <w:pPr>
              <w:pStyle w:val="Compact"/>
              <w:jc w:val="left"/>
            </w:pPr>
            <w:r>
              <w:t xml:space="preserve">Initial Term expiration</w:t>
            </w:r>
          </w:p>
        </w:tc>
        <w:tc>
          <w:tcPr/>
          <w:p>
            <w:pPr>
              <w:pStyle w:val="Compact"/>
              <w:jc w:val="left"/>
            </w:pPr>
            <w:r>
              <w:t xml:space="preserve">C</w:t>
            </w:r>
          </w:p>
        </w:tc>
        <w:tc>
          <w:tcPr/>
          <w:p>
            <w:pPr>
              <w:pStyle w:val="Compact"/>
              <w:jc w:val="left"/>
            </w:pPr>
            <w:r>
              <w:rPr>
                <w:b/>
                <w:bCs/>
              </w:rPr>
              <w:t xml:space="preserve">Imminent.</w:t>
            </w:r>
            <w:r>
              <w:t xml:space="preserve"> </w:t>
            </w:r>
            <w:r>
              <w:t xml:space="preserve">Interim/holdover access arrangement required.</w:t>
            </w:r>
          </w:p>
        </w:tc>
      </w:tr>
      <w:tr>
        <w:tc>
          <w:tcPr/>
          <w:p>
            <w:pPr>
              <w:pStyle w:val="Compact"/>
              <w:jc w:val="left"/>
            </w:pPr>
            <w:r>
              <w:t xml:space="preserve">Mar 31, 2025</w:t>
            </w:r>
          </w:p>
        </w:tc>
        <w:tc>
          <w:tcPr/>
          <w:p>
            <w:pPr>
              <w:pStyle w:val="Compact"/>
              <w:jc w:val="left"/>
            </w:pPr>
            <w:r>
              <w:t xml:space="preserve">Renewal notice deadline (§14.2)</w:t>
            </w:r>
          </w:p>
        </w:tc>
        <w:tc>
          <w:tcPr/>
          <w:p>
            <w:pPr>
              <w:pStyle w:val="Compact"/>
              <w:jc w:val="left"/>
            </w:pPr>
            <w:r>
              <w:t xml:space="preserve">A</w:t>
            </w:r>
          </w:p>
        </w:tc>
        <w:tc>
          <w:tcPr/>
          <w:p>
            <w:pPr>
              <w:pStyle w:val="Compact"/>
              <w:jc w:val="left"/>
            </w:pPr>
            <w:r>
              <w:rPr>
                <w:b/>
                <w:bCs/>
              </w:rPr>
              <w:t xml:space="preserve">Upcoming.</w:t>
            </w:r>
            <w:r>
              <w:t xml:space="preserve"> </w:t>
            </w:r>
            <w:r>
              <w:t xml:space="preserve">Deliver renewal notice on or before this date.</w:t>
            </w:r>
          </w:p>
        </w:tc>
      </w:tr>
      <w:tr>
        <w:tc>
          <w:tcPr/>
          <w:p>
            <w:pPr>
              <w:pStyle w:val="Compact"/>
              <w:jc w:val="left"/>
            </w:pPr>
            <w:r>
              <w:t xml:space="preserve">Apr 15, 2025</w:t>
            </w:r>
          </w:p>
        </w:tc>
        <w:tc>
          <w:tcPr/>
          <w:p>
            <w:pPr>
              <w:pStyle w:val="Compact"/>
              <w:jc w:val="left"/>
            </w:pPr>
            <w:r>
              <w:t xml:space="preserve">Target: Greenfield counter-proposal</w:t>
            </w:r>
          </w:p>
        </w:tc>
        <w:tc>
          <w:tcPr/>
          <w:p>
            <w:pPr>
              <w:pStyle w:val="Compact"/>
              <w:jc w:val="left"/>
            </w:pPr>
            <w:r>
              <w:t xml:space="preserve">A/B/C</w:t>
            </w:r>
          </w:p>
        </w:tc>
        <w:tc>
          <w:tcPr/>
          <w:p>
            <w:pPr>
              <w:pStyle w:val="Compact"/>
              <w:jc w:val="left"/>
            </w:pPr>
            <w:r>
              <w:t xml:space="preserve">Planned.</w:t>
            </w:r>
          </w:p>
        </w:tc>
      </w:tr>
      <w:tr>
        <w:tc>
          <w:tcPr/>
          <w:p>
            <w:pPr>
              <w:pStyle w:val="Compact"/>
              <w:jc w:val="left"/>
            </w:pPr>
            <w:r>
              <w:rPr>
                <w:b/>
                <w:bCs/>
              </w:rPr>
              <w:t xml:space="preserve">Jun 29, 2025</w:t>
            </w:r>
          </w:p>
        </w:tc>
        <w:tc>
          <w:tcPr/>
          <w:p>
            <w:pPr>
              <w:pStyle w:val="Compact"/>
              <w:jc w:val="left"/>
            </w:pPr>
            <w:r>
              <w:rPr>
                <w:b/>
                <w:bCs/>
              </w:rPr>
              <w:t xml:space="preserve">Standstill expiration (180 days from Dec 31, 2024)</w:t>
            </w:r>
          </w:p>
        </w:tc>
        <w:tc>
          <w:tcPr/>
          <w:p>
            <w:pPr>
              <w:pStyle w:val="Compact"/>
              <w:jc w:val="left"/>
            </w:pPr>
            <w:r>
              <w:rPr>
                <w:b/>
                <w:bCs/>
              </w:rPr>
              <w:t xml:space="preserve">B</w:t>
            </w:r>
          </w:p>
        </w:tc>
        <w:tc>
          <w:tcPr/>
          <w:p>
            <w:pPr>
              <w:pStyle w:val="Compact"/>
              <w:jc w:val="left"/>
            </w:pPr>
            <w:r>
              <w:rPr>
                <w:b/>
                <w:bCs/>
              </w:rPr>
              <w:t xml:space="preserve">CRITICAL DEADLINE.</w:t>
            </w:r>
            <w:r>
              <w:t xml:space="preserve"> </w:t>
            </w:r>
            <w:r>
              <w:t xml:space="preserve">If no renewal is executed and no extension secured, License B terminates entirely.</w:t>
            </w:r>
          </w:p>
        </w:tc>
      </w:tr>
      <w:tr>
        <w:tc>
          <w:tcPr/>
          <w:p>
            <w:pPr>
              <w:pStyle w:val="Compact"/>
              <w:jc w:val="left"/>
            </w:pPr>
            <w:r>
              <w:t xml:space="preserve">Jun 30, 2025</w:t>
            </w:r>
          </w:p>
        </w:tc>
        <w:tc>
          <w:tcPr/>
          <w:p>
            <w:pPr>
              <w:pStyle w:val="Compact"/>
              <w:jc w:val="left"/>
            </w:pPr>
            <w:r>
              <w:t xml:space="preserve">Initial Term expiration</w:t>
            </w:r>
          </w:p>
        </w:tc>
        <w:tc>
          <w:tcPr/>
          <w:p>
            <w:pPr>
              <w:pStyle w:val="Compact"/>
              <w:jc w:val="left"/>
            </w:pPr>
            <w:r>
              <w:t xml:space="preserve">A</w:t>
            </w:r>
          </w:p>
        </w:tc>
        <w:tc>
          <w:tcPr/>
          <w:p>
            <w:pPr>
              <w:pStyle w:val="Compact"/>
              <w:jc w:val="left"/>
            </w:pPr>
            <w:r>
              <w:t xml:space="preserve">If no renewal executed, License A terminates.</w:t>
            </w:r>
          </w:p>
        </w:tc>
      </w:tr>
      <w:tr>
        <w:tc>
          <w:tcPr/>
          <w:p>
            <w:pPr>
              <w:pStyle w:val="Compact"/>
              <w:jc w:val="left"/>
            </w:pPr>
            <w:r>
              <w:t xml:space="preserve">Mar 12, 2028</w:t>
            </w:r>
          </w:p>
        </w:tc>
        <w:tc>
          <w:tcPr/>
          <w:p>
            <w:pPr>
              <w:pStyle w:val="Compact"/>
              <w:jc w:val="left"/>
            </w:pPr>
            <w:r>
              <w:t xml:space="preserve">U.S. Patent 9,234,117 expiration</w:t>
            </w:r>
          </w:p>
        </w:tc>
        <w:tc>
          <w:tcPr/>
          <w:p>
            <w:pPr>
              <w:pStyle w:val="Compact"/>
              <w:jc w:val="left"/>
            </w:pPr>
            <w:r>
              <w:t xml:space="preserve">A</w:t>
            </w:r>
          </w:p>
        </w:tc>
        <w:tc>
          <w:tcPr/>
          <w:p>
            <w:pPr>
              <w:pStyle w:val="Compact"/>
              <w:jc w:val="left"/>
            </w:pPr>
            <w:r>
              <w:t xml:space="preserve">Foundational patent expiry; royalty step-down trigger.</w:t>
            </w:r>
          </w:p>
        </w:tc>
      </w:tr>
    </w:tbl>
    <w:p>
      <w:pPr>
        <w:pStyle w:val="BodyText"/>
      </w:pPr>
      <w:r>
        <w:rPr>
          <w:b/>
          <w:bCs/>
        </w:rPr>
        <w:t xml:space="preserve">Key procedural recommendations:</w:t>
      </w:r>
    </w:p>
    <w:p>
      <w:pPr>
        <w:numPr>
          <w:ilvl w:val="0"/>
          <w:numId w:val="1002"/>
        </w:numPr>
      </w:pPr>
      <w:r>
        <w:rPr>
          <w:b/>
          <w:bCs/>
        </w:rPr>
        <w:t xml:space="preserve">License B standstill (highest priority).</w:t>
      </w:r>
      <w:r>
        <w:t xml:space="preserve"> </w:t>
      </w:r>
      <w:r>
        <w:t xml:space="preserve">Section 12.6 permits the Agreement to remain in force for up to 180 days during good-faith renewal negotiations — i.e., through approximately June 29, 2025. The Standstill is not a renewal and creates no obligation to agree to terms; either party may terminate it on 30 days’ notice. Because the substantive negotiations cannot realistically conclude before the standstill expires, Greenfield should make a written extension of the standstill to December 31, 2025 a</w:t>
      </w:r>
      <w:r>
        <w:t xml:space="preserve"> </w:t>
      </w:r>
      <w:r>
        <w:rPr>
          <w:b/>
          <w:bCs/>
        </w:rPr>
        <w:t xml:space="preserve">condition precedent</w:t>
      </w:r>
      <w:r>
        <w:t xml:space="preserve"> </w:t>
      </w:r>
      <w:r>
        <w:t xml:space="preserve">to continued negotiation. NovaTrait has proposed a short-form standstill confirmation (Appendix B to the Proposal) that runs to</w:t>
      </w:r>
      <w:r>
        <w:t xml:space="preserve"> </w:t>
      </w:r>
      <w:r>
        <w:t xml:space="preserve">“</w:t>
      </w:r>
      <w:r>
        <w:t xml:space="preserve">the earlier of (i) execution of a Renewal Agreement, (ii) June 30, 2025, or (iii) written termination on 30 days’ notice</w:t>
      </w:r>
      <w:r>
        <w:t xml:space="preserve">”</w:t>
      </w:r>
      <w:r>
        <w:t xml:space="preserve"> </w:t>
      </w:r>
      <w:r>
        <w:t xml:space="preserve">— this is insufficient because it does not extend beyond June 30, 2025. Greenfield should counter with an extension to December 31, 2025 (or to execution, whichever is earlier), with royalties continuing to accrue on existing terms. Greenfield should also be careful not to execute any standstill instrument that could be construed as a waiver of its rights under Section 12.2 or as an admission that the renewal notice was untimely.</w:t>
      </w:r>
    </w:p>
    <w:p>
      <w:pPr>
        <w:numPr>
          <w:ilvl w:val="0"/>
          <w:numId w:val="1002"/>
        </w:numPr>
      </w:pPr>
      <w:r>
        <w:rPr>
          <w:b/>
          <w:bCs/>
        </w:rPr>
        <w:t xml:space="preserve">License C holdover.</w:t>
      </w:r>
      <w:r>
        <w:t xml:space="preserve"> </w:t>
      </w:r>
      <w:r>
        <w:t xml:space="preserve">License C expires February 28, 2025 — before the parties can complete negotiations. Greenfield must secure an interim access/holdover arrangement (a short-form extension or bridge letter) to avoid any interruption in GenoMap Pro service, on which the License A and B workflows depend. NovaTrait’s Proposal states that Greenfield’s receipt and acknowledgement of the Proposal will be treated as initiation of renewal negotiations under Section 3.2; Greenfield should confirm renewal intent in writing on or before November 30, 2024 (if not already done) and request a bridge extension on existing terms pending execution of the renewal.</w:t>
      </w:r>
    </w:p>
    <w:p>
      <w:pPr>
        <w:numPr>
          <w:ilvl w:val="0"/>
          <w:numId w:val="1002"/>
        </w:numPr>
      </w:pPr>
      <w:r>
        <w:rPr>
          <w:b/>
          <w:bCs/>
        </w:rPr>
        <w:t xml:space="preserve">License A renewal notice.</w:t>
      </w:r>
      <w:r>
        <w:t xml:space="preserve"> </w:t>
      </w:r>
      <w:r>
        <w:t xml:space="preserve">The Section 14.2 notice deadline is March 31, 2025. Greenfield should deliver a written renewal notice on or before that date to preserve its renewal rights and to trigger the 180-day good-faith negotiation period under Section 14.4. Delivery of the notice does not commit Greenfield to any particular terms.</w:t>
      </w:r>
    </w:p>
    <w:p>
      <w:pPr>
        <w:numPr>
          <w:ilvl w:val="0"/>
          <w:numId w:val="1002"/>
        </w:numPr>
      </w:pPr>
      <w:r>
        <w:rPr>
          <w:b/>
          <w:bCs/>
        </w:rPr>
        <w:t xml:space="preserve">Reservation of rights.</w:t>
      </w:r>
      <w:r>
        <w:t xml:space="preserve"> </w:t>
      </w:r>
      <w:r>
        <w:t xml:space="preserve">All correspondence should expressly reserve Greenfield’s rights under the Existing Agreements and applicable law, and should be marked as a settlement communication under Fed. R. Evid. 408 / Mass. R. Evid. 408 (as NovaTrait has done), to preserve the confidentiality and inadmissibility of the negotiations.</w:t>
      </w:r>
    </w:p>
    <w:p>
      <w:r>
        <w:pict>
          <v:rect style="width:0;height:1.5pt" o:hralign="center" o:hrstd="t" o:hr="t"/>
        </w:pict>
      </w:r>
    </w:p>
    <w:bookmarkEnd w:id="26"/>
    <w:bookmarkStart w:id="34" w:name="Xb09ea1f4ad10fcd72bf4afaa228552741155803"/>
    <w:p>
      <w:pPr>
        <w:pStyle w:val="Heading2"/>
      </w:pPr>
      <w:r>
        <w:t xml:space="preserve">IV. License A — CRISPR-Ag Suite Gene-Editing Platform</w:t>
      </w:r>
    </w:p>
    <w:bookmarkStart w:id="27" w:name="a.-financial-terms"/>
    <w:p>
      <w:pPr>
        <w:pStyle w:val="Heading3"/>
      </w:pPr>
      <w:r>
        <w:t xml:space="preserve">A. Financial Terms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Current (§7.1–7.2)</w:t>
            </w:r>
          </w:p>
        </w:tc>
        <w:tc>
          <w:tcPr/>
          <w:p>
            <w:pPr>
              <w:pStyle w:val="Compact"/>
              <w:jc w:val="left"/>
            </w:pPr>
            <w:r>
              <w:t xml:space="preserve">Proposed</w:t>
            </w:r>
          </w:p>
        </w:tc>
        <w:tc>
          <w:tcPr/>
          <w:p>
            <w:pPr>
              <w:pStyle w:val="Compact"/>
              <w:jc w:val="left"/>
            </w:pPr>
            <w:r>
              <w:t xml:space="preserve">Change</w:t>
            </w:r>
          </w:p>
        </w:tc>
        <w:tc>
          <w:tcPr/>
          <w:p>
            <w:pPr>
              <w:pStyle w:val="Compact"/>
              <w:jc w:val="left"/>
            </w:pPr>
            <w:r>
              <w:t xml:space="preserve">Assessment</w:t>
            </w:r>
          </w:p>
        </w:tc>
      </w:tr>
      <w:tr>
        <w:tc>
          <w:tcPr/>
          <w:p>
            <w:pPr>
              <w:pStyle w:val="Compact"/>
              <w:jc w:val="left"/>
            </w:pPr>
            <w:r>
              <w:t xml:space="preserve">Royalty rate</w:t>
            </w:r>
          </w:p>
        </w:tc>
        <w:tc>
          <w:tcPr/>
          <w:p>
            <w:pPr>
              <w:pStyle w:val="Compact"/>
              <w:jc w:val="left"/>
            </w:pPr>
            <w:r>
              <w:t xml:space="preserve">4.5% of Net Sales</w:t>
            </w:r>
          </w:p>
        </w:tc>
        <w:tc>
          <w:tcPr/>
          <w:p>
            <w:pPr>
              <w:pStyle w:val="Compact"/>
              <w:jc w:val="left"/>
            </w:pPr>
            <w:r>
              <w:t xml:space="preserve">6.25% of redefined Net Sales</w:t>
            </w:r>
          </w:p>
        </w:tc>
        <w:tc>
          <w:tcPr/>
          <w:p>
            <w:pPr>
              <w:pStyle w:val="Compact"/>
              <w:jc w:val="left"/>
            </w:pPr>
            <w:r>
              <w:t xml:space="preserve">+38.9% nominal</w:t>
            </w:r>
          </w:p>
        </w:tc>
        <w:tc>
          <w:tcPr/>
          <w:p>
            <w:pPr>
              <w:pStyle w:val="Compact"/>
              <w:jc w:val="left"/>
            </w:pPr>
            <w:r>
              <w:t xml:space="preserve">Above market high (5.5%)</w:t>
            </w:r>
          </w:p>
        </w:tc>
      </w:tr>
      <w:tr>
        <w:tc>
          <w:tcPr/>
          <w:p>
            <w:pPr>
              <w:pStyle w:val="Compact"/>
              <w:jc w:val="left"/>
            </w:pPr>
            <w:r>
              <w:t xml:space="preserve">Minimum annual royalty</w:t>
            </w:r>
          </w:p>
        </w:tc>
        <w:tc>
          <w:tcPr/>
          <w:p>
            <w:pPr>
              <w:pStyle w:val="Compact"/>
              <w:jc w:val="left"/>
            </w:pPr>
            <w:r>
              <w:t xml:space="preserve">$4,000,000</w:t>
            </w:r>
          </w:p>
        </w:tc>
        <w:tc>
          <w:tcPr/>
          <w:p>
            <w:pPr>
              <w:pStyle w:val="Compact"/>
              <w:jc w:val="left"/>
            </w:pPr>
            <w:r>
              <w:t xml:space="preserve">$8,000,000 (quarterly $2M)</w:t>
            </w:r>
          </w:p>
        </w:tc>
        <w:tc>
          <w:tcPr/>
          <w:p>
            <w:pPr>
              <w:pStyle w:val="Compact"/>
              <w:jc w:val="left"/>
            </w:pPr>
            <w:r>
              <w:t xml:space="preserve">+100%</w:t>
            </w:r>
          </w:p>
        </w:tc>
        <w:tc>
          <w:tcPr/>
          <w:p>
            <w:pPr>
              <w:pStyle w:val="Compact"/>
              <w:jc w:val="left"/>
            </w:pPr>
            <w:r>
              <w:t xml:space="preserve">Doubled; quarterly true-up increases cash burden</w:t>
            </w:r>
          </w:p>
        </w:tc>
      </w:tr>
      <w:tr>
        <w:tc>
          <w:tcPr/>
          <w:p>
            <w:pPr>
              <w:pStyle w:val="Compact"/>
              <w:jc w:val="left"/>
            </w:pPr>
            <w:r>
              <w:t xml:space="preserve">Net Sales definition</w:t>
            </w:r>
          </w:p>
        </w:tc>
        <w:tc>
          <w:tcPr/>
          <w:p>
            <w:pPr>
              <w:pStyle w:val="Compact"/>
              <w:jc w:val="left"/>
            </w:pPr>
            <w:r>
              <w:t xml:space="preserve">Standard (freight, insurance, returns, bad debt deductible)</w:t>
            </w:r>
          </w:p>
        </w:tc>
        <w:tc>
          <w:tcPr/>
          <w:p>
            <w:pPr>
              <w:pStyle w:val="Compact"/>
              <w:jc w:val="left"/>
            </w:pPr>
            <w:r>
              <w:t xml:space="preserve">Narrowed (only taxes + trade/cash/quantity discounts)</w:t>
            </w:r>
          </w:p>
        </w:tc>
        <w:tc>
          <w:tcPr/>
          <w:p>
            <w:pPr>
              <w:pStyle w:val="Compact"/>
              <w:jc w:val="left"/>
            </w:pPr>
            <w:r>
              <w:t xml:space="preserve">+7.2% to base</w:t>
            </w:r>
          </w:p>
        </w:tc>
        <w:tc>
          <w:tcPr/>
          <w:p>
            <w:pPr>
              <w:pStyle w:val="Compact"/>
              <w:jc w:val="left"/>
            </w:pPr>
            <w:r>
              <w:t xml:space="preserve">Uncommon; only 1 of 6 market comps uses a modified definition</w:t>
            </w:r>
          </w:p>
        </w:tc>
      </w:tr>
      <w:tr>
        <w:tc>
          <w:tcPr/>
          <w:p>
            <w:pPr>
              <w:pStyle w:val="Compact"/>
              <w:jc w:val="left"/>
            </w:pPr>
            <w:r>
              <w:t xml:space="preserve">Effective rate on original base</w:t>
            </w:r>
          </w:p>
        </w:tc>
        <w:tc>
          <w:tcPr/>
          <w:p>
            <w:pPr>
              <w:pStyle w:val="Compact"/>
              <w:jc w:val="left"/>
            </w:pPr>
            <w:r>
              <w:t xml:space="preserve">4.5%</w:t>
            </w:r>
          </w:p>
        </w:tc>
        <w:tc>
          <w:tcPr/>
          <w:p>
            <w:pPr>
              <w:pStyle w:val="Compact"/>
              <w:jc w:val="left"/>
            </w:pPr>
            <w:r>
              <w:t xml:space="preserve">~6.70%</w:t>
            </w:r>
          </w:p>
        </w:tc>
        <w:tc>
          <w:tcPr/>
          <w:p>
            <w:pPr>
              <w:pStyle w:val="Compact"/>
              <w:jc w:val="left"/>
            </w:pPr>
            <w:r>
              <w:t xml:space="preserve">+48.9%</w:t>
            </w:r>
          </w:p>
        </w:tc>
        <w:tc>
          <w:tcPr/>
          <w:p>
            <w:pPr>
              <w:pStyle w:val="Compact"/>
              <w:jc w:val="left"/>
            </w:pPr>
            <w:r>
              <w:t xml:space="preserve">Approaches the §14.3 150% cap</w:t>
            </w:r>
          </w:p>
        </w:tc>
      </w:tr>
    </w:tbl>
    <w:p>
      <w:pPr>
        <w:pStyle w:val="BodyText"/>
      </w:pPr>
      <w:r>
        <w:rPr>
          <w:b/>
          <w:bCs/>
        </w:rPr>
        <w:t xml:space="preserve">Combined economic effect.</w:t>
      </w:r>
      <w:r>
        <w:t xml:space="preserve"> </w:t>
      </w:r>
      <w:r>
        <w:t xml:space="preserve">The Proposal presents the rate increase (4.5% → 6.25%) and the Net Sales redefinition as separate items, but they compound. On the FY 2024 Net Sales base of $202.67 million, the redefined base is approximately $217.26 million (+7.2%). Applying 6.25% to the redefined base yields an effective rate of approximately</w:t>
      </w:r>
      <w:r>
        <w:t xml:space="preserve"> </w:t>
      </w:r>
      <w:r>
        <w:rPr>
          <w:b/>
          <w:bCs/>
        </w:rPr>
        <w:t xml:space="preserve">6.70% on the original Net Sales base</w:t>
      </w:r>
      <w:r>
        <w:t xml:space="preserve"> </w:t>
      </w:r>
      <w:r>
        <w:t xml:space="preserve">— i.e., 148.9% of the current rate, which is within but approaches the 150% cap in Section 14.3(a). The Ridgemont model projects the Year 1 (FY 2025) royalty at approximately $14.26 million versus $9.58 million under current terms, and a</w:t>
      </w:r>
      <w:r>
        <w:t xml:space="preserve"> </w:t>
      </w:r>
      <w:r>
        <w:rPr>
          <w:b/>
          <w:bCs/>
        </w:rPr>
        <w:t xml:space="preserve">cumulative five-year incremental cost of approximately $31.8 million</w:t>
      </w:r>
      <w:r>
        <w:t xml:space="preserve"> </w:t>
      </w:r>
      <w:r>
        <w:t xml:space="preserve">(base case, 5% annual growth). The doubled minimum annual royalty ($8 million) is not binding in any modeled scenario (calculated royalty always exceeds it), but it materially raises the floor and the quarterly cash commitment.</w:t>
      </w:r>
    </w:p>
    <w:p>
      <w:pPr>
        <w:pStyle w:val="BodyText"/>
      </w:pPr>
      <w:r>
        <w:rPr>
          <w:b/>
          <w:bCs/>
        </w:rPr>
        <w:t xml:space="preserve">Recommendation.</w:t>
      </w:r>
      <w:r>
        <w:t xml:space="preserve"> </w:t>
      </w:r>
      <w:r>
        <w:t xml:space="preserve">Counter at</w:t>
      </w:r>
      <w:r>
        <w:t xml:space="preserve"> </w:t>
      </w:r>
      <w:r>
        <w:rPr>
          <w:b/>
          <w:bCs/>
        </w:rPr>
        <w:t xml:space="preserve">5.0% on the original Net Sales definition, or 4.75% on the redefined definition</w:t>
      </w:r>
      <w:r>
        <w:t xml:space="preserve">, and resist the Net Sales redefinition as a stand-alone matter. If NovaTrait insists on a redefined Net Sales base, Greenfield should insist that the combined effective rate be measured against the Section 14.3 150% cap (see Section X) and that any rate above 5.5% be supported by an updated independent fair market value (IFMV) assessment. The doubled minimum annual royalty should be resisted; at minimum, Greenfield should seek a graduated minimum tied to actual Net Sales thresholds rather than a flat $8 million.</w:t>
      </w:r>
    </w:p>
    <w:bookmarkEnd w:id="27"/>
    <w:bookmarkStart w:id="28" w:name="Xec36810fb96771aa43e6836ed7a6752d38a51fb"/>
    <w:p>
      <w:pPr>
        <w:pStyle w:val="Heading3"/>
      </w:pPr>
      <w:r>
        <w:t xml:space="preserve">B. Field of Use — The Insect Resistance Removal</w:t>
      </w:r>
    </w:p>
    <w:p>
      <w:pPr>
        <w:pStyle w:val="FirstParagraph"/>
      </w:pPr>
      <w:r>
        <w:t xml:space="preserve">The Proposal would</w:t>
      </w:r>
      <w:r>
        <w:t xml:space="preserve"> </w:t>
      </w:r>
      <w:r>
        <w:rPr>
          <w:b/>
          <w:bCs/>
        </w:rPr>
        <w:t xml:space="preserve">add wheat</w:t>
      </w:r>
      <w:r>
        <w:t xml:space="preserve"> </w:t>
      </w:r>
      <w:r>
        <w:t xml:space="preserve">(Triticum spp.) to the Field of Use but</w:t>
      </w:r>
      <w:r>
        <w:t xml:space="preserve"> </w:t>
      </w:r>
      <w:r>
        <w:rPr>
          <w:b/>
          <w:bCs/>
        </w:rPr>
        <w:t xml:space="preserve">remove insect resistance traits</w:t>
      </w:r>
      <w:r>
        <w:t xml:space="preserve"> </w:t>
      </w:r>
      <w:r>
        <w:t xml:space="preserve">(including Bt-derived and non-Bt insecticidal proteins). NovaTrait states it has entered an exclusive licensing arrangement with another agricultural biotechnology company for the insect resistance application and</w:t>
      </w:r>
      <w:r>
        <w:t xml:space="preserve"> </w:t>
      </w:r>
      <w:r>
        <w:t xml:space="preserve">“</w:t>
      </w:r>
      <w:r>
        <w:t xml:space="preserve">cannot continue to grant non-exclusive rights in that field,</w:t>
      </w:r>
      <w:r>
        <w:t xml:space="preserve">”</w:t>
      </w:r>
      <w:r>
        <w:t xml:space="preserve"> </w:t>
      </w:r>
      <w:r>
        <w:t xml:space="preserve">and offers to discuss a</w:t>
      </w:r>
      <w:r>
        <w:t xml:space="preserve"> </w:t>
      </w:r>
      <w:r>
        <w:t xml:space="preserve">“</w:t>
      </w:r>
      <w:r>
        <w:t xml:space="preserve">separate, non-exclusive, transitional license with a finite sunset period</w:t>
      </w:r>
      <w:r>
        <w:t xml:space="preserve">”</w:t>
      </w:r>
      <w:r>
        <w:t xml:space="preserve"> </w:t>
      </w:r>
      <w:r>
        <w:t xml:space="preserve">for Greenfield’s existing commercial insect resistance product lines.</w:t>
      </w:r>
    </w:p>
    <w:p>
      <w:pPr>
        <w:pStyle w:val="BodyText"/>
      </w:pPr>
      <w:r>
        <w:t xml:space="preserve">This is the single most consequential non-price term in the Proposal. Per the negotiation-priorities analysis, insect resistance represents approximately</w:t>
      </w:r>
      <w:r>
        <w:t xml:space="preserve"> </w:t>
      </w:r>
      <w:r>
        <w:rPr>
          <w:b/>
          <w:bCs/>
        </w:rPr>
        <w:t xml:space="preserve">30% of License A revenue</w:t>
      </w:r>
      <w:r>
        <w:t xml:space="preserve">. Removing it from the Field of Use would (i) strip Greenfield of licensed rights to a core, revenue-generating product line; (ii) force Greenfield to negotiate a separate transitional license on terms set by NovaTrait after Greenfield has already committed to the renewal; and (iii) potentially breach Greenfield’s downstream obligations (including any product supply commitments) if a transition is not secured. The addition of wheat does not offset this loss — wheat is a new, unproven market for Greenfield requiring new field trials and regulatory submissions (the Proposal itself imposes wheat diligence milestones: a field trial within 36 months and a regulatory submission within 60 months).</w:t>
      </w:r>
    </w:p>
    <w:p>
      <w:pPr>
        <w:pStyle w:val="BodyText"/>
      </w:pPr>
      <w:r>
        <w:rPr>
          <w:b/>
          <w:bCs/>
        </w:rPr>
        <w:t xml:space="preserve">Recommendation.</w:t>
      </w:r>
      <w:r>
        <w:t xml:space="preserve"> </w:t>
      </w:r>
      <w:r>
        <w:t xml:space="preserve">Greenfield should</w:t>
      </w:r>
      <w:r>
        <w:t xml:space="preserve"> </w:t>
      </w:r>
      <w:r>
        <w:rPr>
          <w:b/>
          <w:bCs/>
        </w:rPr>
        <w:t xml:space="preserve">reject the removal of insect resistance from the Field of Use</w:t>
      </w:r>
      <w:r>
        <w:t xml:space="preserve"> </w:t>
      </w:r>
      <w:r>
        <w:t xml:space="preserve">as a condition of renewal. The Field of Use in Section 1.7 expressly includes</w:t>
      </w:r>
      <w:r>
        <w:t xml:space="preserve"> </w:t>
      </w:r>
      <w:r>
        <w:t xml:space="preserve">“</w:t>
      </w:r>
      <w:r>
        <w:t xml:space="preserve">insect resistance traits,</w:t>
      </w:r>
      <w:r>
        <w:t xml:space="preserve">”</w:t>
      </w:r>
      <w:r>
        <w:t xml:space="preserve"> </w:t>
      </w:r>
      <w:r>
        <w:t xml:space="preserve">and Section 14.3(d) provides that modifications to the Field of Use require the mutual written consent of both parties — NovaTrait cannot unilaterally narrow it. Greenfield’s counter should be to</w:t>
      </w:r>
      <w:r>
        <w:t xml:space="preserve"> </w:t>
      </w:r>
      <w:r>
        <w:rPr>
          <w:b/>
          <w:bCs/>
        </w:rPr>
        <w:t xml:space="preserve">retain insect resistance AND add wheat</w:t>
      </w:r>
      <w:r>
        <w:t xml:space="preserve">, accepting at most a modest rate premium for the expanded crop scope. If NovaTrait is genuinely constrained by its exclusive IR arrangement with the third party, Greenfield should demand, as a non-negotiable condition, a fully-negotiated transitional IR license (with defined scope, term, and pricing) executed concurrently with the renewal — not a promise to</w:t>
      </w:r>
      <w:r>
        <w:t xml:space="preserve"> </w:t>
      </w:r>
      <w:r>
        <w:t xml:space="preserve">“</w:t>
      </w:r>
      <w:r>
        <w:t xml:space="preserve">discuss</w:t>
      </w:r>
      <w:r>
        <w:t xml:space="preserve">”</w:t>
      </w:r>
      <w:r>
        <w:t xml:space="preserve"> </w:t>
      </w:r>
      <w:r>
        <w:t xml:space="preserve">one. Greenfield should also evaluate whether NovaTrait’s grant of an exclusive IR license to a third party is consistent with NovaTrait’s exclusivity grant to Greenfield under Section 2.2 (which reserves to NovaTrait only the right to license</w:t>
      </w:r>
      <w:r>
        <w:t xml:space="preserve"> </w:t>
      </w:r>
      <w:r>
        <w:t xml:space="preserve">“</w:t>
      </w:r>
      <w:r>
        <w:t xml:space="preserve">outside the Field of Use and outside the Territory</w:t>
      </w:r>
      <w:r>
        <w:t xml:space="preserve">”</w:t>
      </w:r>
      <w:r>
        <w:t xml:space="preserve">) and with the Most-Favored-Licensee provision in Section 14.5.</w:t>
      </w:r>
    </w:p>
    <w:bookmarkEnd w:id="28"/>
    <w:bookmarkStart w:id="29" w:name="c.-improvements-reversal-of-ownership"/>
    <w:p>
      <w:pPr>
        <w:pStyle w:val="Heading3"/>
      </w:pPr>
      <w:r>
        <w:t xml:space="preserve">C. Improvements — Reversal of Ownership</w:t>
      </w:r>
    </w:p>
    <w:p>
      <w:pPr>
        <w:pStyle w:val="FirstParagraph"/>
      </w:pPr>
      <w:r>
        <w:t xml:space="preserve">Current Section 8.1 provides that</w:t>
      </w:r>
      <w:r>
        <w:t xml:space="preserve"> </w:t>
      </w:r>
      <w:r>
        <w:rPr>
          <w:b/>
          <w:bCs/>
        </w:rPr>
        <w:t xml:space="preserve">Greenfield solely owns</w:t>
      </w:r>
      <w:r>
        <w:t xml:space="preserve"> </w:t>
      </w:r>
      <w:r>
        <w:t xml:space="preserve">all Improvements it conceives or reduces to practice, subject to a non-exclusive license back to NovaTrait (outside the Field of Use) at a commercially reasonable royalty to be negotiated. The Proposal would reverse this: all Improvements would be</w:t>
      </w:r>
      <w:r>
        <w:t xml:space="preserve"> </w:t>
      </w:r>
      <w:r>
        <w:rPr>
          <w:b/>
          <w:bCs/>
        </w:rPr>
        <w:t xml:space="preserve">jointly owned</w:t>
      </w:r>
      <w:r>
        <w:t xml:space="preserve">, with Greenfield granting NovaTrait an</w:t>
      </w:r>
      <w:r>
        <w:t xml:space="preserve"> </w:t>
      </w:r>
      <w:r>
        <w:rPr>
          <w:b/>
          <w:bCs/>
        </w:rPr>
        <w:t xml:space="preserve">irrevocable, perpetual, worldwide, fully paid-up, royalty-free, sublicensable, and transferable</w:t>
      </w:r>
      <w:r>
        <w:t xml:space="preserve"> </w:t>
      </w:r>
      <w:r>
        <w:t xml:space="preserve">license to practice and exploit any Improvements for any purpose (within or outside the Field of Use), while Greenfield would receive only a non-exclusive, non-sublicensable, royalty-bearing license for the Renewal Term only.</w:t>
      </w:r>
    </w:p>
    <w:p>
      <w:pPr>
        <w:pStyle w:val="BodyText"/>
      </w:pPr>
      <w:r>
        <w:t xml:space="preserve">This is a substantial transfer of value. Under the proposed terms, NovaTrait would obtain perpetual, royalty-free rights to Greenfield’s Improvements — including the right to sublicense them to competitors — while Greenfield’s own rights to its Improvements would expire with the Renewal Term. This is materially worse than the current regime and worse than the market comparables, under which the licensee typically retains sole ownership of its improvements (Comps 1, 2, and 6).</w:t>
      </w:r>
    </w:p>
    <w:p>
      <w:pPr>
        <w:pStyle w:val="BodyText"/>
      </w:pPr>
      <w:r>
        <w:rPr>
          <w:b/>
          <w:bCs/>
        </w:rPr>
        <w:t xml:space="preserve">Recommendation.</w:t>
      </w:r>
      <w:r>
        <w:t xml:space="preserve"> </w:t>
      </w:r>
      <w:r>
        <w:t xml:space="preserve">Retain</w:t>
      </w:r>
      <w:r>
        <w:t xml:space="preserve"> </w:t>
      </w:r>
      <w:r>
        <w:rPr>
          <w:b/>
          <w:bCs/>
        </w:rPr>
        <w:t xml:space="preserve">sole Greenfield ownership</w:t>
      </w:r>
      <w:r>
        <w:t xml:space="preserve"> </w:t>
      </w:r>
      <w:r>
        <w:t xml:space="preserve">of Greenfield Improvements, with a non-exclusive license back to NovaTrait at a defined (not</w:t>
      </w:r>
      <w:r>
        <w:t xml:space="preserve"> </w:t>
      </w:r>
      <w:r>
        <w:t xml:space="preserve">“</w:t>
      </w:r>
      <w:r>
        <w:t xml:space="preserve">to be agreed</w:t>
      </w:r>
      <w:r>
        <w:t xml:space="preserve">”</w:t>
      </w:r>
      <w:r>
        <w:t xml:space="preserve">) commercially reasonable royalty, consistent with the current Section 8.1. At minimum, if joint ownership is contemplated, the license back to NovaTrait must be (i) limited to use outside the Field of Use, (ii) royalty-bearing (not royalty-free), (iii) non-sublicensable to Field-of-Use competitors, and (iv) matched by a reciprocal perpetual license to Greenfield. The Proposal’s asymmetric structure should not be accepted.</w:t>
      </w:r>
    </w:p>
    <w:bookmarkEnd w:id="29"/>
    <w:bookmarkStart w:id="30" w:name="d.-sublicense-pass-through"/>
    <w:p>
      <w:pPr>
        <w:pStyle w:val="Heading3"/>
      </w:pPr>
      <w:r>
        <w:t xml:space="preserve">D. Sublicense Pass-Through</w:t>
      </w:r>
    </w:p>
    <w:p>
      <w:pPr>
        <w:pStyle w:val="FirstParagraph"/>
      </w:pPr>
      <w:r>
        <w:t xml:space="preserve">The Proposal would increase the License A sublicense pass-through from 35% to 50% of Sublicensee Royalties (Section 10.3). The current 35% rate is already above the market median (Comps 1 and 3 reflect 30% and 40%, respectively). The increase would apply prospectively only (not to royalties already received from Prairielands or other sublicensees on or before the renewal effective date). Note that the Prairielands sublicense runs under License B, not License A, so this increase does not directly affect Prairielands economics; it would, however, apply to any future License A sublicenses.</w:t>
      </w:r>
    </w:p>
    <w:p>
      <w:pPr>
        <w:pStyle w:val="BodyText"/>
      </w:pPr>
      <w:r>
        <w:rPr>
          <w:b/>
          <w:bCs/>
        </w:rPr>
        <w:t xml:space="preserve">Recommendation.</w:t>
      </w:r>
      <w:r>
        <w:t xml:space="preserve"> </w:t>
      </w:r>
      <w:r>
        <w:t xml:space="preserve">Retain the 35% rate, or accept 40% only with a volume discount above a defined pass-through threshold (e.g., a reduced marginal rate above $2 million in annual pass-through). Resist 50%.</w:t>
      </w:r>
    </w:p>
    <w:bookmarkEnd w:id="30"/>
    <w:bookmarkStart w:id="31" w:name="X8acdfaf67b11e08423e2007d65352943a5117f1"/>
    <w:p>
      <w:pPr>
        <w:pStyle w:val="Heading3"/>
      </w:pPr>
      <w:r>
        <w:t xml:space="preserve">E. Anti-Stacking / Third-Party Royalty Offset (New — Beneficial)</w:t>
      </w:r>
    </w:p>
    <w:p>
      <w:pPr>
        <w:pStyle w:val="FirstParagraph"/>
      </w:pPr>
      <w:r>
        <w:t xml:space="preserve">The Proposal adds a new Section 7.7 allowing Greenfield to credit 50% of third-party freedom-to-operate royalties against NovaTrait running royalties, capped at 25% of the royalties otherwise payable in any calendar quarter, with an effective royalty floor of 4.75%. This is a genuinely beneficial term that reflects the reality of the post-2028 competitive landscape (where Greenfield may need to license third-party improvement patents). Greenfield should accept this provision, subject to two modifications: (i) the floor should be measured against the</w:t>
      </w:r>
      <w:r>
        <w:t xml:space="preserve"> </w:t>
      </w:r>
      <w:r>
        <w:rPr>
          <w:b/>
          <w:bCs/>
        </w:rPr>
        <w:t xml:space="preserve">calculated</w:t>
      </w:r>
      <w:r>
        <w:t xml:space="preserve"> </w:t>
      </w:r>
      <w:r>
        <w:t xml:space="preserve">running royalty (not the minimum annual royalty), so that the offset is not swallowed by the doubled minimum; and (ii) the definition of</w:t>
      </w:r>
      <w:r>
        <w:t xml:space="preserve"> </w:t>
      </w:r>
      <w:r>
        <w:t xml:space="preserve">“</w:t>
      </w:r>
      <w:r>
        <w:t xml:space="preserve">patents necessary to make, use, or sell</w:t>
      </w:r>
      <w:r>
        <w:t xml:space="preserve">”</w:t>
      </w:r>
      <w:r>
        <w:t xml:space="preserve"> </w:t>
      </w:r>
      <w:r>
        <w:t xml:space="preserve">should be broad enough to capture the AgriGenome Solutions and CropTech Innovations improvement patents identified in the Clarendon landscape.</w:t>
      </w:r>
    </w:p>
    <w:bookmarkEnd w:id="31"/>
    <w:bookmarkStart w:id="32" w:name="X9156547ff8646830d16179c68eb8b7e68ae5223"/>
    <w:p>
      <w:pPr>
        <w:pStyle w:val="Heading3"/>
      </w:pPr>
      <w:r>
        <w:t xml:space="preserve">F. Patent Portfolio and the 2028 Expiry — Step-Down Required</w:t>
      </w:r>
    </w:p>
    <w:p>
      <w:pPr>
        <w:pStyle w:val="FirstParagraph"/>
      </w:pPr>
      <w:r>
        <w:t xml:space="preserve">The License A portfolio is anchored by U.S. Patent No. 9,234,117, which Clarendon assesses as approximately</w:t>
      </w:r>
      <w:r>
        <w:t xml:space="preserve"> </w:t>
      </w:r>
      <w:r>
        <w:rPr>
          <w:b/>
          <w:bCs/>
        </w:rPr>
        <w:t xml:space="preserve">60% of the portfolio’s commercial value</w:t>
      </w:r>
      <w:r>
        <w:t xml:space="preserve"> </w:t>
      </w:r>
      <w:r>
        <w:t xml:space="preserve">and</w:t>
      </w:r>
      <w:r>
        <w:t xml:space="preserve"> </w:t>
      </w:r>
      <w:r>
        <w:t xml:space="preserve">“</w:t>
      </w:r>
      <w:r>
        <w:t xml:space="preserve">the single most commercially significant patent in the agricultural gene-editing space.</w:t>
      </w:r>
      <w:r>
        <w:t xml:space="preserve">”</w:t>
      </w:r>
      <w:r>
        <w:t xml:space="preserve"> </w:t>
      </w:r>
      <w:r>
        <w:t xml:space="preserve">That patent expires</w:t>
      </w:r>
      <w:r>
        <w:t xml:space="preserve"> </w:t>
      </w:r>
      <w:r>
        <w:rPr>
          <w:b/>
          <w:bCs/>
        </w:rPr>
        <w:t xml:space="preserve">March 12, 2028</w:t>
      </w:r>
      <w:r>
        <w:t xml:space="preserve"> </w:t>
      </w:r>
      <w:r>
        <w:t xml:space="preserve">— approximately two years into the proposed five-year renewal term. Upon expiry, the core CRISPR methods enter the public domain; Clarendon estimates the residual portfolio value at only</w:t>
      </w:r>
      <w:r>
        <w:t xml:space="preserve"> </w:t>
      </w:r>
      <w:r>
        <w:rPr>
          <w:b/>
          <w:bCs/>
        </w:rPr>
        <w:t xml:space="preserve">35–40%</w:t>
      </w:r>
      <w:r>
        <w:t xml:space="preserve"> </w:t>
      </w:r>
      <w:r>
        <w:t xml:space="preserve">of current aggregate value, and projects that at least two commercially viable alternative platforms (AgriGenome Solutions, with improvement patents running to ~2037; CropTech Innovations, with base-editing applications) will be available by 2029–2030, exerting downward pressure on market royalty rates (currently 3.5–5.5%, expected to gravitate toward the lower end or below post-2028).</w:t>
      </w:r>
    </w:p>
    <w:p>
      <w:pPr>
        <w:pStyle w:val="BodyText"/>
      </w:pPr>
      <w:r>
        <w:t xml:space="preserve">NovaTrait acknowledges the 2028 expiry but argues that continuation patents (e.g., 10,112,445, expiring 2031/2035) and unpatented know-how preserve commercial value. This is only partially correct: the improvement patents are dependent on and narrower than the foundational methods, and their independent utility post-2028 is</w:t>
      </w:r>
      <w:r>
        <w:t xml:space="preserve"> </w:t>
      </w:r>
      <w:r>
        <w:t xml:space="preserve">“</w:t>
      </w:r>
      <w:r>
        <w:t xml:space="preserve">significantly diminished</w:t>
      </w:r>
      <w:r>
        <w:t xml:space="preserve">”</w:t>
      </w:r>
      <w:r>
        <w:t xml:space="preserve"> </w:t>
      </w:r>
      <w:r>
        <w:t xml:space="preserve">per Clarendon.</w:t>
      </w:r>
    </w:p>
    <w:p>
      <w:pPr>
        <w:pStyle w:val="BodyText"/>
      </w:pPr>
      <w:r>
        <w:rPr>
          <w:b/>
          <w:bCs/>
        </w:rPr>
        <w:t xml:space="preserve">Recommendation.</w:t>
      </w:r>
      <w:r>
        <w:t xml:space="preserve"> </w:t>
      </w:r>
      <w:r>
        <w:t xml:space="preserve">Greenfield should</w:t>
      </w:r>
      <w:r>
        <w:t xml:space="preserve"> </w:t>
      </w:r>
      <w:r>
        <w:rPr>
          <w:b/>
          <w:bCs/>
        </w:rPr>
        <w:t xml:space="preserve">not agree to a flat 6.25% across the full renewal term</w:t>
      </w:r>
      <w:r>
        <w:t xml:space="preserve">. The renewal must incorporate a</w:t>
      </w:r>
      <w:r>
        <w:t xml:space="preserve"> </w:t>
      </w:r>
      <w:r>
        <w:rPr>
          <w:b/>
          <w:bCs/>
        </w:rPr>
        <w:t xml:space="preserve">royalty step-down mechanism</w:t>
      </w:r>
      <w:r>
        <w:t xml:space="preserve"> </w:t>
      </w:r>
      <w:r>
        <w:t xml:space="preserve">effective upon expiry of U.S. 9,234,117 on March 12, 2028, with the post-2028 rate reduced to reflect the diminished exclusivity — Clarendon suggests a range of</w:t>
      </w:r>
      <w:r>
        <w:t xml:space="preserve"> </w:t>
      </w:r>
      <w:r>
        <w:rPr>
          <w:b/>
          <w:bCs/>
        </w:rPr>
        <w:t xml:space="preserve">2.0–3.5%</w:t>
      </w:r>
      <w:r>
        <w:t xml:space="preserve"> </w:t>
      </w:r>
      <w:r>
        <w:t xml:space="preserve">for the post-expiry period. At a minimum, the renewal should include a rate-renegotiation trigger upon the ’117 patent expiry. This is the single most important IP-leveraged term in the License A negotiation.</w:t>
      </w:r>
    </w:p>
    <w:bookmarkEnd w:id="32"/>
    <w:bookmarkStart w:id="33" w:name="g.-other-license-a-terms"/>
    <w:p>
      <w:pPr>
        <w:pStyle w:val="Heading3"/>
      </w:pPr>
      <w:r>
        <w:t xml:space="preserve">G. Other License A Terms</w:t>
      </w:r>
    </w:p>
    <w:p>
      <w:pPr>
        <w:pStyle w:val="Compact"/>
        <w:numPr>
          <w:ilvl w:val="0"/>
          <w:numId w:val="1003"/>
        </w:numPr>
      </w:pPr>
      <w:r>
        <w:rPr>
          <w:b/>
          <w:bCs/>
        </w:rPr>
        <w:t xml:space="preserve">Term.</w:t>
      </w:r>
      <w:r>
        <w:t xml:space="preserve"> </w:t>
      </w:r>
      <w:r>
        <w:t xml:space="preserve">Five years (July 1, 2025 – June 30, 2030), with one additional five-year renewal option subject to a fresh IFMV assessment. The shorter term (versus the 10-year initial term) is acceptable and, given the declining exclusivity, arguably favorable to Greenfield.</w:t>
      </w:r>
    </w:p>
    <w:p>
      <w:pPr>
        <w:pStyle w:val="Compact"/>
        <w:numPr>
          <w:ilvl w:val="0"/>
          <w:numId w:val="1003"/>
        </w:numPr>
      </w:pPr>
      <w:r>
        <w:rPr>
          <w:b/>
          <w:bCs/>
        </w:rPr>
        <w:t xml:space="preserve">Territory.</w:t>
      </w:r>
      <w:r>
        <w:t xml:space="preserve"> </w:t>
      </w:r>
      <w:r>
        <w:t xml:space="preserve">Unchanged (worldwide excluding PRC and India). Acceptable.</w:t>
      </w:r>
    </w:p>
    <w:p>
      <w:pPr>
        <w:pStyle w:val="Compact"/>
        <w:numPr>
          <w:ilvl w:val="0"/>
          <w:numId w:val="1003"/>
        </w:numPr>
      </w:pPr>
      <w:r>
        <w:rPr>
          <w:b/>
          <w:bCs/>
        </w:rPr>
        <w:t xml:space="preserve">Audit.</w:t>
      </w:r>
      <w:r>
        <w:t xml:space="preserve"> </w:t>
      </w:r>
      <w:r>
        <w:t xml:space="preserve">Unchanged (once per year, 30 days’ notice). Acceptable.</w:t>
      </w:r>
    </w:p>
    <w:p>
      <w:pPr>
        <w:pStyle w:val="Compact"/>
        <w:numPr>
          <w:ilvl w:val="0"/>
          <w:numId w:val="1003"/>
        </w:numPr>
      </w:pPr>
      <w:r>
        <w:rPr>
          <w:b/>
          <w:bCs/>
        </w:rPr>
        <w:t xml:space="preserve">Most-Favored-Licensee.</w:t>
      </w:r>
      <w:r>
        <w:t xml:space="preserve"> </w:t>
      </w:r>
      <w:r>
        <w:t xml:space="preserve">Retained with existing carve-outs (academic/non-profit; litigation settlements). Acceptable, but Greenfield should verify that NovaTrait’s exclusive IR license to the third party does not trigger MFL obligations.</w:t>
      </w:r>
    </w:p>
    <w:p>
      <w:pPr>
        <w:pStyle w:val="Compact"/>
        <w:numPr>
          <w:ilvl w:val="0"/>
          <w:numId w:val="1003"/>
        </w:numPr>
      </w:pPr>
      <w:r>
        <w:rPr>
          <w:b/>
          <w:bCs/>
        </w:rPr>
        <w:t xml:space="preserve">Diligence.</w:t>
      </w:r>
      <w:r>
        <w:t xml:space="preserve"> </w:t>
      </w:r>
      <w:r>
        <w:t xml:space="preserve">New wheat milestones (field trial within 36 months; regulatory submission within 60 months), with the existing 180-day cure and conversion-to-non-exclusive remedy. Acceptable in principle, but the milestones should be tied to the wheat addition only and should not be used as a basis to narrow or terminate Greenfield’s existing corn/soybean rights.</w:t>
      </w:r>
    </w:p>
    <w:p>
      <w:pPr>
        <w:pStyle w:val="Compact"/>
        <w:numPr>
          <w:ilvl w:val="0"/>
          <w:numId w:val="1003"/>
        </w:numPr>
      </w:pPr>
      <w:r>
        <w:rPr>
          <w:b/>
          <w:bCs/>
        </w:rPr>
        <w:t xml:space="preserve">Licensed Patents schedule.</w:t>
      </w:r>
      <w:r>
        <w:t xml:space="preserve"> </w:t>
      </w:r>
      <w:r>
        <w:t xml:space="preserve">Updated to include post-2015 continuations, CIPs, divisionals, and foreign counterparts (Appendix A). Greenfield should review the expanded schedule and confirm that each added patent family is actually within the Field of Use and provides meaningful exclusivity, particularly for the newly added wheat scope (per Clarendon’s caution that field-of-use expansions may extend into areas not fully covered by the existing claims).</w:t>
      </w:r>
    </w:p>
    <w:p>
      <w:r>
        <w:pict>
          <v:rect style="width:0;height:1.5pt" o:hralign="center" o:hrstd="t" o:hr="t"/>
        </w:pict>
      </w:r>
    </w:p>
    <w:bookmarkEnd w:id="33"/>
    <w:bookmarkEnd w:id="34"/>
    <w:bookmarkStart w:id="43" w:name="X0b53db5f84187e9bac5fb3ecb368393150472cc"/>
    <w:p>
      <w:pPr>
        <w:pStyle w:val="Heading2"/>
      </w:pPr>
      <w:r>
        <w:t xml:space="preserve">V. License B — TraitForge Plant Trait Expression Platform</w:t>
      </w:r>
    </w:p>
    <w:bookmarkStart w:id="35" w:name="Xf09dfc4063dcac8536f33b66570a07de4e1fbb0"/>
    <w:p>
      <w:pPr>
        <w:pStyle w:val="Heading3"/>
      </w:pPr>
      <w:r>
        <w:t xml:space="preserve">A. Strategic Posture: Critical, Irreplaceable Asset</w:t>
      </w:r>
    </w:p>
    <w:p>
      <w:pPr>
        <w:pStyle w:val="FirstParagraph"/>
      </w:pPr>
      <w:r>
        <w:t xml:space="preserve">The Clarendon landscape rates the TraitForge portfolio as</w:t>
      </w:r>
      <w:r>
        <w:t xml:space="preserve"> </w:t>
      </w:r>
      <w:r>
        <w:rPr>
          <w:b/>
          <w:bCs/>
        </w:rPr>
        <w:t xml:space="preserve">VERY STRONG</w:t>
      </w:r>
      <w:r>
        <w:t xml:space="preserve"> </w:t>
      </w:r>
      <w:r>
        <w:t xml:space="preserve">and identifies</w:t>
      </w:r>
      <w:r>
        <w:t xml:space="preserve"> </w:t>
      </w:r>
      <w:r>
        <w:rPr>
          <w:b/>
          <w:bCs/>
        </w:rPr>
        <w:t xml:space="preserve">no commercial alternatives</w:t>
      </w:r>
      <w:r>
        <w:t xml:space="preserve">. The proprietary promoter-enhancer system (U.S. 10,443,076) and multi-gene expression cassette architecture (U.S. 10,443,077) have no equivalent in the patent literature or the commercial marketplace; the biological materials (proprietary expression vectors) are not available from any other source. Internal development of a comparable platform would require an estimated</w:t>
      </w:r>
      <w:r>
        <w:t xml:space="preserve"> </w:t>
      </w:r>
      <w:r>
        <w:rPr>
          <w:b/>
          <w:bCs/>
        </w:rPr>
        <w:t xml:space="preserve">$24–34 million over 3–4 years</w:t>
      </w:r>
      <w:r>
        <w:t xml:space="preserve"> </w:t>
      </w:r>
      <w:r>
        <w:t xml:space="preserve">with no guarantee of success, and would leave a revenue gap of $15–25 million during the development period (plus $5–8 million in Prairielands sublicense disruption). The patents run to 2036–2038 — well beyond any plausible renewal term.</w:t>
      </w:r>
    </w:p>
    <w:p>
      <w:pPr>
        <w:pStyle w:val="BodyText"/>
      </w:pPr>
      <w:r>
        <w:t xml:space="preserve">Accordingly, NovaTrait holds very high leverage on License B, and Greenfield’s strategic interest is to</w:t>
      </w:r>
      <w:r>
        <w:t xml:space="preserve"> </w:t>
      </w:r>
      <w:r>
        <w:rPr>
          <w:b/>
          <w:bCs/>
        </w:rPr>
        <w:t xml:space="preserve">secure a long-term renewal at a commercially reasonable rate</w:t>
      </w:r>
      <w:r>
        <w:t xml:space="preserve"> </w:t>
      </w:r>
      <w:r>
        <w:t xml:space="preserve">rather than to threaten switching. At the same time, the proposed terms materially overreach and must be resisted.</w:t>
      </w:r>
    </w:p>
    <w:bookmarkEnd w:id="35"/>
    <w:bookmarkStart w:id="36" w:name="b.-financial-terms"/>
    <w:p>
      <w:pPr>
        <w:pStyle w:val="Heading3"/>
      </w:pPr>
      <w:r>
        <w:t xml:space="preserve">B. Financial Terms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Current (§4.1–4.2)</w:t>
            </w:r>
          </w:p>
        </w:tc>
        <w:tc>
          <w:tcPr/>
          <w:p>
            <w:pPr>
              <w:pStyle w:val="Compact"/>
              <w:jc w:val="left"/>
            </w:pPr>
            <w:r>
              <w:t xml:space="preserve">Proposed</w:t>
            </w:r>
          </w:p>
        </w:tc>
        <w:tc>
          <w:tcPr/>
          <w:p>
            <w:pPr>
              <w:pStyle w:val="Compact"/>
              <w:jc w:val="left"/>
            </w:pPr>
            <w:r>
              <w:t xml:space="preserve">Change</w:t>
            </w:r>
          </w:p>
        </w:tc>
        <w:tc>
          <w:tcPr/>
          <w:p>
            <w:pPr>
              <w:pStyle w:val="Compact"/>
              <w:jc w:val="left"/>
            </w:pPr>
            <w:r>
              <w:t xml:space="preserve">Assessment</w:t>
            </w:r>
          </w:p>
        </w:tc>
      </w:tr>
      <w:tr>
        <w:tc>
          <w:tcPr/>
          <w:p>
            <w:pPr>
              <w:pStyle w:val="Compact"/>
              <w:jc w:val="left"/>
            </w:pPr>
            <w:r>
              <w:t xml:space="preserve">Royalty rate</w:t>
            </w:r>
          </w:p>
        </w:tc>
        <w:tc>
          <w:tcPr/>
          <w:p>
            <w:pPr>
              <w:pStyle w:val="Compact"/>
              <w:jc w:val="left"/>
            </w:pPr>
            <w:r>
              <w:t xml:space="preserve">3.75% of Net Sales</w:t>
            </w:r>
          </w:p>
        </w:tc>
        <w:tc>
          <w:tcPr/>
          <w:p>
            <w:pPr>
              <w:pStyle w:val="Compact"/>
              <w:jc w:val="left"/>
            </w:pPr>
            <w:r>
              <w:t xml:space="preserve">5.0% of redefined Net Sales</w:t>
            </w:r>
          </w:p>
        </w:tc>
        <w:tc>
          <w:tcPr/>
          <w:p>
            <w:pPr>
              <w:pStyle w:val="Compact"/>
              <w:jc w:val="left"/>
            </w:pPr>
            <w:r>
              <w:t xml:space="preserve">+33.3% nominal</w:t>
            </w:r>
          </w:p>
        </w:tc>
        <w:tc>
          <w:tcPr/>
          <w:p>
            <w:pPr>
              <w:pStyle w:val="Compact"/>
              <w:jc w:val="left"/>
            </w:pPr>
            <w:r>
              <w:t xml:space="preserve">Above market high (4.5%)</w:t>
            </w:r>
          </w:p>
        </w:tc>
      </w:tr>
      <w:tr>
        <w:tc>
          <w:tcPr/>
          <w:p>
            <w:pPr>
              <w:pStyle w:val="Compact"/>
              <w:jc w:val="left"/>
            </w:pPr>
            <w:r>
              <w:t xml:space="preserve">Minimum annual royalty</w:t>
            </w:r>
          </w:p>
        </w:tc>
        <w:tc>
          <w:tcPr/>
          <w:p>
            <w:pPr>
              <w:pStyle w:val="Compact"/>
              <w:jc w:val="left"/>
            </w:pPr>
            <w:r>
              <w:t xml:space="preserve">$2,500,000</w:t>
            </w:r>
          </w:p>
        </w:tc>
        <w:tc>
          <w:tcPr/>
          <w:p>
            <w:pPr>
              <w:pStyle w:val="Compact"/>
              <w:jc w:val="left"/>
            </w:pPr>
            <w:r>
              <w:t xml:space="preserve">$5,000,000 (quarterly $1.25M)</w:t>
            </w:r>
          </w:p>
        </w:tc>
        <w:tc>
          <w:tcPr/>
          <w:p>
            <w:pPr>
              <w:pStyle w:val="Compact"/>
              <w:jc w:val="left"/>
            </w:pPr>
            <w:r>
              <w:t xml:space="preserve">+100%</w:t>
            </w:r>
          </w:p>
        </w:tc>
        <w:tc>
          <w:tcPr/>
          <w:p>
            <w:pPr>
              <w:pStyle w:val="Compact"/>
              <w:jc w:val="left"/>
            </w:pPr>
            <w:r>
              <w:t xml:space="preserve">Doubled</w:t>
            </w:r>
          </w:p>
        </w:tc>
      </w:tr>
      <w:tr>
        <w:tc>
          <w:tcPr/>
          <w:p>
            <w:pPr>
              <w:pStyle w:val="Compact"/>
              <w:jc w:val="left"/>
            </w:pPr>
            <w:r>
              <w:t xml:space="preserve">Net Sales definition</w:t>
            </w:r>
          </w:p>
        </w:tc>
        <w:tc>
          <w:tcPr/>
          <w:p>
            <w:pPr>
              <w:pStyle w:val="Compact"/>
              <w:jc w:val="left"/>
            </w:pPr>
            <w:r>
              <w:t xml:space="preserve">Standard</w:t>
            </w:r>
          </w:p>
        </w:tc>
        <w:tc>
          <w:tcPr/>
          <w:p>
            <w:pPr>
              <w:pStyle w:val="Compact"/>
              <w:jc w:val="left"/>
            </w:pPr>
            <w:r>
              <w:t xml:space="preserve">Narrowed (taxes + discounts only)</w:t>
            </w:r>
          </w:p>
        </w:tc>
        <w:tc>
          <w:tcPr/>
          <w:p>
            <w:pPr>
              <w:pStyle w:val="Compact"/>
              <w:jc w:val="left"/>
            </w:pPr>
            <w:r>
              <w:t xml:space="preserve">+6.8% to base</w:t>
            </w:r>
          </w:p>
        </w:tc>
        <w:tc>
          <w:tcPr/>
          <w:p>
            <w:pPr>
              <w:pStyle w:val="Compact"/>
              <w:jc w:val="left"/>
            </w:pPr>
            <w:r>
              <w:t xml:space="preserve">Uncommon</w:t>
            </w:r>
          </w:p>
        </w:tc>
      </w:tr>
      <w:tr>
        <w:tc>
          <w:tcPr/>
          <w:p>
            <w:pPr>
              <w:pStyle w:val="Compact"/>
              <w:jc w:val="left"/>
            </w:pPr>
            <w:r>
              <w:t xml:space="preserve">Effective rate on original base</w:t>
            </w:r>
          </w:p>
        </w:tc>
        <w:tc>
          <w:tcPr/>
          <w:p>
            <w:pPr>
              <w:pStyle w:val="Compact"/>
              <w:jc w:val="left"/>
            </w:pPr>
            <w:r>
              <w:t xml:space="preserve">3.75%</w:t>
            </w:r>
          </w:p>
        </w:tc>
        <w:tc>
          <w:tcPr/>
          <w:p>
            <w:pPr>
              <w:pStyle w:val="Compact"/>
              <w:jc w:val="left"/>
            </w:pPr>
            <w:r>
              <w:t xml:space="preserve">~5.34%</w:t>
            </w:r>
          </w:p>
        </w:tc>
        <w:tc>
          <w:tcPr/>
          <w:p>
            <w:pPr>
              <w:pStyle w:val="Compact"/>
              <w:jc w:val="left"/>
            </w:pPr>
            <w:r>
              <w:t xml:space="preserve">+42.4%</w:t>
            </w:r>
          </w:p>
        </w:tc>
        <w:tc>
          <w:tcPr/>
          <w:p>
            <w:pPr>
              <w:pStyle w:val="Compact"/>
              <w:jc w:val="left"/>
            </w:pPr>
            <w:r>
              <w:t xml:space="preserve">Above market</w:t>
            </w:r>
          </w:p>
        </w:tc>
      </w:tr>
    </w:tbl>
    <w:p>
      <w:pPr>
        <w:pStyle w:val="BodyText"/>
      </w:pPr>
      <w:r>
        <w:t xml:space="preserve">The proposed 5.0% rate exceeds the upper end of the market range for trait expression platforms (3.0–4.5%; median 3.25%; mean 3.58%). On the redefined base of $181.70 million, the effective rate on the original $170.13 million base is approximately</w:t>
      </w:r>
      <w:r>
        <w:t xml:space="preserve"> </w:t>
      </w:r>
      <w:r>
        <w:rPr>
          <w:b/>
          <w:bCs/>
        </w:rPr>
        <w:t xml:space="preserve">5.34%</w:t>
      </w:r>
      <w:r>
        <w:t xml:space="preserve">. The Ridgemont model projects a five-year cumulative incremental direct royalty cost of approximately</w:t>
      </w:r>
      <w:r>
        <w:t xml:space="preserve"> </w:t>
      </w:r>
      <w:r>
        <w:rPr>
          <w:b/>
          <w:bCs/>
        </w:rPr>
        <w:t xml:space="preserve">$15.3 million</w:t>
      </w:r>
      <w:r>
        <w:t xml:space="preserve"> </w:t>
      </w:r>
      <w:r>
        <w:t xml:space="preserve">(base case, 4% growth). License B has no rate-cap provision analogous to Section 14.3 of License A, so there is no contractual ceiling on the increase — making the negotiation leverage purely commercial.</w:t>
      </w:r>
    </w:p>
    <w:p>
      <w:pPr>
        <w:pStyle w:val="BodyText"/>
      </w:pPr>
      <w:r>
        <w:rPr>
          <w:b/>
          <w:bCs/>
        </w:rPr>
        <w:t xml:space="preserve">Recommendation.</w:t>
      </w:r>
      <w:r>
        <w:t xml:space="preserve"> </w:t>
      </w:r>
      <w:r>
        <w:t xml:space="preserve">Counter at</w:t>
      </w:r>
      <w:r>
        <w:t xml:space="preserve"> </w:t>
      </w:r>
      <w:r>
        <w:rPr>
          <w:b/>
          <w:bCs/>
        </w:rPr>
        <w:t xml:space="preserve">4.25% on the original Net Sales definition</w:t>
      </w:r>
      <w:r>
        <w:t xml:space="preserve"> </w:t>
      </w:r>
      <w:r>
        <w:t xml:space="preserve">(within the market range), and resist the Net Sales redefinition. Given TraitForge’s irreplaceability, Greenfield should be prepared to settle in the 4.25–4.5% range, but should extract concessions elsewhere (biological materials wind-down, audit frequency, pass-through) in exchange for any rate above 4.25%. The doubled minimum annual royalty should be resisted or graduated.</w:t>
      </w:r>
    </w:p>
    <w:bookmarkEnd w:id="36"/>
    <w:bookmarkStart w:id="37" w:name="X7563c42658d06b418a2355f5fa40ac82584c431"/>
    <w:p>
      <w:pPr>
        <w:pStyle w:val="Heading3"/>
      </w:pPr>
      <w:r>
        <w:t xml:space="preserve">C. Biological Materials Return — Operational Risk</w:t>
      </w:r>
    </w:p>
    <w:p>
      <w:pPr>
        <w:pStyle w:val="FirstParagraph"/>
      </w:pPr>
      <w:r>
        <w:t xml:space="preserve">Current Section 7.4 provides a</w:t>
      </w:r>
      <w:r>
        <w:t xml:space="preserve"> </w:t>
      </w:r>
      <w:r>
        <w:rPr>
          <w:b/>
          <w:bCs/>
        </w:rPr>
        <w:t xml:space="preserve">90-day Wind-Down Period</w:t>
      </w:r>
      <w:r>
        <w:t xml:space="preserve"> </w:t>
      </w:r>
      <w:r>
        <w:t xml:space="preserve">during which Greenfield may continue to use the Biological Materials in already-initiated breeding programs and field trials (subject to ongoing royalties) before return or destruction. The Proposal would replace this with a</w:t>
      </w:r>
      <w:r>
        <w:t xml:space="preserve"> </w:t>
      </w:r>
      <w:r>
        <w:rPr>
          <w:b/>
          <w:bCs/>
        </w:rPr>
        <w:t xml:space="preserve">30-day return-or-destruction obligation with no wind-down and no right to continue use</w:t>
      </w:r>
      <w:r>
        <w:t xml:space="preserve">, applicable on expiration or termination for any reason other than Greenfield’s termination for NovaTrait’s material breach.</w:t>
      </w:r>
    </w:p>
    <w:p>
      <w:pPr>
        <w:pStyle w:val="BodyText"/>
      </w:pPr>
      <w:r>
        <w:t xml:space="preserve">This is a serious operational risk. TraitForge biological materials are embedded in Greenfield’s ongoing breeding programs, field trials, and commercial seed stocks; a 30-day hard stop with no wind-down would force Greenfield to abandon or destroy in-process programs, disrupt the Prairielands sublicense, and potentially breach downstream supply commitments. The asymmetry — the exception runs only in Greenfield’s favor on NovaTrait breach, not on ordinary expiration — is also objectionable: it penalizes Greenfield for the ordinary expiration of a term that NovaTrait itself is proposing to renew.</w:t>
      </w:r>
    </w:p>
    <w:p>
      <w:pPr>
        <w:pStyle w:val="BodyText"/>
      </w:pPr>
      <w:r>
        <w:rPr>
          <w:b/>
          <w:bCs/>
        </w:rPr>
        <w:t xml:space="preserve">Recommendation.</w:t>
      </w:r>
      <w:r>
        <w:t xml:space="preserve"> </w:t>
      </w:r>
      <w:r>
        <w:t xml:space="preserve">Counter with a</w:t>
      </w:r>
      <w:r>
        <w:t xml:space="preserve"> </w:t>
      </w:r>
      <w:r>
        <w:rPr>
          <w:b/>
          <w:bCs/>
        </w:rPr>
        <w:t xml:space="preserve">180-day wind-down period</w:t>
      </w:r>
      <w:r>
        <w:t xml:space="preserve"> </w:t>
      </w:r>
      <w:r>
        <w:t xml:space="preserve">(matching the License A sell-off concept and the Prairielands wind-down), with the right to continue using Biological Materials in already-initiated breeding programs and field trials during the wind-down, subject to ongoing royalties. The return/destruction obligation should apply after the wind-down, and the carve-out should run on any expiration or termination (not only Greenfield-for-cause terminations).</w:t>
      </w:r>
    </w:p>
    <w:bookmarkEnd w:id="37"/>
    <w:bookmarkStart w:id="38" w:name="d.-audit-rights-expanded-burden"/>
    <w:p>
      <w:pPr>
        <w:pStyle w:val="Heading3"/>
      </w:pPr>
      <w:r>
        <w:t xml:space="preserve">D. Audit Rights — Expanded Burden</w:t>
      </w:r>
    </w:p>
    <w:p>
      <w:pPr>
        <w:pStyle w:val="FirstParagraph"/>
      </w:pPr>
      <w:r>
        <w:t xml:space="preserve">The Proposal would increase audit frequency from once per year to</w:t>
      </w:r>
      <w:r>
        <w:t xml:space="preserve"> </w:t>
      </w:r>
      <w:r>
        <w:rPr>
          <w:b/>
          <w:bCs/>
        </w:rPr>
        <w:t xml:space="preserve">twice per year</w:t>
      </w:r>
      <w:r>
        <w:t xml:space="preserve">, reduce notice from 30 calendar days to</w:t>
      </w:r>
      <w:r>
        <w:t xml:space="preserve"> </w:t>
      </w:r>
      <w:r>
        <w:rPr>
          <w:b/>
          <w:bCs/>
        </w:rPr>
        <w:t xml:space="preserve">15 business days</w:t>
      </w:r>
      <w:r>
        <w:t xml:space="preserve">, and expand the audit look-back from three to</w:t>
      </w:r>
      <w:r>
        <w:t xml:space="preserve"> </w:t>
      </w:r>
      <w:r>
        <w:rPr>
          <w:b/>
          <w:bCs/>
        </w:rPr>
        <w:t xml:space="preserve">five preceding calendar years</w:t>
      </w:r>
      <w:r>
        <w:t xml:space="preserve">. This roughly doubles the compliance burden and the disruption to Greenfield’s finance operations, and the five-year look-back is unusually long.</w:t>
      </w:r>
    </w:p>
    <w:p>
      <w:pPr>
        <w:pStyle w:val="BodyText"/>
      </w:pPr>
      <w:r>
        <w:rPr>
          <w:b/>
          <w:bCs/>
        </w:rPr>
        <w:t xml:space="preserve">Recommendation.</w:t>
      </w:r>
      <w:r>
        <w:t xml:space="preserve"> </w:t>
      </w:r>
      <w:r>
        <w:t xml:space="preserve">Retain the current</w:t>
      </w:r>
      <w:r>
        <w:t xml:space="preserve"> </w:t>
      </w:r>
      <w:r>
        <w:rPr>
          <w:b/>
          <w:bCs/>
        </w:rPr>
        <w:t xml:space="preserve">once-per-year</w:t>
      </w:r>
      <w:r>
        <w:t xml:space="preserve"> </w:t>
      </w:r>
      <w:r>
        <w:t xml:space="preserve">frequency; if a concession is required, accept</w:t>
      </w:r>
      <w:r>
        <w:t xml:space="preserve"> </w:t>
      </w:r>
      <w:r>
        <w:rPr>
          <w:b/>
          <w:bCs/>
        </w:rPr>
        <w:t xml:space="preserve">20 business days’ notice</w:t>
      </w:r>
      <w:r>
        <w:t xml:space="preserve"> </w:t>
      </w:r>
      <w:r>
        <w:t xml:space="preserve">(a modest reduction) but hold the line on annual frequency and a three-year look-back.</w:t>
      </w:r>
    </w:p>
    <w:bookmarkEnd w:id="38"/>
    <w:bookmarkStart w:id="39" w:name="e.-improvements"/>
    <w:p>
      <w:pPr>
        <w:pStyle w:val="Heading3"/>
      </w:pPr>
      <w:r>
        <w:t xml:space="preserve">E. Improvements</w:t>
      </w:r>
    </w:p>
    <w:p>
      <w:pPr>
        <w:pStyle w:val="FirstParagraph"/>
      </w:pPr>
      <w:r>
        <w:t xml:space="preserve">The Proposal would conform License B’s Improvements regime (Section 8) to the joint-ownership, royalty-free-grant-back structure proposed for License A. The same objections apply (see Section IV.C). Notably, the current License B already provides for</w:t>
      </w:r>
      <w:r>
        <w:t xml:space="preserve"> </w:t>
      </w:r>
      <w:r>
        <w:rPr>
          <w:b/>
          <w:bCs/>
        </w:rPr>
        <w:t xml:space="preserve">joint ownership of Joint Improvements</w:t>
      </w:r>
      <w:r>
        <w:t xml:space="preserve"> </w:t>
      </w:r>
      <w:r>
        <w:t xml:space="preserve">(Section 6.4) with each party free to exploit without accounting — so the change is most consequential as to Greenfield Improvements (currently solely owned by Greenfield under Section 6.3, with a non-exclusive license back to NovaTrait at a commercially reasonable royalty). Greenfield should retain sole ownership of Greenfield Improvements with a royalty-bearing license back, and preserve the existing joint-ownership treatment for genuinely Joint Improvements.</w:t>
      </w:r>
    </w:p>
    <w:bookmarkEnd w:id="39"/>
    <w:bookmarkStart w:id="40" w:name="X60b17d4fe02af61f2ee677eea7f506f4653d640"/>
    <w:p>
      <w:pPr>
        <w:pStyle w:val="Heading3"/>
      </w:pPr>
      <w:r>
        <w:t xml:space="preserve">F. Territory — Apparent Inconsistency to Clarify</w:t>
      </w:r>
    </w:p>
    <w:p>
      <w:pPr>
        <w:pStyle w:val="FirstParagraph"/>
      </w:pPr>
      <w:r>
        <w:t xml:space="preserve">The Proposal (Part II, Item 7) states</w:t>
      </w:r>
      <w:r>
        <w:t xml:space="preserve"> </w:t>
      </w:r>
      <w:r>
        <w:t xml:space="preserve">“</w:t>
      </w:r>
      <w:r>
        <w:t xml:space="preserve">Territory. No change. Territory remains worldwide, subject to sublicensee-specific geographic scopes.</w:t>
      </w:r>
      <w:r>
        <w:t xml:space="preserve">”</w:t>
      </w:r>
      <w:r>
        <w:t xml:space="preserve"> </w:t>
      </w:r>
      <w:r>
        <w:t xml:space="preserve">However, Section 1.19 of License B defines the Territory as the</w:t>
      </w:r>
      <w:r>
        <w:t xml:space="preserve"> </w:t>
      </w:r>
      <w:r>
        <w:rPr>
          <w:b/>
          <w:bCs/>
        </w:rPr>
        <w:t xml:space="preserve">Western Hemisphere</w:t>
      </w:r>
      <w:r>
        <w:t xml:space="preserve"> </w:t>
      </w:r>
      <w:r>
        <w:t xml:space="preserve">(North, Central, and South America, and the Caribbean) — not worldwide. This is an inconsistency that Greenfield should clarify in writing. Greenfield’s interest is to confirm that the Territory remains the Western Hemisphere as defined (which comfortably encompasses the Argentina/Brazil Prairielands scope). Greenfield should not accept any language that could be read to expand NovaTrait’s territorial obligations or, conversely, to support a later argument that Greenfield’s rights are broader or narrower than the Western Hemisphere. A simple confirming letter stating that</w:t>
      </w:r>
      <w:r>
        <w:t xml:space="preserve"> </w:t>
      </w:r>
      <w:r>
        <w:t xml:space="preserve">“</w:t>
      </w:r>
      <w:r>
        <w:t xml:space="preserve">Territory remains as defined in Section 1.19 (Western Hemisphere), unchanged</w:t>
      </w:r>
      <w:r>
        <w:t xml:space="preserve">”</w:t>
      </w:r>
      <w:r>
        <w:t xml:space="preserve"> </w:t>
      </w:r>
      <w:r>
        <w:t xml:space="preserve">is advisable.</w:t>
      </w:r>
    </w:p>
    <w:bookmarkEnd w:id="40"/>
    <w:bookmarkStart w:id="41" w:name="g.-term-and-standstill"/>
    <w:p>
      <w:pPr>
        <w:pStyle w:val="Heading3"/>
      </w:pPr>
      <w:r>
        <w:t xml:space="preserve">G. Term and Standstill</w:t>
      </w:r>
    </w:p>
    <w:p>
      <w:pPr>
        <w:pStyle w:val="FirstParagraph"/>
      </w:pPr>
      <w:r>
        <w:t xml:space="preserve">The Proposal offers a five-year renewal (January 1, 2025 – December 31, 2029, retroactive to expiration) with one additional three-year renewal option. The standstill provision (Section 12.6) is retained. As noted in Section III, the standstill expires June 29, 2025 and must be extended. The retroactive effective date (January 1, 2025) is acceptable and avoids a gap, but Greenfield should ensure that royalties accrued during the standstill are credited consistently with the renewed terms only from the renewal effective date, and that the standstill period is not treated as a waiver of any Section 12.2 rights.</w:t>
      </w:r>
    </w:p>
    <w:bookmarkEnd w:id="41"/>
    <w:bookmarkStart w:id="42" w:name="Xfdb34ffe6b86cb6c14d3cd49711829c17a45651"/>
    <w:p>
      <w:pPr>
        <w:pStyle w:val="Heading3"/>
      </w:pPr>
      <w:r>
        <w:t xml:space="preserve">H. Sublicense Pass-Through — Currently None; Resist Any New Obligation</w:t>
      </w:r>
    </w:p>
    <w:p>
      <w:pPr>
        <w:pStyle w:val="FirstParagraph"/>
      </w:pPr>
      <w:r>
        <w:t xml:space="preserve">License B currently imposes</w:t>
      </w:r>
      <w:r>
        <w:t xml:space="preserve"> </w:t>
      </w:r>
      <w:r>
        <w:rPr>
          <w:b/>
          <w:bCs/>
        </w:rPr>
        <w:t xml:space="preserve">no sublicense pass-through</w:t>
      </w:r>
      <w:r>
        <w:t xml:space="preserve">. Section 3.3 requires only NovaTrait’s consent to sublicense; the Prairielands sublicense (Section 3.6) and NovaTrait’s consent letter both expressly confirm that no remittance to NovaTrait is required. The Proposal (Part II) does not expressly restate a License B pass-through percentage, but the financial advisors’ analysis anticipates that NovaTrait may seek a pass-through (modeled at 40%) on Prairielands and other License B sublicense revenue, and the cross-license provisions (Part IV) and the Prairielands considerations (Part VII, Item 3) signal NovaTrait’s interest in capturing sublicense economics.</w:t>
      </w:r>
    </w:p>
    <w:p>
      <w:pPr>
        <w:pStyle w:val="BodyText"/>
      </w:pPr>
      <w:r>
        <w:rPr>
          <w:b/>
          <w:bCs/>
        </w:rPr>
        <w:t xml:space="preserve">Recommendation.</w:t>
      </w:r>
      <w:r>
        <w:t xml:space="preserve"> </w:t>
      </w:r>
      <w:r>
        <w:t xml:space="preserve">Greenfield should</w:t>
      </w:r>
      <w:r>
        <w:t xml:space="preserve"> </w:t>
      </w:r>
      <w:r>
        <w:rPr>
          <w:b/>
          <w:bCs/>
        </w:rPr>
        <w:t xml:space="preserve">resist any newly imposed License B pass-through</w:t>
      </w:r>
      <w:r>
        <w:t xml:space="preserve"> </w:t>
      </w:r>
      <w:r>
        <w:t xml:space="preserve">as a material change to the economics of an existing, consented sublicense. If a pass-through is unavoidable, counter at</w:t>
      </w:r>
      <w:r>
        <w:t xml:space="preserve"> </w:t>
      </w:r>
      <w:r>
        <w:rPr>
          <w:b/>
          <w:bCs/>
        </w:rPr>
        <w:t xml:space="preserve">20% with a 12-month implementation period</w:t>
      </w:r>
      <w:r>
        <w:t xml:space="preserve"> </w:t>
      </w:r>
      <w:r>
        <w:t xml:space="preserve">(per the negotiation-priorities matrix), and ensure it applies prospectively only and does not reach royalties already received. Greenfield should also note that the Proposal’s reference (Part VII, Item 3) to</w:t>
      </w:r>
      <w:r>
        <w:t xml:space="preserve"> </w:t>
      </w:r>
      <w:r>
        <w:t xml:space="preserve">“</w:t>
      </w:r>
      <w:r>
        <w:t xml:space="preserve">Section 12.4 of the existing Master License</w:t>
      </w:r>
      <w:r>
        <w:t xml:space="preserve">”</w:t>
      </w:r>
      <w:r>
        <w:t xml:space="preserve"> </w:t>
      </w:r>
      <w:r>
        <w:t xml:space="preserve">as the basis for NovaTrait’s consent to a Prairielands amendment appears to be a</w:t>
      </w:r>
      <w:r>
        <w:t xml:space="preserve"> </w:t>
      </w:r>
      <w:r>
        <w:rPr>
          <w:b/>
          <w:bCs/>
        </w:rPr>
        <w:t xml:space="preserve">cross-reference error</w:t>
      </w:r>
      <w:r>
        <w:t xml:space="preserve"> </w:t>
      </w:r>
      <w:r>
        <w:t xml:space="preserve">— Section 12.4 of License B addresses termination for insolvency, whereas sublicensing consent is governed by Section 3.3. This should be corrected in any correspondence.</w:t>
      </w:r>
    </w:p>
    <w:p>
      <w:r>
        <w:pict>
          <v:rect style="width:0;height:1.5pt" o:hralign="center" o:hrstd="t" o:hr="t"/>
        </w:pict>
      </w:r>
    </w:p>
    <w:bookmarkEnd w:id="42"/>
    <w:bookmarkEnd w:id="43"/>
    <w:bookmarkStart w:id="49" w:name="Xc1e5179dc691e273bf5c296138a8c2f42805751"/>
    <w:p>
      <w:pPr>
        <w:pStyle w:val="Heading2"/>
      </w:pPr>
      <w:r>
        <w:t xml:space="preserve">VI. License C — GenoMap Pro Software License</w:t>
      </w:r>
    </w:p>
    <w:bookmarkStart w:id="44" w:name="X82eb5f040ca20329be8a4efbf2526f2ec637af3"/>
    <w:p>
      <w:pPr>
        <w:pStyle w:val="Heading3"/>
      </w:pPr>
      <w:r>
        <w:t xml:space="preserve">A. Strategic Posture: Strongest Leverage; Credible Alternatives</w:t>
      </w:r>
    </w:p>
    <w:p>
      <w:pPr>
        <w:pStyle w:val="FirstParagraph"/>
      </w:pPr>
      <w:r>
        <w:t xml:space="preserve">License C presents Greenfield’s strongest negotiating position. The Clarendon landscape identifies at least three commercially available alternatives — BioSphere Analytics, PlantLogic Suite, and TraitView Pro — at annual fees of $1.8–3.5 million, against a market range of $2.5–4.0 million. The proposed GenoMap Pro cost (~$5.28 million) is</w:t>
      </w:r>
      <w:r>
        <w:t xml:space="preserve"> </w:t>
      </w:r>
      <w:r>
        <w:rPr>
          <w:b/>
          <w:bCs/>
        </w:rPr>
        <w:t xml:space="preserve">31.9% above the market high</w:t>
      </w:r>
      <w:r>
        <w:t xml:space="preserve"> </w:t>
      </w:r>
      <w:r>
        <w:t xml:space="preserve">and approximately</w:t>
      </w:r>
      <w:r>
        <w:t xml:space="preserve"> </w:t>
      </w:r>
      <w:r>
        <w:rPr>
          <w:b/>
          <w:bCs/>
        </w:rPr>
        <w:t xml:space="preserve">65% above the comparable mean</w:t>
      </w:r>
      <w:r>
        <w:t xml:space="preserve"> </w:t>
      </w:r>
      <w:r>
        <w:t xml:space="preserve">($3.05 million). Switching one-time costs are estimated at $2.55–4.375 million (midpoint ~$3.5 million), with annual savings of $1.78–3.48 million, yielding a</w:t>
      </w:r>
      <w:r>
        <w:t xml:space="preserve"> </w:t>
      </w:r>
      <w:r>
        <w:rPr>
          <w:b/>
          <w:bCs/>
        </w:rPr>
        <w:t xml:space="preserve">break-even of 0.7–2.5 years</w:t>
      </w:r>
      <w:r>
        <w:t xml:space="preserve">. Greenfield should obtain fresh competitive proposals from the alternative providers to support its negotiating position and to maintain a credible BATNA.</w:t>
      </w:r>
    </w:p>
    <w:p>
      <w:pPr>
        <w:pStyle w:val="BodyText"/>
      </w:pPr>
      <w:r>
        <w:t xml:space="preserve">The principal constraint is</w:t>
      </w:r>
      <w:r>
        <w:t xml:space="preserve"> </w:t>
      </w:r>
      <w:r>
        <w:rPr>
          <w:b/>
          <w:bCs/>
        </w:rPr>
        <w:t xml:space="preserve">transition risk</w:t>
      </w:r>
      <w:r>
        <w:t xml:space="preserve">: a platform migration requires 12–18 months, and GenoMap Pro is integral to the License A and B workflows (trait mapping, genomic analysis, regulatory submission support). Loss of access without a bridge would jeopardize the License A and B operations. Greenfield must therefore (i) maintain GenoMap Pro access during any transition, and (ii) treat the switching analysis primarily as</w:t>
      </w:r>
      <w:r>
        <w:t xml:space="preserve"> </w:t>
      </w:r>
      <w:r>
        <w:rPr>
          <w:b/>
          <w:bCs/>
        </w:rPr>
        <w:t xml:space="preserve">negotiation leverage</w:t>
      </w:r>
      <w:r>
        <w:t xml:space="preserve"> </w:t>
      </w:r>
      <w:r>
        <w:t xml:space="preserve">rather than an immediate switching plan — at least for the near term.</w:t>
      </w:r>
    </w:p>
    <w:bookmarkEnd w:id="44"/>
    <w:bookmarkStart w:id="45" w:name="b.-financial-terms-1"/>
    <w:p>
      <w:pPr>
        <w:pStyle w:val="Heading3"/>
      </w:pPr>
      <w:r>
        <w:t xml:space="preserve">B. Financial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Change</w:t>
            </w:r>
          </w:p>
        </w:tc>
      </w:tr>
      <w:tr>
        <w:tc>
          <w:tcPr/>
          <w:p>
            <w:pPr>
              <w:pStyle w:val="Compact"/>
              <w:jc w:val="left"/>
            </w:pPr>
            <w:r>
              <w:t xml:space="preserve">Base annual license fee</w:t>
            </w:r>
          </w:p>
        </w:tc>
        <w:tc>
          <w:tcPr/>
          <w:p>
            <w:pPr>
              <w:pStyle w:val="Compact"/>
              <w:jc w:val="left"/>
            </w:pPr>
            <w:r>
              <w:t xml:space="preserve">$3,140,000</w:t>
            </w:r>
          </w:p>
        </w:tc>
        <w:tc>
          <w:tcPr/>
          <w:p>
            <w:pPr>
              <w:pStyle w:val="Compact"/>
              <w:jc w:val="left"/>
            </w:pPr>
            <w:r>
              <w:t xml:space="preserve">~$4.8–4.85 million</w:t>
            </w:r>
          </w:p>
        </w:tc>
        <w:tc>
          <w:tcPr/>
          <w:p>
            <w:pPr>
              <w:pStyle w:val="Compact"/>
              <w:jc w:val="left"/>
            </w:pPr>
            <w:r>
              <w:t xml:space="preserve">+54.5% (base alone)</w:t>
            </w:r>
          </w:p>
        </w:tc>
      </w:tr>
      <w:tr>
        <w:tc>
          <w:tcPr/>
          <w:p>
            <w:pPr>
              <w:pStyle w:val="Compact"/>
              <w:jc w:val="left"/>
            </w:pPr>
            <w:r>
              <w:t xml:space="preserve">Support &amp; maintenance</w:t>
            </w:r>
          </w:p>
        </w:tc>
        <w:tc>
          <w:tcPr/>
          <w:p>
            <w:pPr>
              <w:pStyle w:val="Compact"/>
              <w:jc w:val="left"/>
            </w:pPr>
            <w:r>
              <w:t xml:space="preserve">Included</w:t>
            </w:r>
          </w:p>
        </w:tc>
        <w:tc>
          <w:tcPr/>
          <w:p>
            <w:pPr>
              <w:pStyle w:val="Compact"/>
              <w:jc w:val="left"/>
            </w:pPr>
            <w:r>
              <w:t xml:space="preserve">~$305,000</w:t>
            </w:r>
          </w:p>
        </w:tc>
        <w:tc>
          <w:tcPr/>
          <w:p>
            <w:pPr>
              <w:pStyle w:val="Compact"/>
              <w:jc w:val="left"/>
            </w:pPr>
            <w:r>
              <w:t xml:space="preserve">New/expanded</w:t>
            </w:r>
          </w:p>
        </w:tc>
      </w:tr>
      <w:tr>
        <w:tc>
          <w:tcPr/>
          <w:p>
            <w:pPr>
              <w:pStyle w:val="Compact"/>
              <w:jc w:val="left"/>
            </w:pPr>
            <w:r>
              <w:t xml:space="preserve">Per-user overage</w:t>
            </w:r>
          </w:p>
        </w:tc>
        <w:tc>
          <w:tcPr/>
          <w:p>
            <w:pPr>
              <w:pStyle w:val="Compact"/>
              <w:jc w:val="left"/>
            </w:pPr>
            <w:r>
              <w:t xml:space="preserve">Unlimited users</w:t>
            </w:r>
          </w:p>
        </w:tc>
        <w:tc>
          <w:tcPr/>
          <w:p>
            <w:pPr>
              <w:pStyle w:val="Compact"/>
              <w:jc w:val="left"/>
            </w:pPr>
            <w:r>
              <w:t xml:space="preserve">50-user cap; $18,500/user overage</w:t>
            </w:r>
          </w:p>
        </w:tc>
        <w:tc>
          <w:tcPr/>
          <w:p>
            <w:pPr>
              <w:pStyle w:val="Compact"/>
              <w:jc w:val="left"/>
            </w:pPr>
            <w:r>
              <w:t xml:space="preserve">New (23 excess users → ~$425,500)</w:t>
            </w:r>
          </w:p>
        </w:tc>
      </w:tr>
      <w:tr>
        <w:tc>
          <w:tcPr/>
          <w:p>
            <w:pPr>
              <w:pStyle w:val="Compact"/>
              <w:jc w:val="left"/>
            </w:pPr>
            <w:r>
              <w:t xml:space="preserve">One-time Version 5.x migration</w:t>
            </w:r>
          </w:p>
        </w:tc>
        <w:tc>
          <w:tcPr/>
          <w:p>
            <w:pPr>
              <w:pStyle w:val="Compact"/>
              <w:jc w:val="left"/>
            </w:pPr>
            <w:r>
              <w:t xml:space="preserve">N/A</w:t>
            </w:r>
          </w:p>
        </w:tc>
        <w:tc>
          <w:tcPr/>
          <w:p>
            <w:pPr>
              <w:pStyle w:val="Compact"/>
              <w:jc w:val="left"/>
            </w:pPr>
            <w:r>
              <w:t xml:space="preserve">$175,000</w:t>
            </w:r>
          </w:p>
        </w:tc>
        <w:tc>
          <w:tcPr/>
          <w:p>
            <w:pPr>
              <w:pStyle w:val="Compact"/>
              <w:jc w:val="left"/>
            </w:pPr>
            <w:r>
              <w:t xml:space="preserve">New</w:t>
            </w:r>
          </w:p>
        </w:tc>
      </w:tr>
      <w:tr>
        <w:tc>
          <w:tcPr/>
          <w:p>
            <w:pPr>
              <w:pStyle w:val="Compact"/>
              <w:jc w:val="left"/>
            </w:pPr>
            <w:r>
              <w:rPr>
                <w:b/>
                <w:bCs/>
              </w:rPr>
              <w:t xml:space="preserve">Total effective annual cost</w:t>
            </w:r>
          </w:p>
        </w:tc>
        <w:tc>
          <w:tcPr/>
          <w:p>
            <w:pPr>
              <w:pStyle w:val="Compact"/>
              <w:jc w:val="left"/>
            </w:pPr>
            <w:r>
              <w:rPr>
                <w:b/>
                <w:bCs/>
              </w:rPr>
              <w:t xml:space="preserve">~$3.14 million</w:t>
            </w:r>
          </w:p>
        </w:tc>
        <w:tc>
          <w:tcPr/>
          <w:p>
            <w:pPr>
              <w:pStyle w:val="Compact"/>
              <w:jc w:val="left"/>
            </w:pPr>
            <w:r>
              <w:rPr>
                <w:b/>
                <w:bCs/>
              </w:rPr>
              <w:t xml:space="preserve">~$5.28 million</w:t>
            </w:r>
          </w:p>
        </w:tc>
        <w:tc>
          <w:tcPr/>
          <w:p>
            <w:pPr>
              <w:pStyle w:val="Compact"/>
              <w:jc w:val="left"/>
            </w:pPr>
            <w:r>
              <w:rPr>
                <w:b/>
                <w:bCs/>
              </w:rPr>
              <w:t xml:space="preserve">+68%</w:t>
            </w:r>
          </w:p>
        </w:tc>
      </w:tr>
      <w:tr>
        <w:tc>
          <w:tcPr/>
          <w:p>
            <w:pPr>
              <w:pStyle w:val="Compact"/>
              <w:jc w:val="left"/>
            </w:pPr>
            <w:r>
              <w:t xml:space="preserve">3-year total cost of ownership</w:t>
            </w:r>
          </w:p>
        </w:tc>
        <w:tc>
          <w:tcPr/>
          <w:p>
            <w:pPr>
              <w:pStyle w:val="Compact"/>
              <w:jc w:val="left"/>
            </w:pPr>
            <w:r>
              <w:t xml:space="preserve">$9.42 million</w:t>
            </w:r>
          </w:p>
        </w:tc>
        <w:tc>
          <w:tcPr/>
          <w:p>
            <w:pPr>
              <w:pStyle w:val="Compact"/>
              <w:jc w:val="left"/>
            </w:pPr>
            <w:r>
              <w:t xml:space="preserve">~$16.10 million</w:t>
            </w:r>
          </w:p>
        </w:tc>
        <w:tc>
          <w:tcPr/>
          <w:p>
            <w:pPr>
              <w:pStyle w:val="Compact"/>
              <w:jc w:val="left"/>
            </w:pPr>
            <w:r>
              <w:t xml:space="preserve">+70.9%</w:t>
            </w:r>
          </w:p>
        </w:tc>
      </w:tr>
    </w:tbl>
    <w:p>
      <w:pPr>
        <w:pStyle w:val="BodyText"/>
      </w:pPr>
      <w:r>
        <w:t xml:space="preserve">Note on the base fee: the October 14, 2024 cover letter states a $4.8 million base; the January 15, 2025 transmittal and the financial model use $4.85 million. The 50-user cap and per-user overage do not appear in the October 14 cover letter and appear to have been introduced in the later transmittal; Greenfield should confirm the operative figure and challenge the user cap, given that Greenfield currently has 73 named users (23 above the proposed cap).</w:t>
      </w:r>
    </w:p>
    <w:p>
      <w:pPr>
        <w:pStyle w:val="BodyText"/>
      </w:pPr>
      <w:r>
        <w:rPr>
          <w:b/>
          <w:bCs/>
        </w:rPr>
        <w:t xml:space="preserve">Recommendation.</w:t>
      </w:r>
      <w:r>
        <w:t xml:space="preserve"> </w:t>
      </w:r>
      <w:r>
        <w:t xml:space="preserve">Counter at</w:t>
      </w:r>
      <w:r>
        <w:t xml:space="preserve"> </w:t>
      </w:r>
      <w:r>
        <w:rPr>
          <w:b/>
          <w:bCs/>
        </w:rPr>
        <w:t xml:space="preserve">$3.75 million with an 80-user cap and overage at $12,000/user</w:t>
      </w:r>
      <w:r>
        <w:t xml:space="preserve"> </w:t>
      </w:r>
      <w:r>
        <w:t xml:space="preserve">(per the negotiation-priorities matrix), or push toward the $3.5–4.0 million market range supported by competitive bids. The one-time $175,000 migration/conversion fee should be</w:t>
      </w:r>
      <w:r>
        <w:t xml:space="preserve"> </w:t>
      </w:r>
      <w:r>
        <w:rPr>
          <w:b/>
          <w:bCs/>
        </w:rPr>
        <w:t xml:space="preserve">included at no additional cost</w:t>
      </w:r>
      <w:r>
        <w:t xml:space="preserve"> </w:t>
      </w:r>
      <w:r>
        <w:t xml:space="preserve">as a condition of renewal (it is the cost of NovaTrait’s own product evolution, not a Greenfield-requested feature). The user cap should be eliminated or raised to at least 100 to accommodate Greenfield’s current and near-term headcount.</w:t>
      </w:r>
    </w:p>
    <w:bookmarkEnd w:id="45"/>
    <w:bookmarkStart w:id="46" w:name="X9ac9709da31d1e83f56803d3a65f283d3b8e42c"/>
    <w:p>
      <w:pPr>
        <w:pStyle w:val="Heading3"/>
      </w:pPr>
      <w:r>
        <w:t xml:space="preserve">C. Source Code Access — Material Adverse Change</w:t>
      </w:r>
    </w:p>
    <w:p>
      <w:pPr>
        <w:pStyle w:val="FirstParagraph"/>
      </w:pPr>
      <w:r>
        <w:t xml:space="preserve">Current Section 5.2 grants Greenfield the right to access, review, and internally modify the Source Code for adapting and configuring the Software, with Licensee Modifications owned by Greenfield (subject to a non-exclusive license back to NovaTrait for internal purposes and future versions). The Proposal would</w:t>
      </w:r>
      <w:r>
        <w:t xml:space="preserve"> </w:t>
      </w:r>
      <w:r>
        <w:rPr>
          <w:b/>
          <w:bCs/>
        </w:rPr>
        <w:t xml:space="preserve">delete Section 5.2 in its entirety</w:t>
      </w:r>
      <w:r>
        <w:t xml:space="preserve">: Greenfield would receive</w:t>
      </w:r>
      <w:r>
        <w:t xml:space="preserve"> </w:t>
      </w:r>
      <w:r>
        <w:rPr>
          <w:b/>
          <w:bCs/>
        </w:rPr>
        <w:t xml:space="preserve">object code only</w:t>
      </w:r>
      <w:r>
        <w:t xml:space="preserve">, with no source access. The Source Code Escrow (Section 5.3) would be retained, releasable only on specified Release Events (insolvency, cessation of support, etc.). Existing Licensee Modifications would become either jointly owned or, at Greenfield’s election, purchased by NovaTrait at fair market value.</w:t>
      </w:r>
    </w:p>
    <w:p>
      <w:pPr>
        <w:pStyle w:val="BodyText"/>
      </w:pPr>
      <w:r>
        <w:t xml:space="preserve">This is a material adverse change. Greenfield has built custom analytics pipelines on the source-code access right; losing it eliminates the ability to customize, maintain, or extend those pipelines independently, and renders Greenfield wholly dependent on NovaTrait for any modification. The treatment of existing Licensee Modifications (joint ownership or forced sale to NovaTrait) would strip Greenfield of IP it developed under the current license.</w:t>
      </w:r>
    </w:p>
    <w:p>
      <w:pPr>
        <w:pStyle w:val="BodyText"/>
      </w:pPr>
      <w:r>
        <w:rPr>
          <w:b/>
          <w:bCs/>
        </w:rPr>
        <w:t xml:space="preserve">Recommendation.</w:t>
      </w:r>
      <w:r>
        <w:t xml:space="preserve"> </w:t>
      </w:r>
      <w:r>
        <w:rPr>
          <w:b/>
          <w:bCs/>
        </w:rPr>
        <w:t xml:space="preserve">Retain source code access</w:t>
      </w:r>
      <w:r>
        <w:t xml:space="preserve"> </w:t>
      </w:r>
      <w:r>
        <w:t xml:space="preserve">on the current terms, accepting reasonable enhanced security/escrow provisions (Greenfield already maintains enhanced source-code protections under Section 10.3). If NovaTrait will not continue source access, Greenfield should (i) require that all existing Licensee Modifications remain solely owned by Greenfield with a perpetual license to use them, (ii) negotiate a robust escrow with broadened release events (including any failure to provide a Version 5.x build that supports Greenfield’s existing customizations), and (iii) seriously evaluate the alternative platforms, several of which offer source-code access or customization rights (Comp 8). The forced-sale/joint-ownership treatment of existing Licensee Modifications should be rejected.</w:t>
      </w:r>
    </w:p>
    <w:bookmarkEnd w:id="46"/>
    <w:bookmarkStart w:id="47" w:name="X9beb192dc10a48699ef076db720cb154022db1c"/>
    <w:p>
      <w:pPr>
        <w:pStyle w:val="Heading3"/>
      </w:pPr>
      <w:r>
        <w:t xml:space="preserve">D. Derivative Data Ownership — Material Adverse Change</w:t>
      </w:r>
    </w:p>
    <w:p>
      <w:pPr>
        <w:pStyle w:val="FirstParagraph"/>
      </w:pPr>
      <w:r>
        <w:t xml:space="preserve">Current Section 9.2 provides that Input Data remains Greenfield’s sole property; the Agreement is silent on Derivative Data (outputs, analyses, results generated by the Software). The Proposal adds a new Section 9.3 under which</w:t>
      </w:r>
      <w:r>
        <w:t xml:space="preserve"> </w:t>
      </w:r>
      <w:r>
        <w:rPr>
          <w:b/>
          <w:bCs/>
        </w:rPr>
        <w:t xml:space="preserve">all Derivative Data would be the sole and exclusive property of NovaTrait</w:t>
      </w:r>
      <w:r>
        <w:t xml:space="preserve">, with Greenfield receiving only a non-exclusive, non-transferable, royalty-free license for internal use during the Renewal Term — and expressly prohibiting sublicensing, publication, and any use after expiration.</w:t>
      </w:r>
    </w:p>
    <w:p>
      <w:pPr>
        <w:pStyle w:val="BodyText"/>
      </w:pPr>
      <w:r>
        <w:t xml:space="preserve">This is a serious threat to Greenfield’s proprietary interests. Greenfield’s trait-mapping datasets, genomic analyses, and product-development outputs — generated from Greenfield’s own Input Data and substantial R&amp;D investment — would vest in NovaTrait, and Greenfield would lose the right to use them after the renewal term. This directly conflicts with the principle of Section 9.2 (Input Data owned by Greenfield) and could jeopardize Greenfield’s proprietary trait mapping datasets, regulatory submissions, and competitive position. It would also create a perverse incentive: the more Greenfield invests in using the Software, the more valuable IP it transfers to NovaTrait.</w:t>
      </w:r>
    </w:p>
    <w:p>
      <w:pPr>
        <w:pStyle w:val="BodyText"/>
      </w:pPr>
      <w:r>
        <w:rPr>
          <w:b/>
          <w:bCs/>
        </w:rPr>
        <w:t xml:space="preserve">Recommendation.</w:t>
      </w:r>
      <w:r>
        <w:t xml:space="preserve"> </w:t>
      </w:r>
      <w:r>
        <w:rPr>
          <w:b/>
          <w:bCs/>
        </w:rPr>
        <w:t xml:space="preserve">Reject the Derivative Data ownership clause.</w:t>
      </w:r>
      <w:r>
        <w:t xml:space="preserve"> </w:t>
      </w:r>
      <w:r>
        <w:t xml:space="preserve">Counter that</w:t>
      </w:r>
      <w:r>
        <w:t xml:space="preserve"> </w:t>
      </w:r>
      <w:r>
        <w:rPr>
          <w:b/>
          <w:bCs/>
        </w:rPr>
        <w:t xml:space="preserve">all output and derived data are solely owned by Greenfield</w:t>
      </w:r>
      <w:r>
        <w:t xml:space="preserve">, consistent with the Section 9.2 principle that Greenfield’s data (input and derived) remains its property. At an absolute minimum, Greenfield must retain a perpetual, irrevocable, royalty-free license to use Derivative Data for all internal and commercial purposes within the Field of Use, surviving expiration, with the right to sublicense to its Affiliates and contractors under confidentiality. The proposed post-term use prohibition and publication ban are unacceptable.</w:t>
      </w:r>
    </w:p>
    <w:bookmarkEnd w:id="47"/>
    <w:bookmarkStart w:id="48" w:name="e.-version-upgrade-and-term"/>
    <w:p>
      <w:pPr>
        <w:pStyle w:val="Heading3"/>
      </w:pPr>
      <w:r>
        <w:t xml:space="preserve">E. Version Upgrade and Term</w:t>
      </w:r>
    </w:p>
    <w:p>
      <w:pPr>
        <w:pStyle w:val="FirstParagraph"/>
      </w:pPr>
      <w:r>
        <w:t xml:space="preserve">The Proposal transitions Greenfield from Version 4.x to Version 5.x (machine-learning trait prediction with ~22% accuracy improvement, cloud deployment, SSO/RBAC), with 80 hours of migration assistance and conversion scripts. The renewal term is</w:t>
      </w:r>
      <w:r>
        <w:t xml:space="preserve"> </w:t>
      </w:r>
      <w:r>
        <w:rPr>
          <w:b/>
          <w:bCs/>
        </w:rPr>
        <w:t xml:space="preserve">three years</w:t>
      </w:r>
      <w:r>
        <w:t xml:space="preserve"> </w:t>
      </w:r>
      <w:r>
        <w:t xml:space="preserve">(March 1, 2025 – February 28, 2028), shorter than the current five-year term, with a single three-year renewal option. NovaTrait justifies the shorter term by the anticipated release of Version 6.x in late 2027.</w:t>
      </w:r>
    </w:p>
    <w:p>
      <w:pPr>
        <w:pStyle w:val="BodyText"/>
      </w:pPr>
      <w:r>
        <w:t xml:space="preserve">The shorter term is acceptable and arguably favorable given the rapid product evolution and Greenfield’s strong switching leverage. However, Greenfield should ensure (i) backward compatibility of Version 5.x with existing Version 4.x archives and Licensee Modifications (or a no-cost conversion path), (ii) continued support for Version 4.x during any transition, and (iii) that the migration assistance is adequate and not merely nominal (80 hours may be insufficient for a 73-user enterprise migration). Greenfield should also consider NovaTrait’s offer (Part IV) to harmonize the License C term to five years at an incremental fee — this may be worth exploring if the price and the source-code/data-ownership terms are acceptable, as it would align all three renewal terms and reduce administrative complexity.</w:t>
      </w:r>
    </w:p>
    <w:p>
      <w:r>
        <w:pict>
          <v:rect style="width:0;height:1.5pt" o:hralign="center" o:hrstd="t" o:hr="t"/>
        </w:pict>
      </w:r>
    </w:p>
    <w:bookmarkEnd w:id="48"/>
    <w:bookmarkEnd w:id="49"/>
    <w:bookmarkStart w:id="50" w:name="Xccbbeb74d090597fbcc48e253840e76c6cfea16"/>
    <w:p>
      <w:pPr>
        <w:pStyle w:val="Heading2"/>
      </w:pPr>
      <w:r>
        <w:t xml:space="preserve">VII. Prairielands Sublicense Implications</w:t>
      </w:r>
    </w:p>
    <w:p>
      <w:pPr>
        <w:pStyle w:val="FirstParagraph"/>
      </w:pPr>
      <w:r>
        <w:t xml:space="preserve">The Prairielands sublicense is derivative of and co-terminus with License B (the Master License). Because License B expired on December 31, 2024 and is operating under the Section 12.6 standstill, the Prairielands sublicense is, by its terms (Section 7.4), exposed to automatic termination upon expiration of the Master License. The License B renewal (retroactive to January 1, 2025) and any standstill extension will preserve the Master License and, in turn, the sublicense — but Greenfield must manage this affirmatively.</w:t>
      </w:r>
    </w:p>
    <w:p>
      <w:pPr>
        <w:pStyle w:val="BodyText"/>
      </w:pPr>
      <w:r>
        <w:rPr>
          <w:b/>
          <w:bCs/>
        </w:rPr>
        <w:t xml:space="preserve">Key considerations:</w:t>
      </w:r>
    </w:p>
    <w:p>
      <w:pPr>
        <w:numPr>
          <w:ilvl w:val="0"/>
          <w:numId w:val="1004"/>
        </w:numPr>
      </w:pPr>
      <w:r>
        <w:rPr>
          <w:b/>
          <w:bCs/>
        </w:rPr>
        <w:t xml:space="preserve">Co-terminus structure.</w:t>
      </w:r>
      <w:r>
        <w:t xml:space="preserve"> </w:t>
      </w:r>
      <w:r>
        <w:t xml:space="preserve">The sublicense (Section 7.1) runs to December 31, 2024 and is</w:t>
      </w:r>
      <w:r>
        <w:t xml:space="preserve"> </w:t>
      </w:r>
      <w:r>
        <w:t xml:space="preserve">“</w:t>
      </w:r>
      <w:r>
        <w:t xml:space="preserve">co-terminus with the Master License as in effect on the Effective Date.</w:t>
      </w:r>
      <w:r>
        <w:t xml:space="preserve">”</w:t>
      </w:r>
      <w:r>
        <w:t xml:space="preserve"> </w:t>
      </w:r>
      <w:r>
        <w:t xml:space="preserve">A renewal of License B to December 31, 2029 does not automatically extend the sublicense; the sublicense must be separately renewed by mutual written agreement of Greenfield and Prairielands (Section 7.2), subject to NovaTrait’s continued consent (License B Section 3.3). Greenfield should initiate parallel discussions with Prairielands now.</w:t>
      </w:r>
    </w:p>
    <w:p>
      <w:pPr>
        <w:numPr>
          <w:ilvl w:val="0"/>
          <w:numId w:val="1004"/>
        </w:numPr>
      </w:pPr>
      <w:r>
        <w:rPr>
          <w:b/>
          <w:bCs/>
        </w:rPr>
        <w:t xml:space="preserve">No current pass-through.</w:t>
      </w:r>
      <w:r>
        <w:t xml:space="preserve"> </w:t>
      </w:r>
      <w:r>
        <w:t xml:space="preserve">The sublicense (Section 3.6) and NovaTrait’s consent letter confirm that no pass-through to NovaTrait is currently required. Greenfield retains the full 2.0% royalty from Prairielands. Any newly imposed License B pass-through (e.g., 40% as modeled) would reduce Greenfield’s net sublicense economics to 1.2% (2.0% × 60%), materially eroding the value of the sublicense program. Greenfield should resist any pass-through on License B sublicense revenue (see Section V.H).</w:t>
      </w:r>
    </w:p>
    <w:p>
      <w:pPr>
        <w:numPr>
          <w:ilvl w:val="0"/>
          <w:numId w:val="1004"/>
        </w:numPr>
      </w:pPr>
      <w:r>
        <w:rPr>
          <w:b/>
          <w:bCs/>
        </w:rPr>
        <w:t xml:space="preserve">Wind-down.</w:t>
      </w:r>
      <w:r>
        <w:t xml:space="preserve"> </w:t>
      </w:r>
      <w:r>
        <w:t xml:space="preserve">The sublicense provides a 90-day Wind-Down Period (Section 7.5) for sell-off of existing inventory and completion of in-progress field trials. This is more favorable than the 30-day no-wind-down proposed for License B itself — another reason Greenfield should preserve the 90-day (or 180-day) wind-down in the License B renewal, to avoid a mismatch that would force Prairielands wind-down on a shorter timeline than the Master License permits.</w:t>
      </w:r>
    </w:p>
    <w:p>
      <w:pPr>
        <w:numPr>
          <w:ilvl w:val="0"/>
          <w:numId w:val="1004"/>
        </w:numPr>
      </w:pPr>
      <w:r>
        <w:rPr>
          <w:b/>
          <w:bCs/>
        </w:rPr>
        <w:t xml:space="preserve">NovaTrait consent.</w:t>
      </w:r>
      <w:r>
        <w:t xml:space="preserve"> </w:t>
      </w:r>
      <w:r>
        <w:t xml:space="preserve">NovaTrait has indicated willingness to consent to a Prairielands amendment</w:t>
      </w:r>
      <w:r>
        <w:t xml:space="preserve"> </w:t>
      </w:r>
      <w:r>
        <w:t xml:space="preserve">“</w:t>
      </w:r>
      <w:r>
        <w:t xml:space="preserve">subject to Section 12.4 of the existing Master License</w:t>
      </w:r>
      <w:r>
        <w:t xml:space="preserve">”</w:t>
      </w:r>
      <w:r>
        <w:t xml:space="preserve"> </w:t>
      </w:r>
      <w:r>
        <w:t xml:space="preserve">— which, as noted, is a cross-reference error (sublicensing consent is Section 3.3). Greenfield should engage NovaTrait early on the consent, on the basis of Section 3.3, and should not allow NovaTrait to use the consent as leverage to impose a pass-through or other economic concession.</w:t>
      </w:r>
    </w:p>
    <w:p>
      <w:pPr>
        <w:numPr>
          <w:ilvl w:val="0"/>
          <w:numId w:val="1004"/>
        </w:numPr>
      </w:pPr>
      <w:r>
        <w:rPr>
          <w:b/>
          <w:bCs/>
        </w:rPr>
        <w:t xml:space="preserve">Governing law.</w:t>
      </w:r>
      <w:r>
        <w:t xml:space="preserve"> </w:t>
      </w:r>
      <w:r>
        <w:t xml:space="preserve">The sublicense is governed by Delaware law with AAA arbitration in Raleigh — distinct from the Massachusetts governance of the Master Licenses. Any Prairielands amendment should preserve this governance structure.</w:t>
      </w:r>
    </w:p>
    <w:p>
      <w:r>
        <w:pict>
          <v:rect style="width:0;height:1.5pt" o:hralign="center" o:hrstd="t" o:hr="t"/>
        </w:pict>
      </w:r>
    </w:p>
    <w:bookmarkEnd w:id="50"/>
    <w:bookmarkStart w:id="51" w:name="viii.-aggregate-financial-impact"/>
    <w:p>
      <w:pPr>
        <w:pStyle w:val="Heading2"/>
      </w:pPr>
      <w:r>
        <w:t xml:space="preserve">VIII. Aggregate Financial Impact</w:t>
      </w:r>
    </w:p>
    <w:p>
      <w:pPr>
        <w:pStyle w:val="FirstParagraph"/>
      </w:pPr>
      <w:r>
        <w:t xml:space="preserve">The following summarizes the aggregate financial impact of the Proposal, based on the Ridgemont/Oakvale analysis (FY 2024 actuals; base-case growth assumptions of 5% for License A and 4% for License B; License C flat).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Annualized</w:t>
            </w:r>
          </w:p>
        </w:tc>
        <w:tc>
          <w:tcPr/>
          <w:p>
            <w:pPr>
              <w:pStyle w:val="Compact"/>
              <w:jc w:val="left"/>
            </w:pPr>
            <w:r>
              <w:t xml:space="preserve">Proposed (Year 1)</w:t>
            </w:r>
          </w:p>
        </w:tc>
        <w:tc>
          <w:tcPr/>
          <w:p>
            <w:pPr>
              <w:pStyle w:val="Compact"/>
              <w:jc w:val="left"/>
            </w:pPr>
            <w:r>
              <w:t xml:space="preserve">Change</w:t>
            </w:r>
          </w:p>
        </w:tc>
      </w:tr>
      <w:tr>
        <w:tc>
          <w:tcPr/>
          <w:p>
            <w:pPr>
              <w:pStyle w:val="Compact"/>
              <w:jc w:val="left"/>
            </w:pPr>
            <w:r>
              <w:t xml:space="preserve">License A running royalties + MAR</w:t>
            </w:r>
          </w:p>
        </w:tc>
        <w:tc>
          <w:tcPr/>
          <w:p>
            <w:pPr>
              <w:pStyle w:val="Compact"/>
              <w:jc w:val="left"/>
            </w:pPr>
            <w:r>
              <w:t xml:space="preserve">~$9.12 million</w:t>
            </w:r>
          </w:p>
        </w:tc>
        <w:tc>
          <w:tcPr/>
          <w:p>
            <w:pPr>
              <w:pStyle w:val="Compact"/>
              <w:jc w:val="left"/>
            </w:pPr>
            <w:r>
              <w:t xml:space="preserve">~$13.58 million</w:t>
            </w:r>
          </w:p>
        </w:tc>
        <w:tc>
          <w:tcPr/>
          <w:p>
            <w:pPr>
              <w:pStyle w:val="Compact"/>
              <w:jc w:val="left"/>
            </w:pPr>
            <w:r>
              <w:t xml:space="preserve">+$4.46 million</w:t>
            </w:r>
          </w:p>
        </w:tc>
      </w:tr>
      <w:tr>
        <w:tc>
          <w:tcPr/>
          <w:p>
            <w:pPr>
              <w:pStyle w:val="Compact"/>
              <w:jc w:val="left"/>
            </w:pPr>
            <w:r>
              <w:t xml:space="preserve">License B running royalties + MAR</w:t>
            </w:r>
          </w:p>
        </w:tc>
        <w:tc>
          <w:tcPr/>
          <w:p>
            <w:pPr>
              <w:pStyle w:val="Compact"/>
              <w:jc w:val="left"/>
            </w:pPr>
            <w:r>
              <w:t xml:space="preserve">~$6.38 million</w:t>
            </w:r>
          </w:p>
        </w:tc>
        <w:tc>
          <w:tcPr/>
          <w:p>
            <w:pPr>
              <w:pStyle w:val="Compact"/>
              <w:jc w:val="left"/>
            </w:pPr>
            <w:r>
              <w:t xml:space="preserve">~$9.09 million</w:t>
            </w:r>
          </w:p>
        </w:tc>
        <w:tc>
          <w:tcPr/>
          <w:p>
            <w:pPr>
              <w:pStyle w:val="Compact"/>
              <w:jc w:val="left"/>
            </w:pPr>
            <w:r>
              <w:t xml:space="preserve">+$2.71 million</w:t>
            </w:r>
          </w:p>
        </w:tc>
      </w:tr>
      <w:tr>
        <w:tc>
          <w:tcPr/>
          <w:p>
            <w:pPr>
              <w:pStyle w:val="Compact"/>
              <w:jc w:val="left"/>
            </w:pPr>
            <w:r>
              <w:t xml:space="preserve">License C fees</w:t>
            </w:r>
          </w:p>
        </w:tc>
        <w:tc>
          <w:tcPr/>
          <w:p>
            <w:pPr>
              <w:pStyle w:val="Compact"/>
              <w:jc w:val="left"/>
            </w:pPr>
            <w:r>
              <w:t xml:space="preserve">~$3.14 million</w:t>
            </w:r>
          </w:p>
        </w:tc>
        <w:tc>
          <w:tcPr/>
          <w:p>
            <w:pPr>
              <w:pStyle w:val="Compact"/>
              <w:jc w:val="left"/>
            </w:pPr>
            <w:r>
              <w:t xml:space="preserve">~$5.28 million</w:t>
            </w:r>
          </w:p>
        </w:tc>
        <w:tc>
          <w:tcPr/>
          <w:p>
            <w:pPr>
              <w:pStyle w:val="Compact"/>
              <w:jc w:val="left"/>
            </w:pPr>
            <w:r>
              <w:t xml:space="preserve">+$2.14 million</w:t>
            </w:r>
          </w:p>
        </w:tc>
      </w:tr>
      <w:tr>
        <w:tc>
          <w:tcPr/>
          <w:p>
            <w:pPr>
              <w:pStyle w:val="Compact"/>
              <w:jc w:val="left"/>
            </w:pPr>
            <w:r>
              <w:rPr>
                <w:b/>
                <w:bCs/>
              </w:rPr>
              <w:t xml:space="preserve">Total</w:t>
            </w:r>
          </w:p>
        </w:tc>
        <w:tc>
          <w:tcPr/>
          <w:p>
            <w:pPr>
              <w:pStyle w:val="Compact"/>
              <w:jc w:val="left"/>
            </w:pPr>
            <w:r>
              <w:rPr>
                <w:b/>
                <w:bCs/>
              </w:rPr>
              <w:t xml:space="preserve">~$18.64 million</w:t>
            </w:r>
          </w:p>
        </w:tc>
        <w:tc>
          <w:tcPr/>
          <w:p>
            <w:pPr>
              <w:pStyle w:val="Compact"/>
              <w:jc w:val="left"/>
            </w:pPr>
            <w:r>
              <w:rPr>
                <w:b/>
                <w:bCs/>
              </w:rPr>
              <w:t xml:space="preserve">~$27.95 million</w:t>
            </w:r>
          </w:p>
        </w:tc>
        <w:tc>
          <w:tcPr/>
          <w:p>
            <w:pPr>
              <w:pStyle w:val="Compact"/>
              <w:jc w:val="left"/>
            </w:pPr>
            <w:r>
              <w:rPr>
                <w:b/>
                <w:bCs/>
              </w:rPr>
              <w:t xml:space="preserve">+$9.31 million</w:t>
            </w:r>
          </w:p>
        </w:tc>
      </w:tr>
      <w:tr>
        <w:tc>
          <w:tcPr/>
          <w:p>
            <w:pPr>
              <w:pStyle w:val="Compact"/>
              <w:jc w:val="left"/>
            </w:pPr>
            <w:r>
              <w:t xml:space="preserve">As % of Greenfield FY 2024 revenue ($387.2M)</w:t>
            </w:r>
          </w:p>
        </w:tc>
        <w:tc>
          <w:tcPr/>
          <w:p>
            <w:pPr>
              <w:pStyle w:val="Compact"/>
              <w:jc w:val="left"/>
            </w:pPr>
            <w:r>
              <w:t xml:space="preserve">~4.81%</w:t>
            </w:r>
          </w:p>
        </w:tc>
        <w:tc>
          <w:tcPr/>
          <w:p>
            <w:pPr>
              <w:pStyle w:val="Compact"/>
              <w:jc w:val="left"/>
            </w:pPr>
            <w:r>
              <w:t xml:space="preserve">~7.22%</w:t>
            </w:r>
          </w:p>
        </w:tc>
        <w:tc>
          <w:tcPr/>
          <w:p>
            <w:pPr>
              <w:pStyle w:val="Compact"/>
              <w:jc w:val="left"/>
            </w:pPr>
            <w:r>
              <w:t xml:space="preserve">+2.41 pts</w:t>
            </w:r>
          </w:p>
        </w:tc>
      </w:tr>
    </w:tbl>
    <w:p>
      <w:pPr>
        <w:pStyle w:val="BodyText"/>
      </w:pPr>
      <w:r>
        <w:rPr>
          <w:b/>
          <w:bCs/>
        </w:rPr>
        <w:t xml:space="preserve">Cumulative incremental cost over the renewal terms (base case):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License</w:t>
            </w:r>
          </w:p>
        </w:tc>
        <w:tc>
          <w:tcPr/>
          <w:p>
            <w:pPr>
              <w:pStyle w:val="Compact"/>
              <w:jc w:val="left"/>
            </w:pPr>
            <w:r>
              <w:t xml:space="preserve">Horizon</w:t>
            </w:r>
          </w:p>
        </w:tc>
        <w:tc>
          <w:tcPr/>
          <w:p>
            <w:pPr>
              <w:pStyle w:val="Compact"/>
              <w:jc w:val="left"/>
            </w:pPr>
            <w:r>
              <w:t xml:space="preserve">Cumulative Incremental Cost</w:t>
            </w:r>
          </w:p>
        </w:tc>
      </w:tr>
      <w:tr>
        <w:tc>
          <w:tcPr/>
          <w:p>
            <w:pPr>
              <w:pStyle w:val="Compact"/>
              <w:jc w:val="left"/>
            </w:pPr>
            <w:r>
              <w:t xml:space="preserve">License A (direct royalty)</w:t>
            </w:r>
          </w:p>
        </w:tc>
        <w:tc>
          <w:tcPr/>
          <w:p>
            <w:pPr>
              <w:pStyle w:val="Compact"/>
              <w:jc w:val="left"/>
            </w:pPr>
            <w:r>
              <w:t xml:space="preserve">5 years (FY 2025–2030)</w:t>
            </w:r>
          </w:p>
        </w:tc>
        <w:tc>
          <w:tcPr/>
          <w:p>
            <w:pPr>
              <w:pStyle w:val="Compact"/>
              <w:jc w:val="left"/>
            </w:pPr>
            <w:r>
              <w:t xml:space="preserve">~$31.8 million</w:t>
            </w:r>
          </w:p>
        </w:tc>
      </w:tr>
      <w:tr>
        <w:tc>
          <w:tcPr/>
          <w:p>
            <w:pPr>
              <w:pStyle w:val="Compact"/>
              <w:jc w:val="left"/>
            </w:pPr>
            <w:r>
              <w:t xml:space="preserve">License B (direct royalty)</w:t>
            </w:r>
          </w:p>
        </w:tc>
        <w:tc>
          <w:tcPr/>
          <w:p>
            <w:pPr>
              <w:pStyle w:val="Compact"/>
              <w:jc w:val="left"/>
            </w:pPr>
            <w:r>
              <w:t xml:space="preserve">5 years (FY 2025–2029)</w:t>
            </w:r>
          </w:p>
        </w:tc>
        <w:tc>
          <w:tcPr/>
          <w:p>
            <w:pPr>
              <w:pStyle w:val="Compact"/>
              <w:jc w:val="left"/>
            </w:pPr>
            <w:r>
              <w:t xml:space="preserve">~$15.3 million</w:t>
            </w:r>
          </w:p>
        </w:tc>
      </w:tr>
      <w:tr>
        <w:tc>
          <w:tcPr/>
          <w:p>
            <w:pPr>
              <w:pStyle w:val="Compact"/>
              <w:jc w:val="left"/>
            </w:pPr>
            <w:r>
              <w:t xml:space="preserve">License B (Prairielands pass-through @ 40%, if imposed)</w:t>
            </w:r>
          </w:p>
        </w:tc>
        <w:tc>
          <w:tcPr/>
          <w:p>
            <w:pPr>
              <w:pStyle w:val="Compact"/>
              <w:jc w:val="left"/>
            </w:pPr>
            <w:r>
              <w:t xml:space="preserve">5 years</w:t>
            </w:r>
          </w:p>
        </w:tc>
        <w:tc>
          <w:tcPr/>
          <w:p>
            <w:pPr>
              <w:pStyle w:val="Compact"/>
              <w:jc w:val="left"/>
            </w:pPr>
            <w:r>
              <w:t xml:space="preserve">~$27.0 million</w:t>
            </w:r>
          </w:p>
        </w:tc>
      </w:tr>
      <w:tr>
        <w:tc>
          <w:tcPr/>
          <w:p>
            <w:pPr>
              <w:pStyle w:val="Compact"/>
              <w:jc w:val="left"/>
            </w:pPr>
            <w:r>
              <w:t xml:space="preserve">License B (direct + pass-through)</w:t>
            </w:r>
          </w:p>
        </w:tc>
        <w:tc>
          <w:tcPr/>
          <w:p>
            <w:pPr>
              <w:pStyle w:val="Compact"/>
              <w:jc w:val="left"/>
            </w:pPr>
            <w:r>
              <w:t xml:space="preserve">5 years</w:t>
            </w:r>
          </w:p>
        </w:tc>
        <w:tc>
          <w:tcPr/>
          <w:p>
            <w:pPr>
              <w:pStyle w:val="Compact"/>
              <w:jc w:val="left"/>
            </w:pPr>
            <w:r>
              <w:t xml:space="preserve">~$42.3 million</w:t>
            </w:r>
          </w:p>
        </w:tc>
      </w:tr>
      <w:tr>
        <w:tc>
          <w:tcPr/>
          <w:p>
            <w:pPr>
              <w:pStyle w:val="Compact"/>
              <w:jc w:val="left"/>
            </w:pPr>
            <w:r>
              <w:t xml:space="preserve">License C (total cost of ownership)</w:t>
            </w:r>
          </w:p>
        </w:tc>
        <w:tc>
          <w:tcPr/>
          <w:p>
            <w:pPr>
              <w:pStyle w:val="Compact"/>
              <w:jc w:val="left"/>
            </w:pPr>
            <w:r>
              <w:t xml:space="preserve">3 years (FY 2025–2027)</w:t>
            </w:r>
          </w:p>
        </w:tc>
        <w:tc>
          <w:tcPr/>
          <w:p>
            <w:pPr>
              <w:pStyle w:val="Compact"/>
              <w:jc w:val="left"/>
            </w:pPr>
            <w:r>
              <w:t xml:space="preserve">+$6.68 million (vs. $9.42M current)</w:t>
            </w:r>
          </w:p>
        </w:tc>
      </w:tr>
      <w:tr>
        <w:tc>
          <w:tcPr/>
          <w:p>
            <w:pPr>
              <w:pStyle w:val="Compact"/>
              <w:jc w:val="left"/>
            </w:pPr>
            <w:r>
              <w:rPr>
                <w:b/>
                <w:bCs/>
              </w:rPr>
              <w:t xml:space="preserve">Aggregate (FY 2025–2027, base case, excl. pass-through)</w:t>
            </w:r>
          </w:p>
        </w:tc>
        <w:tc>
          <w:tcPr/>
          <w:p>
            <w:pPr>
              <w:pStyle w:val="Compact"/>
              <w:jc w:val="left"/>
            </w:pPr>
            <w:r>
              <w:t xml:space="preserve">3 years</w:t>
            </w:r>
          </w:p>
        </w:tc>
        <w:tc>
          <w:tcPr/>
          <w:p>
            <w:pPr>
              <w:pStyle w:val="Compact"/>
              <w:jc w:val="left"/>
            </w:pPr>
            <w:r>
              <w:rPr>
                <w:b/>
                <w:bCs/>
              </w:rPr>
              <w:t xml:space="preserve">+$29.96 million</w:t>
            </w:r>
            <w:r>
              <w:t xml:space="preserve"> </w:t>
            </w:r>
            <w:r>
              <w:t xml:space="preserve">($90.27M vs. $60.31M)</w:t>
            </w:r>
          </w:p>
        </w:tc>
      </w:tr>
    </w:tbl>
    <w:p>
      <w:pPr>
        <w:pStyle w:val="BodyText"/>
      </w:pPr>
      <w:r>
        <w:rPr>
          <w:b/>
          <w:bCs/>
        </w:rPr>
        <w:t xml:space="preserve">Sensitivity.</w:t>
      </w:r>
      <w:r>
        <w:t xml:space="preserve"> </w:t>
      </w:r>
      <w:r>
        <w:t xml:space="preserve">Under a 3% growth scenario, the aggregate three-year total is ~$85.1 million (+$24.8M vs. current); under a 7% growth scenario, ~$90.7 million (+$30.3M). The minimum annual royalties ($8M for A, $5M for B) are not binding in any modeled scenario, but they raise the floor and the quarterly cash commitment. The aggregate figures exclude the one-time License C migration cost ($175,000) and any License B pass-through (which, if imposed at 40%, would add ~$27 million over five years).</w:t>
      </w:r>
    </w:p>
    <w:p>
      <w:pPr>
        <w:pStyle w:val="BodyText"/>
      </w:pPr>
      <w:r>
        <w:rPr>
          <w:b/>
          <w:bCs/>
        </w:rPr>
        <w:t xml:space="preserve">Revenue concentration.</w:t>
      </w:r>
      <w:r>
        <w:t xml:space="preserve"> </w:t>
      </w:r>
      <w:r>
        <w:t xml:space="preserve">The Proposal would raise Greenfield’s aggregate IP cost from ~4.8% to ~7.2% of FY 2024 revenue — a meaningful increase for a company with $387.2 million in revenue, and one that will compound as Net Sales grow. This supports a firm negotiating posture, particularly given that the proposed rates exceed market benchmarks for all three licenses.</w:t>
      </w:r>
    </w:p>
    <w:p>
      <w:r>
        <w:pict>
          <v:rect style="width:0;height:1.5pt" o:hralign="center" o:hrstd="t" o:hr="t"/>
        </w:pict>
      </w:r>
    </w:p>
    <w:bookmarkEnd w:id="51"/>
    <w:bookmarkStart w:id="54" w:name="X40851a919b5b554eb7a7de3edc748681b31ba23"/>
    <w:p>
      <w:pPr>
        <w:pStyle w:val="Heading2"/>
      </w:pPr>
      <w:r>
        <w:t xml:space="preserve">IX. Market Comparables and Patent Landscape</w:t>
      </w:r>
    </w:p>
    <w:bookmarkStart w:id="52" w:name="X3e59cc62c08adc3c75832287cf1700178095888"/>
    <w:p>
      <w:pPr>
        <w:pStyle w:val="Heading3"/>
      </w:pPr>
      <w:r>
        <w:t xml:space="preserve">A. Market Comparables (Clarendon database, 2022–2024)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Market Range</w:t>
            </w:r>
          </w:p>
        </w:tc>
        <w:tc>
          <w:tcPr/>
          <w:p>
            <w:pPr>
              <w:pStyle w:val="Compact"/>
              <w:jc w:val="left"/>
            </w:pPr>
            <w:r>
              <w:t xml:space="preserve">Median / Mean</w:t>
            </w:r>
          </w:p>
        </w:tc>
        <w:tc>
          <w:tcPr/>
          <w:p>
            <w:pPr>
              <w:pStyle w:val="Compact"/>
              <w:jc w:val="left"/>
            </w:pPr>
            <w:r>
              <w:t xml:space="preserve">NovaTrait Proposed</w:t>
            </w:r>
          </w:p>
        </w:tc>
        <w:tc>
          <w:tcPr/>
          <w:p>
            <w:pPr>
              <w:pStyle w:val="Compact"/>
              <w:jc w:val="left"/>
            </w:pPr>
            <w:r>
              <w:t xml:space="preserve">Positioning</w:t>
            </w:r>
          </w:p>
        </w:tc>
      </w:tr>
      <w:tr>
        <w:tc>
          <w:tcPr/>
          <w:p>
            <w:pPr>
              <w:pStyle w:val="Compact"/>
              <w:jc w:val="left"/>
            </w:pPr>
            <w:r>
              <w:t xml:space="preserve">Gene-editing platforms (Comps 1–3)</w:t>
            </w:r>
          </w:p>
        </w:tc>
        <w:tc>
          <w:tcPr/>
          <w:p>
            <w:pPr>
              <w:pStyle w:val="Compact"/>
              <w:jc w:val="left"/>
            </w:pPr>
            <w:r>
              <w:t xml:space="preserve">3.5% – 5.5%</w:t>
            </w:r>
          </w:p>
        </w:tc>
        <w:tc>
          <w:tcPr/>
          <w:p>
            <w:pPr>
              <w:pStyle w:val="Compact"/>
              <w:jc w:val="left"/>
            </w:pPr>
            <w:r>
              <w:t xml:space="preserve">4.0% / 4.33%</w:t>
            </w:r>
          </w:p>
        </w:tc>
        <w:tc>
          <w:tcPr/>
          <w:p>
            <w:pPr>
              <w:pStyle w:val="Compact"/>
              <w:jc w:val="left"/>
            </w:pPr>
            <w:r>
              <w:t xml:space="preserve">License A: 6.25%</w:t>
            </w:r>
          </w:p>
        </w:tc>
        <w:tc>
          <w:tcPr/>
          <w:p>
            <w:pPr>
              <w:pStyle w:val="Compact"/>
              <w:jc w:val="left"/>
            </w:pPr>
            <w:r>
              <w:t xml:space="preserve">Above market high</w:t>
            </w:r>
          </w:p>
        </w:tc>
      </w:tr>
      <w:tr>
        <w:tc>
          <w:tcPr/>
          <w:p>
            <w:pPr>
              <w:pStyle w:val="Compact"/>
              <w:jc w:val="left"/>
            </w:pPr>
            <w:r>
              <w:t xml:space="preserve">Trait expression platforms (Comps 4–6)</w:t>
            </w:r>
          </w:p>
        </w:tc>
        <w:tc>
          <w:tcPr/>
          <w:p>
            <w:pPr>
              <w:pStyle w:val="Compact"/>
              <w:jc w:val="left"/>
            </w:pPr>
            <w:r>
              <w:t xml:space="preserve">3.0% – 4.5%</w:t>
            </w:r>
          </w:p>
        </w:tc>
        <w:tc>
          <w:tcPr/>
          <w:p>
            <w:pPr>
              <w:pStyle w:val="Compact"/>
              <w:jc w:val="left"/>
            </w:pPr>
            <w:r>
              <w:t xml:space="preserve">3.25% / 3.58%</w:t>
            </w:r>
          </w:p>
        </w:tc>
        <w:tc>
          <w:tcPr/>
          <w:p>
            <w:pPr>
              <w:pStyle w:val="Compact"/>
              <w:jc w:val="left"/>
            </w:pPr>
            <w:r>
              <w:t xml:space="preserve">License B: 5.0%</w:t>
            </w:r>
          </w:p>
        </w:tc>
        <w:tc>
          <w:tcPr/>
          <w:p>
            <w:pPr>
              <w:pStyle w:val="Compact"/>
              <w:jc w:val="left"/>
            </w:pPr>
            <w:r>
              <w:t xml:space="preserve">Above market high</w:t>
            </w:r>
          </w:p>
        </w:tc>
      </w:tr>
      <w:tr>
        <w:tc>
          <w:tcPr/>
          <w:p>
            <w:pPr>
              <w:pStyle w:val="Compact"/>
              <w:jc w:val="left"/>
            </w:pPr>
            <w:r>
              <w:t xml:space="preserve">Bioinformatics software (Comps 7–8)</w:t>
            </w:r>
          </w:p>
        </w:tc>
        <w:tc>
          <w:tcPr/>
          <w:p>
            <w:pPr>
              <w:pStyle w:val="Compact"/>
              <w:jc w:val="left"/>
            </w:pPr>
            <w:r>
              <w:t xml:space="preserve">$2.9M – $3.2M (comps); $2.5–4.0M (incl. alternatives)</w:t>
            </w:r>
          </w:p>
        </w:tc>
        <w:tc>
          <w:tcPr/>
          <w:p>
            <w:pPr>
              <w:pStyle w:val="Compact"/>
              <w:jc w:val="left"/>
            </w:pPr>
            <w:r>
              <w:t xml:space="preserve">$3.05M</w:t>
            </w:r>
          </w:p>
        </w:tc>
        <w:tc>
          <w:tcPr/>
          <w:p>
            <w:pPr>
              <w:pStyle w:val="Compact"/>
              <w:jc w:val="left"/>
            </w:pPr>
            <w:r>
              <w:t xml:space="preserve">License C: ~$5.28M</w:t>
            </w:r>
          </w:p>
        </w:tc>
        <w:tc>
          <w:tcPr/>
          <w:p>
            <w:pPr>
              <w:pStyle w:val="Compact"/>
              <w:jc w:val="left"/>
            </w:pPr>
            <w:r>
              <w:t xml:space="preserve">65% above comp mean; 31.9% above market high</w:t>
            </w:r>
          </w:p>
        </w:tc>
      </w:tr>
    </w:tbl>
    <w:p>
      <w:pPr>
        <w:pStyle w:val="BodyText"/>
      </w:pPr>
      <w:r>
        <w:t xml:space="preserve">Notably, only</w:t>
      </w:r>
      <w:r>
        <w:t xml:space="preserve"> </w:t>
      </w:r>
      <w:r>
        <w:rPr>
          <w:b/>
          <w:bCs/>
        </w:rPr>
        <w:t xml:space="preserve">1 of 6</w:t>
      </w:r>
      <w:r>
        <w:t xml:space="preserve"> </w:t>
      </w:r>
      <w:r>
        <w:t xml:space="preserve">rate-based comparables uses a modified Net Sales definition (and that comp removes returns only — not freight, insurance, and bad debt, as NovaTrait proposes). NovaTrait’s broader Net Sales redefinition is uncommon and should be challenged as outside market practice.</w:t>
      </w:r>
    </w:p>
    <w:bookmarkEnd w:id="52"/>
    <w:bookmarkStart w:id="53" w:name="X8cdcdf926bc76595c4955a0c436986d8f56d12f"/>
    <w:p>
      <w:pPr>
        <w:pStyle w:val="Heading3"/>
      </w:pPr>
      <w:r>
        <w:t xml:space="preserve">B. Patent Landscape (Clarendon, September 14, 2020)</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License</w:t>
            </w:r>
          </w:p>
        </w:tc>
        <w:tc>
          <w:tcPr/>
          <w:p>
            <w:pPr>
              <w:pStyle w:val="Compact"/>
              <w:jc w:val="left"/>
            </w:pPr>
            <w:r>
              <w:t xml:space="preserve">Portfolio Strength</w:t>
            </w:r>
          </w:p>
        </w:tc>
        <w:tc>
          <w:tcPr/>
          <w:p>
            <w:pPr>
              <w:pStyle w:val="Compact"/>
              <w:jc w:val="left"/>
            </w:pPr>
            <w:r>
              <w:t xml:space="preserve">Competitive Alternatives</w:t>
            </w:r>
          </w:p>
        </w:tc>
        <w:tc>
          <w:tcPr/>
          <w:p>
            <w:pPr>
              <w:pStyle w:val="Compact"/>
              <w:jc w:val="left"/>
            </w:pPr>
            <w:r>
              <w:t xml:space="preserve">Renewal Risk to Greenfield</w:t>
            </w:r>
          </w:p>
        </w:tc>
        <w:tc>
          <w:tcPr/>
          <w:p>
            <w:pPr>
              <w:pStyle w:val="Compact"/>
              <w:jc w:val="left"/>
            </w:pPr>
            <w:r>
              <w:t xml:space="preserve">Licensor Leverage</w:t>
            </w:r>
          </w:p>
        </w:tc>
      </w:tr>
      <w:tr>
        <w:tc>
          <w:tcPr/>
          <w:p>
            <w:pPr>
              <w:pStyle w:val="Compact"/>
              <w:jc w:val="left"/>
            </w:pPr>
            <w:r>
              <w:t xml:space="preserve">License A (CRISPR-Ag Suite)</w:t>
            </w:r>
          </w:p>
        </w:tc>
        <w:tc>
          <w:tcPr/>
          <w:p>
            <w:pPr>
              <w:pStyle w:val="Compact"/>
              <w:jc w:val="left"/>
            </w:pPr>
            <w:r>
              <w:t xml:space="preserve">Strong</w:t>
            </w:r>
          </w:p>
        </w:tc>
        <w:tc>
          <w:tcPr/>
          <w:p>
            <w:pPr>
              <w:pStyle w:val="Compact"/>
              <w:jc w:val="left"/>
            </w:pPr>
            <w:r>
              <w:t xml:space="preserve">Emerging (post-2028)</w:t>
            </w:r>
          </w:p>
        </w:tc>
        <w:tc>
          <w:tcPr/>
          <w:p>
            <w:pPr>
              <w:pStyle w:val="Compact"/>
              <w:jc w:val="left"/>
            </w:pPr>
            <w:r>
              <w:t xml:space="preserve">Moderate — declining over term</w:t>
            </w:r>
          </w:p>
        </w:tc>
        <w:tc>
          <w:tcPr/>
          <w:p>
            <w:pPr>
              <w:pStyle w:val="Compact"/>
              <w:jc w:val="left"/>
            </w:pPr>
            <w:r>
              <w:t xml:space="preserve">Moderate — declining</w:t>
            </w:r>
          </w:p>
        </w:tc>
      </w:tr>
      <w:tr>
        <w:tc>
          <w:tcPr/>
          <w:p>
            <w:pPr>
              <w:pStyle w:val="Compact"/>
              <w:jc w:val="left"/>
            </w:pPr>
            <w:r>
              <w:t xml:space="preserve">License B (TraitForge)</w:t>
            </w:r>
          </w:p>
        </w:tc>
        <w:tc>
          <w:tcPr/>
          <w:p>
            <w:pPr>
              <w:pStyle w:val="Compact"/>
              <w:jc w:val="left"/>
            </w:pPr>
            <w:r>
              <w:t xml:space="preserve">Very Strong</w:t>
            </w:r>
          </w:p>
        </w:tc>
        <w:tc>
          <w:tcPr/>
          <w:p>
            <w:pPr>
              <w:pStyle w:val="Compact"/>
              <w:jc w:val="left"/>
            </w:pPr>
            <w:r>
              <w:t xml:space="preserve">None identified</w:t>
            </w:r>
          </w:p>
        </w:tc>
        <w:tc>
          <w:tcPr/>
          <w:p>
            <w:pPr>
              <w:pStyle w:val="Compact"/>
              <w:jc w:val="left"/>
            </w:pPr>
            <w:r>
              <w:t xml:space="preserve">High — irreplaceable</w:t>
            </w:r>
          </w:p>
        </w:tc>
        <w:tc>
          <w:tcPr/>
          <w:p>
            <w:pPr>
              <w:pStyle w:val="Compact"/>
              <w:jc w:val="left"/>
            </w:pPr>
            <w:r>
              <w:t xml:space="preserve">Very High</w:t>
            </w:r>
          </w:p>
        </w:tc>
      </w:tr>
      <w:tr>
        <w:tc>
          <w:tcPr/>
          <w:p>
            <w:pPr>
              <w:pStyle w:val="Compact"/>
              <w:jc w:val="left"/>
            </w:pPr>
            <w:r>
              <w:t xml:space="preserve">License C (GenoMap Pro)</w:t>
            </w:r>
          </w:p>
        </w:tc>
        <w:tc>
          <w:tcPr/>
          <w:p>
            <w:pPr>
              <w:pStyle w:val="Compact"/>
              <w:jc w:val="left"/>
            </w:pPr>
            <w:r>
              <w:t xml:space="preserve">Moderate (copyright/trade secret)</w:t>
            </w:r>
          </w:p>
        </w:tc>
        <w:tc>
          <w:tcPr/>
          <w:p>
            <w:pPr>
              <w:pStyle w:val="Compact"/>
              <w:jc w:val="left"/>
            </w:pPr>
            <w:r>
              <w:t xml:space="preserve">Multiple alternatives</w:t>
            </w:r>
          </w:p>
        </w:tc>
        <w:tc>
          <w:tcPr/>
          <w:p>
            <w:pPr>
              <w:pStyle w:val="Compact"/>
              <w:jc w:val="left"/>
            </w:pPr>
            <w:r>
              <w:t xml:space="preserve">Low — substitutable</w:t>
            </w:r>
          </w:p>
        </w:tc>
        <w:tc>
          <w:tcPr/>
          <w:p>
            <w:pPr>
              <w:pStyle w:val="Compact"/>
              <w:jc w:val="left"/>
            </w:pPr>
            <w:r>
              <w:t xml:space="preserve">Low to Moderate</w:t>
            </w:r>
          </w:p>
        </w:tc>
      </w:tr>
    </w:tbl>
    <w:p>
      <w:pPr>
        <w:pStyle w:val="BodyText"/>
      </w:pPr>
      <w:r>
        <w:rPr>
          <w:b/>
          <w:bCs/>
        </w:rPr>
        <w:t xml:space="preserve">License A.</w:t>
      </w:r>
      <w:r>
        <w:t xml:space="preserve"> </w:t>
      </w:r>
      <w:r>
        <w:t xml:space="preserve">U.S. 9,234,117 (~60% of value) expires March 12, 2028; residual portfolio value ~35–40% post-expiry. Forty-seven third-party patent families identified; AgriGenome Solutions (7 improvement patents, running to ~2037) and CropTech Innovations (base-editing) are positioning competitive platforms for the post-2028 landscape. Clarendon projects at least two commercially viable alternatives by 2029–2030, with market rates gravitating toward the lower end of 3.5–5.5% or below.</w:t>
      </w:r>
      <w:r>
        <w:t xml:space="preserve"> </w:t>
      </w:r>
      <w:r>
        <w:rPr>
          <w:b/>
          <w:bCs/>
        </w:rPr>
        <w:t xml:space="preserve">Recommendation: royalty step-down post-2028 to 2.0–3.5%.</w:t>
      </w:r>
    </w:p>
    <w:p>
      <w:pPr>
        <w:pStyle w:val="BodyText"/>
      </w:pPr>
      <w:r>
        <w:rPr>
          <w:b/>
          <w:bCs/>
        </w:rPr>
        <w:t xml:space="preserve">License B.</w:t>
      </w:r>
      <w:r>
        <w:t xml:space="preserve"> </w:t>
      </w:r>
      <w:r>
        <w:t xml:space="preserve">No commercial alternatives; internal development estimated at $25–30 million over 3–4 years. Patents run to 2036–2038. NovaTrait’s leverage is very high.</w:t>
      </w:r>
      <w:r>
        <w:t xml:space="preserve"> </w:t>
      </w:r>
      <w:r>
        <w:rPr>
          <w:b/>
          <w:bCs/>
        </w:rPr>
        <w:t xml:space="preserve">Recommendation: secure long-term renewal; challenge any rate above 4.5%.</w:t>
      </w:r>
    </w:p>
    <w:p>
      <w:pPr>
        <w:pStyle w:val="BodyText"/>
      </w:pPr>
      <w:r>
        <w:rPr>
          <w:b/>
          <w:bCs/>
        </w:rPr>
        <w:t xml:space="preserve">License C.</w:t>
      </w:r>
      <w:r>
        <w:t xml:space="preserve"> </w:t>
      </w:r>
      <w:r>
        <w:t xml:space="preserve">Multiple alternatives at $2.5–4.0 million.</w:t>
      </w:r>
      <w:r>
        <w:t xml:space="preserve"> </w:t>
      </w:r>
      <w:r>
        <w:rPr>
          <w:b/>
          <w:bCs/>
        </w:rPr>
        <w:t xml:space="preserve">Recommendation: use alternatives as leverage; resist any fee above the market range.</w:t>
      </w:r>
    </w:p>
    <w:p>
      <w:pPr>
        <w:pStyle w:val="BodyText"/>
      </w:pPr>
      <w:r>
        <w:rPr>
          <w:b/>
          <w:bCs/>
        </w:rPr>
        <w:t xml:space="preserve">Updated landscape.</w:t>
      </w:r>
      <w:r>
        <w:t xml:space="preserve"> </w:t>
      </w:r>
      <w:r>
        <w:t xml:space="preserve">Clarendon’s analysis is dated September 14, 2020 — over four years old. The competitive landscape (particularly AgriGenome Solutions and CropTech Innovations) has likely advanced materially. Greenfield should commission an</w:t>
      </w:r>
      <w:r>
        <w:t xml:space="preserve"> </w:t>
      </w:r>
      <w:r>
        <w:rPr>
          <w:b/>
          <w:bCs/>
        </w:rPr>
        <w:t xml:space="preserve">updated patent landscape analysis</w:t>
      </w:r>
      <w:r>
        <w:t xml:space="preserve"> </w:t>
      </w:r>
      <w:r>
        <w:t xml:space="preserve">before finalizing the License A renewal, both to support the step-down argument and to inform the post-2028 strategy. An updated IFMV assessment may also be required under Section 14.3(a) if the combined effective rate is argued to approach or exceed the 150% cap.</w:t>
      </w:r>
    </w:p>
    <w:p>
      <w:r>
        <w:pict>
          <v:rect style="width:0;height:1.5pt" o:hralign="center" o:hrstd="t" o:hr="t"/>
        </w:pict>
      </w:r>
    </w:p>
    <w:bookmarkEnd w:id="53"/>
    <w:bookmarkEnd w:id="54"/>
    <w:bookmarkStart w:id="55" w:name="X88f2b8e3f1cd093e48b42b6d7fb276dfa8f090d"/>
    <w:p>
      <w:pPr>
        <w:pStyle w:val="Heading2"/>
      </w:pPr>
      <w:r>
        <w:t xml:space="preserve">X. Rate-Cap Legal Analysis (License A, Section 14.3)</w:t>
      </w:r>
    </w:p>
    <w:p>
      <w:pPr>
        <w:pStyle w:val="FirstParagraph"/>
      </w:pPr>
      <w:r>
        <w:t xml:space="preserve">Section 14.3(a) of License A provides that any increase in the royalty rate for a Renewal Term</w:t>
      </w:r>
      <w:r>
        <w:t xml:space="preserve"> </w:t>
      </w:r>
      <w:r>
        <w:rPr>
          <w:b/>
          <w:bCs/>
        </w:rPr>
        <w:t xml:space="preserve">shall not exceed 150% of the then-current Royalty Rate</w:t>
      </w:r>
      <w:r>
        <w:t xml:space="preserve"> </w:t>
      </w:r>
      <w:r>
        <w:t xml:space="preserve">without a prior independent fair market value (IFMV) assessment. The current rate is 4.5%, so the cap is</w:t>
      </w:r>
      <w:r>
        <w:t xml:space="preserve"> </w:t>
      </w:r>
      <w:r>
        <w:rPr>
          <w:b/>
          <w:bCs/>
        </w:rPr>
        <w:t xml:space="preserve">6.75%</w:t>
      </w:r>
      <w:r>
        <w:t xml:space="preserve">. Licenses B and C contain</w:t>
      </w:r>
      <w:r>
        <w:t xml:space="preserve"> </w:t>
      </w:r>
      <w:r>
        <w:rPr>
          <w:b/>
          <w:bCs/>
        </w:rPr>
        <w:t xml:space="preserve">no equivalent rate-cap provision</w:t>
      </w:r>
      <w:r>
        <w:t xml:space="preserve">, so this analysis applies only to License A.</w:t>
      </w:r>
    </w:p>
    <w:p>
      <w:pPr>
        <w:pStyle w:val="BodyText"/>
      </w:pPr>
      <w:r>
        <w:rPr>
          <w:b/>
          <w:bCs/>
        </w:rPr>
        <w:t xml:space="preserve">Nominal rate.</w:t>
      </w:r>
      <w:r>
        <w:t xml:space="preserve"> </w:t>
      </w:r>
      <w:r>
        <w:t xml:space="preserve">The proposed 6.25% is within the 6.75% cap (138.9% of current). On a nominal-percentage reading, no IFMV assessment is required.</w:t>
      </w:r>
    </w:p>
    <w:p>
      <w:pPr>
        <w:pStyle w:val="BodyText"/>
      </w:pPr>
      <w:r>
        <w:rPr>
          <w:b/>
          <w:bCs/>
        </w:rPr>
        <w:t xml:space="preserve">Effective rate.</w:t>
      </w:r>
      <w:r>
        <w:t xml:space="preserve"> </w:t>
      </w:r>
      <w:r>
        <w:t xml:space="preserve">When the Net Sales redefinition is taken into account, the effective rate on the original Net Sales base is approximately</w:t>
      </w:r>
      <w:r>
        <w:t xml:space="preserve"> </w:t>
      </w:r>
      <w:r>
        <w:rPr>
          <w:b/>
          <w:bCs/>
        </w:rPr>
        <w:t xml:space="preserve">6.70%</w:t>
      </w:r>
      <w:r>
        <w:t xml:space="preserve"> </w:t>
      </w:r>
      <w:r>
        <w:t xml:space="preserve">(148.9% of current) — within the cap, but barely. The question is whether</w:t>
      </w:r>
      <w:r>
        <w:t xml:space="preserve"> </w:t>
      </w:r>
      <w:r>
        <w:t xml:space="preserve">“</w:t>
      </w:r>
      <w:r>
        <w:t xml:space="preserve">royalty rate</w:t>
      </w:r>
      <w:r>
        <w:t xml:space="preserve">”</w:t>
      </w:r>
      <w:r>
        <w:t xml:space="preserve"> </w:t>
      </w:r>
      <w:r>
        <w:t xml:space="preserve">in Section 14.3(a) means the nominal percentage or the effective economic burden. The text refers to</w:t>
      </w:r>
      <w:r>
        <w:t xml:space="preserve"> </w:t>
      </w:r>
      <w:r>
        <w:t xml:space="preserve">“</w:t>
      </w:r>
      <w:r>
        <w:t xml:space="preserve">the royalty rate applicable to any Renewal Term</w:t>
      </w:r>
      <w:r>
        <w:t xml:space="preserve">”</w:t>
      </w:r>
      <w:r>
        <w:t xml:space="preserve"> </w:t>
      </w:r>
      <w:r>
        <w:t xml:space="preserve">and defines the</w:t>
      </w:r>
      <w:r>
        <w:t xml:space="preserve"> </w:t>
      </w:r>
      <w:r>
        <w:t xml:space="preserve">“</w:t>
      </w:r>
      <w:r>
        <w:t xml:space="preserve">then-current Royalty Rate</w:t>
      </w:r>
      <w:r>
        <w:t xml:space="preserve">”</w:t>
      </w:r>
      <w:r>
        <w:t xml:space="preserve"> </w:t>
      </w:r>
      <w:r>
        <w:t xml:space="preserve">as</w:t>
      </w:r>
      <w:r>
        <w:t xml:space="preserve"> </w:t>
      </w:r>
      <w:r>
        <w:t xml:space="preserve">“</w:t>
      </w:r>
      <w:r>
        <w:t xml:space="preserve">the Royalty Rate in effect as of the last day of the then-current Term</w:t>
      </w:r>
      <w:r>
        <w:t xml:space="preserve">”</w:t>
      </w:r>
      <w:r>
        <w:t xml:space="preserve"> </w:t>
      </w:r>
      <w:r>
        <w:t xml:space="preserve">— language that arguably refers to the nominal percentage. However, the purpose of the cap is to limit the economic increase, and a Net Sales redefinition that increases the base by 7.2% is economically indistinguishable from a rate increase.</w:t>
      </w:r>
    </w:p>
    <w:p>
      <w:pPr>
        <w:pStyle w:val="BodyText"/>
      </w:pPr>
      <w:r>
        <w:rPr>
          <w:b/>
          <w:bCs/>
        </w:rPr>
        <w:t xml:space="preserve">Recommended legal position.</w:t>
      </w:r>
      <w:r>
        <w:t xml:space="preserve"> </w:t>
      </w:r>
      <w:r>
        <w:t xml:space="preserve">Greenfield should argue that the</w:t>
      </w:r>
      <w:r>
        <w:t xml:space="preserve"> </w:t>
      </w:r>
      <w:r>
        <w:rPr>
          <w:b/>
          <w:bCs/>
        </w:rPr>
        <w:t xml:space="preserve">combined effect</w:t>
      </w:r>
      <w:r>
        <w:t xml:space="preserve"> </w:t>
      </w:r>
      <w:r>
        <w:t xml:space="preserve">of the rate increase and the Net Sales redefinition should be measured against the 150% cap, and that the 6.70% effective rate — at 148.9% of current — is so close to the cap that an updated IFMV assessment is warranted to confirm fair market value before Greenfield agrees to the increase. Even if the nominal reading prevails, two points are decisive: (i) Section 14.3 requires that any increase be</w:t>
      </w:r>
      <w:r>
        <w:t xml:space="preserve"> </w:t>
      </w:r>
      <w:r>
        <w:rPr>
          <w:b/>
          <w:bCs/>
        </w:rPr>
        <w:t xml:space="preserve">“</w:t>
      </w:r>
      <w:r>
        <w:rPr>
          <w:b/>
          <w:bCs/>
        </w:rPr>
        <w:t xml:space="preserve">by mutual agreement</w:t>
      </w:r>
      <w:r>
        <w:rPr>
          <w:b/>
          <w:bCs/>
        </w:rPr>
        <w:t xml:space="preserve">”</w:t>
      </w:r>
      <w:r>
        <w:t xml:space="preserve"> </w:t>
      </w:r>
      <w:r>
        <w:t xml:space="preserve">— Greenfield is not obligated to accept any increase, capped or not; and (ii) the IFMV assessment (if triggered) and the market comparables both support a rate well below 6.25%. Greenfield should not concede the cap argument; it is a meaningful source of leverage and a basis to demand the IFMV assessment and a lower rate.</w:t>
      </w:r>
    </w:p>
    <w:p>
      <w:r>
        <w:pict>
          <v:rect style="width:0;height:1.5pt" o:hralign="center" o:hrstd="t" o:hr="t"/>
        </w:pict>
      </w:r>
    </w:p>
    <w:bookmarkEnd w:id="55"/>
    <w:bookmarkStart w:id="56" w:name="Xba189fd6fadbc688f8eaaeddec9e1a985bea641"/>
    <w:p>
      <w:pPr>
        <w:pStyle w:val="Heading2"/>
      </w:pPr>
      <w:r>
        <w:t xml:space="preserve">XI. Prioritized Negotiation Recommendations</w:t>
      </w:r>
    </w:p>
    <w:p>
      <w:pPr>
        <w:pStyle w:val="FirstParagraph"/>
      </w:pPr>
      <w:r>
        <w:t xml:space="preserve">The following matrix synthesizes the foregoing into a prioritized set of issues, Greenfield’s position, and recommended counter-positions, drawn from and consistent with the Ridgemont/Oakvale negotiation-priorities analysis.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Rank</w:t>
            </w:r>
          </w:p>
        </w:tc>
        <w:tc>
          <w:tcPr/>
          <w:p>
            <w:pPr>
              <w:pStyle w:val="Compact"/>
              <w:jc w:val="left"/>
            </w:pPr>
            <w:r>
              <w:t xml:space="preserve">License</w:t>
            </w:r>
          </w:p>
        </w:tc>
        <w:tc>
          <w:tcPr/>
          <w:p>
            <w:pPr>
              <w:pStyle w:val="Compact"/>
              <w:jc w:val="left"/>
            </w:pPr>
            <w:r>
              <w:t xml:space="preserve">Issue</w:t>
            </w:r>
          </w:p>
        </w:tc>
        <w:tc>
          <w:tcPr/>
          <w:p>
            <w:pPr>
              <w:pStyle w:val="Compact"/>
              <w:jc w:val="left"/>
            </w:pPr>
            <w:r>
              <w:t xml:space="preserve">NovaTrait Proposal</w:t>
            </w:r>
          </w:p>
        </w:tc>
        <w:tc>
          <w:tcPr/>
          <w:p>
            <w:pPr>
              <w:pStyle w:val="Compact"/>
              <w:jc w:val="left"/>
            </w:pPr>
            <w:r>
              <w:t xml:space="preserve">Greenfield Position</w:t>
            </w:r>
          </w:p>
        </w:tc>
        <w:tc>
          <w:tcPr/>
          <w:p>
            <w:pPr>
              <w:pStyle w:val="Compact"/>
              <w:jc w:val="left"/>
            </w:pPr>
            <w:r>
              <w:t xml:space="preserve">Recommended Counter</w:t>
            </w:r>
          </w:p>
        </w:tc>
        <w:tc>
          <w:tcPr/>
          <w:p>
            <w:pPr>
              <w:pStyle w:val="Compact"/>
              <w:jc w:val="left"/>
            </w:pPr>
            <w:r>
              <w:t xml:space="preserve">Risk</w:t>
            </w:r>
          </w:p>
        </w:tc>
      </w:tr>
      <w:tr>
        <w:tc>
          <w:tcPr/>
          <w:p>
            <w:pPr>
              <w:pStyle w:val="Compact"/>
              <w:jc w:val="left"/>
            </w:pPr>
            <w:r>
              <w:t xml:space="preserve">1</w:t>
            </w:r>
          </w:p>
        </w:tc>
        <w:tc>
          <w:tcPr/>
          <w:p>
            <w:pPr>
              <w:pStyle w:val="Compact"/>
              <w:jc w:val="left"/>
            </w:pPr>
            <w:r>
              <w:t xml:space="preserve">B</w:t>
            </w:r>
          </w:p>
        </w:tc>
        <w:tc>
          <w:tcPr/>
          <w:p>
            <w:pPr>
              <w:pStyle w:val="Compact"/>
              <w:jc w:val="left"/>
            </w:pPr>
            <w:r>
              <w:t xml:space="preserve">Standstill expiration (Jun 29, 2025)</w:t>
            </w:r>
          </w:p>
        </w:tc>
        <w:tc>
          <w:tcPr/>
          <w:p>
            <w:pPr>
              <w:pStyle w:val="Compact"/>
              <w:jc w:val="left"/>
            </w:pPr>
            <w:r>
              <w:t xml:space="preserve">Renewal effective Jan 1, 2025; standstill to Jun 30, 2025</w:t>
            </w:r>
          </w:p>
        </w:tc>
        <w:tc>
          <w:tcPr/>
          <w:p>
            <w:pPr>
              <w:pStyle w:val="Compact"/>
              <w:jc w:val="left"/>
            </w:pPr>
            <w:r>
              <w:t xml:space="preserve">Must resolve or extend before hard deadline</w:t>
            </w:r>
          </w:p>
        </w:tc>
        <w:tc>
          <w:tcPr/>
          <w:p>
            <w:pPr>
              <w:pStyle w:val="Compact"/>
              <w:jc w:val="left"/>
            </w:pPr>
            <w:r>
              <w:t xml:space="preserve">Written standstill extension to Dec 31, 2025 as condition of continued negotiation</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C</w:t>
            </w:r>
          </w:p>
        </w:tc>
        <w:tc>
          <w:tcPr/>
          <w:p>
            <w:pPr>
              <w:pStyle w:val="Compact"/>
              <w:jc w:val="left"/>
            </w:pPr>
            <w:r>
              <w:t xml:space="preserve">Derivative Data ownership</w:t>
            </w:r>
          </w:p>
        </w:tc>
        <w:tc>
          <w:tcPr/>
          <w:p>
            <w:pPr>
              <w:pStyle w:val="Compact"/>
              <w:jc w:val="left"/>
            </w:pPr>
            <w:r>
              <w:t xml:space="preserve">NovaTrait owns all output data; non-exclusive license to Greenfield</w:t>
            </w:r>
          </w:p>
        </w:tc>
        <w:tc>
          <w:tcPr/>
          <w:p>
            <w:pPr>
              <w:pStyle w:val="Compact"/>
              <w:jc w:val="left"/>
            </w:pPr>
            <w:r>
              <w:t xml:space="preserve">Greenfield must retain full ownership of all output/derived data</w:t>
            </w:r>
          </w:p>
        </w:tc>
        <w:tc>
          <w:tcPr/>
          <w:p>
            <w:pPr>
              <w:pStyle w:val="Compact"/>
              <w:jc w:val="left"/>
            </w:pPr>
            <w:r>
              <w:t xml:space="preserve">All output and derived data solely owned by Greenfield; consistent with §9.2</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A</w:t>
            </w:r>
          </w:p>
        </w:tc>
        <w:tc>
          <w:tcPr/>
          <w:p>
            <w:pPr>
              <w:pStyle w:val="Compact"/>
              <w:jc w:val="left"/>
            </w:pPr>
            <w:r>
              <w:t xml:space="preserve">Improvements ownership</w:t>
            </w:r>
          </w:p>
        </w:tc>
        <w:tc>
          <w:tcPr/>
          <w:p>
            <w:pPr>
              <w:pStyle w:val="Compact"/>
              <w:jc w:val="left"/>
            </w:pPr>
            <w:r>
              <w:t xml:space="preserve">Joint ownership; royalty-free grant-back to NovaTrait</w:t>
            </w:r>
          </w:p>
        </w:tc>
        <w:tc>
          <w:tcPr/>
          <w:p>
            <w:pPr>
              <w:pStyle w:val="Compact"/>
              <w:jc w:val="left"/>
            </w:pPr>
            <w:r>
              <w:t xml:space="preserve">Retain sole Greenfield ownership (§8.1) with license back at commercial rate</w:t>
            </w:r>
          </w:p>
        </w:tc>
        <w:tc>
          <w:tcPr/>
          <w:p>
            <w:pPr>
              <w:pStyle w:val="Compact"/>
              <w:jc w:val="left"/>
            </w:pPr>
            <w:r>
              <w:t xml:space="preserve">Greenfield sole ownership; non-exclusive license to NovaTrait at defined royalty, limited to outside Field of Use</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A</w:t>
            </w:r>
          </w:p>
        </w:tc>
        <w:tc>
          <w:tcPr/>
          <w:p>
            <w:pPr>
              <w:pStyle w:val="Compact"/>
              <w:jc w:val="left"/>
            </w:pPr>
            <w:r>
              <w:t xml:space="preserve">Royalty rate + Net Sales redefinition (combined)</w:t>
            </w:r>
          </w:p>
        </w:tc>
        <w:tc>
          <w:tcPr/>
          <w:p>
            <w:pPr>
              <w:pStyle w:val="Compact"/>
              <w:jc w:val="left"/>
            </w:pPr>
            <w:r>
              <w:t xml:space="preserve">6.25% on redefined Net Sales (~6.70% effective)</w:t>
            </w:r>
          </w:p>
        </w:tc>
        <w:tc>
          <w:tcPr/>
          <w:p>
            <w:pPr>
              <w:pStyle w:val="Compact"/>
              <w:jc w:val="left"/>
            </w:pPr>
            <w:r>
              <w:t xml:space="preserve">Current 4.5% on standard Net Sales</w:t>
            </w:r>
          </w:p>
        </w:tc>
        <w:tc>
          <w:tcPr/>
          <w:p>
            <w:pPr>
              <w:pStyle w:val="Compact"/>
              <w:jc w:val="left"/>
            </w:pPr>
            <w:r>
              <w:t xml:space="preserve">5.0% on original Net Sales definition, or 4.75% on redefined; measure combined effect vs. §14.3 cap</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B</w:t>
            </w:r>
          </w:p>
        </w:tc>
        <w:tc>
          <w:tcPr/>
          <w:p>
            <w:pPr>
              <w:pStyle w:val="Compact"/>
              <w:jc w:val="left"/>
            </w:pPr>
            <w:r>
              <w:t xml:space="preserve">Royalty rate</w:t>
            </w:r>
          </w:p>
        </w:tc>
        <w:tc>
          <w:tcPr/>
          <w:p>
            <w:pPr>
              <w:pStyle w:val="Compact"/>
              <w:jc w:val="left"/>
            </w:pPr>
            <w:r>
              <w:t xml:space="preserve">5.0% (above market 3.0–4.5%)</w:t>
            </w:r>
          </w:p>
        </w:tc>
        <w:tc>
          <w:tcPr/>
          <w:p>
            <w:pPr>
              <w:pStyle w:val="Compact"/>
              <w:jc w:val="left"/>
            </w:pPr>
            <w:r>
              <w:t xml:space="preserve">Current 3.75%</w:t>
            </w:r>
          </w:p>
        </w:tc>
        <w:tc>
          <w:tcPr/>
          <w:p>
            <w:pPr>
              <w:pStyle w:val="Compact"/>
              <w:jc w:val="left"/>
            </w:pPr>
            <w:r>
              <w:t xml:space="preserve">4.25% on original Net Sales definition</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C</w:t>
            </w:r>
          </w:p>
        </w:tc>
        <w:tc>
          <w:tcPr/>
          <w:p>
            <w:pPr>
              <w:pStyle w:val="Compact"/>
              <w:jc w:val="left"/>
            </w:pPr>
            <w:r>
              <w:t xml:space="preserve">Source code access</w:t>
            </w:r>
          </w:p>
        </w:tc>
        <w:tc>
          <w:tcPr/>
          <w:p>
            <w:pPr>
              <w:pStyle w:val="Compact"/>
              <w:jc w:val="left"/>
            </w:pPr>
            <w:r>
              <w:t xml:space="preserve">Eliminated; object code only</w:t>
            </w:r>
          </w:p>
        </w:tc>
        <w:tc>
          <w:tcPr/>
          <w:p>
            <w:pPr>
              <w:pStyle w:val="Compact"/>
              <w:jc w:val="left"/>
            </w:pPr>
            <w:r>
              <w:t xml:space="preserve">Retain full source access for internal modification</w:t>
            </w:r>
          </w:p>
        </w:tc>
        <w:tc>
          <w:tcPr/>
          <w:p>
            <w:pPr>
              <w:pStyle w:val="Compact"/>
              <w:jc w:val="left"/>
            </w:pPr>
            <w:r>
              <w:t xml:space="preserve">Retain source code access; accept reasonable security/escrow provisions</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B</w:t>
            </w:r>
          </w:p>
        </w:tc>
        <w:tc>
          <w:tcPr/>
          <w:p>
            <w:pPr>
              <w:pStyle w:val="Compact"/>
              <w:jc w:val="left"/>
            </w:pPr>
            <w:r>
              <w:t xml:space="preserve">Biological materials return</w:t>
            </w:r>
          </w:p>
        </w:tc>
        <w:tc>
          <w:tcPr/>
          <w:p>
            <w:pPr>
              <w:pStyle w:val="Compact"/>
              <w:jc w:val="left"/>
            </w:pPr>
            <w:r>
              <w:t xml:space="preserve">30-day return/destroy, no wind-down</w:t>
            </w:r>
          </w:p>
        </w:tc>
        <w:tc>
          <w:tcPr/>
          <w:p>
            <w:pPr>
              <w:pStyle w:val="Compact"/>
              <w:jc w:val="left"/>
            </w:pPr>
            <w:r>
              <w:t xml:space="preserve">Inadequate for operational continuity</w:t>
            </w:r>
          </w:p>
        </w:tc>
        <w:tc>
          <w:tcPr/>
          <w:p>
            <w:pPr>
              <w:pStyle w:val="Compact"/>
              <w:jc w:val="left"/>
            </w:pPr>
            <w:r>
              <w:t xml:space="preserve">180-day wind-down with right to use remaining materials in ongoing trials</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C</w:t>
            </w:r>
          </w:p>
        </w:tc>
        <w:tc>
          <w:tcPr/>
          <w:p>
            <w:pPr>
              <w:pStyle w:val="Compact"/>
              <w:jc w:val="left"/>
            </w:pPr>
            <w:r>
              <w:t xml:space="preserve">Annual fee + user cap</w:t>
            </w:r>
          </w:p>
        </w:tc>
        <w:tc>
          <w:tcPr/>
          <w:p>
            <w:pPr>
              <w:pStyle w:val="Compact"/>
              <w:jc w:val="left"/>
            </w:pPr>
            <w:r>
              <w:t xml:space="preserve">$4.85M base + 50-user cap ($18.5K/user overage) = ~$5.28M</w:t>
            </w:r>
          </w:p>
        </w:tc>
        <w:tc>
          <w:tcPr/>
          <w:p>
            <w:pPr>
              <w:pStyle w:val="Compact"/>
              <w:jc w:val="left"/>
            </w:pPr>
            <w:r>
              <w:t xml:space="preserve">Current $3.14M, unlimited users</w:t>
            </w:r>
          </w:p>
        </w:tc>
        <w:tc>
          <w:tcPr/>
          <w:p>
            <w:pPr>
              <w:pStyle w:val="Compact"/>
              <w:jc w:val="left"/>
            </w:pPr>
            <w:r>
              <w:t xml:space="preserve">$3.75M with 80-user cap; overage at $12,000/user; migration fee included</w:t>
            </w:r>
          </w:p>
        </w:tc>
        <w:tc>
          <w:tcPr/>
          <w:p>
            <w:pPr>
              <w:pStyle w:val="Compact"/>
              <w:jc w:val="left"/>
            </w:pPr>
            <w:r>
              <w:t xml:space="preserve">MEDIUM</w:t>
            </w:r>
          </w:p>
        </w:tc>
      </w:tr>
      <w:tr>
        <w:tc>
          <w:tcPr/>
          <w:p>
            <w:pPr>
              <w:pStyle w:val="Compact"/>
              <w:jc w:val="left"/>
            </w:pPr>
            <w:r>
              <w:t xml:space="preserve">9</w:t>
            </w:r>
          </w:p>
        </w:tc>
        <w:tc>
          <w:tcPr/>
          <w:p>
            <w:pPr>
              <w:pStyle w:val="Compact"/>
              <w:jc w:val="left"/>
            </w:pPr>
            <w:r>
              <w:t xml:space="preserve">A</w:t>
            </w:r>
          </w:p>
        </w:tc>
        <w:tc>
          <w:tcPr/>
          <w:p>
            <w:pPr>
              <w:pStyle w:val="Compact"/>
              <w:jc w:val="left"/>
            </w:pPr>
            <w:r>
              <w:t xml:space="preserve">Sublicense pass-through</w:t>
            </w:r>
          </w:p>
        </w:tc>
        <w:tc>
          <w:tcPr/>
          <w:p>
            <w:pPr>
              <w:pStyle w:val="Compact"/>
              <w:jc w:val="left"/>
            </w:pPr>
            <w:r>
              <w:t xml:space="preserve">35% → 50%</w:t>
            </w:r>
          </w:p>
        </w:tc>
        <w:tc>
          <w:tcPr/>
          <w:p>
            <w:pPr>
              <w:pStyle w:val="Compact"/>
              <w:jc w:val="left"/>
            </w:pPr>
            <w:r>
              <w:t xml:space="preserve">35% already above market median</w:t>
            </w:r>
          </w:p>
        </w:tc>
        <w:tc>
          <w:tcPr/>
          <w:p>
            <w:pPr>
              <w:pStyle w:val="Compact"/>
              <w:jc w:val="left"/>
            </w:pPr>
            <w:r>
              <w:t xml:space="preserve">Retain 35%; or 40% with volume discount above $2M pass-through</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B</w:t>
            </w:r>
          </w:p>
        </w:tc>
        <w:tc>
          <w:tcPr/>
          <w:p>
            <w:pPr>
              <w:pStyle w:val="Compact"/>
              <w:jc w:val="left"/>
            </w:pPr>
            <w:r>
              <w:t xml:space="preserve">Prairielands / License B pass-through</w:t>
            </w:r>
          </w:p>
        </w:tc>
        <w:tc>
          <w:tcPr/>
          <w:p>
            <w:pPr>
              <w:pStyle w:val="Compact"/>
              <w:jc w:val="left"/>
            </w:pPr>
            <w:r>
              <w:t xml:space="preserve">40% pass-through (anticipated)</w:t>
            </w:r>
          </w:p>
        </w:tc>
        <w:tc>
          <w:tcPr/>
          <w:p>
            <w:pPr>
              <w:pStyle w:val="Compact"/>
              <w:jc w:val="left"/>
            </w:pPr>
            <w:r>
              <w:t xml:space="preserve">No current pass-through obligation</w:t>
            </w:r>
          </w:p>
        </w:tc>
        <w:tc>
          <w:tcPr/>
          <w:p>
            <w:pPr>
              <w:pStyle w:val="Compact"/>
              <w:jc w:val="left"/>
            </w:pPr>
            <w:r>
              <w:t xml:space="preserve">20% pass-through with 12-month phase-in; prospective only</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A</w:t>
            </w:r>
          </w:p>
        </w:tc>
        <w:tc>
          <w:tcPr/>
          <w:p>
            <w:pPr>
              <w:pStyle w:val="Compact"/>
              <w:jc w:val="left"/>
            </w:pPr>
            <w:r>
              <w:t xml:space="preserve">Insect resistance removal from Field of Use</w:t>
            </w:r>
          </w:p>
        </w:tc>
        <w:tc>
          <w:tcPr/>
          <w:p>
            <w:pPr>
              <w:pStyle w:val="Compact"/>
              <w:jc w:val="left"/>
            </w:pPr>
            <w:r>
              <w:t xml:space="preserve">Removes IR; adds wheat</w:t>
            </w:r>
          </w:p>
        </w:tc>
        <w:tc>
          <w:tcPr/>
          <w:p>
            <w:pPr>
              <w:pStyle w:val="Compact"/>
              <w:jc w:val="left"/>
            </w:pPr>
            <w:r>
              <w:t xml:space="preserve">IR is core product line (~30% of License A revenue)</w:t>
            </w:r>
          </w:p>
        </w:tc>
        <w:tc>
          <w:tcPr/>
          <w:p>
            <w:pPr>
              <w:pStyle w:val="Compact"/>
              <w:jc w:val="left"/>
            </w:pPr>
            <w:r>
              <w:t xml:space="preserve">Retain insect resistance AND add wheat; accept modest rate premium for expanded scope; require concurrent transitional IR license if IR truly constrained</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B</w:t>
            </w:r>
          </w:p>
        </w:tc>
        <w:tc>
          <w:tcPr/>
          <w:p>
            <w:pPr>
              <w:pStyle w:val="Compact"/>
              <w:jc w:val="left"/>
            </w:pPr>
            <w:r>
              <w:t xml:space="preserve">Audit rights expansion</w:t>
            </w:r>
          </w:p>
        </w:tc>
        <w:tc>
          <w:tcPr/>
          <w:p>
            <w:pPr>
              <w:pStyle w:val="Compact"/>
              <w:jc w:val="left"/>
            </w:pPr>
            <w:r>
              <w:t xml:space="preserve">2x/year, 15 business days’ notice, 5-year look-back</w:t>
            </w:r>
          </w:p>
        </w:tc>
        <w:tc>
          <w:tcPr/>
          <w:p>
            <w:pPr>
              <w:pStyle w:val="Compact"/>
              <w:jc w:val="left"/>
            </w:pPr>
            <w:r>
              <w:t xml:space="preserve">Current 1x/year, 30 calendar days, 3-year look-back</w:t>
            </w:r>
          </w:p>
        </w:tc>
        <w:tc>
          <w:tcPr/>
          <w:p>
            <w:pPr>
              <w:pStyle w:val="Compact"/>
              <w:jc w:val="left"/>
            </w:pPr>
            <w:r>
              <w:t xml:space="preserve">1x/year retained; accept 20 business days’ notice; 3-year look-back</w:t>
            </w:r>
          </w:p>
        </w:tc>
        <w:tc>
          <w:tcPr/>
          <w:p>
            <w:pPr>
              <w:pStyle w:val="Compact"/>
              <w:jc w:val="left"/>
            </w:pPr>
            <w:r>
              <w:t xml:space="preserve">LOW</w:t>
            </w:r>
          </w:p>
        </w:tc>
      </w:tr>
      <w:tr>
        <w:tc>
          <w:tcPr/>
          <w:p>
            <w:pPr>
              <w:pStyle w:val="Compact"/>
              <w:jc w:val="left"/>
            </w:pPr>
            <w:r>
              <w:t xml:space="preserve">13</w:t>
            </w:r>
          </w:p>
        </w:tc>
        <w:tc>
          <w:tcPr/>
          <w:p>
            <w:pPr>
              <w:pStyle w:val="Compact"/>
              <w:jc w:val="left"/>
            </w:pPr>
            <w:r>
              <w:t xml:space="preserve">A</w:t>
            </w:r>
          </w:p>
        </w:tc>
        <w:tc>
          <w:tcPr/>
          <w:p>
            <w:pPr>
              <w:pStyle w:val="Compact"/>
              <w:jc w:val="left"/>
            </w:pPr>
            <w:r>
              <w:t xml:space="preserve">Anti-stacking floor</w:t>
            </w:r>
          </w:p>
        </w:tc>
        <w:tc>
          <w:tcPr/>
          <w:p>
            <w:pPr>
              <w:pStyle w:val="Compact"/>
              <w:jc w:val="left"/>
            </w:pPr>
            <w:r>
              <w:t xml:space="preserve">25% quarterly cap; 4.75% floor</w:t>
            </w:r>
          </w:p>
        </w:tc>
        <w:tc>
          <w:tcPr/>
          <w:p>
            <w:pPr>
              <w:pStyle w:val="Compact"/>
              <w:jc w:val="left"/>
            </w:pPr>
            <w:r>
              <w:t xml:space="preserve">Beneficial but floor limits utility</w:t>
            </w:r>
          </w:p>
        </w:tc>
        <w:tc>
          <w:tcPr/>
          <w:p>
            <w:pPr>
              <w:pStyle w:val="Compact"/>
              <w:jc w:val="left"/>
            </w:pPr>
            <w:r>
              <w:t xml:space="preserve">Accept with floor measured against calculated (not minimum) royalty</w:t>
            </w:r>
          </w:p>
        </w:tc>
        <w:tc>
          <w:tcPr/>
          <w:p>
            <w:pPr>
              <w:pStyle w:val="Compact"/>
              <w:jc w:val="left"/>
            </w:pPr>
            <w:r>
              <w:t xml:space="preserve">LOW</w:t>
            </w:r>
          </w:p>
        </w:tc>
      </w:tr>
      <w:tr>
        <w:tc>
          <w:tcPr/>
          <w:p>
            <w:pPr>
              <w:pStyle w:val="Compact"/>
              <w:jc w:val="left"/>
            </w:pPr>
            <w:r>
              <w:t xml:space="preserve">14</w:t>
            </w:r>
          </w:p>
        </w:tc>
        <w:tc>
          <w:tcPr/>
          <w:p>
            <w:pPr>
              <w:pStyle w:val="Compact"/>
              <w:jc w:val="left"/>
            </w:pPr>
            <w:r>
              <w:t xml:space="preserve">C</w:t>
            </w:r>
          </w:p>
        </w:tc>
        <w:tc>
          <w:tcPr/>
          <w:p>
            <w:pPr>
              <w:pStyle w:val="Compact"/>
              <w:jc w:val="left"/>
            </w:pPr>
            <w:r>
              <w:t xml:space="preserve">Version 5.x conversion tool cost</w:t>
            </w:r>
          </w:p>
        </w:tc>
        <w:tc>
          <w:tcPr/>
          <w:p>
            <w:pPr>
              <w:pStyle w:val="Compact"/>
              <w:jc w:val="left"/>
            </w:pPr>
            <w:r>
              <w:t xml:space="preserve">$175,000 additional</w:t>
            </w:r>
          </w:p>
        </w:tc>
        <w:tc>
          <w:tcPr/>
          <w:p>
            <w:pPr>
              <w:pStyle w:val="Compact"/>
              <w:jc w:val="left"/>
            </w:pPr>
            <w:r>
              <w:t xml:space="preserve">Should be included in renewal fee</w:t>
            </w:r>
          </w:p>
        </w:tc>
        <w:tc>
          <w:tcPr/>
          <w:p>
            <w:pPr>
              <w:pStyle w:val="Compact"/>
              <w:jc w:val="left"/>
            </w:pPr>
            <w:r>
              <w:t xml:space="preserve">Conversion tool included at no cost as condition of renewal</w:t>
            </w:r>
          </w:p>
        </w:tc>
        <w:tc>
          <w:tcPr/>
          <w:p>
            <w:pPr>
              <w:pStyle w:val="Compact"/>
              <w:jc w:val="left"/>
            </w:pPr>
            <w:r>
              <w:t xml:space="preserve">LOW</w:t>
            </w:r>
          </w:p>
        </w:tc>
      </w:tr>
    </w:tbl>
    <w:p>
      <w:pPr>
        <w:pStyle w:val="BodyText"/>
      </w:pPr>
      <w:r>
        <w:rPr>
          <w:b/>
          <w:bCs/>
        </w:rPr>
        <w:t xml:space="preserve">Additional items to raise (not in the matrix above):</w:t>
      </w:r>
    </w:p>
    <w:p>
      <w:pPr>
        <w:pStyle w:val="Compact"/>
        <w:numPr>
          <w:ilvl w:val="0"/>
          <w:numId w:val="1005"/>
        </w:numPr>
      </w:pPr>
      <w:r>
        <w:rPr>
          <w:b/>
          <w:bCs/>
        </w:rPr>
        <w:t xml:space="preserve">License A MFL.</w:t>
      </w:r>
      <w:r>
        <w:t xml:space="preserve"> </w:t>
      </w:r>
      <w:r>
        <w:t xml:space="preserve">Verify that NovaTrait’s exclusive IR license to the third party does not trigger Most-Favored-Licensee obligations in favor of Greenfield.</w:t>
      </w:r>
    </w:p>
    <w:p>
      <w:pPr>
        <w:pStyle w:val="Compact"/>
        <w:numPr>
          <w:ilvl w:val="0"/>
          <w:numId w:val="1005"/>
        </w:numPr>
      </w:pPr>
      <w:r>
        <w:rPr>
          <w:b/>
          <w:bCs/>
        </w:rPr>
        <w:t xml:space="preserve">License A Licensed Patents schedule.</w:t>
      </w:r>
      <w:r>
        <w:t xml:space="preserve"> </w:t>
      </w:r>
      <w:r>
        <w:t xml:space="preserve">Review the expanded schedule (Appendix A) to confirm each added family is within the Field of Use and provides meaningful exclusivity, especially for wheat.</w:t>
      </w:r>
    </w:p>
    <w:p>
      <w:pPr>
        <w:pStyle w:val="Compact"/>
        <w:numPr>
          <w:ilvl w:val="0"/>
          <w:numId w:val="1005"/>
        </w:numPr>
      </w:pPr>
      <w:r>
        <w:rPr>
          <w:b/>
          <w:bCs/>
        </w:rPr>
        <w:t xml:space="preserve">License B Territory.</w:t>
      </w:r>
      <w:r>
        <w:t xml:space="preserve"> </w:t>
      </w:r>
      <w:r>
        <w:t xml:space="preserve">Confirm in writing that the Territory remains the Western Hemisphere (§1.19), correcting the Proposal’s</w:t>
      </w:r>
      <w:r>
        <w:t xml:space="preserve"> </w:t>
      </w:r>
      <w:r>
        <w:t xml:space="preserve">“</w:t>
      </w:r>
      <w:r>
        <w:t xml:space="preserve">worldwide</w:t>
      </w:r>
      <w:r>
        <w:t xml:space="preserve">”</w:t>
      </w:r>
      <w:r>
        <w:t xml:space="preserve"> </w:t>
      </w:r>
      <w:r>
        <w:t xml:space="preserve">language.</w:t>
      </w:r>
    </w:p>
    <w:p>
      <w:pPr>
        <w:pStyle w:val="Compact"/>
        <w:numPr>
          <w:ilvl w:val="0"/>
          <w:numId w:val="1005"/>
        </w:numPr>
      </w:pPr>
      <w:r>
        <w:rPr>
          <w:b/>
          <w:bCs/>
        </w:rPr>
        <w:t xml:space="preserve">License B cross-reference.</w:t>
      </w:r>
      <w:r>
        <w:t xml:space="preserve"> </w:t>
      </w:r>
      <w:r>
        <w:t xml:space="preserve">Correct the Proposal’s erroneous reference to</w:t>
      </w:r>
      <w:r>
        <w:t xml:space="preserve"> </w:t>
      </w:r>
      <w:r>
        <w:t xml:space="preserve">“</w:t>
      </w:r>
      <w:r>
        <w:t xml:space="preserve">Section 12.4</w:t>
      </w:r>
      <w:r>
        <w:t xml:space="preserve">”</w:t>
      </w:r>
      <w:r>
        <w:t xml:space="preserve"> </w:t>
      </w:r>
      <w:r>
        <w:t xml:space="preserve">(insolvency) for sublicense consent; the correct provision is Section 3.3.</w:t>
      </w:r>
    </w:p>
    <w:p>
      <w:pPr>
        <w:pStyle w:val="Compact"/>
        <w:numPr>
          <w:ilvl w:val="0"/>
          <w:numId w:val="1005"/>
        </w:numPr>
      </w:pPr>
      <w:r>
        <w:rPr>
          <w:b/>
          <w:bCs/>
        </w:rPr>
        <w:t xml:space="preserve">Counsel identification.</w:t>
      </w:r>
      <w:r>
        <w:t xml:space="preserve"> </w:t>
      </w:r>
      <w:r>
        <w:t xml:space="preserve">Correct NovaTrait’s cover-letter reference to</w:t>
      </w:r>
      <w:r>
        <w:t xml:space="preserve"> </w:t>
      </w:r>
      <w:r>
        <w:t xml:space="preserve">“</w:t>
      </w:r>
      <w:r>
        <w:t xml:space="preserve">Bergerac Whitlock LLP</w:t>
      </w:r>
      <w:r>
        <w:t xml:space="preserve">”</w:t>
      </w:r>
      <w:r>
        <w:t xml:space="preserve">; Greenfield’s counsel of record is Ashworth &amp; Calder LLP.</w:t>
      </w:r>
    </w:p>
    <w:p>
      <w:pPr>
        <w:pStyle w:val="Compact"/>
        <w:numPr>
          <w:ilvl w:val="0"/>
          <w:numId w:val="1005"/>
        </w:numPr>
      </w:pPr>
      <w:r>
        <w:rPr>
          <w:b/>
          <w:bCs/>
        </w:rPr>
        <w:t xml:space="preserve">Term harmonization.</w:t>
      </w:r>
      <w:r>
        <w:t xml:space="preserve"> </w:t>
      </w:r>
      <w:r>
        <w:t xml:space="preserve">Evaluate NovaTrait’s offer (Part IV) to harmonize License C to a five-year term at an incremental fee, if the price and source-code/data terms are acceptable.</w:t>
      </w:r>
    </w:p>
    <w:p>
      <w:pPr>
        <w:pStyle w:val="Compact"/>
        <w:numPr>
          <w:ilvl w:val="0"/>
          <w:numId w:val="1005"/>
        </w:numPr>
      </w:pPr>
      <w:r>
        <w:rPr>
          <w:b/>
          <w:bCs/>
        </w:rPr>
        <w:t xml:space="preserve">Coordinated payment schedule.</w:t>
      </w:r>
      <w:r>
        <w:t xml:space="preserve"> </w:t>
      </w:r>
      <w:r>
        <w:t xml:space="preserve">NovaTrait proposes consolidating all royalties and fees into a single quarterly statement (Part IV, Item 2). This is administratively convenient and acceptable, provided the supporting schedules remain detailed by license and product.</w:t>
      </w:r>
    </w:p>
    <w:p>
      <w:r>
        <w:pict>
          <v:rect style="width:0;height:1.5pt" o:hralign="center" o:hrstd="t" o:hr="t"/>
        </w:pict>
      </w:r>
    </w:p>
    <w:bookmarkEnd w:id="56"/>
    <w:bookmarkStart w:id="57" w:name="xii.-switching-cost-batna-summary"/>
    <w:p>
      <w:pPr>
        <w:pStyle w:val="Heading2"/>
      </w:pPr>
      <w:r>
        <w:t xml:space="preserve">XII. Switching Cost / BATNA Summary</w:t>
      </w:r>
    </w:p>
    <w:p>
      <w:pPr>
        <w:pStyle w:val="FirstParagraph"/>
      </w:pPr>
      <w:r>
        <w:t xml:space="preserve">The switching-cost analyses confirm the differentiated leverage profile and should inform (but not dictate) Greenfield’s posture.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License</w:t>
            </w:r>
          </w:p>
        </w:tc>
        <w:tc>
          <w:tcPr/>
          <w:p>
            <w:pPr>
              <w:pStyle w:val="Compact"/>
              <w:jc w:val="left"/>
            </w:pPr>
            <w:r>
              <w:t xml:space="preserve">Alternative</w:t>
            </w:r>
          </w:p>
        </w:tc>
        <w:tc>
          <w:tcPr/>
          <w:p>
            <w:pPr>
              <w:pStyle w:val="Compact"/>
              <w:jc w:val="left"/>
            </w:pPr>
            <w:r>
              <w:t xml:space="preserve">One-Time / Development Cost</w:t>
            </w:r>
          </w:p>
        </w:tc>
        <w:tc>
          <w:tcPr/>
          <w:p>
            <w:pPr>
              <w:pStyle w:val="Compact"/>
              <w:jc w:val="left"/>
            </w:pPr>
            <w:r>
              <w:t xml:space="preserve">Annual Savings</w:t>
            </w:r>
          </w:p>
        </w:tc>
        <w:tc>
          <w:tcPr/>
          <w:p>
            <w:pPr>
              <w:pStyle w:val="Compact"/>
              <w:jc w:val="left"/>
            </w:pPr>
            <w:r>
              <w:t xml:space="preserve">Break-Even</w:t>
            </w:r>
          </w:p>
        </w:tc>
        <w:tc>
          <w:tcPr/>
          <w:p>
            <w:pPr>
              <w:pStyle w:val="Compact"/>
              <w:jc w:val="left"/>
            </w:pPr>
            <w:r>
              <w:t xml:space="preserve">Assessment</w:t>
            </w:r>
          </w:p>
        </w:tc>
      </w:tr>
      <w:tr>
        <w:tc>
          <w:tcPr/>
          <w:p>
            <w:pPr>
              <w:pStyle w:val="Compact"/>
              <w:jc w:val="left"/>
            </w:pPr>
            <w:r>
              <w:t xml:space="preserve">A</w:t>
            </w:r>
          </w:p>
        </w:tc>
        <w:tc>
          <w:tcPr/>
          <w:p>
            <w:pPr>
              <w:pStyle w:val="Compact"/>
              <w:jc w:val="left"/>
            </w:pPr>
            <w:r>
              <w:t xml:space="preserve">AgriGenome / CropTech (post-2028)</w:t>
            </w:r>
          </w:p>
        </w:tc>
        <w:tc>
          <w:tcPr/>
          <w:p>
            <w:pPr>
              <w:pStyle w:val="Compact"/>
              <w:jc w:val="left"/>
            </w:pPr>
            <w:r>
              <w:t xml:space="preserve">Direct $16.65–23.6M (mid ~$20.1M); + indirect $24.65–38.6M</w:t>
            </w:r>
          </w:p>
        </w:tc>
        <w:tc>
          <w:tcPr/>
          <w:p>
            <w:pPr>
              <w:pStyle w:val="Compact"/>
              <w:jc w:val="left"/>
            </w:pPr>
            <w:r>
              <w:t xml:space="preserve">$3–6M/yr</w:t>
            </w:r>
          </w:p>
        </w:tc>
        <w:tc>
          <w:tcPr/>
          <w:p>
            <w:pPr>
              <w:pStyle w:val="Compact"/>
              <w:jc w:val="left"/>
            </w:pPr>
            <w:r>
              <w:t xml:space="preserve">2.8–7.9 yrs (direct); 4.1–12.9 yrs (direct+indirect)</w:t>
            </w:r>
          </w:p>
        </w:tc>
        <w:tc>
          <w:tcPr/>
          <w:p>
            <w:pPr>
              <w:pStyle w:val="Compact"/>
              <w:jc w:val="left"/>
            </w:pPr>
            <w:r>
              <w:t xml:space="preserve">Not economically justified near-term; use as leverage for 5.0–5.5% rate; re-evaluate post-2028</w:t>
            </w:r>
          </w:p>
        </w:tc>
      </w:tr>
      <w:tr>
        <w:tc>
          <w:tcPr/>
          <w:p>
            <w:pPr>
              <w:pStyle w:val="Compact"/>
              <w:jc w:val="left"/>
            </w:pPr>
            <w:r>
              <w:t xml:space="preserve">B</w:t>
            </w:r>
          </w:p>
        </w:tc>
        <w:tc>
          <w:tcPr/>
          <w:p>
            <w:pPr>
              <w:pStyle w:val="Compact"/>
              <w:jc w:val="left"/>
            </w:pPr>
            <w:r>
              <w:t xml:space="preserve">Internal development</w:t>
            </w:r>
          </w:p>
        </w:tc>
        <w:tc>
          <w:tcPr/>
          <w:p>
            <w:pPr>
              <w:pStyle w:val="Compact"/>
              <w:jc w:val="left"/>
            </w:pPr>
            <w:r>
              <w:t xml:space="preserve">$24.3–33.7M (mid ~$29M); + opportunity $44.3–66.7M total; 3–4 yrs</w:t>
            </w:r>
          </w:p>
        </w:tc>
        <w:tc>
          <w:tcPr/>
          <w:p>
            <w:pPr>
              <w:pStyle w:val="Compact"/>
              <w:jc w:val="left"/>
            </w:pPr>
            <w:r>
              <w:t xml:space="preserve">N/A (no alternative)</w:t>
            </w:r>
          </w:p>
        </w:tc>
        <w:tc>
          <w:tcPr/>
          <w:p>
            <w:pPr>
              <w:pStyle w:val="Compact"/>
              <w:jc w:val="left"/>
            </w:pPr>
            <w:r>
              <w:t xml:space="preserve">N/A</w:t>
            </w:r>
          </w:p>
        </w:tc>
        <w:tc>
          <w:tcPr/>
          <w:p>
            <w:pPr>
              <w:pStyle w:val="Compact"/>
              <w:jc w:val="left"/>
            </w:pPr>
            <w:r>
              <w:t xml:space="preserve">Minimal leverage; negotiate to 4.25–4.5%; secure long term</w:t>
            </w:r>
          </w:p>
        </w:tc>
      </w:tr>
      <w:tr>
        <w:tc>
          <w:tcPr/>
          <w:p>
            <w:pPr>
              <w:pStyle w:val="Compact"/>
              <w:jc w:val="left"/>
            </w:pPr>
            <w:r>
              <w:t xml:space="preserve">C</w:t>
            </w:r>
          </w:p>
        </w:tc>
        <w:tc>
          <w:tcPr/>
          <w:p>
            <w:pPr>
              <w:pStyle w:val="Compact"/>
              <w:jc w:val="left"/>
            </w:pPr>
            <w:r>
              <w:t xml:space="preserve">BioSphere / PlantLogic / TraitView</w:t>
            </w:r>
          </w:p>
        </w:tc>
        <w:tc>
          <w:tcPr/>
          <w:p>
            <w:pPr>
              <w:pStyle w:val="Compact"/>
              <w:jc w:val="left"/>
            </w:pPr>
            <w:r>
              <w:t xml:space="preserve">$2.55–4.375M (mid ~$3.5M)</w:t>
            </w:r>
          </w:p>
        </w:tc>
        <w:tc>
          <w:tcPr/>
          <w:p>
            <w:pPr>
              <w:pStyle w:val="Compact"/>
              <w:jc w:val="left"/>
            </w:pPr>
            <w:r>
              <w:t xml:space="preserve">$1.78–3.48M/yr</w:t>
            </w:r>
          </w:p>
        </w:tc>
        <w:tc>
          <w:tcPr/>
          <w:p>
            <w:pPr>
              <w:pStyle w:val="Compact"/>
              <w:jc w:val="left"/>
            </w:pPr>
            <w:r>
              <w:t xml:space="preserve">0.7–2.5 yrs</w:t>
            </w:r>
          </w:p>
        </w:tc>
        <w:tc>
          <w:tcPr/>
          <w:p>
            <w:pPr>
              <w:pStyle w:val="Compact"/>
              <w:jc w:val="left"/>
            </w:pPr>
            <w:r>
              <w:t xml:space="preserve">Strongest switching case; use as leverage for $3.5–4.0M; maintain access during 12–18 mo transition</w:t>
            </w:r>
          </w:p>
        </w:tc>
      </w:tr>
    </w:tbl>
    <w:p>
      <w:pPr>
        <w:pStyle w:val="BodyText"/>
      </w:pPr>
      <w:r>
        <w:rPr>
          <w:b/>
          <w:bCs/>
        </w:rPr>
        <w:t xml:space="preserve">Strategic synthesis.</w:t>
      </w:r>
      <w:r>
        <w:t xml:space="preserve"> </w:t>
      </w:r>
      <w:r>
        <w:t xml:space="preserve">Greenfield’s overall BATNA is weak on License B (irreplaceable), moderate and improving on License A (alternatives emerging post-2028), and strong on License C (alternatives available now). The negotiation should therefore: (i) concede least on License C, where Greenfield can credibly walk; (ii) negotiate firmly but pragmatically on License A, where the 2028 patent expiry and emerging competition support a lower rate and a step-down; and (iii) prioritize securing License B on acceptable long-term terms, accepting that some rate increase is likely unavoidable but resisting the above-market 5.0% and the operational-risk terms.</w:t>
      </w:r>
    </w:p>
    <w:p>
      <w:r>
        <w:pict>
          <v:rect style="width:0;height:1.5pt" o:hralign="center" o:hrstd="t" o:hr="t"/>
        </w:pict>
      </w:r>
    </w:p>
    <w:bookmarkEnd w:id="57"/>
    <w:bookmarkStart w:id="58" w:name="Xf9dc515047e01901e167a1f209b9b654c6e183f"/>
    <w:p>
      <w:pPr>
        <w:pStyle w:val="Heading2"/>
      </w:pPr>
      <w:r>
        <w:t xml:space="preserve">XIII. Recommended Action Plan and Next Steps</w:t>
      </w:r>
    </w:p>
    <w:p>
      <w:pPr>
        <w:pStyle w:val="Compact"/>
        <w:numPr>
          <w:ilvl w:val="0"/>
          <w:numId w:val="1006"/>
        </w:numPr>
      </w:pPr>
      <w:r>
        <w:rPr>
          <w:b/>
          <w:bCs/>
        </w:rPr>
        <w:t xml:space="preserve">Immediately (this week):</w:t>
      </w:r>
    </w:p>
    <w:p>
      <w:pPr>
        <w:pStyle w:val="Compact"/>
        <w:numPr>
          <w:ilvl w:val="1"/>
          <w:numId w:val="1007"/>
        </w:numPr>
      </w:pPr>
      <w:r>
        <w:t xml:space="preserve">Confirm with the General Counsel that renewal notices for License B (Sep 30, 2024) and License C (Nov 30, 2024) were timely delivered; preserve evidence of delivery.</w:t>
      </w:r>
    </w:p>
    <w:p>
      <w:pPr>
        <w:pStyle w:val="Compact"/>
        <w:numPr>
          <w:ilvl w:val="1"/>
          <w:numId w:val="1007"/>
        </w:numPr>
      </w:pPr>
      <w:r>
        <w:t xml:space="preserve">Secure an interim/holdover access arrangement for License C before February 28, 2025 to avoid any service interruption.</w:t>
      </w:r>
    </w:p>
    <w:p>
      <w:pPr>
        <w:pStyle w:val="Compact"/>
        <w:numPr>
          <w:ilvl w:val="1"/>
          <w:numId w:val="1007"/>
        </w:numPr>
      </w:pPr>
      <w:r>
        <w:t xml:space="preserve">Open discussions with Prairielands regarding parallel renewal of the sublicense, contingent on the License B renewal.</w:t>
      </w:r>
    </w:p>
    <w:p>
      <w:pPr>
        <w:pStyle w:val="Compact"/>
        <w:numPr>
          <w:ilvl w:val="0"/>
          <w:numId w:val="1006"/>
        </w:numPr>
      </w:pPr>
      <w:r>
        <w:rPr>
          <w:b/>
          <w:bCs/>
        </w:rPr>
        <w:t xml:space="preserve">On or before March 31, 2025:</w:t>
      </w:r>
    </w:p>
    <w:p>
      <w:pPr>
        <w:pStyle w:val="Compact"/>
        <w:numPr>
          <w:ilvl w:val="1"/>
          <w:numId w:val="1008"/>
        </w:numPr>
      </w:pPr>
      <w:r>
        <w:t xml:space="preserve">Deliver the License A renewal notice to NovaTrait (§14.2), expressly reserving all rights.</w:t>
      </w:r>
    </w:p>
    <w:p>
      <w:pPr>
        <w:pStyle w:val="Compact"/>
        <w:numPr>
          <w:ilvl w:val="0"/>
          <w:numId w:val="1006"/>
        </w:numPr>
      </w:pPr>
      <w:r>
        <w:rPr>
          <w:b/>
          <w:bCs/>
        </w:rPr>
        <w:t xml:space="preserve">On or before April 15, 2025:</w:t>
      </w:r>
    </w:p>
    <w:p>
      <w:pPr>
        <w:pStyle w:val="Compact"/>
        <w:numPr>
          <w:ilvl w:val="1"/>
          <w:numId w:val="1009"/>
        </w:numPr>
      </w:pPr>
      <w:r>
        <w:t xml:space="preserve">Transmit a comprehensive counter-proposal covering all three licenses, incorporating the counter-positions in Section XI, the rate-cap argument in Section X, and the royalty step-down for License A (Section IV.F).</w:t>
      </w:r>
    </w:p>
    <w:p>
      <w:pPr>
        <w:pStyle w:val="Compact"/>
        <w:numPr>
          <w:ilvl w:val="1"/>
          <w:numId w:val="1009"/>
        </w:numPr>
      </w:pPr>
      <w:r>
        <w:t xml:space="preserve">Demand a written extension of the License B standstill to December 31, 2025 as a condition of continued negotiation.</w:t>
      </w:r>
    </w:p>
    <w:p>
      <w:pPr>
        <w:pStyle w:val="Compact"/>
        <w:numPr>
          <w:ilvl w:val="0"/>
          <w:numId w:val="1006"/>
        </w:numPr>
      </w:pPr>
      <w:r>
        <w:rPr>
          <w:b/>
          <w:bCs/>
        </w:rPr>
        <w:t xml:space="preserve">In parallel:</w:t>
      </w:r>
    </w:p>
    <w:p>
      <w:pPr>
        <w:pStyle w:val="Compact"/>
        <w:numPr>
          <w:ilvl w:val="1"/>
          <w:numId w:val="1010"/>
        </w:numPr>
      </w:pPr>
      <w:r>
        <w:t xml:space="preserve">Commission an updated patent landscape analysis (Clarendon or equivalent) focused on the AgriGenome Solutions and CropTech Innovations portfolios and the post-2028 competitive landscape, to support the License A step-down and the IFMV assessment.</w:t>
      </w:r>
    </w:p>
    <w:p>
      <w:pPr>
        <w:pStyle w:val="Compact"/>
        <w:numPr>
          <w:ilvl w:val="1"/>
          <w:numId w:val="1010"/>
        </w:numPr>
      </w:pPr>
      <w:r>
        <w:t xml:space="preserve">Obtain fresh competitive proposals from BioSphere Analytics, PlantLogic Suite, and TraitView Pro to support the License C negotiation and maintain a credible BATNA.</w:t>
      </w:r>
    </w:p>
    <w:p>
      <w:pPr>
        <w:pStyle w:val="Compact"/>
        <w:numPr>
          <w:ilvl w:val="1"/>
          <w:numId w:val="1010"/>
        </w:numPr>
      </w:pPr>
      <w:r>
        <w:t xml:space="preserve">Prepare a draft transitional insect-resistance license term sheet for use in the License A negotiation, in case NovaTrait is genuinely constrained on IR.</w:t>
      </w:r>
    </w:p>
    <w:p>
      <w:pPr>
        <w:pStyle w:val="Compact"/>
        <w:numPr>
          <w:ilvl w:val="0"/>
          <w:numId w:val="1006"/>
        </w:numPr>
      </w:pPr>
      <w:r>
        <w:rPr>
          <w:b/>
          <w:bCs/>
        </w:rPr>
        <w:t xml:space="preserve">Negotiation cadence:</w:t>
      </w:r>
    </w:p>
    <w:p>
      <w:pPr>
        <w:pStyle w:val="Compact"/>
        <w:numPr>
          <w:ilvl w:val="1"/>
          <w:numId w:val="1011"/>
        </w:numPr>
      </w:pPr>
      <w:r>
        <w:t xml:space="preserve">Convene the proposed working session (week of October 28, 2024 in Cambridge or week of November 4, 2024 in Raleigh was offered by NovaTrait; given the elapsed time, propose a new session in late March / early April 2025).</w:t>
      </w:r>
    </w:p>
    <w:p>
      <w:pPr>
        <w:pStyle w:val="Compact"/>
        <w:numPr>
          <w:ilvl w:val="1"/>
          <w:numId w:val="1011"/>
        </w:numPr>
      </w:pPr>
      <w:r>
        <w:t xml:space="preserve">Maintain all communications as confidential settlement communications under Fed. R. Evid. 408 / Mass. R. Evid. 408, with express reservation of rights.</w:t>
      </w:r>
    </w:p>
    <w:p>
      <w:pPr>
        <w:pStyle w:val="Compact"/>
        <w:numPr>
          <w:ilvl w:val="0"/>
          <w:numId w:val="1006"/>
        </w:numPr>
      </w:pPr>
      <w:r>
        <w:rPr>
          <w:b/>
          <w:bCs/>
        </w:rPr>
        <w:t xml:space="preserve">Board reporting:</w:t>
      </w:r>
    </w:p>
    <w:p>
      <w:pPr>
        <w:pStyle w:val="Compact"/>
        <w:numPr>
          <w:ilvl w:val="1"/>
          <w:numId w:val="1012"/>
        </w:numPr>
      </w:pPr>
      <w:r>
        <w:t xml:space="preserve">Provide the Renewal Steering Committee and Board with a status update after the counter-proposal is transmitted, including the financial impact under the counter-terms versus the Proposal.</w:t>
      </w:r>
    </w:p>
    <w:p>
      <w:r>
        <w:pict>
          <v:rect style="width:0;height:1.5pt" o:hralign="center" o:hrstd="t" o:hr="t"/>
        </w:pict>
      </w:r>
    </w:p>
    <w:bookmarkEnd w:id="58"/>
    <w:bookmarkStart w:id="59" w:name="xiv.-conclusion"/>
    <w:p>
      <w:pPr>
        <w:pStyle w:val="Heading2"/>
      </w:pPr>
      <w:r>
        <w:t xml:space="preserve">XIV. Conclusion</w:t>
      </w:r>
    </w:p>
    <w:p>
      <w:pPr>
        <w:pStyle w:val="FirstParagraph"/>
      </w:pPr>
      <w:r>
        <w:t xml:space="preserve">NovaTrait’s Consolidated Renewal Proposal reflects a licensor seeking to capture substantially more value from a mature, revenue-generating relationship at a moment of maximum procedural pressure (License B expired and in standstill; License C about to expire; License A notice deadline approaching). The proposed rates and fees exceed market benchmarks for all three licenses, and several non-price terms — the License A insect-resistance removal and Improvements reversal, the License B biological-materials return and audit expansion, and the License C source-code elimination and Derivative Data ownership clause — would transfer material value and operational risk to Greenfield.</w:t>
      </w:r>
    </w:p>
    <w:p>
      <w:pPr>
        <w:pStyle w:val="BodyText"/>
      </w:pPr>
      <w:r>
        <w:t xml:space="preserve">Greenfield is not without leverage. The License A portfolio’s value declines sharply after March 2028; the License C market offers credible alternatives at a fraction of the proposed cost; and the Section 14.3 rate cap (properly read to capture the combined effective rate) supports a demand for an IFMV assessment and a lower rate. Only on License B is Greenfield’s leverage genuinely limited, and there the strategy should be to secure a long-term renewal at a rate within the market range while protecting operational continuity.</w:t>
      </w:r>
    </w:p>
    <w:p>
      <w:pPr>
        <w:pStyle w:val="BodyText"/>
      </w:pPr>
      <w:r>
        <w:t xml:space="preserve">We recommend that Greenfield proceed on the timeline above, deliver a firm but constructive counter-proposal reflecting the positions in Section XI, and treat the June 29, 2025 License B standstill expiration as the binding deadline that drives the overall negotiation. We are available to assist with the preparation of the counter-proposal, the standstill extension, the License C holdover arrangement, and the License A renewal notice, and to coordinate with Ridgemont/Oakvale on the financial modeling and with Clarendon on the updated landscape analysis.</w:t>
      </w:r>
    </w:p>
    <w:p>
      <w:r>
        <w:pict>
          <v:rect style="width:0;height:1.5pt" o:hralign="center" o:hrstd="t" o:hr="t"/>
        </w:pict>
      </w:r>
    </w:p>
    <w:p>
      <w:pPr>
        <w:pStyle w:val="FirstParagraph"/>
      </w:pPr>
      <w:r>
        <w:rPr>
          <w:i/>
          <w:iCs/>
        </w:rPr>
        <w:t xml:space="preserve">This memorandum is privileged and confidential, prepared in anticipation of license renewal negotiations, and constitutes attorney-client communication and attorney work product. It should not be distributed outside Greenfield’s Renewal Steering Committee, senior management, and retained advisors without the General Counsel’s approval. The financial projections are based on management estimates and are inherently uncertain; the patent landscape analysis is dated September 14, 2020 and should be updated before finalization. This memorandum does not constitute a final legal opinion on any specific provision.</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2026-06-28T18:26:31Z</dcterms:created>
  <dcterms:modified xsi:type="dcterms:W3CDTF">2026-06-28T18:26:31Z</dcterms:modified>
</cp:coreProperties>
</file>

<file path=docProps/custom.xml><?xml version="1.0" encoding="utf-8"?>
<Properties xmlns="http://schemas.openxmlformats.org/officeDocument/2006/custom-properties" xmlns:vt="http://schemas.openxmlformats.org/officeDocument/2006/docPropsVTypes"/>
</file>