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&amp; CONFIDENTIAL — ATTORNEY-CLIENT COMMUNICATION / ATTORNEY WORK PRODUCT</w:t>
      </w:r>
    </w:p>
    <w:p>
      <w:pPr>
        <w:pStyle w:val="BodyText"/>
      </w:pPr>
      <w:r>
        <w:rPr>
          <w:b/>
          <w:bCs/>
        </w:rPr>
        <w:t xml:space="preserve">Prepared for internal use of Greenfield Biosciences, Inc. Subject to Fed. R. Evid. 408 / Mass. R. Evid. 408.</w:t>
      </w:r>
    </w:p>
    <w:p>
      <w:r>
        <w:pict>
          <v:rect style="width:0;height:1.5pt" o:hralign="center" o:hrstd="t" o:hr="t"/>
        </w:pict>
      </w:r>
    </w:p>
    <w:p>
      <w:pPr>
        <w:pStyle w:val="FirstParagraph"/>
      </w:pPr>
      <w:r>
        <w:rPr>
          <w:b/>
          <w:bCs/>
        </w:rPr>
        <w:t xml:space="preserve">TO:</w:t>
      </w:r>
      <w:r>
        <w:t xml:space="preserve"> </w:t>
      </w:r>
      <w:r>
        <w:t xml:space="preserve">Dr. Eleanor Harrington, Chief Executive Officer; Marcus J. Whitfield, Esq., General Counsel — Greenfield Biosciences, Inc.</w:t>
      </w:r>
    </w:p>
    <w:p>
      <w:pPr>
        <w:pStyle w:val="BodyText"/>
      </w:pPr>
      <w:r>
        <w:rPr>
          <w:b/>
          <w:bCs/>
        </w:rPr>
        <w:t xml:space="preserve">FROM:</w:t>
      </w:r>
      <w:r>
        <w:t xml:space="preserve"> </w:t>
      </w:r>
      <w:r>
        <w:t xml:space="preserve">Office of the General Counsel &amp; Licensing &amp; Business Development, Greenfield Biosciences, Inc. (with support from Ashworth &amp; Calder LLP, outside counsel; Ridgemont/Oakvale Advisory Group, financial advisors; and Clarendon Intellectual Property Consulting, LLC, patent landscape analysis)</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Analysis of NovaTrait Genomics Corporation’s Consolidated Renewal Proposal for License A (CRISPR-Ag Suite), License B (TraitForge), and License C (GenoMap Pro) — Financial Impact, IP/Portfolio Assessment, Risk Flags, and Recommended Negotiation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NovaTrait Genomics Corporation (</w:t>
      </w:r>
      <w:r>
        <w:t xml:space="preserve">“</w:t>
      </w:r>
      <w:r>
        <w:t xml:space="preserve">NovaTrait</w:t>
      </w:r>
      <w:r>
        <w:t xml:space="preserve">”</w:t>
      </w:r>
      <w:r>
        <w:t xml:space="preserve">) has submitted a consolidated renewal proposal (the</w:t>
      </w:r>
      <w:r>
        <w:t xml:space="preserve"> </w:t>
      </w:r>
      <w:r>
        <w:t xml:space="preserve">“</w:t>
      </w:r>
      <w:r>
        <w:t xml:space="preserve">Proposal</w:t>
      </w:r>
      <w:r>
        <w:t xml:space="preserve">”</w:t>
      </w:r>
      <w:r>
        <w:t xml:space="preserve">) covering all three of the intellectual-property and software license agreements between NovaTrait and Greenfield Biosciences, Inc. (</w:t>
      </w:r>
      <w:r>
        <w:t xml:space="preserve">“</w:t>
      </w:r>
      <w:r>
        <w:t xml:space="preserve">Greenfield</w:t>
      </w:r>
      <w:r>
        <w:t xml:space="preserve">”</w:t>
      </w:r>
      <w:r>
        <w:t xml:space="preserve">): (i) the CRISPR-Ag Suite Gene-Editing Platform license, No. NT-GF-2015-001, dated July 1, 2015 (</w:t>
      </w:r>
      <w:r>
        <w:t xml:space="preserve">“</w:t>
      </w:r>
      <w:r>
        <w:t xml:space="preserve">License A</w:t>
      </w:r>
      <w:r>
        <w:t xml:space="preserve">”</w:t>
      </w:r>
      <w:r>
        <w:t xml:space="preserve">); (ii) the TraitForge Plant Trait Expression Platform license, dated January 1, 2018 (</w:t>
      </w:r>
      <w:r>
        <w:t xml:space="preserve">“</w:t>
      </w:r>
      <w:r>
        <w:t xml:space="preserve">License B</w:t>
      </w:r>
      <w:r>
        <w:t xml:space="preserve">”</w:t>
      </w:r>
      <w:r>
        <w:t xml:space="preserve">); and (iii) the GenoMap Pro Software license, dated March 1, 2020 (</w:t>
      </w:r>
      <w:r>
        <w:t xml:space="preserve">“</w:t>
      </w:r>
      <w:r>
        <w:t xml:space="preserve">License C</w:t>
      </w:r>
      <w:r>
        <w:t xml:space="preserve">”</w:t>
      </w:r>
      <w:r>
        <w:t xml:space="preserve">). The Proposal was transmitted in October 2024 and is the subject of the financial impact analysis prepared by Ridgemont/Oakvale Advisory Group dated February 2025 (the</w:t>
      </w:r>
      <w:r>
        <w:t xml:space="preserve"> </w:t>
      </w:r>
      <w:r>
        <w:t xml:space="preserve">“</w:t>
      </w:r>
      <w:r>
        <w:t xml:space="preserve">Financial Analysis</w:t>
      </w:r>
      <w:r>
        <w:t xml:space="preserve">”</w:t>
      </w:r>
      <w:r>
        <w:t xml:space="preserve">) and the patent landscape analysis prepared by Clarendon IP Consulting, LLC dated September 14, 2020 (the</w:t>
      </w:r>
      <w:r>
        <w:t xml:space="preserve"> </w:t>
      </w:r>
      <w:r>
        <w:t xml:space="preserve">“</w:t>
      </w:r>
      <w:r>
        <w:t xml:space="preserve">Clarendon Report</w:t>
      </w:r>
      <w:r>
        <w:t xml:space="preserve">”</w:t>
      </w:r>
      <w:r>
        <w:t xml:space="preserve">).</w:t>
      </w:r>
    </w:p>
    <w:p>
      <w:pPr>
        <w:pStyle w:val="BodyText"/>
      </w:pPr>
      <w:r>
        <w:rPr>
          <w:b/>
          <w:bCs/>
        </w:rPr>
        <w:t xml:space="preserve">Bottom line.</w:t>
      </w:r>
      <w:r>
        <w:t xml:space="preserve"> </w:t>
      </w:r>
      <w:r>
        <w:t xml:space="preserve">The Proposal, taken as a whole, would raise Greenfield’s aggregate annual IP cost from approximately</w:t>
      </w:r>
      <w:r>
        <w:t xml:space="preserve"> </w:t>
      </w:r>
      <w:r>
        <w:rPr>
          <w:b/>
          <w:bCs/>
        </w:rPr>
        <w:t xml:space="preserve">$18.6 million (≈4.81% of FY 2024 revenue)</w:t>
      </w:r>
      <w:r>
        <w:t xml:space="preserve"> </w:t>
      </w:r>
      <w:r>
        <w:t xml:space="preserve">to approximately</w:t>
      </w:r>
      <w:r>
        <w:t xml:space="preserve"> </w:t>
      </w:r>
      <w:r>
        <w:rPr>
          <w:b/>
          <w:bCs/>
        </w:rPr>
        <w:t xml:space="preserve">$27.95 million (≈7.22% of FY 2024 revenue)</w:t>
      </w:r>
      <w:r>
        <w:t xml:space="preserve"> </w:t>
      </w:r>
      <w:r>
        <w:t xml:space="preserve">— an increase of roughly</w:t>
      </w:r>
      <w:r>
        <w:t xml:space="preserve"> </w:t>
      </w:r>
      <w:r>
        <w:rPr>
          <w:b/>
          <w:bCs/>
        </w:rPr>
        <w:t xml:space="preserve">$9.3 million per year (+49.9%)</w:t>
      </w:r>
      <w:r>
        <w:t xml:space="preserve"> </w:t>
      </w:r>
      <w:r>
        <w:t xml:space="preserve">— while simultaneously narrowing Greenfield’s rights in several material respects (elimination of source-code access and output-data ownership under License C; reversal of Greenfield’s sole ownership of improvements to joint ownership with a royalty-free grant-back under Licenses A and B; removal of insect resistance from License A’s Field of Use; and elimination of the biological-materials wind-down period under License B). Every proposed rate and fee exceeds the upper end of the relevant market range identified in the Financial Analysis and the Clarendon Report.</w:t>
      </w:r>
    </w:p>
    <w:p>
      <w:pPr>
        <w:pStyle w:val="BodyText"/>
      </w:pPr>
      <w:r>
        <w:rPr>
          <w:b/>
          <w:bCs/>
        </w:rPr>
        <w:t xml:space="preserve">Recommended posture.</w:t>
      </w:r>
      <w:r>
        <w:t xml:space="preserve"> </w:t>
      </w:r>
      <w:r>
        <w:t xml:space="preserve">Greenfield should renew all three licenses — none is safely walk-away-able today — but should do so on materially revised terms. The three licenses present sharply different leverage profiles and should be negotiated on different tracks:</w:t>
      </w:r>
    </w:p>
    <w:p>
      <w:pPr>
        <w:pStyle w:val="Compact"/>
        <w:numPr>
          <w:ilvl w:val="0"/>
          <w:numId w:val="1001"/>
        </w:numPr>
      </w:pPr>
      <w:r>
        <w:rPr>
          <w:b/>
          <w:bCs/>
        </w:rPr>
        <w:t xml:space="preserve">License B (TraitForge)</w:t>
      </w:r>
      <w:r>
        <w:t xml:space="preserve"> </w:t>
      </w:r>
      <w:r>
        <w:t xml:space="preserve">is Greenfield’s most strategically critical and least substitutable asset (no commercial alternative; 3–4 years and $25–30M to replicate internally). NovaTrait holds the most leverage here. Greenfield’s objective is a long term at a rate pulled back into the market range (3.0%–4.5%), with the operational protections (wind-down, audit) preserved.</w:t>
      </w:r>
      <w:r>
        <w:t xml:space="preserve"> </w:t>
      </w:r>
      <w:r>
        <w:rPr>
          <w:b/>
          <w:bCs/>
        </w:rPr>
        <w:t xml:space="preserve">The single most urgent item is the June 29, 2025 standstill cliff.</w:t>
      </w:r>
    </w:p>
    <w:p>
      <w:pPr>
        <w:pStyle w:val="Compact"/>
        <w:numPr>
          <w:ilvl w:val="0"/>
          <w:numId w:val="1001"/>
        </w:numPr>
      </w:pPr>
      <w:r>
        <w:rPr>
          <w:b/>
          <w:bCs/>
        </w:rPr>
        <w:t xml:space="preserve">License A (CRISPR-Ag Suite)</w:t>
      </w:r>
      <w:r>
        <w:t xml:space="preserve"> </w:t>
      </w:r>
      <w:r>
        <w:t xml:space="preserve">is valuable but declining: the foundational patent (U.S. 9,234,117, ~60% of portfolio value) expires March 12, 2028, mid-renewal-term, and at least two competing platforms are expected to be viable by 2029–2030. Greenfield has meaningful leverage to resist the rate increase and should insist on a royalty step-down tied to the ’117 expiry. The insect-resistance removal and the improvements reversal are each independently unacceptable as proposed.</w:t>
      </w:r>
    </w:p>
    <w:p>
      <w:pPr>
        <w:pStyle w:val="Compact"/>
        <w:numPr>
          <w:ilvl w:val="0"/>
          <w:numId w:val="1001"/>
        </w:numPr>
      </w:pPr>
      <w:r>
        <w:rPr>
          <w:b/>
          <w:bCs/>
        </w:rPr>
        <w:t xml:space="preserve">License C (GenoMap Pro)</w:t>
      </w:r>
      <w:r>
        <w:t xml:space="preserve"> </w:t>
      </w:r>
      <w:r>
        <w:t xml:space="preserve">is Greenfield’s strongest negotiating position: multiple commercial alternatives exist at $1.8M–$3.5M versus a proposed ~$5.28M, with break-even on switching under three years. The source-code elimination and the output-data ownership grab are deal-breakers as drafted.</w:t>
      </w:r>
    </w:p>
    <w:p>
      <w:pPr>
        <w:pStyle w:val="FirstParagraph"/>
      </w:pPr>
      <w:r>
        <w:t xml:space="preserve">A consolidated counter-proposal is targeted for transmission to NovaTrait on or about</w:t>
      </w:r>
      <w:r>
        <w:t xml:space="preserve"> </w:t>
      </w:r>
      <w:r>
        <w:rPr>
          <w:b/>
          <w:bCs/>
        </w:rPr>
        <w:t xml:space="preserve">April 15, 2025</w:t>
      </w:r>
      <w:r>
        <w:t xml:space="preserve">. This memo sets out the analysis supporting that counter-proposal and the recommended positions.</w:t>
      </w:r>
    </w:p>
    <w:p>
      <w:r>
        <w:pict>
          <v:rect style="width:0;height:1.5pt" o:hralign="center" o:hrstd="t" o:hr="t"/>
        </w:pict>
      </w:r>
    </w:p>
    <w:bookmarkEnd w:id="20"/>
    <w:bookmarkStart w:id="24" w:name="background-and-procedural-posture"/>
    <w:p>
      <w:pPr>
        <w:pStyle w:val="Heading2"/>
      </w:pPr>
      <w:r>
        <w:t xml:space="preserve">2. Background and Procedural Posture</w:t>
      </w:r>
    </w:p>
    <w:bookmarkStart w:id="21" w:name="the-three-existing-agreements"/>
    <w:p>
      <w:pPr>
        <w:pStyle w:val="Heading3"/>
      </w:pPr>
      <w:r>
        <w:t xml:space="preserve">2.1 The Three Existing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License A — CRISPR-Ag Suite</w:t>
            </w:r>
          </w:p>
        </w:tc>
        <w:tc>
          <w:tcPr/>
          <w:p>
            <w:pPr>
              <w:pStyle w:val="Compact"/>
              <w:jc w:val="left"/>
            </w:pPr>
            <w:r>
              <w:rPr>
                <w:b/>
                <w:bCs/>
              </w:rPr>
              <w:t xml:space="preserve">License B — TraitForge</w:t>
            </w:r>
          </w:p>
        </w:tc>
        <w:tc>
          <w:tcPr/>
          <w:p>
            <w:pPr>
              <w:pStyle w:val="Compact"/>
              <w:jc w:val="left"/>
            </w:pPr>
            <w:r>
              <w:rPr>
                <w:b/>
                <w:bCs/>
              </w:rPr>
              <w:t xml:space="preserve">License C — GenoMap Pro</w:t>
            </w:r>
          </w:p>
        </w:tc>
      </w:tr>
      <w:tr>
        <w:tc>
          <w:tcPr/>
          <w:p>
            <w:pPr>
              <w:pStyle w:val="Compact"/>
              <w:jc w:val="left"/>
            </w:pPr>
            <w:r>
              <w:rPr>
                <w:b/>
                <w:bCs/>
              </w:rPr>
              <w:t xml:space="preserve">Effective date</w:t>
            </w:r>
          </w:p>
        </w:tc>
        <w:tc>
          <w:tcPr/>
          <w:p>
            <w:pPr>
              <w:pStyle w:val="Compact"/>
              <w:jc w:val="left"/>
            </w:pPr>
            <w:r>
              <w:t xml:space="preserve">July 1, 2015</w:t>
            </w:r>
          </w:p>
        </w:tc>
        <w:tc>
          <w:tcPr/>
          <w:p>
            <w:pPr>
              <w:pStyle w:val="Compact"/>
              <w:jc w:val="left"/>
            </w:pPr>
            <w:r>
              <w:t xml:space="preserve">January 1, 2018</w:t>
            </w:r>
          </w:p>
        </w:tc>
        <w:tc>
          <w:tcPr/>
          <w:p>
            <w:pPr>
              <w:pStyle w:val="Compact"/>
              <w:jc w:val="left"/>
            </w:pPr>
            <w:r>
              <w:t xml:space="preserve">March 1, 2020</w:t>
            </w:r>
          </w:p>
        </w:tc>
      </w:tr>
      <w:tr>
        <w:tc>
          <w:tcPr/>
          <w:p>
            <w:pPr>
              <w:pStyle w:val="Compact"/>
              <w:jc w:val="left"/>
            </w:pPr>
            <w:r>
              <w:rPr>
                <w:b/>
                <w:bCs/>
              </w:rPr>
              <w:t xml:space="preserve">Initial term</w:t>
            </w:r>
          </w:p>
        </w:tc>
        <w:tc>
          <w:tcPr/>
          <w:p>
            <w:pPr>
              <w:pStyle w:val="Compact"/>
              <w:jc w:val="left"/>
            </w:pPr>
            <w:r>
              <w:t xml:space="preserve">10 years</w:t>
            </w:r>
          </w:p>
        </w:tc>
        <w:tc>
          <w:tcPr/>
          <w:p>
            <w:pPr>
              <w:pStyle w:val="Compact"/>
              <w:jc w:val="left"/>
            </w:pPr>
            <w:r>
              <w:t xml:space="preserve">7 years</w:t>
            </w:r>
          </w:p>
        </w:tc>
        <w:tc>
          <w:tcPr/>
          <w:p>
            <w:pPr>
              <w:pStyle w:val="Compact"/>
              <w:jc w:val="left"/>
            </w:pPr>
            <w:r>
              <w:t xml:space="preserve">5 years</w:t>
            </w:r>
          </w:p>
        </w:tc>
      </w:tr>
      <w:tr>
        <w:tc>
          <w:tcPr/>
          <w:p>
            <w:pPr>
              <w:pStyle w:val="Compact"/>
              <w:jc w:val="left"/>
            </w:pPr>
            <w:r>
              <w:rPr>
                <w:b/>
                <w:bCs/>
              </w:rPr>
              <w:t xml:space="preserve">Initial term expiration</w:t>
            </w:r>
          </w:p>
        </w:tc>
        <w:tc>
          <w:tcPr/>
          <w:p>
            <w:pPr>
              <w:pStyle w:val="Compact"/>
              <w:jc w:val="left"/>
            </w:pPr>
            <w:r>
              <w:t xml:space="preserve">June 30, 2025</w:t>
            </w:r>
          </w:p>
        </w:tc>
        <w:tc>
          <w:tcPr/>
          <w:p>
            <w:pPr>
              <w:pStyle w:val="Compact"/>
              <w:jc w:val="left"/>
            </w:pPr>
            <w:r>
              <w:t xml:space="preserve">December 31, 2024 (expired)</w:t>
            </w:r>
          </w:p>
        </w:tc>
        <w:tc>
          <w:tcPr/>
          <w:p>
            <w:pPr>
              <w:pStyle w:val="Compact"/>
              <w:jc w:val="left"/>
            </w:pPr>
            <w:r>
              <w:t xml:space="preserve">February 28, 2025</w:t>
            </w:r>
          </w:p>
        </w:tc>
      </w:tr>
      <w:tr>
        <w:tc>
          <w:tcPr/>
          <w:p>
            <w:pPr>
              <w:pStyle w:val="Compact"/>
              <w:jc w:val="left"/>
            </w:pPr>
            <w:r>
              <w:rPr>
                <w:b/>
                <w:bCs/>
              </w:rPr>
              <w:t xml:space="preserve">Renewal notice deadline</w:t>
            </w:r>
          </w:p>
        </w:tc>
        <w:tc>
          <w:tcPr/>
          <w:p>
            <w:pPr>
              <w:pStyle w:val="Compact"/>
              <w:jc w:val="left"/>
            </w:pPr>
            <w:r>
              <w:t xml:space="preserve">March 31, 2025 (§14.2)</w:t>
            </w:r>
          </w:p>
        </w:tc>
        <w:tc>
          <w:tcPr/>
          <w:p>
            <w:pPr>
              <w:pStyle w:val="Compact"/>
              <w:jc w:val="left"/>
            </w:pPr>
            <w:r>
              <w:t xml:space="preserve">September 30, 2024 (§12.2)</w:t>
            </w:r>
          </w:p>
        </w:tc>
        <w:tc>
          <w:tcPr/>
          <w:p>
            <w:pPr>
              <w:pStyle w:val="Compact"/>
              <w:jc w:val="left"/>
            </w:pPr>
            <w:r>
              <w:t xml:space="preserve">November 30, 2024 (§3.2)</w:t>
            </w:r>
          </w:p>
        </w:tc>
      </w:tr>
      <w:tr>
        <w:tc>
          <w:tcPr/>
          <w:p>
            <w:pPr>
              <w:pStyle w:val="Compact"/>
              <w:jc w:val="left"/>
            </w:pPr>
            <w:r>
              <w:rPr>
                <w:b/>
                <w:bCs/>
              </w:rPr>
              <w:t xml:space="preserve">Royalty / fee</w:t>
            </w:r>
          </w:p>
        </w:tc>
        <w:tc>
          <w:tcPr/>
          <w:p>
            <w:pPr>
              <w:pStyle w:val="Compact"/>
              <w:jc w:val="left"/>
            </w:pPr>
            <w:r>
              <w:t xml:space="preserve">4.5% of Net Sales</w:t>
            </w:r>
          </w:p>
        </w:tc>
        <w:tc>
          <w:tcPr/>
          <w:p>
            <w:pPr>
              <w:pStyle w:val="Compact"/>
              <w:jc w:val="left"/>
            </w:pPr>
            <w:r>
              <w:t xml:space="preserve">3.75% of Net Sales</w:t>
            </w:r>
          </w:p>
        </w:tc>
        <w:tc>
          <w:tcPr/>
          <w:p>
            <w:pPr>
              <w:pStyle w:val="Compact"/>
              <w:jc w:val="left"/>
            </w:pPr>
            <w:r>
              <w:t xml:space="preserve">$3.14M flat annual fee</w:t>
            </w:r>
          </w:p>
        </w:tc>
      </w:tr>
      <w:tr>
        <w:tc>
          <w:tcPr/>
          <w:p>
            <w:pPr>
              <w:pStyle w:val="Compact"/>
              <w:jc w:val="left"/>
            </w:pPr>
            <w:r>
              <w:rPr>
                <w:b/>
                <w:bCs/>
              </w:rPr>
              <w:t xml:space="preserve">Minimum annual royalty</w:t>
            </w:r>
          </w:p>
        </w:tc>
        <w:tc>
          <w:tcPr/>
          <w:p>
            <w:pPr>
              <w:pStyle w:val="Compact"/>
              <w:jc w:val="left"/>
            </w:pPr>
            <w:r>
              <w:t xml:space="preserve">$4,000,000</w:t>
            </w:r>
          </w:p>
        </w:tc>
        <w:tc>
          <w:tcPr/>
          <w:p>
            <w:pPr>
              <w:pStyle w:val="Compact"/>
              <w:jc w:val="left"/>
            </w:pPr>
            <w:r>
              <w:t xml:space="preserve">$2,500,000</w:t>
            </w:r>
          </w:p>
        </w:tc>
        <w:tc>
          <w:tcPr/>
          <w:p>
            <w:pPr>
              <w:pStyle w:val="Compact"/>
              <w:jc w:val="left"/>
            </w:pPr>
            <w:r>
              <w:t xml:space="preserve">N/A</w:t>
            </w:r>
          </w:p>
        </w:tc>
      </w:tr>
      <w:tr>
        <w:tc>
          <w:tcPr/>
          <w:p>
            <w:pPr>
              <w:pStyle w:val="Compact"/>
              <w:jc w:val="left"/>
            </w:pPr>
            <w:r>
              <w:rPr>
                <w:b/>
                <w:bCs/>
              </w:rPr>
              <w:t xml:space="preserve">FY 2024 Net Sales / cost</w:t>
            </w:r>
          </w:p>
        </w:tc>
        <w:tc>
          <w:tcPr/>
          <w:p>
            <w:pPr>
              <w:pStyle w:val="Compact"/>
              <w:jc w:val="left"/>
            </w:pPr>
            <w:r>
              <w:t xml:space="preserve">$202.67M; $9.12M royalty</w:t>
            </w:r>
          </w:p>
        </w:tc>
        <w:tc>
          <w:tcPr/>
          <w:p>
            <w:pPr>
              <w:pStyle w:val="Compact"/>
              <w:jc w:val="left"/>
            </w:pPr>
            <w:r>
              <w:t xml:space="preserve">$170.13M; $6.38M royalty</w:t>
            </w:r>
          </w:p>
        </w:tc>
        <w:tc>
          <w:tcPr/>
          <w:p>
            <w:pPr>
              <w:pStyle w:val="Compact"/>
              <w:jc w:val="left"/>
            </w:pPr>
            <w:r>
              <w:t xml:space="preserve">$3.14M fee</w:t>
            </w:r>
          </w:p>
        </w:tc>
      </w:tr>
      <w:tr>
        <w:tc>
          <w:tcPr/>
          <w:p>
            <w:pPr>
              <w:pStyle w:val="Compact"/>
              <w:jc w:val="left"/>
            </w:pPr>
            <w:r>
              <w:rPr>
                <w:b/>
                <w:bCs/>
              </w:rPr>
              <w:t xml:space="preserve">Exclusivity</w:t>
            </w:r>
          </w:p>
        </w:tc>
        <w:tc>
          <w:tcPr/>
          <w:p>
            <w:pPr>
              <w:pStyle w:val="Compact"/>
              <w:jc w:val="left"/>
            </w:pPr>
            <w:r>
              <w:t xml:space="preserve">Exclusive in Field of Use (corn, soybean)</w:t>
            </w:r>
          </w:p>
        </w:tc>
        <w:tc>
          <w:tcPr/>
          <w:p>
            <w:pPr>
              <w:pStyle w:val="Compact"/>
              <w:jc w:val="left"/>
            </w:pPr>
            <w:r>
              <w:t xml:space="preserve">Exclusive first 3 yrs, then non-exclusive</w:t>
            </w:r>
          </w:p>
        </w:tc>
        <w:tc>
          <w:tcPr/>
          <w:p>
            <w:pPr>
              <w:pStyle w:val="Compact"/>
              <w:jc w:val="left"/>
            </w:pPr>
            <w:r>
              <w:t xml:space="preserve">Non-exclusive</w:t>
            </w:r>
          </w:p>
        </w:tc>
      </w:tr>
      <w:tr>
        <w:tc>
          <w:tcPr/>
          <w:p>
            <w:pPr>
              <w:pStyle w:val="Compact"/>
              <w:jc w:val="left"/>
            </w:pPr>
            <w:r>
              <w:rPr>
                <w:b/>
                <w:bCs/>
              </w:rPr>
              <w:t xml:space="preserve">Field of Use</w:t>
            </w:r>
          </w:p>
        </w:tc>
        <w:tc>
          <w:tcPr/>
          <w:p>
            <w:pPr>
              <w:pStyle w:val="Compact"/>
              <w:jc w:val="left"/>
            </w:pPr>
            <w:r>
              <w:t xml:space="preserve">Herbicide tolerance + insect resistance, corn &amp; soybean</w:t>
            </w:r>
          </w:p>
        </w:tc>
        <w:tc>
          <w:tcPr/>
          <w:p>
            <w:pPr>
              <w:pStyle w:val="Compact"/>
              <w:jc w:val="left"/>
            </w:pPr>
            <w:r>
              <w:t xml:space="preserve">Drought tolerance + nutrient uptake, corn, soybean, cotton</w:t>
            </w:r>
          </w:p>
        </w:tc>
        <w:tc>
          <w:tcPr/>
          <w:p>
            <w:pPr>
              <w:pStyle w:val="Compact"/>
              <w:jc w:val="left"/>
            </w:pPr>
            <w:r>
              <w:t xml:space="preserve">Internal genomic analysis / trait mapping</w:t>
            </w:r>
          </w:p>
        </w:tc>
      </w:tr>
      <w:tr>
        <w:tc>
          <w:tcPr/>
          <w:p>
            <w:pPr>
              <w:pStyle w:val="Compact"/>
              <w:jc w:val="left"/>
            </w:pPr>
            <w:r>
              <w:rPr>
                <w:b/>
                <w:bCs/>
              </w:rPr>
              <w:t xml:space="preserve">Territory</w:t>
            </w:r>
          </w:p>
        </w:tc>
        <w:tc>
          <w:tcPr/>
          <w:p>
            <w:pPr>
              <w:pStyle w:val="Compact"/>
              <w:jc w:val="left"/>
            </w:pPr>
            <w:r>
              <w:t xml:space="preserve">Worldwide ex China &amp; India</w:t>
            </w:r>
          </w:p>
        </w:tc>
        <w:tc>
          <w:tcPr/>
          <w:p>
            <w:pPr>
              <w:pStyle w:val="Compact"/>
              <w:jc w:val="left"/>
            </w:pPr>
            <w:r>
              <w:t xml:space="preserve">Western Hemisphere</w:t>
            </w:r>
          </w:p>
        </w:tc>
        <w:tc>
          <w:tcPr/>
          <w:p>
            <w:pPr>
              <w:pStyle w:val="Compact"/>
              <w:jc w:val="left"/>
            </w:pPr>
            <w:r>
              <w:t xml:space="preserve">Worldwide</w:t>
            </w:r>
          </w:p>
        </w:tc>
      </w:tr>
      <w:tr>
        <w:tc>
          <w:tcPr/>
          <w:p>
            <w:pPr>
              <w:pStyle w:val="Compact"/>
              <w:jc w:val="left"/>
            </w:pPr>
            <w:r>
              <w:rPr>
                <w:b/>
                <w:bCs/>
              </w:rPr>
              <w:t xml:space="preserve">Sublicense pass-through</w:t>
            </w:r>
          </w:p>
        </w:tc>
        <w:tc>
          <w:tcPr/>
          <w:p>
            <w:pPr>
              <w:pStyle w:val="Compact"/>
              <w:jc w:val="left"/>
            </w:pPr>
            <w:r>
              <w:t xml:space="preserve">35% (§10.3)</w:t>
            </w:r>
          </w:p>
        </w:tc>
        <w:tc>
          <w:tcPr/>
          <w:p>
            <w:pPr>
              <w:pStyle w:val="Compact"/>
              <w:jc w:val="left"/>
            </w:pPr>
            <w:r>
              <w:t xml:space="preserve">None (no provision)</w:t>
            </w:r>
          </w:p>
        </w:tc>
        <w:tc>
          <w:tcPr/>
          <w:p>
            <w:pPr>
              <w:pStyle w:val="Compact"/>
              <w:jc w:val="left"/>
            </w:pPr>
            <w:r>
              <w:t xml:space="preserve">N/A (no sublicensing)</w:t>
            </w:r>
          </w:p>
        </w:tc>
      </w:tr>
      <w:tr>
        <w:tc>
          <w:tcPr/>
          <w:p>
            <w:pPr>
              <w:pStyle w:val="Compact"/>
              <w:jc w:val="left"/>
            </w:pPr>
            <w:r>
              <w:rPr>
                <w:b/>
                <w:bCs/>
              </w:rPr>
              <w:t xml:space="preserve">Improvements</w:t>
            </w:r>
          </w:p>
        </w:tc>
        <w:tc>
          <w:tcPr/>
          <w:p>
            <w:pPr>
              <w:pStyle w:val="Compact"/>
              <w:jc w:val="left"/>
            </w:pPr>
            <w:r>
              <w:t xml:space="preserve">Greenfield sole owner; non-exclusive license back to NovaTrait at commercially reasonable royalty (§8.1)</w:t>
            </w:r>
          </w:p>
        </w:tc>
        <w:tc>
          <w:tcPr/>
          <w:p>
            <w:pPr>
              <w:pStyle w:val="Compact"/>
              <w:jc w:val="left"/>
            </w:pPr>
            <w:r>
              <w:t xml:space="preserve">Greenfield sole owner of Greenfield Improvements; non-exclusive license back at commercially reasonable royalty (§6.3)</w:t>
            </w:r>
          </w:p>
        </w:tc>
        <w:tc>
          <w:tcPr/>
          <w:p>
            <w:pPr>
              <w:pStyle w:val="Compact"/>
              <w:jc w:val="left"/>
            </w:pPr>
            <w:r>
              <w:t xml:space="preserve">Licensee Modifications owned by Greenfield; royalty-free license back to NovaTrait (§5.2)</w:t>
            </w:r>
          </w:p>
        </w:tc>
      </w:tr>
      <w:tr>
        <w:tc>
          <w:tcPr/>
          <w:p>
            <w:pPr>
              <w:pStyle w:val="Compact"/>
              <w:jc w:val="left"/>
            </w:pPr>
            <w:r>
              <w:rPr>
                <w:b/>
                <w:bCs/>
              </w:rPr>
              <w:t xml:space="preserve">Source code / data</w:t>
            </w:r>
          </w:p>
        </w:tc>
        <w:tc>
          <w:tcPr/>
          <w:p>
            <w:pPr>
              <w:pStyle w:val="Compact"/>
              <w:jc w:val="left"/>
            </w:pPr>
            <w:r>
              <w:t xml:space="preserve">N/A</w:t>
            </w:r>
          </w:p>
        </w:tc>
        <w:tc>
          <w:tcPr/>
          <w:p>
            <w:pPr>
              <w:pStyle w:val="Compact"/>
              <w:jc w:val="left"/>
            </w:pPr>
            <w:r>
              <w:t xml:space="preserve">N/A</w:t>
            </w:r>
          </w:p>
        </w:tc>
        <w:tc>
          <w:tcPr/>
          <w:p>
            <w:pPr>
              <w:pStyle w:val="Compact"/>
              <w:jc w:val="left"/>
            </w:pPr>
            <w:r>
              <w:t xml:space="preserve">Source code access for internal modification (§5.2); escrow (§5.3); Input Data owned by Greenfield (§9.2); Derivative Data silent</w:t>
            </w:r>
          </w:p>
        </w:tc>
      </w:tr>
      <w:tr>
        <w:tc>
          <w:tcPr/>
          <w:p>
            <w:pPr>
              <w:pStyle w:val="Compact"/>
              <w:jc w:val="left"/>
            </w:pPr>
            <w:r>
              <w:rPr>
                <w:b/>
                <w:bCs/>
              </w:rPr>
              <w:t xml:space="preserve">Biological materials</w:t>
            </w:r>
          </w:p>
        </w:tc>
        <w:tc>
          <w:tcPr/>
          <w:p>
            <w:pPr>
              <w:pStyle w:val="Compact"/>
              <w:jc w:val="left"/>
            </w:pPr>
            <w:r>
              <w:t xml:space="preserve">N/A</w:t>
            </w:r>
          </w:p>
        </w:tc>
        <w:tc>
          <w:tcPr/>
          <w:p>
            <w:pPr>
              <w:pStyle w:val="Compact"/>
              <w:jc w:val="left"/>
            </w:pPr>
            <w:r>
              <w:t xml:space="preserve">90-day wind-down, then return/destroy (§7.4)</w:t>
            </w:r>
          </w:p>
        </w:tc>
        <w:tc>
          <w:tcPr/>
          <w:p>
            <w:pPr>
              <w:pStyle w:val="Compact"/>
              <w:jc w:val="left"/>
            </w:pPr>
            <w:r>
              <w:t xml:space="preserve">N/A</w:t>
            </w:r>
          </w:p>
        </w:tc>
      </w:tr>
      <w:tr>
        <w:tc>
          <w:tcPr/>
          <w:p>
            <w:pPr>
              <w:pStyle w:val="Compact"/>
              <w:jc w:val="left"/>
            </w:pPr>
            <w:r>
              <w:rPr>
                <w:b/>
                <w:bCs/>
              </w:rPr>
              <w:t xml:space="preserve">Audit</w:t>
            </w:r>
          </w:p>
        </w:tc>
        <w:tc>
          <w:tcPr/>
          <w:p>
            <w:pPr>
              <w:pStyle w:val="Compact"/>
              <w:jc w:val="left"/>
            </w:pPr>
            <w:r>
              <w:t xml:space="preserve">1x/yr, 30 days’ notice (§9.2)</w:t>
            </w:r>
          </w:p>
        </w:tc>
        <w:tc>
          <w:tcPr/>
          <w:p>
            <w:pPr>
              <w:pStyle w:val="Compact"/>
              <w:jc w:val="left"/>
            </w:pPr>
            <w:r>
              <w:t xml:space="preserve">1x/yr, 30 days’ notice (§5.2)</w:t>
            </w:r>
          </w:p>
        </w:tc>
        <w:tc>
          <w:tcPr/>
          <w:p>
            <w:pPr>
              <w:pStyle w:val="Compact"/>
              <w:jc w:val="left"/>
            </w:pPr>
            <w:r>
              <w:t xml:space="preserve">1x/yr, 30 days’ notice (§4.6)</w:t>
            </w:r>
          </w:p>
        </w:tc>
      </w:tr>
      <w:tr>
        <w:tc>
          <w:tcPr/>
          <w:p>
            <w:pPr>
              <w:pStyle w:val="Compact"/>
              <w:jc w:val="left"/>
            </w:pPr>
            <w:r>
              <w:rPr>
                <w:b/>
                <w:bCs/>
              </w:rPr>
              <w:t xml:space="preserve">Governing law</w:t>
            </w:r>
          </w:p>
        </w:tc>
        <w:tc>
          <w:tcPr/>
          <w:p>
            <w:pPr>
              <w:pStyle w:val="Compact"/>
              <w:jc w:val="left"/>
            </w:pPr>
            <w:r>
              <w:t xml:space="preserve">Massachusetts</w:t>
            </w:r>
          </w:p>
        </w:tc>
        <w:tc>
          <w:tcPr/>
          <w:p>
            <w:pPr>
              <w:pStyle w:val="Compact"/>
              <w:jc w:val="left"/>
            </w:pPr>
            <w:r>
              <w:t xml:space="preserve">Massachusetts</w:t>
            </w:r>
          </w:p>
        </w:tc>
        <w:tc>
          <w:tcPr/>
          <w:p>
            <w:pPr>
              <w:pStyle w:val="Compact"/>
              <w:jc w:val="left"/>
            </w:pPr>
            <w:r>
              <w:t xml:space="preserve">Massachusetts</w:t>
            </w:r>
          </w:p>
        </w:tc>
      </w:tr>
    </w:tbl>
    <w:bookmarkEnd w:id="21"/>
    <w:bookmarkStart w:id="22" w:name="the-prairielands-sublicense"/>
    <w:p>
      <w:pPr>
        <w:pStyle w:val="Heading3"/>
      </w:pPr>
      <w:r>
        <w:t xml:space="preserve">2.2 The Prairielands Sublicense</w:t>
      </w:r>
    </w:p>
    <w:p>
      <w:pPr>
        <w:pStyle w:val="FirstParagraph"/>
      </w:pPr>
      <w:r>
        <w:t xml:space="preserve">Greenfield’s sublicense to Prairielands Seed Cooperative, dated May 1, 2021 (the</w:t>
      </w:r>
      <w:r>
        <w:t xml:space="preserve"> </w:t>
      </w:r>
      <w:r>
        <w:t xml:space="preserve">“</w:t>
      </w:r>
      <w:r>
        <w:t xml:space="preserve">Prairielands Sublicense</w:t>
      </w:r>
      <w:r>
        <w:t xml:space="preserve">”</w:t>
      </w:r>
      <w:r>
        <w:t xml:space="preserve">), is derivative of and co-terminus with License B. It is narrowly scoped:</w:t>
      </w:r>
      <w:r>
        <w:t xml:space="preserve"> </w:t>
      </w:r>
      <w:r>
        <w:rPr>
          <w:b/>
          <w:bCs/>
        </w:rPr>
        <w:t xml:space="preserve">soybean drought-tolerance only, in Argentina and Brazil only</w:t>
      </w:r>
      <w:r>
        <w:t xml:space="preserve">, at a</w:t>
      </w:r>
      <w:r>
        <w:t xml:space="preserve"> </w:t>
      </w:r>
      <w:r>
        <w:rPr>
          <w:b/>
          <w:bCs/>
        </w:rPr>
        <w:t xml:space="preserve">2.0% royalty</w:t>
      </w:r>
      <w:r>
        <w:t xml:space="preserve"> </w:t>
      </w:r>
      <w:r>
        <w:t xml:space="preserve">to Greenfield. Critically, the Prairielands Sublicense and NovaTrait’s April 15, 2021 consent letter both confirm that</w:t>
      </w:r>
      <w:r>
        <w:t xml:space="preserve"> </w:t>
      </w:r>
      <w:r>
        <w:rPr>
          <w:b/>
          <w:bCs/>
        </w:rPr>
        <w:t xml:space="preserve">License B contains no obligation for Greenfield to pass through any portion of sublicensee royalties to NovaTrait</w:t>
      </w:r>
      <w:r>
        <w:t xml:space="preserve"> </w:t>
      </w:r>
      <w:r>
        <w:t xml:space="preserve">(Sublicense §3.6; consent letter). The Prairielands Sublicense expired by its terms on December 31, 2024 (co-terminus with License B’s initial term) and is presently sustained only by License B’s standstill. Its renewal/consent is therefore intertwined with the License B renewal and is a point on which NovaTrait has signaled it may seek new economic terms (Proposal, Part VII §3).</w:t>
      </w:r>
    </w:p>
    <w:bookmarkEnd w:id="22"/>
    <w:bookmarkStart w:id="23" w:name="current-status-and-deadlines-critical"/>
    <w:p>
      <w:pPr>
        <w:pStyle w:val="Heading3"/>
      </w:pPr>
      <w:r>
        <w:t xml:space="preserve">2.3 Current Status and Deadlines (Critical)</w:t>
      </w:r>
    </w:p>
    <w:p>
      <w:pPr>
        <w:pStyle w:val="FirstParagraph"/>
      </w:pPr>
      <w:r>
        <w:t xml:space="preserve">The three initial terms expire on a compressed, overlapping schedule, and License B has already expired and is operating under the Section 12.6 standstill: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Event</w:t>
            </w:r>
          </w:p>
        </w:tc>
        <w:tc>
          <w:tcPr/>
          <w:p>
            <w:pPr>
              <w:pStyle w:val="Compact"/>
              <w:jc w:val="left"/>
            </w:pPr>
            <w:r>
              <w:rPr>
                <w:b/>
                <w:bCs/>
              </w:rPr>
              <w:t xml:space="preserve">Status</w:t>
            </w:r>
          </w:p>
        </w:tc>
      </w:tr>
      <w:tr>
        <w:tc>
          <w:tcPr/>
          <w:p>
            <w:pPr>
              <w:pStyle w:val="Compact"/>
              <w:jc w:val="left"/>
            </w:pPr>
            <w:r>
              <w:t xml:space="preserve">Sep 30, 2024</w:t>
            </w:r>
          </w:p>
        </w:tc>
        <w:tc>
          <w:tcPr/>
          <w:p>
            <w:pPr>
              <w:pStyle w:val="Compact"/>
              <w:jc w:val="left"/>
            </w:pPr>
            <w:r>
              <w:t xml:space="preserve">License B renewal-notice deadline (§12.2)</w:t>
            </w:r>
          </w:p>
        </w:tc>
        <w:tc>
          <w:tcPr/>
          <w:p>
            <w:pPr>
              <w:pStyle w:val="Compact"/>
              <w:jc w:val="left"/>
            </w:pPr>
            <w:r>
              <w:t xml:space="preserve">Passed (notice believed timely)</w:t>
            </w:r>
          </w:p>
        </w:tc>
      </w:tr>
      <w:tr>
        <w:tc>
          <w:tcPr/>
          <w:p>
            <w:pPr>
              <w:pStyle w:val="Compact"/>
              <w:jc w:val="left"/>
            </w:pPr>
            <w:r>
              <w:t xml:space="preserve">Nov 30, 2024</w:t>
            </w:r>
          </w:p>
        </w:tc>
        <w:tc>
          <w:tcPr/>
          <w:p>
            <w:pPr>
              <w:pStyle w:val="Compact"/>
              <w:jc w:val="left"/>
            </w:pPr>
            <w:r>
              <w:t xml:space="preserve">License C renewal-notice deadline (§3.2)</w:t>
            </w:r>
          </w:p>
        </w:tc>
        <w:tc>
          <w:tcPr/>
          <w:p>
            <w:pPr>
              <w:pStyle w:val="Compact"/>
              <w:jc w:val="left"/>
            </w:pPr>
            <w:r>
              <w:t xml:space="preserve">Passed (notice believed timely)</w:t>
            </w:r>
          </w:p>
        </w:tc>
      </w:tr>
      <w:tr>
        <w:tc>
          <w:tcPr/>
          <w:p>
            <w:pPr>
              <w:pStyle w:val="Compact"/>
              <w:jc w:val="left"/>
            </w:pPr>
            <w:r>
              <w:t xml:space="preserve">Dec 31, 2024</w:t>
            </w:r>
          </w:p>
        </w:tc>
        <w:tc>
          <w:tcPr/>
          <w:p>
            <w:pPr>
              <w:pStyle w:val="Compact"/>
              <w:jc w:val="left"/>
            </w:pPr>
            <w:r>
              <w:t xml:space="preserve">License B initial-term expiration</w:t>
            </w:r>
          </w:p>
        </w:tc>
        <w:tc>
          <w:tcPr/>
          <w:p>
            <w:pPr>
              <w:pStyle w:val="Compact"/>
              <w:jc w:val="left"/>
            </w:pPr>
            <w:r>
              <w:rPr>
                <w:b/>
                <w:bCs/>
              </w:rPr>
              <w:t xml:space="preserve">Expired — §12.6 standstill active</w:t>
            </w:r>
          </w:p>
        </w:tc>
      </w:tr>
      <w:tr>
        <w:tc>
          <w:tcPr/>
          <w:p>
            <w:pPr>
              <w:pStyle w:val="Compact"/>
              <w:jc w:val="left"/>
            </w:pPr>
            <w:r>
              <w:t xml:space="preserve">Feb 28, 2025</w:t>
            </w:r>
          </w:p>
        </w:tc>
        <w:tc>
          <w:tcPr/>
          <w:p>
            <w:pPr>
              <w:pStyle w:val="Compact"/>
              <w:jc w:val="left"/>
            </w:pPr>
            <w:r>
              <w:t xml:space="preserve">License C initial-term expiration</w:t>
            </w:r>
          </w:p>
        </w:tc>
        <w:tc>
          <w:tcPr/>
          <w:p>
            <w:pPr>
              <w:pStyle w:val="Compact"/>
              <w:jc w:val="left"/>
            </w:pPr>
            <w:r>
              <w:rPr>
                <w:b/>
                <w:bCs/>
              </w:rPr>
              <w:t xml:space="preserve">Imminent — interim/holdover access required</w:t>
            </w:r>
          </w:p>
        </w:tc>
      </w:tr>
      <w:tr>
        <w:tc>
          <w:tcPr/>
          <w:p>
            <w:pPr>
              <w:pStyle w:val="Compact"/>
              <w:jc w:val="left"/>
            </w:pPr>
            <w:r>
              <w:t xml:space="preserve">Mar 31, 2025</w:t>
            </w:r>
          </w:p>
        </w:tc>
        <w:tc>
          <w:tcPr/>
          <w:p>
            <w:pPr>
              <w:pStyle w:val="Compact"/>
              <w:jc w:val="left"/>
            </w:pPr>
            <w:r>
              <w:t xml:space="preserve">License A renewal-notice deadline (§14.2)</w:t>
            </w:r>
          </w:p>
        </w:tc>
        <w:tc>
          <w:tcPr/>
          <w:p>
            <w:pPr>
              <w:pStyle w:val="Compact"/>
              <w:jc w:val="left"/>
            </w:pPr>
            <w:r>
              <w:t xml:space="preserve">Upcoming — notice must be delivered</w:t>
            </w:r>
          </w:p>
        </w:tc>
      </w:tr>
      <w:tr>
        <w:tc>
          <w:tcPr/>
          <w:p>
            <w:pPr>
              <w:pStyle w:val="Compact"/>
              <w:jc w:val="left"/>
            </w:pPr>
            <w:r>
              <w:t xml:space="preserve">Apr 15, 2025</w:t>
            </w:r>
          </w:p>
        </w:tc>
        <w:tc>
          <w:tcPr/>
          <w:p>
            <w:pPr>
              <w:pStyle w:val="Compact"/>
              <w:jc w:val="left"/>
            </w:pPr>
            <w:r>
              <w:t xml:space="preserve">Target: Greenfield counter-proposal to NovaTrait</w:t>
            </w:r>
          </w:p>
        </w:tc>
        <w:tc>
          <w:tcPr/>
          <w:p>
            <w:pPr>
              <w:pStyle w:val="Compact"/>
              <w:jc w:val="left"/>
            </w:pPr>
            <w:r>
              <w:t xml:space="preserve">Planned</w:t>
            </w:r>
          </w:p>
        </w:tc>
      </w:tr>
      <w:tr>
        <w:tc>
          <w:tcPr/>
          <w:p>
            <w:pPr>
              <w:pStyle w:val="Compact"/>
              <w:jc w:val="left"/>
            </w:pPr>
            <w:r>
              <w:rPr>
                <w:b/>
                <w:bCs/>
              </w:rPr>
              <w:t xml:space="preserve">Jun 29, 2025</w:t>
            </w:r>
          </w:p>
        </w:tc>
        <w:tc>
          <w:tcPr/>
          <w:p>
            <w:pPr>
              <w:pStyle w:val="Compact"/>
              <w:jc w:val="left"/>
            </w:pPr>
            <w:r>
              <w:rPr>
                <w:b/>
                <w:bCs/>
              </w:rPr>
              <w:t xml:space="preserve">License B standstill expires (180 days from Dec 31, 2024)</w:t>
            </w:r>
          </w:p>
        </w:tc>
        <w:tc>
          <w:tcPr/>
          <w:p>
            <w:pPr>
              <w:pStyle w:val="Compact"/>
              <w:jc w:val="left"/>
            </w:pPr>
            <w:r>
              <w:rPr>
                <w:b/>
                <w:bCs/>
              </w:rPr>
              <w:t xml:space="preserve">CRITICAL — hard cliff</w:t>
            </w:r>
          </w:p>
        </w:tc>
      </w:tr>
      <w:tr>
        <w:tc>
          <w:tcPr/>
          <w:p>
            <w:pPr>
              <w:pStyle w:val="Compact"/>
              <w:jc w:val="left"/>
            </w:pPr>
            <w:r>
              <w:t xml:space="preserve">Jun 30, 2025</w:t>
            </w:r>
          </w:p>
        </w:tc>
        <w:tc>
          <w:tcPr/>
          <w:p>
            <w:pPr>
              <w:pStyle w:val="Compact"/>
              <w:jc w:val="left"/>
            </w:pPr>
            <w:r>
              <w:t xml:space="preserve">License A initial-term expiration</w:t>
            </w:r>
          </w:p>
        </w:tc>
        <w:tc>
          <w:tcPr/>
          <w:p>
            <w:pPr>
              <w:pStyle w:val="Compact"/>
              <w:jc w:val="left"/>
            </w:pPr>
            <w:r>
              <w:t xml:space="preserve">Upcoming</w:t>
            </w:r>
          </w:p>
        </w:tc>
      </w:tr>
      <w:tr>
        <w:tc>
          <w:tcPr/>
          <w:p>
            <w:pPr>
              <w:pStyle w:val="Compact"/>
              <w:jc w:val="left"/>
            </w:pPr>
            <w:r>
              <w:t xml:space="preserve">Mar 12, 2028</w:t>
            </w:r>
          </w:p>
        </w:tc>
        <w:tc>
          <w:tcPr/>
          <w:p>
            <w:pPr>
              <w:pStyle w:val="Compact"/>
              <w:jc w:val="left"/>
            </w:pPr>
            <w:r>
              <w:t xml:space="preserve">U.S. Patent 9,234,117 expiration (License A)</w:t>
            </w:r>
          </w:p>
        </w:tc>
        <w:tc>
          <w:tcPr/>
          <w:p>
            <w:pPr>
              <w:pStyle w:val="Compact"/>
              <w:jc w:val="left"/>
            </w:pPr>
            <w:r>
              <w:t xml:space="preserve">Future — royalty step-down trigger</w:t>
            </w:r>
          </w:p>
        </w:tc>
      </w:tr>
    </w:tbl>
    <w:p>
      <w:pPr>
        <w:pStyle w:val="BodyText"/>
      </w:pPr>
      <w:r>
        <w:rPr>
          <w:b/>
          <w:bCs/>
        </w:rPr>
        <w:t xml:space="preserve">The June 29, 2025 standstill cliff is the binding constraint on the entire negotiation.</w:t>
      </w:r>
      <w:r>
        <w:t xml:space="preserve"> </w:t>
      </w:r>
      <w:r>
        <w:t xml:space="preserve">If License B is not renewed (or the standstill not extended) by that date, License B terminates entirely, triggering the 30-day biological-materials return obligation and collapsing the Prairielands Sublicense. Greenfield should treat securing a written extension of the standstill (to at least December 31, 2025) as a precondition to continued good-faith negotiation, and should not allow the standstill to lapse while the broader package remains open.</w:t>
      </w:r>
    </w:p>
    <w:p>
      <w:r>
        <w:pict>
          <v:rect style="width:0;height:1.5pt" o:hralign="center" o:hrstd="t" o:hr="t"/>
        </w:pict>
      </w:r>
    </w:p>
    <w:bookmarkEnd w:id="23"/>
    <w:bookmarkEnd w:id="24"/>
    <w:bookmarkStart w:id="29" w:name="overview-of-novatraits-proposal"/>
    <w:p>
      <w:pPr>
        <w:pStyle w:val="Heading2"/>
      </w:pPr>
      <w:r>
        <w:t xml:space="preserve">3. Overview of NovaTrait’s Proposal</w:t>
      </w:r>
    </w:p>
    <w:p>
      <w:pPr>
        <w:pStyle w:val="FirstParagraph"/>
      </w:pPr>
      <w:r>
        <w:t xml:space="preserve">The Proposal would amend and restate each agreement. The principal commercial and scope changes are summarized below; the full term-by-term comparison appears in Section 6.</w:t>
      </w:r>
    </w:p>
    <w:bookmarkStart w:id="25" w:name="license-a-crispr-ag-suite-proposed"/>
    <w:p>
      <w:pPr>
        <w:pStyle w:val="Heading3"/>
      </w:pPr>
      <w:r>
        <w:t xml:space="preserve">3.1 License A (CRISPR-Ag Suite) — Proposed</w:t>
      </w:r>
    </w:p>
    <w:p>
      <w:pPr>
        <w:pStyle w:val="Compact"/>
        <w:numPr>
          <w:ilvl w:val="0"/>
          <w:numId w:val="1002"/>
        </w:numPr>
      </w:pPr>
      <w:r>
        <w:rPr>
          <w:b/>
          <w:bCs/>
        </w:rPr>
        <w:t xml:space="preserve">Term:</w:t>
      </w:r>
      <w:r>
        <w:t xml:space="preserve"> </w:t>
      </w:r>
      <w:r>
        <w:t xml:space="preserve">5 years (July 1, 2025 – June 30, 2030), with one optional further 5-year renewal subject to a new independent fair-market-value (IFMV) assessment.</w:t>
      </w:r>
    </w:p>
    <w:p>
      <w:pPr>
        <w:pStyle w:val="Compact"/>
        <w:numPr>
          <w:ilvl w:val="0"/>
          <w:numId w:val="1002"/>
        </w:numPr>
      </w:pPr>
      <w:r>
        <w:rPr>
          <w:b/>
          <w:bCs/>
        </w:rPr>
        <w:t xml:space="preserve">Royalty:</w:t>
      </w:r>
      <w:r>
        <w:t xml:space="preserve"> </w:t>
      </w:r>
      <w:r>
        <w:t xml:space="preserve">6.25% of Net Sales (up from 4.5%); NovaTrait asserts this is within the §14.3(a) 150% cap (6.75%).</w:t>
      </w:r>
    </w:p>
    <w:p>
      <w:pPr>
        <w:pStyle w:val="Compact"/>
        <w:numPr>
          <w:ilvl w:val="0"/>
          <w:numId w:val="1002"/>
        </w:numPr>
      </w:pPr>
      <w:r>
        <w:rPr>
          <w:b/>
          <w:bCs/>
        </w:rPr>
        <w:t xml:space="preserve">Minimum annual royalty:</w:t>
      </w:r>
      <w:r>
        <w:t xml:space="preserve"> </w:t>
      </w:r>
      <w:r>
        <w:t xml:space="preserve">$8,000,000 (up from $4,000,000), payable quarterly at $2,000,000.</w:t>
      </w:r>
    </w:p>
    <w:p>
      <w:pPr>
        <w:pStyle w:val="Compact"/>
        <w:numPr>
          <w:ilvl w:val="0"/>
          <w:numId w:val="1002"/>
        </w:numPr>
      </w:pPr>
      <w:r>
        <w:rPr>
          <w:b/>
          <w:bCs/>
        </w:rPr>
        <w:t xml:space="preserve">Net Sales redefined:</w:t>
      </w:r>
      <w:r>
        <w:t xml:space="preserve"> </w:t>
      </w:r>
      <w:r>
        <w:t xml:space="preserve">Deductions narrowed to trade/cash/quantity discounts and separately invoiced taxes only.</w:t>
      </w:r>
      <w:r>
        <w:t xml:space="preserve"> </w:t>
      </w:r>
      <w:r>
        <w:rPr>
          <w:b/>
          <w:bCs/>
        </w:rPr>
        <w:t xml:space="preserve">Eliminated:</w:t>
      </w:r>
      <w:r>
        <w:t xml:space="preserve"> </w:t>
      </w:r>
      <w:r>
        <w:t xml:space="preserve">freight/shipping/handling/insurance; credits/allowances for returns/rejections/recalls/chargebacks; and bad-debt write-offs.</w:t>
      </w:r>
    </w:p>
    <w:p>
      <w:pPr>
        <w:pStyle w:val="Compact"/>
        <w:numPr>
          <w:ilvl w:val="0"/>
          <w:numId w:val="1002"/>
        </w:numPr>
      </w:pPr>
      <w:r>
        <w:rPr>
          <w:b/>
          <w:bCs/>
        </w:rPr>
        <w:t xml:space="preserve">Field of Use:</w:t>
      </w:r>
      <w:r>
        <w:t xml:space="preserve"> </w:t>
      </w:r>
      <w:r>
        <w:rPr>
          <w:b/>
          <w:bCs/>
        </w:rPr>
        <w:t xml:space="preserve">Wheat (Triticum spp.) added</w:t>
      </w:r>
      <w:r>
        <w:t xml:space="preserve">;</w:t>
      </w:r>
      <w:r>
        <w:t xml:space="preserve"> </w:t>
      </w:r>
      <w:r>
        <w:rPr>
          <w:b/>
          <w:bCs/>
        </w:rPr>
        <w:t xml:space="preserve">insect resistance removed</w:t>
      </w:r>
      <w:r>
        <w:t xml:space="preserve"> </w:t>
      </w:r>
      <w:r>
        <w:t xml:space="preserve">(NovaTrait has granted an exclusive insect-resistance license to another party and offers only a possible transitional sunset license for Greenfield’s existing IR lines).</w:t>
      </w:r>
    </w:p>
    <w:p>
      <w:pPr>
        <w:pStyle w:val="Compact"/>
        <w:numPr>
          <w:ilvl w:val="0"/>
          <w:numId w:val="1002"/>
        </w:numPr>
      </w:pPr>
      <w:r>
        <w:rPr>
          <w:b/>
          <w:bCs/>
        </w:rPr>
        <w:t xml:space="preserve">Sublicense pass-through:</w:t>
      </w:r>
      <w:r>
        <w:t xml:space="preserve"> </w:t>
      </w:r>
      <w:r>
        <w:t xml:space="preserve">50% (up from 35%); prospective only.</w:t>
      </w:r>
    </w:p>
    <w:p>
      <w:pPr>
        <w:pStyle w:val="Compact"/>
        <w:numPr>
          <w:ilvl w:val="0"/>
          <w:numId w:val="1002"/>
        </w:numPr>
      </w:pPr>
      <w:r>
        <w:rPr>
          <w:b/>
          <w:bCs/>
        </w:rPr>
        <w:t xml:space="preserve">Improvements:</w:t>
      </w:r>
      <w:r>
        <w:t xml:space="preserve"> </w:t>
      </w:r>
      <w:r>
        <w:t xml:space="preserve">Reversed to</w:t>
      </w:r>
      <w:r>
        <w:t xml:space="preserve"> </w:t>
      </w:r>
      <w:r>
        <w:rPr>
          <w:b/>
          <w:bCs/>
        </w:rPr>
        <w:t xml:space="preserve">joint ownership</w:t>
      </w:r>
      <w:r>
        <w:t xml:space="preserve">, with an irrevocable, perpetual, royalty-free, sublicensable license to NovaTrait (inside and outside the Field of Use); Greenfield receives only a non-exclusive, non-sublicensable, royalty-bearing license for the Renewal Term.</w:t>
      </w:r>
    </w:p>
    <w:p>
      <w:pPr>
        <w:pStyle w:val="Compact"/>
        <w:numPr>
          <w:ilvl w:val="0"/>
          <w:numId w:val="1002"/>
        </w:numPr>
      </w:pPr>
      <w:r>
        <w:rPr>
          <w:b/>
          <w:bCs/>
        </w:rPr>
        <w:t xml:space="preserve">New anti-stacking offset (§7.7):</w:t>
      </w:r>
      <w:r>
        <w:t xml:space="preserve"> </w:t>
      </w:r>
      <w:r>
        <w:t xml:space="preserve">50% credit for third-party freedom-to-operate royalties, capped at 25% of quarterly royalties, with an effective-rate floor of 4.75%.</w:t>
      </w:r>
    </w:p>
    <w:p>
      <w:pPr>
        <w:pStyle w:val="Compact"/>
        <w:numPr>
          <w:ilvl w:val="0"/>
          <w:numId w:val="1002"/>
        </w:numPr>
      </w:pPr>
      <w:r>
        <w:rPr>
          <w:b/>
          <w:bCs/>
        </w:rPr>
        <w:t xml:space="preserve">Diligence:</w:t>
      </w:r>
      <w:r>
        <w:t xml:space="preserve"> </w:t>
      </w:r>
      <w:r>
        <w:t xml:space="preserve">New wheat milestones (field trial within 36 months; regulatory submission within 60 months); existing 180-day cure / conversion-to-non-exclusive remedy retained.</w:t>
      </w:r>
    </w:p>
    <w:p>
      <w:pPr>
        <w:pStyle w:val="Compact"/>
        <w:numPr>
          <w:ilvl w:val="0"/>
          <w:numId w:val="1002"/>
        </w:numPr>
      </w:pPr>
      <w:r>
        <w:rPr>
          <w:b/>
          <w:bCs/>
        </w:rPr>
        <w:t xml:space="preserve">Audit, MFL, territory, governing law:</w:t>
      </w:r>
      <w:r>
        <w:t xml:space="preserve"> </w:t>
      </w:r>
      <w:r>
        <w:t xml:space="preserve">Unchanged.</w:t>
      </w:r>
    </w:p>
    <w:bookmarkEnd w:id="25"/>
    <w:bookmarkStart w:id="26" w:name="license-b-traitforge-proposed"/>
    <w:p>
      <w:pPr>
        <w:pStyle w:val="Heading3"/>
      </w:pPr>
      <w:r>
        <w:t xml:space="preserve">3.2 License B (TraitForge) — Proposed</w:t>
      </w:r>
    </w:p>
    <w:p>
      <w:pPr>
        <w:pStyle w:val="Compact"/>
        <w:numPr>
          <w:ilvl w:val="0"/>
          <w:numId w:val="1003"/>
        </w:numPr>
      </w:pPr>
      <w:r>
        <w:rPr>
          <w:b/>
          <w:bCs/>
        </w:rPr>
        <w:t xml:space="preserve">Term:</w:t>
      </w:r>
      <w:r>
        <w:t xml:space="preserve"> </w:t>
      </w:r>
      <w:r>
        <w:t xml:space="preserve">5 years (January 1, 2025 – December 31, 2029), retroactive to expiration; one optional 3-year renewal.</w:t>
      </w:r>
    </w:p>
    <w:p>
      <w:pPr>
        <w:pStyle w:val="Compact"/>
        <w:numPr>
          <w:ilvl w:val="0"/>
          <w:numId w:val="1003"/>
        </w:numPr>
      </w:pPr>
      <w:r>
        <w:rPr>
          <w:b/>
          <w:bCs/>
        </w:rPr>
        <w:t xml:space="preserve">Royalty:</w:t>
      </w:r>
      <w:r>
        <w:t xml:space="preserve"> </w:t>
      </w:r>
      <w:r>
        <w:t xml:space="preserve">5.0% of Net Sales (up from 3.75%).</w:t>
      </w:r>
    </w:p>
    <w:p>
      <w:pPr>
        <w:pStyle w:val="Compact"/>
        <w:numPr>
          <w:ilvl w:val="0"/>
          <w:numId w:val="1003"/>
        </w:numPr>
      </w:pPr>
      <w:r>
        <w:rPr>
          <w:b/>
          <w:bCs/>
        </w:rPr>
        <w:t xml:space="preserve">Minimum annual royalty:</w:t>
      </w:r>
      <w:r>
        <w:t xml:space="preserve"> </w:t>
      </w:r>
      <w:r>
        <w:t xml:space="preserve">$5,000,000 (up from $2,500,000), quarterly $1,250,000.</w:t>
      </w:r>
    </w:p>
    <w:p>
      <w:pPr>
        <w:pStyle w:val="Compact"/>
        <w:numPr>
          <w:ilvl w:val="0"/>
          <w:numId w:val="1003"/>
        </w:numPr>
      </w:pPr>
      <w:r>
        <w:rPr>
          <w:b/>
          <w:bCs/>
        </w:rPr>
        <w:t xml:space="preserve">Field of Use / Territory:</w:t>
      </w:r>
      <w:r>
        <w:t xml:space="preserve"> </w:t>
      </w:r>
      <w:r>
        <w:t xml:space="preserve">Unchanged.</w:t>
      </w:r>
    </w:p>
    <w:p>
      <w:pPr>
        <w:pStyle w:val="Compact"/>
        <w:numPr>
          <w:ilvl w:val="0"/>
          <w:numId w:val="1003"/>
        </w:numPr>
      </w:pPr>
      <w:r>
        <w:rPr>
          <w:b/>
          <w:bCs/>
        </w:rPr>
        <w:t xml:space="preserve">Audit (§5.2):</w:t>
      </w:r>
      <w:r>
        <w:t xml:space="preserve"> </w:t>
      </w:r>
      <w:r>
        <w:t xml:space="preserve">Expanded to</w:t>
      </w:r>
      <w:r>
        <w:t xml:space="preserve"> </w:t>
      </w:r>
      <w:r>
        <w:rPr>
          <w:b/>
          <w:bCs/>
        </w:rPr>
        <w:t xml:space="preserve">2x/year</w:t>
      </w:r>
      <w:r>
        <w:t xml:space="preserve">,</w:t>
      </w:r>
      <w:r>
        <w:t xml:space="preserve"> </w:t>
      </w:r>
      <w:r>
        <w:rPr>
          <w:b/>
          <w:bCs/>
        </w:rPr>
        <w:t xml:space="preserve">15 business days’ notice</w:t>
      </w:r>
      <w:r>
        <w:t xml:space="preserve">,</w:t>
      </w:r>
      <w:r>
        <w:t xml:space="preserve"> </w:t>
      </w:r>
      <w:r>
        <w:rPr>
          <w:b/>
          <w:bCs/>
        </w:rPr>
        <w:t xml:space="preserve">5-year look-back</w:t>
      </w:r>
      <w:r>
        <w:t xml:space="preserve"> </w:t>
      </w:r>
      <w:r>
        <w:t xml:space="preserve">(from 1x/year, 30 calendar days, 3-year look-back).</w:t>
      </w:r>
    </w:p>
    <w:p>
      <w:pPr>
        <w:pStyle w:val="Compact"/>
        <w:numPr>
          <w:ilvl w:val="0"/>
          <w:numId w:val="1003"/>
        </w:numPr>
      </w:pPr>
      <w:r>
        <w:rPr>
          <w:b/>
          <w:bCs/>
        </w:rPr>
        <w:t xml:space="preserve">Biological materials (§7.4):</w:t>
      </w:r>
      <w:r>
        <w:t xml:space="preserve"> </w:t>
      </w:r>
      <w:r>
        <w:rPr>
          <w:b/>
          <w:bCs/>
        </w:rPr>
        <w:t xml:space="preserve">30-day return/destroy, no wind-down</w:t>
      </w:r>
      <w:r>
        <w:t xml:space="preserve"> </w:t>
      </w:r>
      <w:r>
        <w:t xml:space="preserve">(down from 90-day wind-down with continued use in initiated programs).</w:t>
      </w:r>
    </w:p>
    <w:p>
      <w:pPr>
        <w:pStyle w:val="Compact"/>
        <w:numPr>
          <w:ilvl w:val="0"/>
          <w:numId w:val="1003"/>
        </w:numPr>
      </w:pPr>
      <w:r>
        <w:rPr>
          <w:b/>
          <w:bCs/>
        </w:rPr>
        <w:t xml:space="preserve">Improvements:</w:t>
      </w:r>
      <w:r>
        <w:t xml:space="preserve"> </w:t>
      </w:r>
      <w:r>
        <w:t xml:space="preserve">Conformed to the License A joint-ownership / royalty-free grant-back structure.</w:t>
      </w:r>
    </w:p>
    <w:p>
      <w:pPr>
        <w:pStyle w:val="Compact"/>
        <w:numPr>
          <w:ilvl w:val="0"/>
          <w:numId w:val="1003"/>
        </w:numPr>
      </w:pPr>
      <w:r>
        <w:rPr>
          <w:b/>
          <w:bCs/>
        </w:rPr>
        <w:t xml:space="preserve">Standstill (§12.6):</w:t>
      </w:r>
      <w:r>
        <w:t xml:space="preserve"> </w:t>
      </w:r>
      <w:r>
        <w:t xml:space="preserve">Retained (180 days).</w:t>
      </w:r>
    </w:p>
    <w:bookmarkEnd w:id="26"/>
    <w:bookmarkStart w:id="27" w:name="license-c-genomap-pro-proposed"/>
    <w:p>
      <w:pPr>
        <w:pStyle w:val="Heading3"/>
      </w:pPr>
      <w:r>
        <w:t xml:space="preserve">3.3 License C (GenoMap Pro) — Proposed</w:t>
      </w:r>
    </w:p>
    <w:p>
      <w:pPr>
        <w:pStyle w:val="Compact"/>
        <w:numPr>
          <w:ilvl w:val="0"/>
          <w:numId w:val="1004"/>
        </w:numPr>
      </w:pPr>
      <w:r>
        <w:rPr>
          <w:b/>
          <w:bCs/>
        </w:rPr>
        <w:t xml:space="preserve">Term:</w:t>
      </w:r>
      <w:r>
        <w:t xml:space="preserve"> </w:t>
      </w:r>
      <w:r>
        <w:t xml:space="preserve">3 years (March 1, 2025 – February 28, 2028); one optional 3-year renewal.</w:t>
      </w:r>
    </w:p>
    <w:p>
      <w:pPr>
        <w:pStyle w:val="Compact"/>
        <w:numPr>
          <w:ilvl w:val="0"/>
          <w:numId w:val="1004"/>
        </w:numPr>
      </w:pPr>
      <w:r>
        <w:rPr>
          <w:b/>
          <w:bCs/>
        </w:rPr>
        <w:t xml:space="preserve">Fee structure (as modeled in the Financial Analysis):</w:t>
      </w:r>
      <w:r>
        <w:t xml:space="preserve"> </w:t>
      </w:r>
      <w:r>
        <w:t xml:space="preserve">Base annual license fee of</w:t>
      </w:r>
      <w:r>
        <w:t xml:space="preserve"> </w:t>
      </w:r>
      <w:r>
        <w:rPr>
          <w:b/>
          <w:bCs/>
        </w:rPr>
        <w:t xml:space="preserve">$4,850,000</w:t>
      </w:r>
      <w:r>
        <w:t xml:space="preserve">; a</w:t>
      </w:r>
      <w:r>
        <w:t xml:space="preserve"> </w:t>
      </w:r>
      <w:r>
        <w:rPr>
          <w:b/>
          <w:bCs/>
        </w:rPr>
        <w:t xml:space="preserve">50 named-user cap</w:t>
      </w:r>
      <w:r>
        <w:t xml:space="preserve"> </w:t>
      </w:r>
      <w:r>
        <w:t xml:space="preserve">with a</w:t>
      </w:r>
      <w:r>
        <w:t xml:space="preserve"> </w:t>
      </w:r>
      <w:r>
        <w:rPr>
          <w:b/>
          <w:bCs/>
        </w:rPr>
        <w:t xml:space="preserve">$18,500/user/year overage</w:t>
      </w:r>
      <w:r>
        <w:t xml:space="preserve"> </w:t>
      </w:r>
      <w:r>
        <w:t xml:space="preserve">(Greenfield currently has 73 named users → 23 excess →</w:t>
      </w:r>
      <w:r>
        <w:t xml:space="preserve"> </w:t>
      </w:r>
      <w:r>
        <w:rPr>
          <w:b/>
          <w:bCs/>
        </w:rPr>
        <w:t xml:space="preserve">$425,500 overage</w:t>
      </w:r>
      <w:r>
        <w:t xml:space="preserve">); total annual license cost</w:t>
      </w:r>
      <w:r>
        <w:t xml:space="preserve"> </w:t>
      </w:r>
      <w:r>
        <w:rPr>
          <w:b/>
          <w:bCs/>
        </w:rPr>
        <w:t xml:space="preserve">~$5,275,500</w:t>
      </w:r>
      <w:r>
        <w:t xml:space="preserve">; plus a one-time</w:t>
      </w:r>
      <w:r>
        <w:t xml:space="preserve"> </w:t>
      </w:r>
      <w:r>
        <w:rPr>
          <w:b/>
          <w:bCs/>
        </w:rPr>
        <w:t xml:space="preserve">$175,000</w:t>
      </w:r>
      <w:r>
        <w:t xml:space="preserve"> </w:t>
      </w:r>
      <w:r>
        <w:t xml:space="preserve">Version 5.x file-conversion tool and an estimated</w:t>
      </w:r>
      <w:r>
        <w:t xml:space="preserve"> </w:t>
      </w:r>
      <w:r>
        <w:rPr>
          <w:b/>
          <w:bCs/>
        </w:rPr>
        <w:t xml:space="preserve">$95,000</w:t>
      </w:r>
      <w:r>
        <w:t xml:space="preserve"> </w:t>
      </w:r>
      <w:r>
        <w:t xml:space="preserve">internal integration/training. (The October 2024 Proposal letter framed the fee as a $4.8M base plus a $305,000 support fee plus the $175,000 migration fee, totaling ~$5.28M; the Financial Analysis reflects the more current and more onerous user-capped structure, which is the basis for Greenfield’s modeling.)</w:t>
      </w:r>
    </w:p>
    <w:p>
      <w:pPr>
        <w:pStyle w:val="Compact"/>
        <w:numPr>
          <w:ilvl w:val="0"/>
          <w:numId w:val="1004"/>
        </w:numPr>
      </w:pPr>
      <w:r>
        <w:rPr>
          <w:b/>
          <w:bCs/>
        </w:rPr>
        <w:t xml:space="preserve">Version upgrade:</w:t>
      </w:r>
      <w:r>
        <w:t xml:space="preserve"> </w:t>
      </w:r>
      <w:r>
        <w:t xml:space="preserve">Mandatory transition from Version 4.x to Version 5.x (ML-driven trait prediction, ~22% accuracy improvement; cloud-native; SSO/RBAC).</w:t>
      </w:r>
    </w:p>
    <w:p>
      <w:pPr>
        <w:pStyle w:val="Compact"/>
        <w:numPr>
          <w:ilvl w:val="0"/>
          <w:numId w:val="1004"/>
        </w:numPr>
      </w:pPr>
      <w:r>
        <w:rPr>
          <w:b/>
          <w:bCs/>
        </w:rPr>
        <w:t xml:space="preserve">Source code (§5.2):</w:t>
      </w:r>
      <w:r>
        <w:t xml:space="preserve"> </w:t>
      </w:r>
      <w:r>
        <w:rPr>
          <w:b/>
          <w:bCs/>
        </w:rPr>
        <w:t xml:space="preserve">Eliminated</w:t>
      </w:r>
      <w:r>
        <w:t xml:space="preserve"> </w:t>
      </w:r>
      <w:r>
        <w:t xml:space="preserve">— object code only; escrow retained. Existing Licensee Modifications become jointly owned or, at Greenfield’s election, purchased by NovaTrait at fair market value.</w:t>
      </w:r>
    </w:p>
    <w:p>
      <w:pPr>
        <w:pStyle w:val="Compact"/>
        <w:numPr>
          <w:ilvl w:val="0"/>
          <w:numId w:val="1004"/>
        </w:numPr>
      </w:pPr>
      <w:r>
        <w:rPr>
          <w:b/>
          <w:bCs/>
        </w:rPr>
        <w:t xml:space="preserve">Derivative Data (new §9.3):</w:t>
      </w:r>
      <w:r>
        <w:t xml:space="preserve"> </w:t>
      </w:r>
      <w:r>
        <w:rPr>
          <w:b/>
          <w:bCs/>
        </w:rPr>
        <w:t xml:space="preserve">NovaTrait owns all Derivative Data</w:t>
      </w:r>
      <w:r>
        <w:t xml:space="preserve">; Greenfield receives only a non-exclusive, non-transferable, royalty-free license for internal use during the term, with no sublicensing, no publication identifiable to NovaTrait/the Software, and</w:t>
      </w:r>
      <w:r>
        <w:t xml:space="preserve"> </w:t>
      </w:r>
      <w:r>
        <w:rPr>
          <w:b/>
          <w:bCs/>
        </w:rPr>
        <w:t xml:space="preserve">no post-term use</w:t>
      </w:r>
      <w:r>
        <w:t xml:space="preserve">.</w:t>
      </w:r>
    </w:p>
    <w:bookmarkEnd w:id="27"/>
    <w:bookmarkStart w:id="28" w:name="cross-license-procedural-terms"/>
    <w:p>
      <w:pPr>
        <w:pStyle w:val="Heading3"/>
      </w:pPr>
      <w:r>
        <w:t xml:space="preserve">3.4 Cross-License / Procedural Terms</w:t>
      </w:r>
    </w:p>
    <w:p>
      <w:pPr>
        <w:pStyle w:val="FirstParagraph"/>
      </w:pPr>
      <w:r>
        <w:t xml:space="preserve">NovaTrait proposes coordinated quarterly billing across all three agreements, agreement-by-agreement MFL calculation, and optional term harmonization (a coordinated 5-year License C term at an incremental fee, or shorter A/B terms). It also proposes a short-form standstill confirmation for License B (Appendix B form) and requests Greenfield’s written response by November 15, 2024, a License C renewal confirmation by November 30, 2024, and execution of all three amended-and-restated agreements by March 15, 2025.</w:t>
      </w:r>
    </w:p>
    <w:p>
      <w:r>
        <w:pict>
          <v:rect style="width:0;height:1.5pt" o:hralign="center" o:hrstd="t" o:hr="t"/>
        </w:pict>
      </w:r>
    </w:p>
    <w:bookmarkEnd w:id="28"/>
    <w:bookmarkEnd w:id="29"/>
    <w:bookmarkStart w:id="34" w:name="financial-impact-analysis"/>
    <w:p>
      <w:pPr>
        <w:pStyle w:val="Heading2"/>
      </w:pPr>
      <w:r>
        <w:t xml:space="preserve">4. Financial Impact Analysis</w:t>
      </w:r>
    </w:p>
    <w:p>
      <w:pPr>
        <w:pStyle w:val="FirstParagraph"/>
      </w:pPr>
      <w:r>
        <w:t xml:space="preserve">The Financial Analysis (Ridgemont/Oakvale, February 2025) models the Proposal against Greenfield’s FY 2024 actuals ($387.2M total revenue; $202.67M License A Net Sales; $170.13M License B Net Sales; 73 GenoMap Pro users). All figures below are from that analysis unless noted.</w:t>
      </w:r>
    </w:p>
    <w:bookmarkStart w:id="30" w:name="aggregate-impact"/>
    <w:p>
      <w:pPr>
        <w:pStyle w:val="Heading3"/>
      </w:pPr>
      <w:r>
        <w:t xml:space="preserve">4.1 Aggregate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Current (annualized)</w:t>
            </w:r>
          </w:p>
        </w:tc>
        <w:tc>
          <w:tcPr/>
          <w:p>
            <w:pPr>
              <w:pStyle w:val="Compact"/>
              <w:jc w:val="left"/>
            </w:pPr>
            <w:r>
              <w:rPr>
                <w:b/>
                <w:bCs/>
              </w:rPr>
              <w:t xml:space="preserve">Proposed (Year 1)</w:t>
            </w:r>
          </w:p>
        </w:tc>
        <w:tc>
          <w:tcPr/>
          <w:p>
            <w:pPr>
              <w:pStyle w:val="Compact"/>
              <w:jc w:val="left"/>
            </w:pPr>
            <w:r>
              <w:rPr>
                <w:b/>
                <w:bCs/>
              </w:rPr>
              <w:t xml:space="preserve">Change</w:t>
            </w:r>
          </w:p>
        </w:tc>
      </w:tr>
      <w:tr>
        <w:tc>
          <w:tcPr/>
          <w:p>
            <w:pPr>
              <w:pStyle w:val="Compact"/>
              <w:jc w:val="left"/>
            </w:pPr>
            <w:r>
              <w:t xml:space="preserve">License A running royalty + MAR</w:t>
            </w:r>
          </w:p>
        </w:tc>
        <w:tc>
          <w:tcPr/>
          <w:p>
            <w:pPr>
              <w:pStyle w:val="Compact"/>
              <w:jc w:val="left"/>
            </w:pPr>
            <w:r>
              <w:t xml:space="preserve">~$9,120,000</w:t>
            </w:r>
          </w:p>
        </w:tc>
        <w:tc>
          <w:tcPr/>
          <w:p>
            <w:pPr>
              <w:pStyle w:val="Compact"/>
              <w:jc w:val="left"/>
            </w:pPr>
            <w:r>
              <w:t xml:space="preserve">~$13,580,000</w:t>
            </w:r>
          </w:p>
        </w:tc>
        <w:tc>
          <w:tcPr/>
          <w:p>
            <w:pPr>
              <w:pStyle w:val="Compact"/>
              <w:jc w:val="left"/>
            </w:pPr>
            <w:r>
              <w:t xml:space="preserve">+$4,460,000</w:t>
            </w:r>
          </w:p>
        </w:tc>
      </w:tr>
      <w:tr>
        <w:tc>
          <w:tcPr/>
          <w:p>
            <w:pPr>
              <w:pStyle w:val="Compact"/>
              <w:jc w:val="left"/>
            </w:pPr>
            <w:r>
              <w:t xml:space="preserve">License B running royalty + MAR</w:t>
            </w:r>
          </w:p>
        </w:tc>
        <w:tc>
          <w:tcPr/>
          <w:p>
            <w:pPr>
              <w:pStyle w:val="Compact"/>
              <w:jc w:val="left"/>
            </w:pPr>
            <w:r>
              <w:t xml:space="preserve">~$6,380,000</w:t>
            </w:r>
          </w:p>
        </w:tc>
        <w:tc>
          <w:tcPr/>
          <w:p>
            <w:pPr>
              <w:pStyle w:val="Compact"/>
              <w:jc w:val="left"/>
            </w:pPr>
            <w:r>
              <w:t xml:space="preserve">~$9,090,000</w:t>
            </w:r>
          </w:p>
        </w:tc>
        <w:tc>
          <w:tcPr/>
          <w:p>
            <w:pPr>
              <w:pStyle w:val="Compact"/>
              <w:jc w:val="left"/>
            </w:pPr>
            <w:r>
              <w:t xml:space="preserve">+$2,710,000</w:t>
            </w:r>
          </w:p>
        </w:tc>
      </w:tr>
      <w:tr>
        <w:tc>
          <w:tcPr/>
          <w:p>
            <w:pPr>
              <w:pStyle w:val="Compact"/>
              <w:jc w:val="left"/>
            </w:pPr>
            <w:r>
              <w:t xml:space="preserve">License C fees</w:t>
            </w:r>
          </w:p>
        </w:tc>
        <w:tc>
          <w:tcPr/>
          <w:p>
            <w:pPr>
              <w:pStyle w:val="Compact"/>
              <w:jc w:val="left"/>
            </w:pPr>
            <w:r>
              <w:t xml:space="preserve">~$3,140,000</w:t>
            </w:r>
          </w:p>
        </w:tc>
        <w:tc>
          <w:tcPr/>
          <w:p>
            <w:pPr>
              <w:pStyle w:val="Compact"/>
              <w:jc w:val="left"/>
            </w:pPr>
            <w:r>
              <w:t xml:space="preserve">~$5,280,000</w:t>
            </w:r>
          </w:p>
        </w:tc>
        <w:tc>
          <w:tcPr/>
          <w:p>
            <w:pPr>
              <w:pStyle w:val="Compact"/>
              <w:jc w:val="left"/>
            </w:pPr>
            <w:r>
              <w:t xml:space="preserve">+$2,140,000</w:t>
            </w:r>
          </w:p>
        </w:tc>
      </w:tr>
      <w:tr>
        <w:tc>
          <w:tcPr/>
          <w:p>
            <w:pPr>
              <w:pStyle w:val="Compact"/>
              <w:jc w:val="left"/>
            </w:pPr>
            <w:r>
              <w:rPr>
                <w:b/>
                <w:bCs/>
              </w:rPr>
              <w:t xml:space="preserve">TOTAL</w:t>
            </w:r>
          </w:p>
        </w:tc>
        <w:tc>
          <w:tcPr/>
          <w:p>
            <w:pPr>
              <w:pStyle w:val="Compact"/>
              <w:jc w:val="left"/>
            </w:pPr>
            <w:r>
              <w:rPr>
                <w:b/>
                <w:bCs/>
              </w:rPr>
              <w:t xml:space="preserve">~$18,640,000</w:t>
            </w:r>
          </w:p>
        </w:tc>
        <w:tc>
          <w:tcPr/>
          <w:p>
            <w:pPr>
              <w:pStyle w:val="Compact"/>
              <w:jc w:val="left"/>
            </w:pPr>
            <w:r>
              <w:rPr>
                <w:b/>
                <w:bCs/>
              </w:rPr>
              <w:t xml:space="preserve">~$27,950,000</w:t>
            </w:r>
          </w:p>
        </w:tc>
        <w:tc>
          <w:tcPr/>
          <w:p>
            <w:pPr>
              <w:pStyle w:val="Compact"/>
              <w:jc w:val="left"/>
            </w:pPr>
            <w:r>
              <w:rPr>
                <w:b/>
                <w:bCs/>
              </w:rPr>
              <w:t xml:space="preserve">+$9,310,000</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r>
    </w:tbl>
    <w:p>
      <w:pPr>
        <w:pStyle w:val="BodyText"/>
      </w:pPr>
      <w:r>
        <w:t xml:space="preserve">Over a steady-state projection (License A at 5% growth; License B at 4% growth), the</w:t>
      </w:r>
      <w:r>
        <w:t xml:space="preserve"> </w:t>
      </w:r>
      <w:r>
        <w:rPr>
          <w:b/>
          <w:bCs/>
        </w:rPr>
        <w:t xml:space="preserve">cumulative incremental cost over the renewal terms is approximately $31.8M for License A (5 years) and $15.3M for License B (5 years, direct only)</w:t>
      </w:r>
      <w:r>
        <w:t xml:space="preserve">, before any Prairielands pass-through. License C’s three-year total cost of ownership rises from $9.42M to $16.10M (+$6.68M, +70.9%). The aggregate three-year incremental cost (FY 2025–2027, base case) is approximately</w:t>
      </w:r>
      <w:r>
        <w:t xml:space="preserve"> </w:t>
      </w:r>
      <w:r>
        <w:rPr>
          <w:b/>
          <w:bCs/>
        </w:rPr>
        <w:t xml:space="preserve">$30.0M</w:t>
      </w:r>
      <w:r>
        <w:t xml:space="preserve">, reaching ~8.06% of FY 2024 revenue by FY 2027.</w:t>
      </w:r>
    </w:p>
    <w:bookmarkEnd w:id="30"/>
    <w:bookmarkStart w:id="31" w:name="Xfefebeb0a1c365041fb3dfb7833c998c991a770"/>
    <w:p>
      <w:pPr>
        <w:pStyle w:val="Heading3"/>
      </w:pPr>
      <w:r>
        <w:t xml:space="preserve">4.2 The</w:t>
      </w:r>
      <w:r>
        <w:t xml:space="preserve"> </w:t>
      </w:r>
      <w:r>
        <w:t xml:space="preserve">“</w:t>
      </w:r>
      <w:r>
        <w:t xml:space="preserve">Rate Cap</w:t>
      </w:r>
      <w:r>
        <w:t xml:space="preserve">”</w:t>
      </w:r>
      <w:r>
        <w:t xml:space="preserve"> </w:t>
      </w:r>
      <w:r>
        <w:t xml:space="preserve">Illusion — Effective Rate Analysis</w:t>
      </w:r>
    </w:p>
    <w:p>
      <w:pPr>
        <w:pStyle w:val="FirstParagraph"/>
      </w:pPr>
      <w:r>
        <w:t xml:space="preserve">NovaTrait asserts the License A 6.25% rate is within the §14.3(a) cap of 150% × 4.5% = 6.75%, so no IFMV assessment is required. This is technically true on the</w:t>
      </w:r>
      <w:r>
        <w:t xml:space="preserve"> </w:t>
      </w:r>
      <w:r>
        <w:rPr>
          <w:b/>
          <w:bCs/>
        </w:rPr>
        <w:t xml:space="preserve">nominal</w:t>
      </w:r>
      <w:r>
        <w:t xml:space="preserve"> </w:t>
      </w:r>
      <w:r>
        <w:t xml:space="preserve">rate, but it obscures the real economics. The simultaneous</w:t>
      </w:r>
      <w:r>
        <w:t xml:space="preserve"> </w:t>
      </w:r>
      <w:r>
        <w:rPr>
          <w:b/>
          <w:bCs/>
        </w:rPr>
        <w:t xml:space="preserve">redefinition of Net Sales</w:t>
      </w:r>
      <w:r>
        <w:t xml:space="preserve"> </w:t>
      </w:r>
      <w:r>
        <w:t xml:space="preserve">(removing freight/insurance/returns/bad-debt deductions) enlarges the royalty base by ~7.2% (License A) and ~6.8% (License B). Measured against the</w:t>
      </w:r>
      <w:r>
        <w:t xml:space="preserve"> </w:t>
      </w:r>
      <w:r>
        <w:rPr>
          <w:b/>
          <w:bCs/>
        </w:rPr>
        <w:t xml:space="preserve">original</w:t>
      </w:r>
      <w:r>
        <w:t xml:space="preserve"> </w:t>
      </w:r>
      <w:r>
        <w:t xml:space="preserve">Net Sales base: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License A</w:t>
            </w:r>
          </w:p>
        </w:tc>
        <w:tc>
          <w:tcPr/>
          <w:p>
            <w:pPr>
              <w:pStyle w:val="Compact"/>
              <w:jc w:val="left"/>
            </w:pPr>
            <w:r>
              <w:rPr>
                <w:b/>
                <w:bCs/>
              </w:rPr>
              <w:t xml:space="preserve">License B</w:t>
            </w:r>
          </w:p>
        </w:tc>
      </w:tr>
      <w:tr>
        <w:tc>
          <w:tcPr/>
          <w:p>
            <w:pPr>
              <w:pStyle w:val="Compact"/>
              <w:jc w:val="left"/>
            </w:pPr>
            <w:r>
              <w:t xml:space="preserve">Current effective rate (on original Net Sales)</w:t>
            </w:r>
          </w:p>
        </w:tc>
        <w:tc>
          <w:tcPr/>
          <w:p>
            <w:pPr>
              <w:pStyle w:val="Compact"/>
              <w:jc w:val="left"/>
            </w:pPr>
            <w:r>
              <w:t xml:space="preserve">4.50%</w:t>
            </w:r>
          </w:p>
        </w:tc>
        <w:tc>
          <w:tcPr/>
          <w:p>
            <w:pPr>
              <w:pStyle w:val="Compact"/>
              <w:jc w:val="left"/>
            </w:pPr>
            <w:r>
              <w:t xml:space="preserve">3.75%</w:t>
            </w:r>
          </w:p>
        </w:tc>
      </w:tr>
      <w:tr>
        <w:tc>
          <w:tcPr/>
          <w:p>
            <w:pPr>
              <w:pStyle w:val="Compact"/>
              <w:jc w:val="left"/>
            </w:pPr>
            <w:r>
              <w:t xml:space="preserve">Proposed effective rate (on original Net Sales base)</w:t>
            </w:r>
          </w:p>
        </w:tc>
        <w:tc>
          <w:tcPr/>
          <w:p>
            <w:pPr>
              <w:pStyle w:val="Compact"/>
              <w:jc w:val="left"/>
            </w:pPr>
            <w:r>
              <w:rPr>
                <w:b/>
                <w:bCs/>
              </w:rPr>
              <w:t xml:space="preserve">6.70%</w:t>
            </w:r>
            <w:r>
              <w:t xml:space="preserve"> </w:t>
            </w:r>
            <w:r>
              <w:t xml:space="preserve">($217.26M × 6.25% ÷ $202.67M)</w:t>
            </w:r>
          </w:p>
        </w:tc>
        <w:tc>
          <w:tcPr/>
          <w:p>
            <w:pPr>
              <w:pStyle w:val="Compact"/>
              <w:jc w:val="left"/>
            </w:pPr>
            <w:r>
              <w:rPr>
                <w:b/>
                <w:bCs/>
              </w:rPr>
              <w:t xml:space="preserve">5.34%</w:t>
            </w:r>
            <w:r>
              <w:t xml:space="preserve"> </w:t>
            </w:r>
            <w:r>
              <w:t xml:space="preserve">($181.70M × 5.0% ÷ $170.13M)</w:t>
            </w:r>
          </w:p>
        </w:tc>
      </w:tr>
      <w:tr>
        <w:tc>
          <w:tcPr/>
          <w:p>
            <w:pPr>
              <w:pStyle w:val="Compact"/>
              <w:jc w:val="left"/>
            </w:pPr>
            <w:r>
              <w:t xml:space="preserve">Effective rate as % of current rate</w:t>
            </w:r>
          </w:p>
        </w:tc>
        <w:tc>
          <w:tcPr/>
          <w:p>
            <w:pPr>
              <w:pStyle w:val="Compact"/>
              <w:jc w:val="left"/>
            </w:pPr>
            <w:r>
              <w:rPr>
                <w:b/>
                <w:bCs/>
              </w:rPr>
              <w:t xml:space="preserve">148.9%</w:t>
            </w:r>
          </w:p>
        </w:tc>
        <w:tc>
          <w:tcPr/>
          <w:p>
            <w:pPr>
              <w:pStyle w:val="Compact"/>
              <w:jc w:val="left"/>
            </w:pPr>
            <w:r>
              <w:t xml:space="preserve">142.4%</w:t>
            </w:r>
          </w:p>
        </w:tc>
      </w:tr>
      <w:tr>
        <w:tc>
          <w:tcPr/>
          <w:p>
            <w:pPr>
              <w:pStyle w:val="Compact"/>
              <w:jc w:val="left"/>
            </w:pPr>
            <w:r>
              <w:t xml:space="preserve">Within 150% cap?</w:t>
            </w:r>
          </w:p>
        </w:tc>
        <w:tc>
          <w:tcPr/>
          <w:p>
            <w:pPr>
              <w:pStyle w:val="Compact"/>
              <w:jc w:val="left"/>
            </w:pPr>
            <w:r>
              <w:t xml:space="preserve">Yes — but only barely (148.9% vs. 150%)</w:t>
            </w:r>
          </w:p>
        </w:tc>
        <w:tc>
          <w:tcPr/>
          <w:p>
            <w:pPr>
              <w:pStyle w:val="Compact"/>
              <w:jc w:val="left"/>
            </w:pPr>
            <w:r>
              <w:t xml:space="preserve">N/A (no cap provision in License B)</w:t>
            </w:r>
          </w:p>
        </w:tc>
      </w:tr>
    </w:tbl>
    <w:p>
      <w:pPr>
        <w:pStyle w:val="BodyText"/>
      </w:pPr>
      <w:r>
        <w:rPr>
          <w:b/>
          <w:bCs/>
        </w:rPr>
        <w:t xml:space="preserve">Legal position.</w:t>
      </w:r>
      <w:r>
        <w:t xml:space="preserve"> </w:t>
      </w:r>
      <w:r>
        <w:t xml:space="preserve">Section 14.3(a) refers to the</w:t>
      </w:r>
      <w:r>
        <w:t xml:space="preserve"> </w:t>
      </w:r>
      <w:r>
        <w:t xml:space="preserve">“</w:t>
      </w:r>
      <w:r>
        <w:t xml:space="preserve">royalty rate.</w:t>
      </w:r>
      <w:r>
        <w:t xml:space="preserve">”</w:t>
      </w:r>
      <w:r>
        <w:t xml:space="preserve"> </w:t>
      </w:r>
      <w:r>
        <w:t xml:space="preserve">There is a colorable argument that the Net Sales redefinition is, in substance, a rate increase and that the</w:t>
      </w:r>
      <w:r>
        <w:t xml:space="preserve"> </w:t>
      </w:r>
      <w:r>
        <w:rPr>
          <w:b/>
          <w:bCs/>
        </w:rPr>
        <w:t xml:space="preserve">combined</w:t>
      </w:r>
      <w:r>
        <w:t xml:space="preserve"> </w:t>
      </w:r>
      <w:r>
        <w:t xml:space="preserve">economic burden (not the nominal percentage) should be measured against the 150% cap. On that reading, the License A proposal sits at 148.9% — within the cap, but by less than two percentage points of headroom, and any further concession to NovaTrait on rate or base would breach it and trigger the IFMV-assessment requirement. Even within the cap, §14.3 requires any increase to be</w:t>
      </w:r>
      <w:r>
        <w:t xml:space="preserve"> </w:t>
      </w:r>
      <w:r>
        <w:t xml:space="preserve">“</w:t>
      </w:r>
      <w:r>
        <w:t xml:space="preserve">by mutual agreement</w:t>
      </w:r>
      <w:r>
        <w:t xml:space="preserve">”</w:t>
      </w:r>
      <w:r>
        <w:t xml:space="preserve"> </w:t>
      </w:r>
      <w:r>
        <w:t xml:space="preserve">—</w:t>
      </w:r>
      <w:r>
        <w:t xml:space="preserve"> </w:t>
      </w:r>
      <w:r>
        <w:rPr>
          <w:b/>
          <w:bCs/>
        </w:rPr>
        <w:t xml:space="preserve">Greenfield is not obligated to accept any increase</w:t>
      </w:r>
      <w:r>
        <w:t xml:space="preserve">, and the cap is a ceiling, not a floor or an entitlement. Greenfield should press the effective-rate framing in negotiation and should condition any acceptance on a current IFMV assessment (the Clarendon Report is now over four years old and predates the ’117 expiry analysis).</w:t>
      </w:r>
    </w:p>
    <w:bookmarkEnd w:id="31"/>
    <w:bookmarkStart w:id="32" w:name="market-comparables"/>
    <w:p>
      <w:pPr>
        <w:pStyle w:val="Heading3"/>
      </w:pPr>
      <w:r>
        <w:t xml:space="preserve">4.3 Market Comparables</w:t>
      </w:r>
    </w:p>
    <w:p>
      <w:pPr>
        <w:pStyle w:val="FirstParagraph"/>
      </w:pPr>
      <w:r>
        <w:t xml:space="preserve">The Financial Analysis benchmarks eight anonymized 2022–2024 transactions (Clarendon database and industry surveys):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Market range</w:t>
            </w:r>
          </w:p>
        </w:tc>
        <w:tc>
          <w:tcPr/>
          <w:p>
            <w:pPr>
              <w:pStyle w:val="Compact"/>
              <w:jc w:val="left"/>
            </w:pPr>
            <w:r>
              <w:rPr>
                <w:b/>
                <w:bCs/>
              </w:rPr>
              <w:t xml:space="preserve">Median / Mean</w:t>
            </w:r>
          </w:p>
        </w:tc>
        <w:tc>
          <w:tcPr/>
          <w:p>
            <w:pPr>
              <w:pStyle w:val="Compact"/>
              <w:jc w:val="left"/>
            </w:pPr>
            <w:r>
              <w:rPr>
                <w:b/>
                <w:bCs/>
              </w:rPr>
              <w:t xml:space="preserve">NovaTrait proposed</w:t>
            </w:r>
          </w:p>
        </w:tc>
        <w:tc>
          <w:tcPr/>
          <w:p>
            <w:pPr>
              <w:pStyle w:val="Compact"/>
              <w:jc w:val="left"/>
            </w:pPr>
            <w:r>
              <w:rPr>
                <w:b/>
                <w:bCs/>
              </w:rPr>
              <w:t xml:space="preserve">Position</w:t>
            </w:r>
          </w:p>
        </w:tc>
      </w:tr>
      <w:tr>
        <w:tc>
          <w:tcPr/>
          <w:p>
            <w:pPr>
              <w:pStyle w:val="Compact"/>
              <w:jc w:val="left"/>
            </w:pPr>
            <w:r>
              <w:t xml:space="preserve">Gene-editing platforms (Comps 1–3)</w:t>
            </w:r>
          </w:p>
        </w:tc>
        <w:tc>
          <w:tcPr/>
          <w:p>
            <w:pPr>
              <w:pStyle w:val="Compact"/>
              <w:jc w:val="left"/>
            </w:pPr>
            <w:r>
              <w:t xml:space="preserve">3.5% – 5.5%</w:t>
            </w:r>
          </w:p>
        </w:tc>
        <w:tc>
          <w:tcPr/>
          <w:p>
            <w:pPr>
              <w:pStyle w:val="Compact"/>
              <w:jc w:val="left"/>
            </w:pPr>
            <w:r>
              <w:t xml:space="preserve">4.0% / 4.33%</w:t>
            </w:r>
          </w:p>
        </w:tc>
        <w:tc>
          <w:tcPr/>
          <w:p>
            <w:pPr>
              <w:pStyle w:val="Compact"/>
              <w:jc w:val="left"/>
            </w:pPr>
            <w:r>
              <w:t xml:space="preserve">6.25% (License A)</w:t>
            </w:r>
          </w:p>
        </w:tc>
        <w:tc>
          <w:tcPr/>
          <w:p>
            <w:pPr>
              <w:pStyle w:val="Compact"/>
              <w:jc w:val="left"/>
            </w:pPr>
            <w:r>
              <w:rPr>
                <w:b/>
                <w:bCs/>
              </w:rPr>
              <w:t xml:space="preserve">Above market high</w:t>
            </w:r>
          </w:p>
        </w:tc>
      </w:tr>
      <w:tr>
        <w:tc>
          <w:tcPr/>
          <w:p>
            <w:pPr>
              <w:pStyle w:val="Compact"/>
              <w:jc w:val="left"/>
            </w:pPr>
            <w:r>
              <w:t xml:space="preserve">Trait-expression platforms (Comps 4–6)</w:t>
            </w:r>
          </w:p>
        </w:tc>
        <w:tc>
          <w:tcPr/>
          <w:p>
            <w:pPr>
              <w:pStyle w:val="Compact"/>
              <w:jc w:val="left"/>
            </w:pPr>
            <w:r>
              <w:t xml:space="preserve">3.0% – 4.5%</w:t>
            </w:r>
          </w:p>
        </w:tc>
        <w:tc>
          <w:tcPr/>
          <w:p>
            <w:pPr>
              <w:pStyle w:val="Compact"/>
              <w:jc w:val="left"/>
            </w:pPr>
            <w:r>
              <w:t xml:space="preserve">3.25% / 3.58%</w:t>
            </w:r>
          </w:p>
        </w:tc>
        <w:tc>
          <w:tcPr/>
          <w:p>
            <w:pPr>
              <w:pStyle w:val="Compact"/>
              <w:jc w:val="left"/>
            </w:pPr>
            <w:r>
              <w:t xml:space="preserve">5.0% (License B)</w:t>
            </w:r>
          </w:p>
        </w:tc>
        <w:tc>
          <w:tcPr/>
          <w:p>
            <w:pPr>
              <w:pStyle w:val="Compact"/>
              <w:jc w:val="left"/>
            </w:pPr>
            <w:r>
              <w:rPr>
                <w:b/>
                <w:bCs/>
              </w:rPr>
              <w:t xml:space="preserve">Above market high</w:t>
            </w:r>
          </w:p>
        </w:tc>
      </w:tr>
      <w:tr>
        <w:tc>
          <w:tcPr/>
          <w:p>
            <w:pPr>
              <w:pStyle w:val="Compact"/>
              <w:jc w:val="left"/>
            </w:pPr>
            <w:r>
              <w:t xml:space="preserve">Bioinformatics software (Comps 7–8)</w:t>
            </w:r>
          </w:p>
        </w:tc>
        <w:tc>
          <w:tcPr/>
          <w:p>
            <w:pPr>
              <w:pStyle w:val="Compact"/>
              <w:jc w:val="left"/>
            </w:pPr>
            <w:r>
              <w:t xml:space="preserve">$2.9M – $3.2M</w:t>
            </w:r>
          </w:p>
        </w:tc>
        <w:tc>
          <w:tcPr/>
          <w:p>
            <w:pPr>
              <w:pStyle w:val="Compact"/>
              <w:jc w:val="left"/>
            </w:pPr>
            <w:r>
              <w:t xml:space="preserve">$3.05M</w:t>
            </w:r>
          </w:p>
        </w:tc>
        <w:tc>
          <w:tcPr/>
          <w:p>
            <w:pPr>
              <w:pStyle w:val="Compact"/>
              <w:jc w:val="left"/>
            </w:pPr>
            <w:r>
              <w:t xml:space="preserve">~$5.28M (License C)</w:t>
            </w:r>
          </w:p>
        </w:tc>
        <w:tc>
          <w:tcPr/>
          <w:p>
            <w:pPr>
              <w:pStyle w:val="Compact"/>
              <w:jc w:val="left"/>
            </w:pPr>
            <w:r>
              <w:rPr>
                <w:b/>
                <w:bCs/>
              </w:rPr>
              <w:t xml:space="preserve">~65% above comp mean; above market high</w:t>
            </w:r>
          </w:p>
        </w:tc>
      </w:tr>
    </w:tbl>
    <w:p>
      <w:pPr>
        <w:pStyle w:val="BodyText"/>
      </w:pPr>
      <w:r>
        <w:t xml:space="preserve">Notably,</w:t>
      </w:r>
      <w:r>
        <w:t xml:space="preserve"> </w:t>
      </w:r>
      <w:r>
        <w:rPr>
          <w:b/>
          <w:bCs/>
        </w:rPr>
        <w:t xml:space="preserve">only one of six rate-based comps uses a modified Net Sales definition</w:t>
      </w:r>
      <w:r>
        <w:t xml:space="preserve"> </w:t>
      </w:r>
      <w:r>
        <w:t xml:space="preserve">(and that comp removes returns only — not freight, insurance, and bad debt as NovaTrait proposes). NovaTrait’s narrowed Net Sales definition is therefore an outlier on two axes (rate and base). The Clarendon Report independently places current gene-editing market rates at 3.5%–5.5% and projects post-2028 equilibrium rates at or below the low end (2.0%–3.5%) once the ’117 patent expires and competing platforms mature.</w:t>
      </w:r>
    </w:p>
    <w:bookmarkEnd w:id="32"/>
    <w:bookmarkStart w:id="33" w:name="switching-cost-alternatives-assessment"/>
    <w:p>
      <w:pPr>
        <w:pStyle w:val="Heading3"/>
      </w:pPr>
      <w:r>
        <w:t xml:space="preserve">4.4 Switching-Cost / Alternatives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License A</w:t>
            </w:r>
          </w:p>
        </w:tc>
        <w:tc>
          <w:tcPr/>
          <w:p>
            <w:pPr>
              <w:pStyle w:val="Compact"/>
              <w:jc w:val="left"/>
            </w:pPr>
            <w:r>
              <w:rPr>
                <w:b/>
                <w:bCs/>
              </w:rPr>
              <w:t xml:space="preserve">License B</w:t>
            </w:r>
          </w:p>
        </w:tc>
        <w:tc>
          <w:tcPr/>
          <w:p>
            <w:pPr>
              <w:pStyle w:val="Compact"/>
              <w:jc w:val="left"/>
            </w:pPr>
            <w:r>
              <w:rPr>
                <w:b/>
                <w:bCs/>
              </w:rPr>
              <w:t xml:space="preserve">License C</w:t>
            </w:r>
          </w:p>
        </w:tc>
      </w:tr>
      <w:tr>
        <w:tc>
          <w:tcPr/>
          <w:p>
            <w:pPr>
              <w:pStyle w:val="Compact"/>
              <w:jc w:val="left"/>
            </w:pPr>
            <w:r>
              <w:rPr>
                <w:b/>
                <w:bCs/>
              </w:rPr>
              <w:t xml:space="preserve">Alternatives</w:t>
            </w:r>
          </w:p>
        </w:tc>
        <w:tc>
          <w:tcPr/>
          <w:p>
            <w:pPr>
              <w:pStyle w:val="Compact"/>
              <w:jc w:val="left"/>
            </w:pPr>
            <w:r>
              <w:t xml:space="preserve">AgriGenome Solutions; CropTech Innovations (emerging, post-2028 viable)</w:t>
            </w:r>
          </w:p>
        </w:tc>
        <w:tc>
          <w:tcPr/>
          <w:p>
            <w:pPr>
              <w:pStyle w:val="Compact"/>
              <w:jc w:val="left"/>
            </w:pPr>
            <w:r>
              <w:t xml:space="preserve">None commercial; internal build only</w:t>
            </w:r>
          </w:p>
        </w:tc>
        <w:tc>
          <w:tcPr/>
          <w:p>
            <w:pPr>
              <w:pStyle w:val="Compact"/>
              <w:jc w:val="left"/>
            </w:pPr>
            <w:r>
              <w:t xml:space="preserve">BioSphere Analytics ($2.8M); PlantLogic Suite ($3.5M); TraitView Pro ($1.8M)</w:t>
            </w:r>
          </w:p>
        </w:tc>
      </w:tr>
      <w:tr>
        <w:tc>
          <w:tcPr/>
          <w:p>
            <w:pPr>
              <w:pStyle w:val="Compact"/>
              <w:jc w:val="left"/>
            </w:pPr>
            <w:r>
              <w:rPr>
                <w:b/>
                <w:bCs/>
              </w:rPr>
              <w:t xml:space="preserve">One-time switching cost</w:t>
            </w:r>
          </w:p>
        </w:tc>
        <w:tc>
          <w:tcPr/>
          <w:p>
            <w:pPr>
              <w:pStyle w:val="Compact"/>
              <w:jc w:val="left"/>
            </w:pPr>
            <w:r>
              <w:t xml:space="preserve">$16.65M – $23.6M (direct)</w:t>
            </w:r>
          </w:p>
        </w:tc>
        <w:tc>
          <w:tcPr/>
          <w:p>
            <w:pPr>
              <w:pStyle w:val="Compact"/>
              <w:jc w:val="left"/>
            </w:pPr>
            <w:r>
              <w:t xml:space="preserve">$24.3M – $33.7M (internal dev) + $15–25M opportunity</w:t>
            </w:r>
          </w:p>
        </w:tc>
        <w:tc>
          <w:tcPr/>
          <w:p>
            <w:pPr>
              <w:pStyle w:val="Compact"/>
              <w:jc w:val="left"/>
            </w:pPr>
            <w:r>
              <w:t xml:space="preserve">$2.55M – $4.375M</w:t>
            </w:r>
          </w:p>
        </w:tc>
      </w:tr>
      <w:tr>
        <w:tc>
          <w:tcPr/>
          <w:p>
            <w:pPr>
              <w:pStyle w:val="Compact"/>
              <w:jc w:val="left"/>
            </w:pPr>
            <w:r>
              <w:rPr>
                <w:b/>
                <w:bCs/>
              </w:rPr>
              <w:t xml:space="preserve">Annual savings from switching</w:t>
            </w:r>
          </w:p>
        </w:tc>
        <w:tc>
          <w:tcPr/>
          <w:p>
            <w:pPr>
              <w:pStyle w:val="Compact"/>
              <w:jc w:val="left"/>
            </w:pPr>
            <w:r>
              <w:t xml:space="preserve">$3M – $6M</w:t>
            </w:r>
          </w:p>
        </w:tc>
        <w:tc>
          <w:tcPr/>
          <w:p>
            <w:pPr>
              <w:pStyle w:val="Compact"/>
              <w:jc w:val="left"/>
            </w:pPr>
            <w:r>
              <w:t xml:space="preserve">N/A (no cheaper alternative)</w:t>
            </w:r>
          </w:p>
        </w:tc>
        <w:tc>
          <w:tcPr/>
          <w:p>
            <w:pPr>
              <w:pStyle w:val="Compact"/>
              <w:jc w:val="left"/>
            </w:pPr>
            <w:r>
              <w:t xml:space="preserve">$1.78M – $3.48M</w:t>
            </w:r>
          </w:p>
        </w:tc>
      </w:tr>
      <w:tr>
        <w:tc>
          <w:tcPr/>
          <w:p>
            <w:pPr>
              <w:pStyle w:val="Compact"/>
              <w:jc w:val="left"/>
            </w:pPr>
            <w:r>
              <w:rPr>
                <w:b/>
                <w:bCs/>
              </w:rPr>
              <w:t xml:space="preserve">Break-even</w:t>
            </w:r>
          </w:p>
        </w:tc>
        <w:tc>
          <w:tcPr/>
          <w:p>
            <w:pPr>
              <w:pStyle w:val="Compact"/>
              <w:jc w:val="left"/>
            </w:pPr>
            <w:r>
              <w:t xml:space="preserve">2.8 – 7.9 yrs (direct); 4.1 – 12.9 yrs (incl. opportunity)</w:t>
            </w:r>
          </w:p>
        </w:tc>
        <w:tc>
          <w:tcPr/>
          <w:p>
            <w:pPr>
              <w:pStyle w:val="Compact"/>
              <w:jc w:val="left"/>
            </w:pPr>
            <w:r>
              <w:t xml:space="preserve">N/A</w:t>
            </w:r>
          </w:p>
        </w:tc>
        <w:tc>
          <w:tcPr/>
          <w:p>
            <w:pPr>
              <w:pStyle w:val="Compact"/>
              <w:jc w:val="left"/>
            </w:pPr>
            <w:r>
              <w:t xml:space="preserve">0.7 – 2.5 yrs</w:t>
            </w:r>
          </w:p>
        </w:tc>
      </w:tr>
      <w:tr>
        <w:tc>
          <w:tcPr/>
          <w:p>
            <w:pPr>
              <w:pStyle w:val="Compact"/>
              <w:jc w:val="left"/>
            </w:pPr>
            <w:r>
              <w:rPr>
                <w:b/>
                <w:bCs/>
              </w:rPr>
              <w:t xml:space="preserve">Transition time</w:t>
            </w:r>
          </w:p>
        </w:tc>
        <w:tc>
          <w:tcPr/>
          <w:p>
            <w:pPr>
              <w:pStyle w:val="Compact"/>
              <w:jc w:val="left"/>
            </w:pPr>
            <w:r>
              <w:t xml:space="preserve">18–24 months</w:t>
            </w:r>
          </w:p>
        </w:tc>
        <w:tc>
          <w:tcPr/>
          <w:p>
            <w:pPr>
              <w:pStyle w:val="Compact"/>
              <w:jc w:val="left"/>
            </w:pPr>
            <w:r>
              <w:t xml:space="preserve">3–4 years</w:t>
            </w:r>
          </w:p>
        </w:tc>
        <w:tc>
          <w:tcPr/>
          <w:p>
            <w:pPr>
              <w:pStyle w:val="Compact"/>
              <w:jc w:val="left"/>
            </w:pPr>
            <w:r>
              <w:t xml:space="preserve">12–18 months</w:t>
            </w:r>
          </w:p>
        </w:tc>
      </w:tr>
      <w:tr>
        <w:tc>
          <w:tcPr/>
          <w:p>
            <w:pPr>
              <w:pStyle w:val="Compact"/>
              <w:jc w:val="left"/>
            </w:pPr>
            <w:r>
              <w:rPr>
                <w:b/>
                <w:bCs/>
              </w:rPr>
              <w:t xml:space="preserve">Conclusion</w:t>
            </w:r>
          </w:p>
        </w:tc>
        <w:tc>
          <w:tcPr/>
          <w:p>
            <w:pPr>
              <w:pStyle w:val="Compact"/>
              <w:jc w:val="left"/>
            </w:pPr>
            <w:r>
              <w:t xml:space="preserve">Not justified near-term;</w:t>
            </w:r>
            <w:r>
              <w:t xml:space="preserve"> </w:t>
            </w:r>
            <w:r>
              <w:rPr>
                <w:b/>
                <w:bCs/>
              </w:rPr>
              <w:t xml:space="preserve">leverage for rate reduction</w:t>
            </w:r>
          </w:p>
        </w:tc>
        <w:tc>
          <w:tcPr/>
          <w:p>
            <w:pPr>
              <w:pStyle w:val="Compact"/>
              <w:jc w:val="left"/>
            </w:pPr>
            <w:r>
              <w:t xml:space="preserve">Minimal leverage;</w:t>
            </w:r>
            <w:r>
              <w:t xml:space="preserve"> </w:t>
            </w:r>
            <w:r>
              <w:rPr>
                <w:b/>
                <w:bCs/>
              </w:rPr>
              <w:t xml:space="preserve">secure long term at market rate</w:t>
            </w:r>
          </w:p>
        </w:tc>
        <w:tc>
          <w:tcPr/>
          <w:p>
            <w:pPr>
              <w:pStyle w:val="Compact"/>
              <w:jc w:val="left"/>
            </w:pPr>
            <w:r>
              <w:rPr>
                <w:b/>
                <w:bCs/>
              </w:rPr>
              <w:t xml:space="preserve">Strongest switching case; primary leverage</w:t>
            </w:r>
          </w:p>
        </w:tc>
      </w:tr>
    </w:tbl>
    <w:p>
      <w:pPr>
        <w:pStyle w:val="BodyText"/>
      </w:pPr>
      <w:r>
        <w:t xml:space="preserve">The switching analyses confirm the leverage hierarchy: License C is credibly walk-away-able (break-even under three years), License A is not (break-even exceeds the renewal term once opportunity costs are included), and License B is not substitutable at all. These are negotiating tools, not recommended actions — except that License C’s credible alternatives should be validated with fresh competitive bids before the counter-proposal is sent.</w:t>
      </w:r>
    </w:p>
    <w:p>
      <w:r>
        <w:pict>
          <v:rect style="width:0;height:1.5pt" o:hralign="center" o:hrstd="t" o:hr="t"/>
        </w:pict>
      </w:r>
    </w:p>
    <w:bookmarkEnd w:id="33"/>
    <w:bookmarkEnd w:id="34"/>
    <w:bookmarkStart w:id="39" w:name="ip-and-patent-landscape-considerations"/>
    <w:p>
      <w:pPr>
        <w:pStyle w:val="Heading2"/>
      </w:pPr>
      <w:r>
        <w:t xml:space="preserve">5. IP and Patent-Landscape Considerations</w:t>
      </w:r>
    </w:p>
    <w:p>
      <w:pPr>
        <w:pStyle w:val="FirstParagraph"/>
      </w:pPr>
      <w:r>
        <w:t xml:space="preserve">The Clarendon Report (September 14, 2020) — commissioned by Greenfield and addressed to then-General Counsel Terence Blackwood — assessed the strength and defensibility of the licensed portfolios. Its central findings remain operative and materially affect the renewal economics.</w:t>
      </w:r>
    </w:p>
    <w:bookmarkStart w:id="35" w:name="Xf0afef970a8bc4374cb9cc1886862ef6937978e"/>
    <w:p>
      <w:pPr>
        <w:pStyle w:val="Heading3"/>
      </w:pPr>
      <w:r>
        <w:t xml:space="preserve">5.1 License A — Strong, but Declining Over the Renewal Term</w:t>
      </w:r>
    </w:p>
    <w:p>
      <w:pPr>
        <w:pStyle w:val="Compact"/>
        <w:numPr>
          <w:ilvl w:val="0"/>
          <w:numId w:val="1005"/>
        </w:numPr>
      </w:pPr>
      <w:r>
        <w:rPr>
          <w:b/>
          <w:bCs/>
        </w:rPr>
        <w:t xml:space="preserve">Portfolio strength: STRONG</w:t>
      </w:r>
      <w:r>
        <w:t xml:space="preserve">, anchored by U.S. Patent No. 9,234,117, assessed as ~</w:t>
      </w:r>
      <w:r>
        <w:rPr>
          <w:b/>
          <w:bCs/>
        </w:rPr>
        <w:t xml:space="preserve">60% of the entire License A portfolio’s commercial value</w:t>
      </w:r>
      <w:r>
        <w:t xml:space="preserve"> </w:t>
      </w:r>
      <w:r>
        <w:t xml:space="preserve">and the single most significant patent in agricultural gene-editing as of the report date. The ’117 patent expires</w:t>
      </w:r>
      <w:r>
        <w:t xml:space="preserve"> </w:t>
      </w:r>
      <w:r>
        <w:rPr>
          <w:b/>
          <w:bCs/>
        </w:rPr>
        <w:t xml:space="preserve">March 12, 2028</w:t>
      </w:r>
      <w:r>
        <w:t xml:space="preserve"> </w:t>
      </w:r>
      <w:r>
        <w:t xml:space="preserve">— roughly the final two years of the proposed 2025–2030 renewal term.</w:t>
      </w:r>
    </w:p>
    <w:p>
      <w:pPr>
        <w:pStyle w:val="Compact"/>
        <w:numPr>
          <w:ilvl w:val="0"/>
          <w:numId w:val="1005"/>
        </w:numPr>
      </w:pPr>
      <w:r>
        <w:rPr>
          <w:b/>
          <w:bCs/>
        </w:rPr>
        <w:t xml:space="preserve">Post-expiry residual value:</w:t>
      </w:r>
      <w:r>
        <w:t xml:space="preserve"> </w:t>
      </w:r>
      <w:r>
        <w:t xml:space="preserve">Once ’117 expires, the remaining patents (9,234,118; 9,651,002; 10,112,445) retain only ~</w:t>
      </w:r>
      <w:r>
        <w:rPr>
          <w:b/>
          <w:bCs/>
        </w:rPr>
        <w:t xml:space="preserve">35–40%</w:t>
      </w:r>
      <w:r>
        <w:t xml:space="preserve"> </w:t>
      </w:r>
      <w:r>
        <w:t xml:space="preserve">of the current aggregate portfolio value. The improvement patent 10,112,445 (through Oct. 6, 2035) has narrower, ’117-dependent scope.</w:t>
      </w:r>
    </w:p>
    <w:p>
      <w:pPr>
        <w:pStyle w:val="Compact"/>
        <w:numPr>
          <w:ilvl w:val="0"/>
          <w:numId w:val="1005"/>
        </w:numPr>
      </w:pPr>
      <w:r>
        <w:rPr>
          <w:b/>
          <w:bCs/>
        </w:rPr>
        <w:t xml:space="preserve">Competitive landscape:</w:t>
      </w:r>
      <w:r>
        <w:t xml:space="preserve"> </w:t>
      </w:r>
      <w:r>
        <w:t xml:space="preserve">Clarendon identified</w:t>
      </w:r>
      <w:r>
        <w:t xml:space="preserve"> </w:t>
      </w:r>
      <w:r>
        <w:rPr>
          <w:b/>
          <w:bCs/>
        </w:rPr>
        <w:t xml:space="preserve">47 third-party patent families</w:t>
      </w:r>
      <w:r>
        <w:t xml:space="preserve"> </w:t>
      </w:r>
      <w:r>
        <w:t xml:space="preserve">(2016–mid-2020).</w:t>
      </w:r>
      <w:r>
        <w:t xml:space="preserve"> </w:t>
      </w:r>
      <w:r>
        <w:rPr>
          <w:b/>
          <w:bCs/>
        </w:rPr>
        <w:t xml:space="preserve">AgriGenome Solutions</w:t>
      </w:r>
      <w:r>
        <w:t xml:space="preserve"> </w:t>
      </w:r>
      <w:r>
        <w:t xml:space="preserve">(7 improvement patents, expected in force through ~2037) and</w:t>
      </w:r>
      <w:r>
        <w:t xml:space="preserve"> </w:t>
      </w:r>
      <w:r>
        <w:rPr>
          <w:b/>
          <w:bCs/>
        </w:rPr>
        <w:t xml:space="preserve">CropTech Innovations</w:t>
      </w:r>
      <w:r>
        <w:t xml:space="preserve"> </w:t>
      </w:r>
      <w:r>
        <w:t xml:space="preserve">(base-editing applications overlapping NovaTrait’s field) are positioned to offer viable alternative platforms once ’117 expires. Clarendon projects</w:t>
      </w:r>
      <w:r>
        <w:t xml:space="preserve"> </w:t>
      </w:r>
      <w:r>
        <w:rPr>
          <w:b/>
          <w:bCs/>
        </w:rPr>
        <w:t xml:space="preserve">at least two commercially viable alternative platforms by 2029–2030</w:t>
      </w:r>
      <w:r>
        <w:t xml:space="preserve">, exerting downward pressure on rates.</w:t>
      </w:r>
    </w:p>
    <w:p>
      <w:pPr>
        <w:pStyle w:val="Compact"/>
        <w:numPr>
          <w:ilvl w:val="0"/>
          <w:numId w:val="1005"/>
        </w:numPr>
      </w:pPr>
      <w:r>
        <w:rPr>
          <w:b/>
          <w:bCs/>
        </w:rPr>
        <w:t xml:space="preserve">Strategic implication:</w:t>
      </w:r>
      <w:r>
        <w:t xml:space="preserve"> </w:t>
      </w:r>
      <w:r>
        <w:t xml:space="preserve">A</w:t>
      </w:r>
      <w:r>
        <w:t xml:space="preserve"> </w:t>
      </w:r>
      <w:r>
        <w:rPr>
          <w:b/>
          <w:bCs/>
        </w:rPr>
        <w:t xml:space="preserve">flat 6.25% royalty across the full 2025–2030 term would have Greenfield overpaying for the post-March-2028 period</w:t>
      </w:r>
      <w:r>
        <w:t xml:space="preserve">, during which the foundational method is public-domain and competitors can combine their own improvements with it. Clarendon expressly recommends a</w:t>
      </w:r>
      <w:r>
        <w:t xml:space="preserve"> </w:t>
      </w:r>
      <w:r>
        <w:rPr>
          <w:b/>
          <w:bCs/>
        </w:rPr>
        <w:t xml:space="preserve">royalty step-down mechanism</w:t>
      </w:r>
      <w:r>
        <w:t xml:space="preserve"> </w:t>
      </w:r>
      <w:r>
        <w:t xml:space="preserve">tied to the ’117 expiry, with post-2028 rates in the</w:t>
      </w:r>
      <w:r>
        <w:t xml:space="preserve"> </w:t>
      </w:r>
      <w:r>
        <w:rPr>
          <w:b/>
          <w:bCs/>
        </w:rPr>
        <w:t xml:space="preserve">2.0%–3.5%</w:t>
      </w:r>
      <w:r>
        <w:t xml:space="preserve"> </w:t>
      </w:r>
      <w:r>
        <w:t xml:space="preserve">range. Greenfield should make this a core License A demand.</w:t>
      </w:r>
    </w:p>
    <w:p>
      <w:pPr>
        <w:pStyle w:val="Compact"/>
        <w:numPr>
          <w:ilvl w:val="0"/>
          <w:numId w:val="1005"/>
        </w:numPr>
      </w:pPr>
      <w:r>
        <w:rPr>
          <w:b/>
          <w:bCs/>
        </w:rPr>
        <w:t xml:space="preserve">Field-of-use caution:</w:t>
      </w:r>
      <w:r>
        <w:t xml:space="preserve"> </w:t>
      </w:r>
      <w:r>
        <w:t xml:space="preserve">Clarendon also warns that any expanded Field of Use (e.g., wheat) must be evaluated against the</w:t>
      </w:r>
      <w:r>
        <w:t xml:space="preserve"> </w:t>
      </w:r>
      <w:r>
        <w:rPr>
          <w:b/>
          <w:bCs/>
        </w:rPr>
        <w:t xml:space="preserve">actual claim coverage</w:t>
      </w:r>
      <w:r>
        <w:t xml:space="preserve"> </w:t>
      </w:r>
      <w:r>
        <w:t xml:space="preserve">of the licensed patents. If NovaTrait’s patents lack specific embodiments/data for wheat, the license confers little real exclusivity in the expanded field, and a higher rate for an expanded field is not justified. Greenfield should require NovaTrait to demonstrate meaningful claim coverage (and freedom-to-operate) in wheat before paying any premium for it.</w:t>
      </w:r>
    </w:p>
    <w:bookmarkEnd w:id="35"/>
    <w:bookmarkStart w:id="36" w:name="license-b-very-strong-irreplaceable"/>
    <w:p>
      <w:pPr>
        <w:pStyle w:val="Heading3"/>
      </w:pPr>
      <w:r>
        <w:t xml:space="preserve">5.2 License B — Very Strong; Irreplaceable</w:t>
      </w:r>
    </w:p>
    <w:p>
      <w:pPr>
        <w:pStyle w:val="Compact"/>
        <w:numPr>
          <w:ilvl w:val="0"/>
          <w:numId w:val="1006"/>
        </w:numPr>
      </w:pPr>
      <w:r>
        <w:rPr>
          <w:b/>
          <w:bCs/>
        </w:rPr>
        <w:t xml:space="preserve">Portfolio strength: VERY STRONG.</w:t>
      </w:r>
      <w:r>
        <w:t xml:space="preserve"> </w:t>
      </w:r>
      <w:r>
        <w:t xml:space="preserve">All three patents (10,443,076; 10,443,077; 10,889,201) are recently issued with terms extending to</w:t>
      </w:r>
      <w:r>
        <w:t xml:space="preserve"> </w:t>
      </w:r>
      <w:r>
        <w:rPr>
          <w:b/>
          <w:bCs/>
        </w:rPr>
        <w:t xml:space="preserve">2036–2038</w:t>
      </w:r>
      <w:r>
        <w:t xml:space="preserve"> </w:t>
      </w:r>
      <w:r>
        <w:t xml:space="preserve">— well beyond any plausible renewal. Claims are well-drafted with clean prosecution histories.</w:t>
      </w:r>
    </w:p>
    <w:p>
      <w:pPr>
        <w:pStyle w:val="Compact"/>
        <w:numPr>
          <w:ilvl w:val="0"/>
          <w:numId w:val="1006"/>
        </w:numPr>
      </w:pPr>
      <w:r>
        <w:rPr>
          <w:b/>
          <w:bCs/>
        </w:rPr>
        <w:t xml:space="preserve">No commercial alternatives identified.</w:t>
      </w:r>
      <w:r>
        <w:t xml:space="preserve"> </w:t>
      </w:r>
      <w:r>
        <w:t xml:space="preserve">Clarendon found no third-party filings claiming substantially similar expression systems; the proprietary promoter-enhancer system (’076) and multi-gene cassette architecture (’077) have no equivalent. Internal replication is estimated at</w:t>
      </w:r>
      <w:r>
        <w:t xml:space="preserve"> </w:t>
      </w:r>
      <w:r>
        <w:rPr>
          <w:b/>
          <w:bCs/>
        </w:rPr>
        <w:t xml:space="preserve">3–4 years and $25–30M</w:t>
      </w:r>
      <w:r>
        <w:t xml:space="preserve">, with no guarantee of success, and the biological materials are not available from any other source.</w:t>
      </w:r>
    </w:p>
    <w:p>
      <w:pPr>
        <w:pStyle w:val="Compact"/>
        <w:numPr>
          <w:ilvl w:val="0"/>
          <w:numId w:val="1006"/>
        </w:numPr>
      </w:pPr>
      <w:r>
        <w:rPr>
          <w:b/>
          <w:bCs/>
        </w:rPr>
        <w:t xml:space="preserve">Strategic implication:</w:t>
      </w:r>
      <w:r>
        <w:t xml:space="preserve"> </w:t>
      </w:r>
      <w:r>
        <w:t xml:space="preserve">NovaTrait possesses</w:t>
      </w:r>
      <w:r>
        <w:t xml:space="preserve"> </w:t>
      </w:r>
      <w:r>
        <w:rPr>
          <w:b/>
          <w:bCs/>
        </w:rPr>
        <w:t xml:space="preserve">very high leverage</w:t>
      </w:r>
      <w:r>
        <w:t xml:space="preserve"> </w:t>
      </w:r>
      <w:r>
        <w:t xml:space="preserve">on License B. Greenfield’s best play is to</w:t>
      </w:r>
      <w:r>
        <w:t xml:space="preserve"> </w:t>
      </w:r>
      <w:r>
        <w:rPr>
          <w:b/>
          <w:bCs/>
        </w:rPr>
        <w:t xml:space="preserve">lock in the longest possible term at a rate within the market range (3.0%–4.5%)</w:t>
      </w:r>
      <w:r>
        <w:t xml:space="preserve"> </w:t>
      </w:r>
      <w:r>
        <w:t xml:space="preserve">rather than gamble on developing or sourcing an alternative. The proposed 5.0% exceeds the market high and should be resisted even given irreplaceability. The operational protections (90-day wind-down; 1x/year audit) are also worth defending because Greenfield’s downside if the relationship sours is severe.</w:t>
      </w:r>
    </w:p>
    <w:bookmarkEnd w:id="36"/>
    <w:bookmarkStart w:id="37" w:name="license-c-moderate-substitutable"/>
    <w:p>
      <w:pPr>
        <w:pStyle w:val="Heading3"/>
      </w:pPr>
      <w:r>
        <w:t xml:space="preserve">5.3 License C — Moderate; Substitutable</w:t>
      </w:r>
    </w:p>
    <w:p>
      <w:pPr>
        <w:pStyle w:val="Compact"/>
        <w:numPr>
          <w:ilvl w:val="0"/>
          <w:numId w:val="1007"/>
        </w:numPr>
      </w:pPr>
      <w:r>
        <w:rPr>
          <w:b/>
          <w:bCs/>
        </w:rPr>
        <w:t xml:space="preserve">Protection:</w:t>
      </w:r>
      <w:r>
        <w:t xml:space="preserve"> </w:t>
      </w:r>
      <w:r>
        <w:t xml:space="preserve">Principally copyright (TX-8-912-445 for v4.x; TX-9-201-998 newly added for v5.x) and trade secrets, not patents.</w:t>
      </w:r>
    </w:p>
    <w:p>
      <w:pPr>
        <w:pStyle w:val="Compact"/>
        <w:numPr>
          <w:ilvl w:val="0"/>
          <w:numId w:val="1007"/>
        </w:numPr>
      </w:pPr>
      <w:r>
        <w:rPr>
          <w:b/>
          <w:bCs/>
        </w:rPr>
        <w:t xml:space="preserve">Alternatives:</w:t>
      </w:r>
      <w:r>
        <w:t xml:space="preserve"> </w:t>
      </w:r>
      <w:r>
        <w:t xml:space="preserve">At least three commercial alternatives (BioSphere Analytics, PlantLogic Suite, TraitView Pro) at</w:t>
      </w:r>
      <w:r>
        <w:t xml:space="preserve"> </w:t>
      </w:r>
      <w:r>
        <w:rPr>
          <w:b/>
          <w:bCs/>
        </w:rPr>
        <w:t xml:space="preserve">$1.8M–$3.5M/year</w:t>
      </w:r>
      <w:r>
        <w:t xml:space="preserve"> </w:t>
      </w:r>
      <w:r>
        <w:t xml:space="preserve">versus the proposed ~$5.28M. Greenfield has</w:t>
      </w:r>
      <w:r>
        <w:t xml:space="preserve"> </w:t>
      </w:r>
      <w:r>
        <w:rPr>
          <w:b/>
          <w:bCs/>
        </w:rPr>
        <w:t xml:space="preserve">low-to-moderate renewal risk and real leverage</w:t>
      </w:r>
      <w:r>
        <w:t xml:space="preserve">.</w:t>
      </w:r>
    </w:p>
    <w:p>
      <w:pPr>
        <w:pStyle w:val="Compact"/>
        <w:numPr>
          <w:ilvl w:val="0"/>
          <w:numId w:val="1007"/>
        </w:numPr>
      </w:pPr>
      <w:r>
        <w:rPr>
          <w:b/>
          <w:bCs/>
        </w:rPr>
        <w:t xml:space="preserve">Strategic implication:</w:t>
      </w:r>
      <w:r>
        <w:t xml:space="preserve"> </w:t>
      </w:r>
      <w:r>
        <w:t xml:space="preserve">Greenfield should obtain fresh competitive proposals to support its negotiating position and should resist any fee above the $2.5M–$4.0M market range. The non-price terms (source code, data ownership) are, however, more consequential than the fee and are addressed in Section 6.3.</w:t>
      </w:r>
    </w:p>
    <w:bookmarkEnd w:id="37"/>
    <w:bookmarkStart w:id="38" w:name="updated-landscape-recommended"/>
    <w:p>
      <w:pPr>
        <w:pStyle w:val="Heading3"/>
      </w:pPr>
      <w:r>
        <w:t xml:space="preserve">5.4 Updated Landscape Recommended</w:t>
      </w:r>
    </w:p>
    <w:p>
      <w:pPr>
        <w:pStyle w:val="FirstParagraph"/>
      </w:pPr>
      <w:r>
        <w:t xml:space="preserve">Clarendon’s report is dated September 2020 — over four years old — and expressly recommends an updated analysis before formal renewal negotiations, particularly as to the AgriGenome Solutions and CropTech Innovations portfolios (then in early prosecution). Greenfield should commission an updated landscape analysis promptly; it will both inform the License A step-down argument and supply a current IFMV input if the 150% cap is invoked.</w:t>
      </w:r>
    </w:p>
    <w:p>
      <w:r>
        <w:pict>
          <v:rect style="width:0;height:1.5pt" o:hralign="center" o:hrstd="t" o:hr="t"/>
        </w:pict>
      </w:r>
    </w:p>
    <w:bookmarkEnd w:id="38"/>
    <w:bookmarkEnd w:id="39"/>
    <w:bookmarkStart w:id="43" w:name="Xcd68d82cb68686fc70cd76182bc4d0e40b8b8bd"/>
    <w:p>
      <w:pPr>
        <w:pStyle w:val="Heading2"/>
      </w:pPr>
      <w:r>
        <w:t xml:space="preserve">6. License-by-License Analysis, Issues, and Recommended Positions</w:t>
      </w:r>
    </w:p>
    <w:bookmarkStart w:id="40" w:name="license-a-crispr-ag-suite"/>
    <w:p>
      <w:pPr>
        <w:pStyle w:val="Heading3"/>
      </w:pPr>
      <w:r>
        <w:t xml:space="preserve">6.1 License A (CRISPR-Ag Suite)</w:t>
      </w:r>
    </w:p>
    <w:p>
      <w:pPr>
        <w:pStyle w:val="FirstParagraph"/>
      </w:pPr>
      <w:r>
        <w:rPr>
          <w:b/>
          <w:bCs/>
        </w:rPr>
        <w:t xml:space="preserve">Issues and concerns:</w:t>
      </w:r>
    </w:p>
    <w:p>
      <w:pPr>
        <w:numPr>
          <w:ilvl w:val="0"/>
          <w:numId w:val="1008"/>
        </w:numPr>
      </w:pPr>
      <w:r>
        <w:rPr>
          <w:b/>
          <w:bCs/>
        </w:rPr>
        <w:t xml:space="preserve">Royalty rate + Net Sales redefinition (combined effect).</w:t>
      </w:r>
      <w:r>
        <w:t xml:space="preserve"> </w:t>
      </w:r>
      <w:r>
        <w:t xml:space="preserve">The nominal 6.25% is within the §14.3 cap, but the effective rate on the original base is 6.70% (148.9% of current) — above the market high of 5.5% and far above the 4.0% median. The narrowed Net Sales definition is itself an outlier (only 1 of 6 comps modifies the definition, and less aggressively).</w:t>
      </w:r>
      <w:r>
        <w:t xml:space="preserve"> </w:t>
      </w:r>
      <w:r>
        <w:rPr>
          <w:i/>
          <w:iCs/>
        </w:rPr>
        <w:t xml:space="preserve">Recommended counter: 5.0% on the original Net Sales definition, or 4.75% on the redefined definition — either of which sits at or below the market high and well within the cap.</w:t>
      </w:r>
      <w:r>
        <w:t xml:space="preserve"> </w:t>
      </w:r>
      <w:r>
        <w:t xml:space="preserve">(Priority: HIGH.)</w:t>
      </w:r>
    </w:p>
    <w:p>
      <w:pPr>
        <w:numPr>
          <w:ilvl w:val="0"/>
          <w:numId w:val="1008"/>
        </w:numPr>
      </w:pPr>
      <w:r>
        <w:rPr>
          <w:b/>
          <w:bCs/>
        </w:rPr>
        <w:t xml:space="preserve">No royalty step-down for the ’117 expiry.</w:t>
      </w:r>
      <w:r>
        <w:t xml:space="preserve"> </w:t>
      </w:r>
      <w:r>
        <w:t xml:space="preserve">The Proposal applies a flat rate across a term that spans the March 12, 2028 expiry of the patent representing ~60% of portfolio value.</w:t>
      </w:r>
      <w:r>
        <w:t xml:space="preserve"> </w:t>
      </w:r>
      <w:r>
        <w:rPr>
          <w:i/>
          <w:iCs/>
        </w:rPr>
        <w:t xml:space="preserve">Recommended counter: a step-down to 2.5%–3.0% effective March 12, 2028 (or a renegotiation trigger upon ’117 expiry), reflecting the ~35–40% residual portfolio value and the expected post-2028 competitive environment.</w:t>
      </w:r>
      <w:r>
        <w:t xml:space="preserve"> </w:t>
      </w:r>
      <w:r>
        <w:t xml:space="preserve">(Priority: HIGH — this is the single largest License A economic issue over the term.)</w:t>
      </w:r>
    </w:p>
    <w:p>
      <w:pPr>
        <w:numPr>
          <w:ilvl w:val="0"/>
          <w:numId w:val="1008"/>
        </w:numPr>
      </w:pPr>
      <w:r>
        <w:rPr>
          <w:b/>
          <w:bCs/>
        </w:rPr>
        <w:t xml:space="preserve">Improvements reversal (§8.1).</w:t>
      </w:r>
      <w:r>
        <w:t xml:space="preserve"> </w:t>
      </w:r>
      <w:r>
        <w:t xml:space="preserve">The Proposal converts Greenfield’s</w:t>
      </w:r>
      <w:r>
        <w:t xml:space="preserve"> </w:t>
      </w:r>
      <w:r>
        <w:rPr>
          <w:b/>
          <w:bCs/>
        </w:rPr>
        <w:t xml:space="preserve">sole ownership</w:t>
      </w:r>
      <w:r>
        <w:t xml:space="preserve"> </w:t>
      </w:r>
      <w:r>
        <w:t xml:space="preserve">of its own improvements (with a non-exclusive license back to NovaTrait at a commercially reasonable royalty) into</w:t>
      </w:r>
      <w:r>
        <w:t xml:space="preserve"> </w:t>
      </w:r>
      <w:r>
        <w:rPr>
          <w:b/>
          <w:bCs/>
        </w:rPr>
        <w:t xml:space="preserve">joint ownership with an irrevocable, perpetual, royalty-free, sublicensable, transferable license to NovaTrait for any purpose inside or outside the Field of Use</w:t>
      </w:r>
      <w:r>
        <w:t xml:space="preserve">, while Greenfield gets only a non-exclusive, non-sublicensable, royalty-bearing license for the Renewal Term. This is a substantial give-up: it hands NovaTrait free, perpetual rights to Greenfield’s R&amp;D output, including for uses that compete with Greenfield outside the Field of Use, and strips Greenfield of exclusivity in its own inventions.</w:t>
      </w:r>
      <w:r>
        <w:t xml:space="preserve"> </w:t>
      </w:r>
      <w:r>
        <w:rPr>
          <w:i/>
          <w:iCs/>
        </w:rPr>
        <w:t xml:space="preserve">Recommended counter: retain Greenfield sole ownership of Greenfield Improvements; grant NovaTrait a non-exclusive license back at a reduced (or mutually agreed) royalty, consistent with the current structure.</w:t>
      </w:r>
      <w:r>
        <w:t xml:space="preserve"> </w:t>
      </w:r>
      <w:r>
        <w:t xml:space="preserve">(Priority: HIGH.)</w:t>
      </w:r>
    </w:p>
    <w:p>
      <w:pPr>
        <w:numPr>
          <w:ilvl w:val="0"/>
          <w:numId w:val="1008"/>
        </w:numPr>
      </w:pPr>
      <w:r>
        <w:rPr>
          <w:b/>
          <w:bCs/>
        </w:rPr>
        <w:t xml:space="preserve">Insect-resistance removal from the Field of Use.</w:t>
      </w:r>
      <w:r>
        <w:t xml:space="preserve"> </w:t>
      </w:r>
      <w:r>
        <w:t xml:space="preserve">NovaTrait proposes to delete insect resistance (including Bt and non-Bt insecticidal proteins) because it has granted an exclusive IR license to another party, offering only a possible transitional sunset license. Per the Financial Analysis, insect resistance is a</w:t>
      </w:r>
      <w:r>
        <w:t xml:space="preserve"> </w:t>
      </w:r>
      <w:r>
        <w:rPr>
          <w:b/>
          <w:bCs/>
        </w:rPr>
        <w:t xml:space="preserve">core product line representing ~30% of License A revenue</w:t>
      </w:r>
      <w:r>
        <w:t xml:space="preserve">. Losing it mid-stream would strand product lines and pipeline investments.</w:t>
      </w:r>
      <w:r>
        <w:t xml:space="preserve"> </w:t>
      </w:r>
      <w:r>
        <w:rPr>
          <w:i/>
          <w:iCs/>
        </w:rPr>
        <w:t xml:space="preserve">Recommended counter: retain insect resistance AND add wheat; if NovaTrait cannot retain IR, demand a long-dated (e.g., 5–7 year) transitional non-exclusive IR license at no incremental royalty to wind down existing lines and recover investment, and reduce the rate accordingly.</w:t>
      </w:r>
      <w:r>
        <w:t xml:space="preserve"> </w:t>
      </w:r>
      <w:r>
        <w:t xml:space="preserve">(Priority: MEDIUM-HIGH given the revenue exposure.)</w:t>
      </w:r>
    </w:p>
    <w:p>
      <w:pPr>
        <w:numPr>
          <w:ilvl w:val="0"/>
          <w:numId w:val="1008"/>
        </w:numPr>
      </w:pPr>
      <w:r>
        <w:rPr>
          <w:b/>
          <w:bCs/>
        </w:rPr>
        <w:t xml:space="preserve">Sublicense pass-through increase (35% → 50%).</w:t>
      </w:r>
      <w:r>
        <w:t xml:space="preserve"> </w:t>
      </w:r>
      <w:r>
        <w:t xml:space="preserve">The current 35% is already above the market median (comps show 30%–40%).</w:t>
      </w:r>
      <w:r>
        <w:t xml:space="preserve"> </w:t>
      </w:r>
      <w:r>
        <w:rPr>
          <w:i/>
          <w:iCs/>
        </w:rPr>
        <w:t xml:space="preserve">Recommended counter: retain 35%; or accept 40% only with a volume discount above $2M of pass-through.</w:t>
      </w:r>
      <w:r>
        <w:t xml:space="preserve"> </w:t>
      </w:r>
      <w:r>
        <w:t xml:space="preserve">(Priority: MEDIUM.)</w:t>
      </w:r>
    </w:p>
    <w:p>
      <w:pPr>
        <w:numPr>
          <w:ilvl w:val="0"/>
          <w:numId w:val="1008"/>
        </w:numPr>
      </w:pPr>
      <w:r>
        <w:rPr>
          <w:b/>
          <w:bCs/>
        </w:rPr>
        <w:t xml:space="preserve">Minimum annual royalty doubled ($4M → $8M).</w:t>
      </w:r>
      <w:r>
        <w:t xml:space="preserve"> </w:t>
      </w:r>
      <w:r>
        <w:t xml:space="preserve">The $8M MAR is not binding in any modeled scenario (calculated royalty always exceeds it), but it raises Greenfield’s fixed downside if sales decline and converts the MAR to a quarterly true-up ($2M/quarter) with a 45-day shortfall payment.</w:t>
      </w:r>
      <w:r>
        <w:t xml:space="preserve"> </w:t>
      </w:r>
      <w:r>
        <w:rPr>
          <w:i/>
          <w:iCs/>
        </w:rPr>
        <w:t xml:space="preserve">Recommended counter: $5M–$6M MAR, annual (not quarterly) true-up.</w:t>
      </w:r>
      <w:r>
        <w:t xml:space="preserve"> </w:t>
      </w:r>
      <w:r>
        <w:t xml:space="preserve">(Priority: MEDIUM.)</w:t>
      </w:r>
    </w:p>
    <w:p>
      <w:pPr>
        <w:numPr>
          <w:ilvl w:val="0"/>
          <w:numId w:val="1008"/>
        </w:numPr>
      </w:pPr>
      <w:r>
        <w:rPr>
          <w:b/>
          <w:bCs/>
        </w:rPr>
        <w:t xml:space="preserve">Anti-stacking offset (new §7.7).</w:t>
      </w:r>
      <w:r>
        <w:t xml:space="preserve"> </w:t>
      </w:r>
      <w:r>
        <w:t xml:space="preserve">The 50% third-party-royalty offset (capped at 25% of quarterly royalties, 4.75% floor) is a</w:t>
      </w:r>
      <w:r>
        <w:t xml:space="preserve"> </w:t>
      </w:r>
      <w:r>
        <w:rPr>
          <w:b/>
          <w:bCs/>
        </w:rPr>
        <w:t xml:space="preserve">favorable new term</w:t>
      </w:r>
      <w:r>
        <w:t xml:space="preserve"> </w:t>
      </w:r>
      <w:r>
        <w:t xml:space="preserve">and Greenfield should accept it in principle. The 4.75% floor, however, limits its utility and is above the post-2028 step-down rate Greenfield should be seeking.</w:t>
      </w:r>
      <w:r>
        <w:t xml:space="preserve"> </w:t>
      </w:r>
      <w:r>
        <w:rPr>
          <w:i/>
          <w:iCs/>
        </w:rPr>
        <w:t xml:space="preserve">Recommended counter: accept the mechanism; set the floor at 75% of the</w:t>
      </w:r>
      <w:r>
        <w:rPr>
          <w:i/>
          <w:iCs/>
        </w:rPr>
        <w:t xml:space="preserve"> </w:t>
      </w:r>
      <w:r>
        <w:t xml:space="preserve">calculated* (not minimum) royalty, and ensure the floor steps down with the ’117-expiry step-down.* (Priority: LOW.)</w:t>
      </w:r>
    </w:p>
    <w:p>
      <w:pPr>
        <w:numPr>
          <w:ilvl w:val="0"/>
          <w:numId w:val="1008"/>
        </w:numPr>
      </w:pPr>
      <w:r>
        <w:rPr>
          <w:b/>
          <w:bCs/>
        </w:rPr>
        <w:t xml:space="preserve">Wheat addition.</w:t>
      </w:r>
      <w:r>
        <w:t xml:space="preserve"> </w:t>
      </w:r>
      <w:r>
        <w:t xml:space="preserve">Adding wheat is potentially valuable, but only if NovaTrait’s patents actually cover wheat applications (see Section 5.1).</w:t>
      </w:r>
      <w:r>
        <w:t xml:space="preserve"> </w:t>
      </w:r>
      <w:r>
        <w:rPr>
          <w:i/>
          <w:iCs/>
        </w:rPr>
        <w:t xml:space="preserve">Recommended counter: add wheat only upon NovaTrait’s demonstration of meaningful claim coverage and FTO in wheat; do not pay a rate premium for an untested expansion.</w:t>
      </w:r>
      <w:r>
        <w:t xml:space="preserve"> </w:t>
      </w:r>
      <w:r>
        <w:t xml:space="preserve">(Priority: MEDIUM.)</w:t>
      </w:r>
    </w:p>
    <w:p>
      <w:pPr>
        <w:numPr>
          <w:ilvl w:val="0"/>
          <w:numId w:val="1008"/>
        </w:numPr>
      </w:pPr>
      <w:r>
        <w:rPr>
          <w:b/>
          <w:bCs/>
        </w:rPr>
        <w:t xml:space="preserve">Term.</w:t>
      </w:r>
      <w:r>
        <w:t xml:space="preserve"> </w:t>
      </w:r>
      <w:r>
        <w:t xml:space="preserve">Five years is acceptable in length but must carry the ’117 step-down. The optional second 5-year renewal subject to a new IFMV is acceptable. (Priority: LOW.)</w:t>
      </w:r>
    </w:p>
    <w:bookmarkEnd w:id="40"/>
    <w:bookmarkStart w:id="41" w:name="license-b-traitforge"/>
    <w:p>
      <w:pPr>
        <w:pStyle w:val="Heading3"/>
      </w:pPr>
      <w:r>
        <w:t xml:space="preserve">6.2 License B (TraitForge)</w:t>
      </w:r>
    </w:p>
    <w:p>
      <w:pPr>
        <w:pStyle w:val="FirstParagraph"/>
      </w:pPr>
      <w:r>
        <w:rPr>
          <w:b/>
          <w:bCs/>
        </w:rPr>
        <w:t xml:space="preserve">Issues and concerns:</w:t>
      </w:r>
    </w:p>
    <w:p>
      <w:pPr>
        <w:numPr>
          <w:ilvl w:val="0"/>
          <w:numId w:val="1009"/>
        </w:numPr>
      </w:pPr>
      <w:r>
        <w:rPr>
          <w:b/>
          <w:bCs/>
        </w:rPr>
        <w:t xml:space="preserve">Standstill cliff (June 29, 2025).</w:t>
      </w:r>
      <w:r>
        <w:t xml:space="preserve"> </w:t>
      </w:r>
      <w:r>
        <w:t xml:space="preserve">This is the most urgent item in the entire negotiation. If the standstill lapses without renewal or extension, License B terminates, the 30-day biological-materials return is triggered, and the Prairielands Sublicense collapses.</w:t>
      </w:r>
      <w:r>
        <w:t xml:space="preserve"> </w:t>
      </w:r>
      <w:r>
        <w:rPr>
          <w:i/>
          <w:iCs/>
        </w:rPr>
        <w:t xml:space="preserve">Recommended counter: secure a written extension of the §12.6 standstill to at least December 31, 2025 as a condition of continued negotiation; do not let the June 29, 2025 date pass unaddressed.</w:t>
      </w:r>
      <w:r>
        <w:t xml:space="preserve"> </w:t>
      </w:r>
      <w:r>
        <w:t xml:space="preserve">(Priority: CRITICAL.)</w:t>
      </w:r>
    </w:p>
    <w:p>
      <w:pPr>
        <w:numPr>
          <w:ilvl w:val="0"/>
          <w:numId w:val="1009"/>
        </w:numPr>
      </w:pPr>
      <w:r>
        <w:rPr>
          <w:b/>
          <w:bCs/>
        </w:rPr>
        <w:t xml:space="preserve">Royalty rate (3.75% → 5.0%).</w:t>
      </w:r>
      <w:r>
        <w:t xml:space="preserve"> </w:t>
      </w:r>
      <w:r>
        <w:t xml:space="preserve">5.0% exceeds the trait-expression market high of 4.5% (median 3.25%, mean 3.58%) and the effective rate on the original base is 5.34%. Even accounting for irreplaceability, the rate is above fair market value.</w:t>
      </w:r>
      <w:r>
        <w:t xml:space="preserve"> </w:t>
      </w:r>
      <w:r>
        <w:rPr>
          <w:i/>
          <w:iCs/>
        </w:rPr>
        <w:t xml:space="preserve">Recommended counter: 4.25% on the original Net Sales definition (within market range); if NovaTrait insists on the redefined base, 4.0%.</w:t>
      </w:r>
      <w:r>
        <w:t xml:space="preserve"> </w:t>
      </w:r>
      <w:r>
        <w:t xml:space="preserve">(Priority: HIGH.)</w:t>
      </w:r>
    </w:p>
    <w:p>
      <w:pPr>
        <w:numPr>
          <w:ilvl w:val="0"/>
          <w:numId w:val="1009"/>
        </w:numPr>
      </w:pPr>
      <w:r>
        <w:rPr>
          <w:b/>
          <w:bCs/>
        </w:rPr>
        <w:t xml:space="preserve">Biological-materials return (90-day wind-down → 30-day, no wind-down).</w:t>
      </w:r>
      <w:r>
        <w:t xml:space="preserve"> </w:t>
      </w:r>
      <w:r>
        <w:t xml:space="preserve">Eliminating the wind-down is a serious operational risk: Greenfield could not continue use of materials in already-initiated breeding programs and field trials, and a 30-day return/destroy window is impractical for living biological materials and ongoing regulatory programs.</w:t>
      </w:r>
      <w:r>
        <w:t xml:space="preserve"> </w:t>
      </w:r>
      <w:r>
        <w:rPr>
          <w:i/>
          <w:iCs/>
        </w:rPr>
        <w:t xml:space="preserve">Recommended counter: retain the 90-day wind-down (or extend to 180 days) with the right to continue use of remaining materials in ongoing trials subject to ongoing royalties.</w:t>
      </w:r>
      <w:r>
        <w:t xml:space="preserve"> </w:t>
      </w:r>
      <w:r>
        <w:t xml:space="preserve">(Priority: HIGH.)</w:t>
      </w:r>
    </w:p>
    <w:p>
      <w:pPr>
        <w:numPr>
          <w:ilvl w:val="0"/>
          <w:numId w:val="1009"/>
        </w:numPr>
      </w:pPr>
      <w:r>
        <w:rPr>
          <w:b/>
          <w:bCs/>
        </w:rPr>
        <w:t xml:space="preserve">Audit expansion (1x/yr, 30 days → 2x/yr, 15 business days, 5-year look-back).</w:t>
      </w:r>
      <w:r>
        <w:t xml:space="preserve"> </w:t>
      </w:r>
      <w:r>
        <w:t xml:space="preserve">Doubled frequency, halved notice, and a longer look-back materially increase compliance burden and disruption.</w:t>
      </w:r>
      <w:r>
        <w:t xml:space="preserve"> </w:t>
      </w:r>
      <w:r>
        <w:rPr>
          <w:i/>
          <w:iCs/>
        </w:rPr>
        <w:t xml:space="preserve">Recommended counter: retain 1x/year; accept 20 business days’ notice as a compromise; cap look-back at 3 years.</w:t>
      </w:r>
      <w:r>
        <w:t xml:space="preserve"> </w:t>
      </w:r>
      <w:r>
        <w:t xml:space="preserve">(Priority: LOW.)</w:t>
      </w:r>
    </w:p>
    <w:p>
      <w:pPr>
        <w:numPr>
          <w:ilvl w:val="0"/>
          <w:numId w:val="1009"/>
        </w:numPr>
      </w:pPr>
      <w:r>
        <w:rPr>
          <w:b/>
          <w:bCs/>
        </w:rPr>
        <w:t xml:space="preserve">Minimum annual royalty doubled ($2.5M → $5M).</w:t>
      </w:r>
      <w:r>
        <w:t xml:space="preserve"> </w:t>
      </w:r>
      <w:r>
        <w:t xml:space="preserve">Same dynamic as License A: not binding in modeled scenarios but raises fixed downside and converts to quarterly true-up.</w:t>
      </w:r>
      <w:r>
        <w:t xml:space="preserve"> </w:t>
      </w:r>
      <w:r>
        <w:rPr>
          <w:i/>
          <w:iCs/>
        </w:rPr>
        <w:t xml:space="preserve">Recommended counter: $3.5M–$4M MAR, annual true-up.</w:t>
      </w:r>
      <w:r>
        <w:t xml:space="preserve"> </w:t>
      </w:r>
      <w:r>
        <w:t xml:space="preserve">(Priority: MEDIUM.)</w:t>
      </w:r>
    </w:p>
    <w:p>
      <w:pPr>
        <w:numPr>
          <w:ilvl w:val="0"/>
          <w:numId w:val="1009"/>
        </w:numPr>
      </w:pPr>
      <w:r>
        <w:rPr>
          <w:b/>
          <w:bCs/>
        </w:rPr>
        <w:t xml:space="preserve">Improvements reversal.</w:t>
      </w:r>
      <w:r>
        <w:t xml:space="preserve"> </w:t>
      </w:r>
      <w:r>
        <w:t xml:space="preserve">Same concern and counter as License A (§6.1(3)).</w:t>
      </w:r>
      <w:r>
        <w:t xml:space="preserve"> </w:t>
      </w:r>
      <w:r>
        <w:rPr>
          <w:i/>
          <w:iCs/>
        </w:rPr>
        <w:t xml:space="preserve">Recommended counter: retain Greenfield sole ownership of Greenfield Improvements with a non-exclusive license back at a commercially reasonable royalty.</w:t>
      </w:r>
      <w:r>
        <w:t xml:space="preserve"> </w:t>
      </w:r>
      <w:r>
        <w:t xml:space="preserve">(Priority: HIGH.)</w:t>
      </w:r>
    </w:p>
    <w:p>
      <w:pPr>
        <w:numPr>
          <w:ilvl w:val="0"/>
          <w:numId w:val="1009"/>
        </w:numPr>
      </w:pPr>
      <w:r>
        <w:rPr>
          <w:b/>
          <w:bCs/>
        </w:rPr>
        <w:t xml:space="preserve">Prairielands pass-through risk.</w:t>
      </w:r>
      <w:r>
        <w:t xml:space="preserve"> </w:t>
      </w:r>
      <w:r>
        <w:t xml:space="preserve">License B currently has</w:t>
      </w:r>
      <w:r>
        <w:t xml:space="preserve"> </w:t>
      </w:r>
      <w:r>
        <w:rPr>
          <w:b/>
          <w:bCs/>
        </w:rPr>
        <w:t xml:space="preserve">no</w:t>
      </w:r>
      <w:r>
        <w:t xml:space="preserve"> </w:t>
      </w:r>
      <w:r>
        <w:t xml:space="preserve">pass-through obligation, and the Prairielands Sublicense and NovaTrait’s 2021 consent letter confirm this. NovaTrait has signaled (Proposal, Part VII §3) that consent to any Prairielands amendment/renewal may come with new economic terms; the Financial Analysis models a 40% pass-through (~$5M/yr; ~$27M cumulative over the term).</w:t>
      </w:r>
      <w:r>
        <w:t xml:space="preserve"> </w:t>
      </w:r>
      <w:r>
        <w:rPr>
          <w:i/>
          <w:iCs/>
        </w:rPr>
        <w:t xml:space="preserve">Recommended counter: resist any new pass-through as inconsistent with the existing consent and the sublicense’s express</w:t>
      </w:r>
      <w:r>
        <w:rPr>
          <w:i/>
          <w:iCs/>
        </w:rPr>
        <w:t xml:space="preserve"> </w:t>
      </w:r>
      <w:r>
        <w:rPr>
          <w:i/>
          <w:iCs/>
        </w:rPr>
        <w:t xml:space="preserve">“</w:t>
      </w:r>
      <w:r>
        <w:rPr>
          <w:i/>
          <w:iCs/>
        </w:rPr>
        <w:t xml:space="preserve">no pass-through</w:t>
      </w:r>
      <w:r>
        <w:rPr>
          <w:i/>
          <w:iCs/>
        </w:rPr>
        <w:t xml:space="preserve">”</w:t>
      </w:r>
      <w:r>
        <w:rPr>
          <w:i/>
          <w:iCs/>
        </w:rPr>
        <w:t xml:space="preserve"> </w:t>
      </w:r>
      <w:r>
        <w:rPr>
          <w:i/>
          <w:iCs/>
        </w:rPr>
        <w:t xml:space="preserve">acknowledgment; if unavoidable, counter at 20% with a 12-month phase-in.</w:t>
      </w:r>
      <w:r>
        <w:t xml:space="preserve"> </w:t>
      </w:r>
      <w:r>
        <w:t xml:space="preserve">(Priority: MEDIUM — but financially material.)</w:t>
      </w:r>
    </w:p>
    <w:p>
      <w:pPr>
        <w:numPr>
          <w:ilvl w:val="0"/>
          <w:numId w:val="1009"/>
        </w:numPr>
      </w:pPr>
      <w:r>
        <w:rPr>
          <w:b/>
          <w:bCs/>
        </w:rPr>
        <w:t xml:space="preserve">Term.</w:t>
      </w:r>
      <w:r>
        <w:t xml:space="preserve"> </w:t>
      </w:r>
      <w:r>
        <w:t xml:space="preserve">Five years (2025–2029) with a 3-year option is reasonable given irreplaceability; Greenfield should favor the longest defensible term to lock in rates. (Priority: LOW.)</w:t>
      </w:r>
    </w:p>
    <w:bookmarkEnd w:id="41"/>
    <w:bookmarkStart w:id="42" w:name="license-c-genomap-pro"/>
    <w:p>
      <w:pPr>
        <w:pStyle w:val="Heading3"/>
      </w:pPr>
      <w:r>
        <w:t xml:space="preserve">6.3 License C (GenoMap Pro)</w:t>
      </w:r>
    </w:p>
    <w:p>
      <w:pPr>
        <w:pStyle w:val="FirstParagraph"/>
      </w:pPr>
      <w:r>
        <w:rPr>
          <w:b/>
          <w:bCs/>
        </w:rPr>
        <w:t xml:space="preserve">Issues and concerns:</w:t>
      </w:r>
    </w:p>
    <w:p>
      <w:pPr>
        <w:numPr>
          <w:ilvl w:val="0"/>
          <w:numId w:val="1010"/>
        </w:numPr>
      </w:pPr>
      <w:r>
        <w:rPr>
          <w:b/>
          <w:bCs/>
        </w:rPr>
        <w:t xml:space="preserve">Derivative Data ownership (new §9.3).</w:t>
      </w:r>
      <w:r>
        <w:t xml:space="preserve"> </w:t>
      </w:r>
      <w:r>
        <w:t xml:space="preserve">This is the most dangerous term in the entire Proposal. It would vest</w:t>
      </w:r>
      <w:r>
        <w:t xml:space="preserve"> </w:t>
      </w:r>
      <w:r>
        <w:rPr>
          <w:b/>
          <w:bCs/>
        </w:rPr>
        <w:t xml:space="preserve">all output/derived data in NovaTrait</w:t>
      </w:r>
      <w:r>
        <w:t xml:space="preserve">, leaving Greenfield only a non-exclusive, non-transferable, royalty-free license for internal use during the term — with</w:t>
      </w:r>
      <w:r>
        <w:t xml:space="preserve"> </w:t>
      </w:r>
      <w:r>
        <w:rPr>
          <w:b/>
          <w:bCs/>
        </w:rPr>
        <w:t xml:space="preserve">no sublicensing, no publication identifiable to NovaTrait/the Software, and no post-term use</w:t>
      </w:r>
      <w:r>
        <w:t xml:space="preserve">. This directly conflicts with the existing §9.2 principle that Greenfield owns its Input Data, and it would jeopardize Greenfield’s proprietary trait-mapping datasets, analyses, and regulatory data packages — the core R&amp;D output of the platform — by transferring ownership of the</w:t>
      </w:r>
      <w:r>
        <w:t xml:space="preserve"> </w:t>
      </w:r>
      <w:r>
        <w:rPr>
          <w:i/>
          <w:iCs/>
        </w:rPr>
        <w:t xml:space="preserve">results</w:t>
      </w:r>
      <w:r>
        <w:t xml:space="preserve"> </w:t>
      </w:r>
      <w:r>
        <w:t xml:space="preserve">of Greenfield’s own data processing to NovaTrait and expiring Greenfield’s right to use them at term end.</w:t>
      </w:r>
      <w:r>
        <w:t xml:space="preserve"> </w:t>
      </w:r>
      <w:r>
        <w:rPr>
          <w:i/>
          <w:iCs/>
        </w:rPr>
        <w:t xml:space="preserve">Recommended counter: all output and derived data solely owned by Greenfield, consistent with §9.2; NovaTrait retains no ownership interest in Greenfield’s Input or Derivative Data.</w:t>
      </w:r>
      <w:r>
        <w:t xml:space="preserve"> </w:t>
      </w:r>
      <w:r>
        <w:t xml:space="preserve">(Priority: CRITICAL — non-negotiable.)</w:t>
      </w:r>
    </w:p>
    <w:p>
      <w:pPr>
        <w:numPr>
          <w:ilvl w:val="0"/>
          <w:numId w:val="1010"/>
        </w:numPr>
      </w:pPr>
      <w:r>
        <w:rPr>
          <w:b/>
          <w:bCs/>
        </w:rPr>
        <w:t xml:space="preserve">Source-code access eliminated (§5.2).</w:t>
      </w:r>
      <w:r>
        <w:t xml:space="preserve"> </w:t>
      </w:r>
      <w:r>
        <w:t xml:space="preserve">The current agreement grants Greenfield source-code access for internal modification, on which Greenfield has built custom analytics pipelines (Licensee Modifications). The Proposal would deliver object code only, eliminating the ability to customize or maintain those pipelines, and would convert existing Licensee Modifications to joint ownership or a NovaTrait buy-out. Combined with the v4.x→v5.x incompatibility (requiring the $175K conversion tool), this is a material adverse change with significant R&amp;D impact.</w:t>
      </w:r>
      <w:r>
        <w:t xml:space="preserve"> </w:t>
      </w:r>
      <w:r>
        <w:rPr>
          <w:i/>
          <w:iCs/>
        </w:rPr>
        <w:t xml:space="preserve">Recommended counter: retain source-code access for internal modification, with reasonable security/escrow provisions; existing Licensee Modifications remain Greenfield-owned.</w:t>
      </w:r>
      <w:r>
        <w:t xml:space="preserve"> </w:t>
      </w:r>
      <w:r>
        <w:t xml:space="preserve">(Priority: HIGH — non-negotiable.)</w:t>
      </w:r>
    </w:p>
    <w:p>
      <w:pPr>
        <w:numPr>
          <w:ilvl w:val="0"/>
          <w:numId w:val="1010"/>
        </w:numPr>
      </w:pPr>
      <w:r>
        <w:rPr>
          <w:b/>
          <w:bCs/>
        </w:rPr>
        <w:t xml:space="preserve">Fee and user cap.</w:t>
      </w:r>
      <w:r>
        <w:t xml:space="preserve"> </w:t>
      </w:r>
      <w:r>
        <w:t xml:space="preserve">The proposed ~$5.28M total annual cost (base $4.85M + $425,500 overage for 23 excess users) is ~68% above current and ~65% above the comp mean ($3.05M); the base fee alone ($4.85M) exceeds the market high ($4.0M) by 21.3%. The 50-user cap creates ongoing overage exposure as Greenfield’s user base grows.</w:t>
      </w:r>
      <w:r>
        <w:t xml:space="preserve"> </w:t>
      </w:r>
      <w:r>
        <w:rPr>
          <w:i/>
          <w:iCs/>
        </w:rPr>
        <w:t xml:space="preserve">Recommended counter: $3.75M base with an 80-user cap (or no cap); overage at $12,000/user.</w:t>
      </w:r>
      <w:r>
        <w:t xml:space="preserve"> </w:t>
      </w:r>
      <w:r>
        <w:t xml:space="preserve">(Priority: MEDIUM.)</w:t>
      </w:r>
    </w:p>
    <w:p>
      <w:pPr>
        <w:numPr>
          <w:ilvl w:val="0"/>
          <w:numId w:val="1010"/>
        </w:numPr>
      </w:pPr>
      <w:r>
        <w:rPr>
          <w:b/>
          <w:bCs/>
        </w:rPr>
        <w:t xml:space="preserve">Version 5.x conversion tool ($175K) and integration ($95K).</w:t>
      </w:r>
      <w:r>
        <w:t xml:space="preserve"> </w:t>
      </w:r>
      <w:r>
        <w:t xml:space="preserve">These one-time costs should be absorbed by NovaTrait as the cost of the mandated upgrade.</w:t>
      </w:r>
      <w:r>
        <w:t xml:space="preserve"> </w:t>
      </w:r>
      <w:r>
        <w:rPr>
          <w:i/>
          <w:iCs/>
        </w:rPr>
        <w:t xml:space="preserve">Recommended counter: conversion tool and migration assistance included at no additional cost as a condition of renewal.</w:t>
      </w:r>
      <w:r>
        <w:t xml:space="preserve"> </w:t>
      </w:r>
      <w:r>
        <w:t xml:space="preserve">(Priority: LOW.)</w:t>
      </w:r>
    </w:p>
    <w:p>
      <w:pPr>
        <w:numPr>
          <w:ilvl w:val="0"/>
          <w:numId w:val="1010"/>
        </w:numPr>
      </w:pPr>
      <w:r>
        <w:rPr>
          <w:b/>
          <w:bCs/>
        </w:rPr>
        <w:t xml:space="preserve">Operational dependency.</w:t>
      </w:r>
      <w:r>
        <w:t xml:space="preserve"> </w:t>
      </w:r>
      <w:r>
        <w:t xml:space="preserve">GenoMap Pro is integral to the CRISPR-Ag Suite and TraitForge workflows; loss of access requires 12–18 months to source and migrate to an alternative, during which Licenses A and B operations are jeopardized. This cuts both ways: it is a reason to renew, but also a reason to use the credible alternatives as leverage and to insist on the data-ownership and source-code protections that preserve Greenfield’s ability to switch later.</w:t>
      </w:r>
      <w:r>
        <w:t xml:space="preserve"> </w:t>
      </w:r>
      <w:r>
        <w:rPr>
          <w:i/>
          <w:iCs/>
        </w:rPr>
        <w:t xml:space="preserve">Recommended: validate at least one alternative platform with a fresh bid before the counter-proposal; structure the renewal to preserve exit optionality (e.g., shorter term, data portability commitments).</w:t>
      </w:r>
      <w:r>
        <w:t xml:space="preserve"> </w:t>
      </w:r>
      <w:r>
        <w:t xml:space="preserve">(Priority: MEDIUM.)</w:t>
      </w:r>
    </w:p>
    <w:p>
      <w:pPr>
        <w:numPr>
          <w:ilvl w:val="0"/>
          <w:numId w:val="1010"/>
        </w:numPr>
      </w:pPr>
      <w:r>
        <w:rPr>
          <w:b/>
          <w:bCs/>
        </w:rPr>
        <w:t xml:space="preserve">Term.</w:t>
      </w:r>
      <w:r>
        <w:t xml:space="preserve"> </w:t>
      </w:r>
      <w:r>
        <w:t xml:space="preserve">Three years is acceptable and preserves optionality; the optional second 3-year term is fine. (Priority: LOW.)</w:t>
      </w:r>
    </w:p>
    <w:p>
      <w:r>
        <w:pict>
          <v:rect style="width:0;height:1.5pt" o:hralign="center" o:hrstd="t" o:hr="t"/>
        </w:pict>
      </w:r>
    </w:p>
    <w:bookmarkEnd w:id="42"/>
    <w:bookmarkEnd w:id="43"/>
    <w:bookmarkStart w:id="49" w:name="cross-cutting-and-sublicense-issues"/>
    <w:p>
      <w:pPr>
        <w:pStyle w:val="Heading2"/>
      </w:pPr>
      <w:r>
        <w:t xml:space="preserve">7. Cross-Cutting and Sublicense Issues</w:t>
      </w:r>
    </w:p>
    <w:bookmarkStart w:id="44" w:name="prairielands-sublicense"/>
    <w:p>
      <w:pPr>
        <w:pStyle w:val="Heading3"/>
      </w:pPr>
      <w:r>
        <w:t xml:space="preserve">7.1 Prairielands Sublicense</w:t>
      </w:r>
    </w:p>
    <w:p>
      <w:pPr>
        <w:pStyle w:val="FirstParagraph"/>
      </w:pPr>
      <w:r>
        <w:t xml:space="preserve">The Prairielands Sublicense is co-terminus with License B and expired with it on December 31, 2024; it survives only via the License B standstill. Its renewal is contingent on (a) License B renewal and (b) NovaTrait’s consent under License B §12.4. Greenfield should renew the Prairielands Sublicense in parallel with License B, on terms consistent with the existing scope (soybean drought-tolerance, Argentina/Brazil, 2.0% to Greenfield). The principal risk is NovaTrait conditioning consent on a new pass-through (see §6.2(7)). Greenfield should also consider whether the License B renewal’s narrowed Net Sales definition or other changes flow through to the Prairielands royalty base, and should preserve the sublicense’s existing 90-day wind-down and audit terms.</w:t>
      </w:r>
    </w:p>
    <w:bookmarkEnd w:id="44"/>
    <w:bookmarkStart w:id="45" w:name="term-alignment"/>
    <w:p>
      <w:pPr>
        <w:pStyle w:val="Heading3"/>
      </w:pPr>
      <w:r>
        <w:t xml:space="preserve">7.2 Term Alignment</w:t>
      </w:r>
    </w:p>
    <w:p>
      <w:pPr>
        <w:pStyle w:val="FirstParagraph"/>
      </w:pPr>
      <w:r>
        <w:t xml:space="preserve">The Proposal produces staggered terms (A: 2025–2030; B: 2025–2029; C: 2025–2028). NovaTrait offers optional harmonization (a coordinated 5-year License C at an incremental fee, or shorter A/B terms). Greenfield’s preference should track its leverage: a</w:t>
      </w:r>
      <w:r>
        <w:t xml:space="preserve"> </w:t>
      </w:r>
      <w:r>
        <w:rPr>
          <w:b/>
          <w:bCs/>
        </w:rPr>
        <w:t xml:space="preserve">shorter License C term</w:t>
      </w:r>
      <w:r>
        <w:t xml:space="preserve"> </w:t>
      </w:r>
      <w:r>
        <w:t xml:space="preserve">(3 years) preserves switching optionality and is appropriate given software evolution;</w:t>
      </w:r>
      <w:r>
        <w:t xml:space="preserve"> </w:t>
      </w:r>
      <w:r>
        <w:rPr>
          <w:b/>
          <w:bCs/>
        </w:rPr>
        <w:t xml:space="preserve">longer A and B terms</w:t>
      </w:r>
      <w:r>
        <w:t xml:space="preserve"> </w:t>
      </w:r>
      <w:r>
        <w:t xml:space="preserve">lock in rates before the ’117 expiry (A) and before NovaTrait can seek further increases (B). Harmonizing all three to a single date is administratively convenient but not worth paying for; Greenfield should decline the coordinated 5-year License C upsell.</w:t>
      </w:r>
    </w:p>
    <w:bookmarkEnd w:id="45"/>
    <w:bookmarkStart w:id="46" w:name="most-favored-licensee-mfl"/>
    <w:p>
      <w:pPr>
        <w:pStyle w:val="Heading3"/>
      </w:pPr>
      <w:r>
        <w:t xml:space="preserve">7.3 Most-Favored-Licensee (MFL)</w:t>
      </w:r>
    </w:p>
    <w:p>
      <w:pPr>
        <w:pStyle w:val="FirstParagraph"/>
      </w:pPr>
      <w:r>
        <w:t xml:space="preserve">Each agreement retains its MFL, calculated agreement-by-agreement. This is favorable to Greenfield and should be retained. Greenfield should verify that the MFL carve-outs (academic/non-profit; litigation-settlement licenses) remain and that the MFL is enforceable against the proposed rates (i.e., that the proposed rates are not themselves below market in a way that would trigger MFL obligations to other NovaTrait licensees — a risk to monitor but not a current concern given the proposed rates are above market).</w:t>
      </w:r>
    </w:p>
    <w:bookmarkEnd w:id="46"/>
    <w:bookmarkStart w:id="47" w:name="X37d190fc8760a90c16daf2fceea3ae37c91a72d"/>
    <w:p>
      <w:pPr>
        <w:pStyle w:val="Heading3"/>
      </w:pPr>
      <w:r>
        <w:t xml:space="preserve">7.4 Improvements — Consistent Treatment Across A and B</w:t>
      </w:r>
    </w:p>
    <w:p>
      <w:pPr>
        <w:pStyle w:val="FirstParagraph"/>
      </w:pPr>
      <w:r>
        <w:t xml:space="preserve">NovaTrait proposes the same joint-ownership/royalty-free-grant-back structure for both License A (§8.1) and License B (§8). Greenfield should resist both on the same basis (§6.1(3), §6.2(6)) and seek consistent treatment that preserves Greenfield’s ownership of its own improvements. This is a cross-cutting position: conceding it in one agreement weakens Greenfield’s stance in the other.</w:t>
      </w:r>
    </w:p>
    <w:bookmarkEnd w:id="47"/>
    <w:bookmarkStart w:id="48" w:name="coordinated-billing-and-confidentiality"/>
    <w:p>
      <w:pPr>
        <w:pStyle w:val="Heading3"/>
      </w:pPr>
      <w:r>
        <w:t xml:space="preserve">7.5 Coordinated Billing and Confidentiality</w:t>
      </w:r>
    </w:p>
    <w:p>
      <w:pPr>
        <w:pStyle w:val="FirstParagraph"/>
      </w:pPr>
      <w:r>
        <w:t xml:space="preserve">Coordinated quarterly billing (Proposal, Part IV §2) is administratively acceptable provided each license’s royalty base, MAR, and pass-through are reported on separate supporting schedules. The Proposal’s Rule 408 / confidentiality framing is acceptable; Greenfield should ensure its response and counter-proposal carry the same protections.</w:t>
      </w:r>
    </w:p>
    <w:p>
      <w:r>
        <w:pict>
          <v:rect style="width:0;height:1.5pt" o:hralign="center" o:hrstd="t" o:hr="t"/>
        </w:pict>
      </w:r>
    </w:p>
    <w:bookmarkEnd w:id="48"/>
    <w:bookmarkEnd w:id="49"/>
    <w:bookmarkStart w:id="50" w:name="key-risk-flags-consolidated"/>
    <w:p>
      <w:pPr>
        <w:pStyle w:val="Heading2"/>
      </w:pPr>
      <w:r>
        <w:t xml:space="preserve">8. Key Risk Flags (Consolidated)</w:t>
      </w:r>
    </w:p>
    <w:p>
      <w:pPr>
        <w:pStyle w:val="Compact"/>
        <w:numPr>
          <w:ilvl w:val="0"/>
          <w:numId w:val="1011"/>
        </w:numPr>
      </w:pPr>
      <w:r>
        <w:rPr>
          <w:b/>
          <w:bCs/>
        </w:rPr>
        <w:t xml:space="preserve">License B standstill expires June 29, 2025</w:t>
      </w:r>
      <w:r>
        <w:t xml:space="preserve"> </w:t>
      </w:r>
      <w:r>
        <w:t xml:space="preserve">— hard cliff; non-renewal/non-extension triggers 30-day biological-materials return and Prairielands Sublicense collapse.</w:t>
      </w:r>
      <w:r>
        <w:t xml:space="preserve"> </w:t>
      </w:r>
      <w:r>
        <w:rPr>
          <w:i/>
          <w:iCs/>
        </w:rPr>
        <w:t xml:space="preserve">(CRITICAL.)</w:t>
      </w:r>
    </w:p>
    <w:p>
      <w:pPr>
        <w:pStyle w:val="Compact"/>
        <w:numPr>
          <w:ilvl w:val="0"/>
          <w:numId w:val="1011"/>
        </w:numPr>
      </w:pPr>
      <w:r>
        <w:rPr>
          <w:b/>
          <w:bCs/>
        </w:rPr>
        <w:t xml:space="preserve">License C Derivative Data ownership transfer to NovaTrait</w:t>
      </w:r>
      <w:r>
        <w:t xml:space="preserve"> </w:t>
      </w:r>
      <w:r>
        <w:t xml:space="preserve">— would strip Greenfield of ownership of its own R&amp;D outputs and expire Greenfield’s right to use them at term end; conflicts with §9.2.</w:t>
      </w:r>
      <w:r>
        <w:t xml:space="preserve"> </w:t>
      </w:r>
      <w:r>
        <w:rPr>
          <w:i/>
          <w:iCs/>
        </w:rPr>
        <w:t xml:space="preserve">(CRITICAL.)</w:t>
      </w:r>
    </w:p>
    <w:p>
      <w:pPr>
        <w:pStyle w:val="Compact"/>
        <w:numPr>
          <w:ilvl w:val="0"/>
          <w:numId w:val="1011"/>
        </w:numPr>
      </w:pPr>
      <w:r>
        <w:rPr>
          <w:b/>
          <w:bCs/>
        </w:rPr>
        <w:t xml:space="preserve">License A improvements reversal to joint ownership with royalty-free grant-back</w:t>
      </w:r>
      <w:r>
        <w:t xml:space="preserve"> </w:t>
      </w:r>
      <w:r>
        <w:t xml:space="preserve">— hands NovaTrait perpetual free rights to Greenfield’s R&amp;D, including for competing out-of-field uses.</w:t>
      </w:r>
      <w:r>
        <w:t xml:space="preserve"> </w:t>
      </w:r>
      <w:r>
        <w:rPr>
          <w:i/>
          <w:iCs/>
        </w:rPr>
        <w:t xml:space="preserve">(HIGH.)</w:t>
      </w:r>
    </w:p>
    <w:p>
      <w:pPr>
        <w:pStyle w:val="Compact"/>
        <w:numPr>
          <w:ilvl w:val="0"/>
          <w:numId w:val="1011"/>
        </w:numPr>
      </w:pPr>
      <w:r>
        <w:rPr>
          <w:b/>
          <w:bCs/>
        </w:rPr>
        <w:t xml:space="preserve">License A rate + Net Sales redefinition combined effect (6.70% effective)</w:t>
      </w:r>
      <w:r>
        <w:t xml:space="preserve"> </w:t>
      </w:r>
      <w:r>
        <w:t xml:space="preserve">— above market high; within 150% cap by &lt;2 pts; obscures real economics.</w:t>
      </w:r>
      <w:r>
        <w:t xml:space="preserve"> </w:t>
      </w:r>
      <w:r>
        <w:rPr>
          <w:i/>
          <w:iCs/>
        </w:rPr>
        <w:t xml:space="preserve">(HIGH.)</w:t>
      </w:r>
    </w:p>
    <w:p>
      <w:pPr>
        <w:pStyle w:val="Compact"/>
        <w:numPr>
          <w:ilvl w:val="0"/>
          <w:numId w:val="1011"/>
        </w:numPr>
      </w:pPr>
      <w:r>
        <w:rPr>
          <w:b/>
          <w:bCs/>
        </w:rPr>
        <w:t xml:space="preserve">License B rate (5.0%) above market high (4.5%)</w:t>
      </w:r>
      <w:r>
        <w:t xml:space="preserve"> </w:t>
      </w:r>
      <w:r>
        <w:t xml:space="preserve">— exceeds fair market value even for an irreplaceable platform.</w:t>
      </w:r>
      <w:r>
        <w:t xml:space="preserve"> </w:t>
      </w:r>
      <w:r>
        <w:rPr>
          <w:i/>
          <w:iCs/>
        </w:rPr>
        <w:t xml:space="preserve">(HIGH.)</w:t>
      </w:r>
    </w:p>
    <w:p>
      <w:pPr>
        <w:pStyle w:val="Compact"/>
        <w:numPr>
          <w:ilvl w:val="0"/>
          <w:numId w:val="1011"/>
        </w:numPr>
      </w:pPr>
      <w:r>
        <w:rPr>
          <w:b/>
          <w:bCs/>
        </w:rPr>
        <w:t xml:space="preserve">License C source-code access eliminated</w:t>
      </w:r>
      <w:r>
        <w:t xml:space="preserve"> </w:t>
      </w:r>
      <w:r>
        <w:t xml:space="preserve">— material adverse change; strands custom analytics pipelines.</w:t>
      </w:r>
      <w:r>
        <w:t xml:space="preserve"> </w:t>
      </w:r>
      <w:r>
        <w:rPr>
          <w:i/>
          <w:iCs/>
        </w:rPr>
        <w:t xml:space="preserve">(HIGH.)</w:t>
      </w:r>
    </w:p>
    <w:p>
      <w:pPr>
        <w:pStyle w:val="Compact"/>
        <w:numPr>
          <w:ilvl w:val="0"/>
          <w:numId w:val="1011"/>
        </w:numPr>
      </w:pPr>
      <w:r>
        <w:rPr>
          <w:b/>
          <w:bCs/>
        </w:rPr>
        <w:t xml:space="preserve">License B biological-materials return (30 days, no wind-down)</w:t>
      </w:r>
      <w:r>
        <w:t xml:space="preserve"> </w:t>
      </w:r>
      <w:r>
        <w:t xml:space="preserve">— operationally impractical; endangers ongoing breeding/field trials and regulatory programs.</w:t>
      </w:r>
      <w:r>
        <w:t xml:space="preserve"> </w:t>
      </w:r>
      <w:r>
        <w:rPr>
          <w:i/>
          <w:iCs/>
        </w:rPr>
        <w:t xml:space="preserve">(HIGH.)</w:t>
      </w:r>
    </w:p>
    <w:p>
      <w:pPr>
        <w:pStyle w:val="Compact"/>
        <w:numPr>
          <w:ilvl w:val="0"/>
          <w:numId w:val="1011"/>
        </w:numPr>
      </w:pPr>
      <w:r>
        <w:rPr>
          <w:b/>
          <w:bCs/>
        </w:rPr>
        <w:t xml:space="preserve">License A insect-resistance removal</w:t>
      </w:r>
      <w:r>
        <w:t xml:space="preserve"> </w:t>
      </w:r>
      <w:r>
        <w:t xml:space="preserve">— strands a core product line (~30% of License A revenue).</w:t>
      </w:r>
      <w:r>
        <w:t xml:space="preserve"> </w:t>
      </w:r>
      <w:r>
        <w:rPr>
          <w:i/>
          <w:iCs/>
        </w:rPr>
        <w:t xml:space="preserve">(MEDIUM-HIGH.)</w:t>
      </w:r>
    </w:p>
    <w:p>
      <w:pPr>
        <w:pStyle w:val="Compact"/>
        <w:numPr>
          <w:ilvl w:val="0"/>
          <w:numId w:val="1011"/>
        </w:numPr>
      </w:pPr>
      <w:r>
        <w:rPr>
          <w:b/>
          <w:bCs/>
        </w:rPr>
        <w:t xml:space="preserve">No License A royalty step-down for the ’117 expiry (March 12, 2028)</w:t>
      </w:r>
      <w:r>
        <w:t xml:space="preserve"> </w:t>
      </w:r>
      <w:r>
        <w:t xml:space="preserve">— overpayment for the final ~2 years of the term.</w:t>
      </w:r>
      <w:r>
        <w:t xml:space="preserve"> </w:t>
      </w:r>
      <w:r>
        <w:rPr>
          <w:i/>
          <w:iCs/>
        </w:rPr>
        <w:t xml:space="preserve">(HIGH over the term.)</w:t>
      </w:r>
    </w:p>
    <w:p>
      <w:pPr>
        <w:pStyle w:val="Compact"/>
        <w:numPr>
          <w:ilvl w:val="0"/>
          <w:numId w:val="1011"/>
        </w:numPr>
      </w:pPr>
      <w:r>
        <w:rPr>
          <w:b/>
          <w:bCs/>
        </w:rPr>
        <w:t xml:space="preserve">Prairielands pass-through risk</w:t>
      </w:r>
      <w:r>
        <w:t xml:space="preserve"> </w:t>
      </w:r>
      <w:r>
        <w:t xml:space="preserve">— potential new ~40% pass-through (~$5M/yr) where none currently exists.</w:t>
      </w:r>
      <w:r>
        <w:t xml:space="preserve"> </w:t>
      </w:r>
      <w:r>
        <w:rPr>
          <w:i/>
          <w:iCs/>
        </w:rPr>
        <w:t xml:space="preserve">(MEDIUM, financially material.)</w:t>
      </w:r>
    </w:p>
    <w:p>
      <w:pPr>
        <w:pStyle w:val="Compact"/>
        <w:numPr>
          <w:ilvl w:val="0"/>
          <w:numId w:val="1011"/>
        </w:numPr>
      </w:pPr>
      <w:r>
        <w:rPr>
          <w:b/>
          <w:bCs/>
        </w:rPr>
        <w:t xml:space="preserve">GenoMap Pro operational dependency</w:t>
      </w:r>
      <w:r>
        <w:t xml:space="preserve"> </w:t>
      </w:r>
      <w:r>
        <w:t xml:space="preserve">— 12–18 months to source alternatives; disruption affects all three license workflows.</w:t>
      </w:r>
      <w:r>
        <w:t xml:space="preserve"> </w:t>
      </w:r>
      <w:r>
        <w:rPr>
          <w:i/>
          <w:iCs/>
        </w:rPr>
        <w:t xml:space="preserve">(MEDIUM.)</w:t>
      </w:r>
    </w:p>
    <w:p>
      <w:pPr>
        <w:pStyle w:val="Compact"/>
        <w:numPr>
          <w:ilvl w:val="0"/>
          <w:numId w:val="1011"/>
        </w:numPr>
      </w:pPr>
      <w:r>
        <w:rPr>
          <w:b/>
          <w:bCs/>
        </w:rPr>
        <w:t xml:space="preserve">Stale IP landscape</w:t>
      </w:r>
      <w:r>
        <w:t xml:space="preserve"> </w:t>
      </w:r>
      <w:r>
        <w:t xml:space="preserve">— Clarendon Report is 4+ years old; an updated analysis is needed to support the License A step-down and any IFMV assessment.</w:t>
      </w:r>
      <w:r>
        <w:t xml:space="preserve"> </w:t>
      </w:r>
      <w:r>
        <w:rPr>
          <w:i/>
          <w:iCs/>
        </w:rPr>
        <w:t xml:space="preserve">(MEDIUM.)</w:t>
      </w:r>
    </w:p>
    <w:p>
      <w:r>
        <w:pict>
          <v:rect style="width:0;height:1.5pt" o:hralign="center" o:hrstd="t" o:hr="t"/>
        </w:pict>
      </w:r>
    </w:p>
    <w:bookmarkEnd w:id="50"/>
    <w:bookmarkStart w:id="53" w:name="X5a210e4711ad572f57a80e9f4b3e699e12b539c"/>
    <w:p>
      <w:pPr>
        <w:pStyle w:val="Heading2"/>
      </w:pPr>
      <w:r>
        <w:t xml:space="preserve">9. Recommended Negotiation Strategy and Counter-Positions</w:t>
      </w:r>
    </w:p>
    <w:bookmarkStart w:id="51" w:name="overall-strategy"/>
    <w:p>
      <w:pPr>
        <w:pStyle w:val="Heading3"/>
      </w:pPr>
      <w:r>
        <w:t xml:space="preserve">9.1 Overall Strategy</w:t>
      </w:r>
    </w:p>
    <w:p>
      <w:pPr>
        <w:pStyle w:val="Compact"/>
        <w:numPr>
          <w:ilvl w:val="0"/>
          <w:numId w:val="1012"/>
        </w:numPr>
      </w:pPr>
      <w:r>
        <w:rPr>
          <w:b/>
          <w:bCs/>
        </w:rPr>
        <w:t xml:space="preserve">Negotiate as a package but on three tracks.</w:t>
      </w:r>
      <w:r>
        <w:t xml:space="preserve"> </w:t>
      </w:r>
      <w:r>
        <w:t xml:space="preserve">Use License C’s credible alternatives and License A’s declining portfolio as leverage, while protecting License B (the irreplaceable asset) from being held hostage to concessions on A or C. Do not allow NovaTrait to bundle the three into a single take-it-or-leave-it commercial package.</w:t>
      </w:r>
    </w:p>
    <w:p>
      <w:pPr>
        <w:pStyle w:val="Compact"/>
        <w:numPr>
          <w:ilvl w:val="0"/>
          <w:numId w:val="1012"/>
        </w:numPr>
      </w:pPr>
      <w:r>
        <w:rPr>
          <w:b/>
          <w:bCs/>
        </w:rPr>
        <w:t xml:space="preserve">Lead with the standstill extension.</w:t>
      </w:r>
      <w:r>
        <w:t xml:space="preserve"> </w:t>
      </w:r>
      <w:r>
        <w:t xml:space="preserve">Secure the License B standstill extension to December 31, 2025 before substantive economics, to remove the June 29, 2025 gun from the table.</w:t>
      </w:r>
    </w:p>
    <w:p>
      <w:pPr>
        <w:pStyle w:val="Compact"/>
        <w:numPr>
          <w:ilvl w:val="0"/>
          <w:numId w:val="1012"/>
        </w:numPr>
      </w:pPr>
      <w:r>
        <w:rPr>
          <w:b/>
          <w:bCs/>
        </w:rPr>
        <w:t xml:space="preserve">Frame rate discussions on effective rate, not nominal rate.</w:t>
      </w:r>
      <w:r>
        <w:t xml:space="preserve"> </w:t>
      </w:r>
      <w:r>
        <w:t xml:space="preserve">Press the combined rate + Net Sales redefinition against the §14.3 150% cap and the market comparables. Condition any acceptance on a current IFMV assessment.</w:t>
      </w:r>
    </w:p>
    <w:p>
      <w:pPr>
        <w:pStyle w:val="Compact"/>
        <w:numPr>
          <w:ilvl w:val="0"/>
          <w:numId w:val="1012"/>
        </w:numPr>
      </w:pPr>
      <w:r>
        <w:rPr>
          <w:b/>
          <w:bCs/>
        </w:rPr>
        <w:t xml:space="preserve">Insist on the ’117 step-down for License A.</w:t>
      </w:r>
      <w:r>
        <w:t xml:space="preserve"> </w:t>
      </w:r>
      <w:r>
        <w:t xml:space="preserve">This is the largest single economic issue over the renewal term and is supported by Greenfield’s own patent landscape analysis.</w:t>
      </w:r>
    </w:p>
    <w:p>
      <w:pPr>
        <w:pStyle w:val="Compact"/>
        <w:numPr>
          <w:ilvl w:val="0"/>
          <w:numId w:val="1012"/>
        </w:numPr>
      </w:pPr>
      <w:r>
        <w:rPr>
          <w:b/>
          <w:bCs/>
        </w:rPr>
        <w:t xml:space="preserve">Treat data ownership and source code (License C) and improvements ownership (Licenses A and B) as non-negotiable.</w:t>
      </w:r>
      <w:r>
        <w:t xml:space="preserve"> </w:t>
      </w:r>
      <w:r>
        <w:t xml:space="preserve">These are structural IP-rights issues, not pricing issues, and concession would compound over time.</w:t>
      </w:r>
    </w:p>
    <w:p>
      <w:pPr>
        <w:pStyle w:val="Compact"/>
        <w:numPr>
          <w:ilvl w:val="0"/>
          <w:numId w:val="1012"/>
        </w:numPr>
      </w:pPr>
      <w:r>
        <w:rPr>
          <w:b/>
          <w:bCs/>
        </w:rPr>
        <w:t xml:space="preserve">Validate License C alternatives with fresh bids</w:t>
      </w:r>
      <w:r>
        <w:t xml:space="preserve"> </w:t>
      </w:r>
      <w:r>
        <w:t xml:space="preserve">before transmitting the counter-proposal, to make the switching leverage concrete.</w:t>
      </w:r>
    </w:p>
    <w:p>
      <w:pPr>
        <w:pStyle w:val="Compact"/>
        <w:numPr>
          <w:ilvl w:val="0"/>
          <w:numId w:val="1012"/>
        </w:numPr>
      </w:pPr>
      <w:r>
        <w:rPr>
          <w:b/>
          <w:bCs/>
        </w:rPr>
        <w:t xml:space="preserve">Commission an updated patent landscape analysis</w:t>
      </w:r>
      <w:r>
        <w:t xml:space="preserve"> </w:t>
      </w:r>
      <w:r>
        <w:t xml:space="preserve">promptly.</w:t>
      </w:r>
    </w:p>
    <w:bookmarkEnd w:id="51"/>
    <w:bookmarkStart w:id="52" w:name="priority-counter-positions"/>
    <w:p>
      <w:pPr>
        <w:pStyle w:val="Heading3"/>
      </w:pPr>
      <w:r>
        <w:t xml:space="preserve">9.2 Priority Counter-Positions</w:t>
      </w:r>
    </w:p>
    <w:p>
      <w:pPr>
        <w:pStyle w:val="FirstParagraph"/>
      </w:pPr>
      <w:r>
        <w:t xml:space="preserve">The following consolidates the Financial Analysis’s negotiation-priority matrix with the IP analysis above. Risk levels reflect consequence to Greenfield if the issue is not resolved favorably.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Rank</w:t>
            </w:r>
          </w:p>
        </w:tc>
        <w:tc>
          <w:tcPr/>
          <w:p>
            <w:pPr>
              <w:pStyle w:val="Compact"/>
              <w:jc w:val="left"/>
            </w:pPr>
            <w:r>
              <w:rPr>
                <w:b/>
                <w:bCs/>
              </w:rPr>
              <w:t xml:space="preserve">License</w:t>
            </w:r>
          </w:p>
        </w:tc>
        <w:tc>
          <w:tcPr/>
          <w:p>
            <w:pPr>
              <w:pStyle w:val="Compact"/>
              <w:jc w:val="left"/>
            </w:pPr>
            <w:r>
              <w:rPr>
                <w:b/>
                <w:bCs/>
              </w:rPr>
              <w:t xml:space="preserve">Issue</w:t>
            </w:r>
          </w:p>
        </w:tc>
        <w:tc>
          <w:tcPr/>
          <w:p>
            <w:pPr>
              <w:pStyle w:val="Compact"/>
              <w:jc w:val="left"/>
            </w:pPr>
            <w:r>
              <w:rPr>
                <w:b/>
                <w:bCs/>
              </w:rPr>
              <w:t xml:space="preserve">NovaTrait proposal</w:t>
            </w:r>
          </w:p>
        </w:tc>
        <w:tc>
          <w:tcPr/>
          <w:p>
            <w:pPr>
              <w:pStyle w:val="Compact"/>
              <w:jc w:val="left"/>
            </w:pPr>
            <w:r>
              <w:rPr>
                <w:b/>
                <w:bCs/>
              </w:rPr>
              <w:t xml:space="preserve">Greenfield position</w:t>
            </w:r>
          </w:p>
        </w:tc>
        <w:tc>
          <w:tcPr/>
          <w:p>
            <w:pPr>
              <w:pStyle w:val="Compact"/>
              <w:jc w:val="left"/>
            </w:pPr>
            <w:r>
              <w:rPr>
                <w:b/>
                <w:bCs/>
              </w:rPr>
              <w:t xml:space="preserve">Recommended counter</w:t>
            </w:r>
          </w:p>
        </w:tc>
        <w:tc>
          <w:tcPr/>
          <w:p>
            <w:pPr>
              <w:pStyle w:val="Compact"/>
              <w:jc w:val="left"/>
            </w:pPr>
            <w:r>
              <w:rPr>
                <w:b/>
                <w:bCs/>
              </w:rP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 (Jun 29, 2025)</w:t>
            </w:r>
          </w:p>
        </w:tc>
        <w:tc>
          <w:tcPr/>
          <w:p>
            <w:pPr>
              <w:pStyle w:val="Compact"/>
              <w:jc w:val="left"/>
            </w:pPr>
            <w:r>
              <w:t xml:space="preserve">Renewal effective Jan 1, 2025</w:t>
            </w:r>
          </w:p>
        </w:tc>
        <w:tc>
          <w:tcPr/>
          <w:p>
            <w:pPr>
              <w:pStyle w:val="Compact"/>
              <w:jc w:val="left"/>
            </w:pPr>
            <w:r>
              <w:t xml:space="preserve">Standstill expires Jun 29, 2025; must resolve or extend</w:t>
            </w:r>
          </w:p>
        </w:tc>
        <w:tc>
          <w:tcPr/>
          <w:p>
            <w:pPr>
              <w:pStyle w:val="Compact"/>
              <w:jc w:val="left"/>
            </w:pPr>
            <w:r>
              <w:t xml:space="preserve">Written standstill extension to Dec 31, 2025 as condition of continued negotiation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NovaTrait owns all output; non-exclusive license to Greenfield</w:t>
            </w:r>
          </w:p>
        </w:tc>
        <w:tc>
          <w:tcPr/>
          <w:p>
            <w:pPr>
              <w:pStyle w:val="Compact"/>
              <w:jc w:val="left"/>
            </w:pPr>
            <w:r>
              <w:t xml:space="preserve">Greenfield must own all output/derived data</w:t>
            </w:r>
          </w:p>
        </w:tc>
        <w:tc>
          <w:tcPr/>
          <w:p>
            <w:pPr>
              <w:pStyle w:val="Compact"/>
              <w:jc w:val="left"/>
            </w:pPr>
            <w:r>
              <w:t xml:space="preserve">All output/derived data solely owned by Greenfield; consistent with §9.2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Improvements ownership</w:t>
            </w:r>
          </w:p>
        </w:tc>
        <w:tc>
          <w:tcPr/>
          <w:p>
            <w:pPr>
              <w:pStyle w:val="Compact"/>
              <w:jc w:val="left"/>
            </w:pPr>
            <w:r>
              <w:t xml:space="preserve">Joint ownership; royalty-free grant-back to NovaTrait</w:t>
            </w:r>
          </w:p>
        </w:tc>
        <w:tc>
          <w:tcPr/>
          <w:p>
            <w:pPr>
              <w:pStyle w:val="Compact"/>
              <w:jc w:val="left"/>
            </w:pPr>
            <w:r>
              <w:t xml:space="preserve">Retain sole Greenfield ownership (current §8.1)</w:t>
            </w:r>
          </w:p>
        </w:tc>
        <w:tc>
          <w:tcPr/>
          <w:p>
            <w:pPr>
              <w:pStyle w:val="Compact"/>
              <w:jc w:val="left"/>
            </w:pPr>
            <w:r>
              <w:t xml:space="preserve">Greenfield sole ownership; non-exclusive license to NovaTrait at reduced royalty</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 redefinition (combined)</w:t>
            </w:r>
          </w:p>
        </w:tc>
        <w:tc>
          <w:tcPr/>
          <w:p>
            <w:pPr>
              <w:pStyle w:val="Compact"/>
              <w:jc w:val="left"/>
            </w:pPr>
            <w:r>
              <w:t xml:space="preserve">6.25% on redefined base (≈6.70% effective)</w:t>
            </w:r>
          </w:p>
        </w:tc>
        <w:tc>
          <w:tcPr/>
          <w:p>
            <w:pPr>
              <w:pStyle w:val="Compact"/>
              <w:jc w:val="left"/>
            </w:pPr>
            <w:r>
              <w:t xml:space="preserve">Current 4.5% on standard definition</w:t>
            </w:r>
          </w:p>
        </w:tc>
        <w:tc>
          <w:tcPr/>
          <w:p>
            <w:pPr>
              <w:pStyle w:val="Compact"/>
              <w:jc w:val="left"/>
            </w:pPr>
            <w:r>
              <w:t xml:space="preserve">5.0% on original definition, or 4.75% on redefined definition; plus ’117 step-down to 2.5–3.0% from Mar 12, 2028</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3.0–4.5% market)</w:t>
            </w:r>
          </w:p>
        </w:tc>
        <w:tc>
          <w:tcPr/>
          <w:p>
            <w:pPr>
              <w:pStyle w:val="Compact"/>
              <w:jc w:val="left"/>
            </w:pPr>
            <w:r>
              <w:t xml:space="preserve">Current 3.75%</w:t>
            </w:r>
          </w:p>
        </w:tc>
        <w:tc>
          <w:tcPr/>
          <w:p>
            <w:pPr>
              <w:pStyle w:val="Compact"/>
              <w:jc w:val="left"/>
            </w:pPr>
            <w:r>
              <w:t xml:space="preserve">4.25% on original Net Sales definition (or 4.0% on redefined)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Source-code access</w:t>
            </w:r>
          </w:p>
        </w:tc>
        <w:tc>
          <w:tcPr/>
          <w:p>
            <w:pPr>
              <w:pStyle w:val="Compact"/>
              <w:jc w:val="left"/>
            </w:pPr>
            <w:r>
              <w:t xml:space="preserve">Eliminated; object code only</w:t>
            </w:r>
          </w:p>
        </w:tc>
        <w:tc>
          <w:tcPr/>
          <w:p>
            <w:pPr>
              <w:pStyle w:val="Compact"/>
              <w:jc w:val="left"/>
            </w:pPr>
            <w:r>
              <w:t xml:space="preserve">Retain current access for internal modification</w:t>
            </w:r>
          </w:p>
        </w:tc>
        <w:tc>
          <w:tcPr/>
          <w:p>
            <w:pPr>
              <w:pStyle w:val="Compact"/>
              <w:jc w:val="left"/>
            </w:pPr>
            <w:r>
              <w:t xml:space="preserve">Retain source-code access; accept reasonable security/escrow provisions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Biological-materials return</w:t>
            </w:r>
          </w:p>
        </w:tc>
        <w:tc>
          <w:tcPr/>
          <w:p>
            <w:pPr>
              <w:pStyle w:val="Compact"/>
              <w:jc w:val="left"/>
            </w:pPr>
            <w:r>
              <w:t xml:space="preserve">30-day return/destroy, no wind-down</w:t>
            </w:r>
          </w:p>
        </w:tc>
        <w:tc>
          <w:tcPr/>
          <w:p>
            <w:pPr>
              <w:pStyle w:val="Compact"/>
              <w:jc w:val="left"/>
            </w:pPr>
            <w:r>
              <w:t xml:space="preserve">Inadequate for operational continuity</w:t>
            </w:r>
          </w:p>
        </w:tc>
        <w:tc>
          <w:tcPr/>
          <w:p>
            <w:pPr>
              <w:pStyle w:val="Compact"/>
              <w:jc w:val="left"/>
            </w:pPr>
            <w:r>
              <w:t xml:space="preserve">180-day wind-down with right to use remaining materials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A</w:t>
            </w:r>
          </w:p>
        </w:tc>
        <w:tc>
          <w:tcPr/>
          <w:p>
            <w:pPr>
              <w:pStyle w:val="Compact"/>
              <w:jc w:val="left"/>
            </w:pPr>
            <w:r>
              <w:t xml:space="preserve">Insect-resistance removal</w:t>
            </w:r>
          </w:p>
        </w:tc>
        <w:tc>
          <w:tcPr/>
          <w:p>
            <w:pPr>
              <w:pStyle w:val="Compact"/>
              <w:jc w:val="left"/>
            </w:pPr>
            <w:r>
              <w:t xml:space="preserve">Removed; wheat added</w:t>
            </w:r>
          </w:p>
        </w:tc>
        <w:tc>
          <w:tcPr/>
          <w:p>
            <w:pPr>
              <w:pStyle w:val="Compact"/>
              <w:jc w:val="left"/>
            </w:pPr>
            <w:r>
              <w:t xml:space="preserve">IR is core line (~30% of License A revenue)</w:t>
            </w:r>
          </w:p>
        </w:tc>
        <w:tc>
          <w:tcPr/>
          <w:p>
            <w:pPr>
              <w:pStyle w:val="Compact"/>
              <w:jc w:val="left"/>
            </w:pPr>
            <w:r>
              <w:t xml:space="preserve">Retain IR AND add wheat; if IR cannot be retained, 5–7 yr transitional IR license at no incremental royalty plus rate reduction</w:t>
            </w:r>
          </w:p>
        </w:tc>
        <w:tc>
          <w:tcPr/>
          <w:p>
            <w:pPr>
              <w:pStyle w:val="Compact"/>
              <w:jc w:val="left"/>
            </w:pPr>
            <w:r>
              <w:t xml:space="preserve">MED-HIGH</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Annual fee + user cap</w:t>
            </w:r>
          </w:p>
        </w:tc>
        <w:tc>
          <w:tcPr/>
          <w:p>
            <w:pPr>
              <w:pStyle w:val="Compact"/>
              <w:jc w:val="left"/>
            </w:pPr>
            <w:r>
              <w:t xml:space="preserve">$4.85M base + 50-user cap ($18.5K/user)</w:t>
            </w:r>
          </w:p>
        </w:tc>
        <w:tc>
          <w:tcPr/>
          <w:p>
            <w:pPr>
              <w:pStyle w:val="Compact"/>
              <w:jc w:val="left"/>
            </w:pPr>
            <w:r>
              <w:t xml:space="preserve">$5.28M total vs. $3.14M (+68%)</w:t>
            </w:r>
          </w:p>
        </w:tc>
        <w:tc>
          <w:tcPr/>
          <w:p>
            <w:pPr>
              <w:pStyle w:val="Compact"/>
              <w:jc w:val="left"/>
            </w:pPr>
            <w:r>
              <w:t xml:space="preserve">$3.75M base; 80-user cap (or none); overage $12,000/user</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pass-through (modeled)</w:t>
            </w:r>
          </w:p>
        </w:tc>
        <w:tc>
          <w:tcPr/>
          <w:p>
            <w:pPr>
              <w:pStyle w:val="Compact"/>
              <w:jc w:val="left"/>
            </w:pPr>
            <w:r>
              <w:t xml:space="preserve">No current pass-through obligation</w:t>
            </w:r>
          </w:p>
        </w:tc>
        <w:tc>
          <w:tcPr/>
          <w:p>
            <w:pPr>
              <w:pStyle w:val="Compact"/>
              <w:jc w:val="left"/>
            </w:pPr>
            <w:r>
              <w:t xml:space="preserve">20% pass-through with 12-month phase-in; or resist entirely per existing consent</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35% already above market median</w:t>
            </w:r>
          </w:p>
        </w:tc>
        <w:tc>
          <w:tcPr/>
          <w:p>
            <w:pPr>
              <w:pStyle w:val="Compact"/>
              <w:jc w:val="left"/>
            </w:pPr>
            <w:r>
              <w:t xml:space="preserve">Retain 35%; or 40% with volume discount above $2M</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w:t>
            </w:r>
          </w:p>
        </w:tc>
        <w:tc>
          <w:tcPr/>
          <w:p>
            <w:pPr>
              <w:pStyle w:val="Compact"/>
              <w:jc w:val="left"/>
            </w:pPr>
            <w:r>
              <w:t xml:space="preserve">Minimum annual royalty</w:t>
            </w:r>
          </w:p>
        </w:tc>
        <w:tc>
          <w:tcPr/>
          <w:p>
            <w:pPr>
              <w:pStyle w:val="Compact"/>
              <w:jc w:val="left"/>
            </w:pPr>
            <w:r>
              <w:t xml:space="preserve">$4M → $8M (quarterly)</w:t>
            </w:r>
          </w:p>
        </w:tc>
        <w:tc>
          <w:tcPr/>
          <w:p>
            <w:pPr>
              <w:pStyle w:val="Compact"/>
              <w:jc w:val="left"/>
            </w:pPr>
            <w:r>
              <w:t xml:space="preserve">Raises fixed downside</w:t>
            </w:r>
          </w:p>
        </w:tc>
        <w:tc>
          <w:tcPr/>
          <w:p>
            <w:pPr>
              <w:pStyle w:val="Compact"/>
              <w:jc w:val="left"/>
            </w:pPr>
            <w:r>
              <w:t xml:space="preserve">$5–6M MAR, annual true-up</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Audit rights</w:t>
            </w:r>
          </w:p>
        </w:tc>
        <w:tc>
          <w:tcPr/>
          <w:p>
            <w:pPr>
              <w:pStyle w:val="Compact"/>
              <w:jc w:val="left"/>
            </w:pPr>
            <w:r>
              <w:t xml:space="preserve">2x/yr, 15 business days, 5-yr look-back</w:t>
            </w:r>
          </w:p>
        </w:tc>
        <w:tc>
          <w:tcPr/>
          <w:p>
            <w:pPr>
              <w:pStyle w:val="Compact"/>
              <w:jc w:val="left"/>
            </w:pPr>
            <w:r>
              <w:t xml:space="preserve">Current 1x/yr, 30 days, 3-yr</w:t>
            </w:r>
          </w:p>
        </w:tc>
        <w:tc>
          <w:tcPr/>
          <w:p>
            <w:pPr>
              <w:pStyle w:val="Compact"/>
              <w:jc w:val="left"/>
            </w:pPr>
            <w:r>
              <w:t xml:space="preserve">Retain 1x/yr; accept 20 business days’ notice; 3-yr look-back</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4.75% effective-rate floor</w:t>
            </w:r>
          </w:p>
        </w:tc>
        <w:tc>
          <w:tcPr/>
          <w:p>
            <w:pPr>
              <w:pStyle w:val="Compact"/>
              <w:jc w:val="left"/>
            </w:pPr>
            <w:r>
              <w:t xml:space="preserve">Helpful term; floor limits utility</w:t>
            </w:r>
          </w:p>
        </w:tc>
        <w:tc>
          <w:tcPr/>
          <w:p>
            <w:pPr>
              <w:pStyle w:val="Compact"/>
              <w:jc w:val="left"/>
            </w:pPr>
            <w:r>
              <w:t xml:space="preserve">Accept mechanism; floor at 75% of calculated (not minimum) royalty; step down with ’117</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C</w:t>
            </w:r>
          </w:p>
        </w:tc>
        <w:tc>
          <w:tcPr/>
          <w:p>
            <w:pPr>
              <w:pStyle w:val="Compact"/>
              <w:jc w:val="left"/>
            </w:pPr>
            <w:r>
              <w:t xml:space="preserve">v5.x conversion tool</w:t>
            </w:r>
          </w:p>
        </w:tc>
        <w:tc>
          <w:tcPr/>
          <w:p>
            <w:pPr>
              <w:pStyle w:val="Compact"/>
              <w:jc w:val="left"/>
            </w:pPr>
            <w:r>
              <w:t xml:space="preserve">$175K one-time</w:t>
            </w:r>
          </w:p>
        </w:tc>
        <w:tc>
          <w:tcPr/>
          <w:p>
            <w:pPr>
              <w:pStyle w:val="Compact"/>
              <w:jc w:val="left"/>
            </w:pPr>
            <w:r>
              <w:t xml:space="preserve">Should be included in renewal</w:t>
            </w:r>
          </w:p>
        </w:tc>
        <w:tc>
          <w:tcPr/>
          <w:p>
            <w:pPr>
              <w:pStyle w:val="Compact"/>
              <w:jc w:val="left"/>
            </w:pPr>
            <w:r>
              <w:t xml:space="preserve">Conversion tool + migration included at no cost</w:t>
            </w:r>
          </w:p>
        </w:tc>
        <w:tc>
          <w:tcPr/>
          <w:p>
            <w:pPr>
              <w:pStyle w:val="Compact"/>
              <w:jc w:val="left"/>
            </w:pPr>
            <w:r>
              <w:t xml:space="preserve">LOW</w:t>
            </w:r>
          </w:p>
        </w:tc>
      </w:tr>
    </w:tbl>
    <w:p>
      <w:r>
        <w:pict>
          <v:rect style="width:0;height:1.5pt" o:hralign="center" o:hrstd="t" o:hr="t"/>
        </w:pict>
      </w:r>
    </w:p>
    <w:bookmarkEnd w:id="52"/>
    <w:bookmarkEnd w:id="53"/>
    <w:bookmarkStart w:id="54" w:name="timeline-and-recommended-next-steps"/>
    <w:p>
      <w:pPr>
        <w:pStyle w:val="Heading2"/>
      </w:pPr>
      <w:r>
        <w:t xml:space="preserve">10. Timeline and Recommended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Action</w:t>
            </w:r>
          </w:p>
        </w:tc>
      </w:tr>
      <w:tr>
        <w:tc>
          <w:tcPr/>
          <w:p>
            <w:pPr>
              <w:pStyle w:val="Compact"/>
              <w:jc w:val="left"/>
            </w:pPr>
            <w:r>
              <w:t xml:space="preserve">Now</w:t>
            </w:r>
          </w:p>
        </w:tc>
        <w:tc>
          <w:tcPr/>
          <w:p>
            <w:pPr>
              <w:pStyle w:val="Compact"/>
              <w:jc w:val="left"/>
            </w:pPr>
            <w:r>
              <w:t xml:space="preserve">License B in standstill; License C expiring Feb 28, 2025</w:t>
            </w:r>
          </w:p>
        </w:tc>
        <w:tc>
          <w:tcPr/>
          <w:p>
            <w:pPr>
              <w:pStyle w:val="Compact"/>
              <w:jc w:val="left"/>
            </w:pPr>
            <w:r>
              <w:t xml:space="preserve">Confirm renewal notices for B and C were timely sent; put interim/holdover License C access in writing</w:t>
            </w:r>
          </w:p>
        </w:tc>
      </w:tr>
      <w:tr>
        <w:tc>
          <w:tcPr/>
          <w:p>
            <w:pPr>
              <w:pStyle w:val="Compact"/>
              <w:jc w:val="left"/>
            </w:pPr>
            <w:r>
              <w:t xml:space="preserve">By Mar 15, 2025</w:t>
            </w:r>
          </w:p>
        </w:tc>
        <w:tc>
          <w:tcPr/>
          <w:p>
            <w:pPr>
              <w:pStyle w:val="Compact"/>
              <w:jc w:val="left"/>
            </w:pPr>
            <w:r>
              <w:t xml:space="preserve">Commission updated patent landscape analysis (Clarendon or equivalent)</w:t>
            </w:r>
          </w:p>
        </w:tc>
        <w:tc>
          <w:tcPr/>
          <w:p>
            <w:pPr>
              <w:pStyle w:val="Compact"/>
              <w:jc w:val="left"/>
            </w:pPr>
            <w:r>
              <w:t xml:space="preserve">Engage counsel to scope; prioritize AgriGenome/CropTech portfolios and ’117-expiry valuation</w:t>
            </w:r>
          </w:p>
        </w:tc>
      </w:tr>
      <w:tr>
        <w:tc>
          <w:tcPr/>
          <w:p>
            <w:pPr>
              <w:pStyle w:val="Compact"/>
              <w:jc w:val="left"/>
            </w:pPr>
            <w:r>
              <w:t xml:space="preserve">By Mar 31, 2025</w:t>
            </w:r>
          </w:p>
        </w:tc>
        <w:tc>
          <w:tcPr/>
          <w:p>
            <w:pPr>
              <w:pStyle w:val="Compact"/>
              <w:jc w:val="left"/>
            </w:pPr>
            <w:r>
              <w:t xml:space="preserve">License A renewal-notice deadline (§14.2)</w:t>
            </w:r>
          </w:p>
        </w:tc>
        <w:tc>
          <w:tcPr/>
          <w:p>
            <w:pPr>
              <w:pStyle w:val="Compact"/>
              <w:jc w:val="left"/>
            </w:pPr>
            <w:r>
              <w:t xml:space="preserve">Deliver written renewal notice to NovaTrait</w:t>
            </w:r>
          </w:p>
        </w:tc>
      </w:tr>
      <w:tr>
        <w:tc>
          <w:tcPr/>
          <w:p>
            <w:pPr>
              <w:pStyle w:val="Compact"/>
              <w:jc w:val="left"/>
            </w:pPr>
            <w:r>
              <w:t xml:space="preserve">By Apr 1, 2025</w:t>
            </w:r>
          </w:p>
        </w:tc>
        <w:tc>
          <w:tcPr/>
          <w:p>
            <w:pPr>
              <w:pStyle w:val="Compact"/>
              <w:jc w:val="left"/>
            </w:pPr>
            <w:r>
              <w:t xml:space="preserve">Validate License C alternatives</w:t>
            </w:r>
          </w:p>
        </w:tc>
        <w:tc>
          <w:tcPr/>
          <w:p>
            <w:pPr>
              <w:pStyle w:val="Compact"/>
              <w:jc w:val="left"/>
            </w:pPr>
            <w:r>
              <w:t xml:space="preserve">Obtain fresh bids from BioSphere Analytics, PlantLogic Suite, TraitView Pro</w:t>
            </w:r>
          </w:p>
        </w:tc>
      </w:tr>
      <w:tr>
        <w:tc>
          <w:tcPr/>
          <w:p>
            <w:pPr>
              <w:pStyle w:val="Compact"/>
              <w:jc w:val="left"/>
            </w:pPr>
            <w:r>
              <w:rPr>
                <w:b/>
                <w:bCs/>
              </w:rPr>
              <w:t xml:space="preserve">By Apr 15, 2025</w:t>
            </w:r>
          </w:p>
        </w:tc>
        <w:tc>
          <w:tcPr/>
          <w:p>
            <w:pPr>
              <w:pStyle w:val="Compact"/>
              <w:jc w:val="left"/>
            </w:pPr>
            <w:r>
              <w:rPr>
                <w:b/>
                <w:bCs/>
              </w:rPr>
              <w:t xml:space="preserve">Transmit consolidated counter-proposal to NovaTrait</w:t>
            </w:r>
          </w:p>
        </w:tc>
        <w:tc>
          <w:tcPr/>
          <w:p>
            <w:pPr>
              <w:pStyle w:val="Compact"/>
              <w:jc w:val="left"/>
            </w:pPr>
            <w:r>
              <w:t xml:space="preserve">Ashworth &amp; Calder to prepare; lead with standstill extension, then economics and structural IP terms</w:t>
            </w:r>
          </w:p>
        </w:tc>
      </w:tr>
      <w:tr>
        <w:tc>
          <w:tcPr/>
          <w:p>
            <w:pPr>
              <w:pStyle w:val="Compact"/>
              <w:jc w:val="left"/>
            </w:pPr>
            <w:r>
              <w:t xml:space="preserve">On execution</w:t>
            </w:r>
          </w:p>
        </w:tc>
        <w:tc>
          <w:tcPr/>
          <w:p>
            <w:pPr>
              <w:pStyle w:val="Compact"/>
              <w:jc w:val="left"/>
            </w:pPr>
            <w:r>
              <w:t xml:space="preserve">Standstill extension (License B)</w:t>
            </w:r>
          </w:p>
        </w:tc>
        <w:tc>
          <w:tcPr/>
          <w:p>
            <w:pPr>
              <w:pStyle w:val="Compact"/>
              <w:jc w:val="left"/>
            </w:pPr>
            <w:r>
              <w:t xml:space="preserve">Secure written extension to Dec 31, 2025 before substantive economics conclude</w:t>
            </w:r>
          </w:p>
        </w:tc>
      </w:tr>
      <w:tr>
        <w:tc>
          <w:tcPr/>
          <w:p>
            <w:pPr>
              <w:pStyle w:val="Compact"/>
              <w:jc w:val="left"/>
            </w:pPr>
            <w:r>
              <w:rPr>
                <w:b/>
                <w:bCs/>
              </w:rPr>
              <w:t xml:space="preserve">By Jun 29, 2025</w:t>
            </w:r>
          </w:p>
        </w:tc>
        <w:tc>
          <w:tcPr/>
          <w:p>
            <w:pPr>
              <w:pStyle w:val="Compact"/>
              <w:jc w:val="left"/>
            </w:pPr>
            <w:r>
              <w:rPr>
                <w:b/>
                <w:bCs/>
              </w:rPr>
              <w:t xml:space="preserve">License B standstill cliff</w:t>
            </w:r>
          </w:p>
        </w:tc>
        <w:tc>
          <w:tcPr/>
          <w:p>
            <w:pPr>
              <w:pStyle w:val="Compact"/>
              <w:jc w:val="left"/>
            </w:pPr>
            <w:r>
              <w:t xml:space="preserve">Renewal executed or standstill extended; otherwise License B terminates</w:t>
            </w:r>
          </w:p>
        </w:tc>
      </w:tr>
      <w:tr>
        <w:tc>
          <w:tcPr/>
          <w:p>
            <w:pPr>
              <w:pStyle w:val="Compact"/>
              <w:jc w:val="left"/>
            </w:pPr>
            <w:r>
              <w:t xml:space="preserve">By Jun 30, 2025</w:t>
            </w:r>
          </w:p>
        </w:tc>
        <w:tc>
          <w:tcPr/>
          <w:p>
            <w:pPr>
              <w:pStyle w:val="Compact"/>
              <w:jc w:val="left"/>
            </w:pPr>
            <w:r>
              <w:t xml:space="preserve">License A expiration</w:t>
            </w:r>
          </w:p>
        </w:tc>
        <w:tc>
          <w:tcPr/>
          <w:p>
            <w:pPr>
              <w:pStyle w:val="Compact"/>
              <w:jc w:val="left"/>
            </w:pPr>
            <w:r>
              <w:t xml:space="preserve">Renewal executed or interim arrangement in place</w:t>
            </w:r>
          </w:p>
        </w:tc>
      </w:tr>
      <w:tr>
        <w:tc>
          <w:tcPr/>
          <w:p>
            <w:pPr>
              <w:pStyle w:val="Compact"/>
              <w:jc w:val="left"/>
            </w:pPr>
            <w:r>
              <w:t xml:space="preserve">Mar 12, 2028</w:t>
            </w:r>
          </w:p>
        </w:tc>
        <w:tc>
          <w:tcPr/>
          <w:p>
            <w:pPr>
              <w:pStyle w:val="Compact"/>
              <w:jc w:val="left"/>
            </w:pPr>
            <w:r>
              <w:t xml:space="preserve">U.S. 9,234,117 expiry</w:t>
            </w:r>
          </w:p>
        </w:tc>
        <w:tc>
          <w:tcPr/>
          <w:p>
            <w:pPr>
              <w:pStyle w:val="Compact"/>
              <w:jc w:val="left"/>
            </w:pPr>
            <w:r>
              <w:t xml:space="preserve">License A royalty step-down takes effect</w:t>
            </w:r>
          </w:p>
        </w:tc>
      </w:tr>
      <w:tr>
        <w:tc>
          <w:tcPr/>
          <w:p>
            <w:pPr>
              <w:pStyle w:val="Compact"/>
              <w:jc w:val="left"/>
            </w:pPr>
            <w:r>
              <w:t xml:space="preserve">2027 (mid)</w:t>
            </w:r>
          </w:p>
        </w:tc>
        <w:tc>
          <w:tcPr/>
          <w:p>
            <w:pPr>
              <w:pStyle w:val="Compact"/>
              <w:jc w:val="left"/>
            </w:pPr>
            <w:r>
              <w:t xml:space="preserve">License C term ends Feb 28, 2028</w:t>
            </w:r>
          </w:p>
        </w:tc>
        <w:tc>
          <w:tcPr/>
          <w:p>
            <w:pPr>
              <w:pStyle w:val="Compact"/>
              <w:jc w:val="left"/>
            </w:pPr>
            <w:r>
              <w:t xml:space="preserve">Begin alternative-platform evaluation no later than mid-2027</w:t>
            </w:r>
          </w:p>
        </w:tc>
      </w:tr>
      <w:tr>
        <w:tc>
          <w:tcPr/>
          <w:p>
            <w:pPr>
              <w:pStyle w:val="Compact"/>
              <w:jc w:val="left"/>
            </w:pPr>
            <w:r>
              <w:t xml:space="preserve">2029</w:t>
            </w:r>
          </w:p>
        </w:tc>
        <w:tc>
          <w:tcPr/>
          <w:p>
            <w:pPr>
              <w:pStyle w:val="Compact"/>
              <w:jc w:val="left"/>
            </w:pPr>
            <w:r>
              <w:t xml:space="preserve">License B term ends Dec 31, 2029</w:t>
            </w:r>
          </w:p>
        </w:tc>
        <w:tc>
          <w:tcPr/>
          <w:p>
            <w:pPr>
              <w:pStyle w:val="Compact"/>
              <w:jc w:val="left"/>
            </w:pPr>
            <w:r>
              <w:t xml:space="preserve">Initiate internal-platform-development feasibility study by 2027</w:t>
            </w:r>
          </w:p>
        </w:tc>
      </w:tr>
    </w:tbl>
    <w:p>
      <w:r>
        <w:pict>
          <v:rect style="width:0;height:1.5pt" o:hralign="center" o:hrstd="t" o:hr="t"/>
        </w:pict>
      </w:r>
    </w:p>
    <w:bookmarkEnd w:id="54"/>
    <w:bookmarkStart w:id="55" w:name="conclusion"/>
    <w:p>
      <w:pPr>
        <w:pStyle w:val="Heading2"/>
      </w:pPr>
      <w:r>
        <w:t xml:space="preserve">11. Conclusion</w:t>
      </w:r>
    </w:p>
    <w:p>
      <w:pPr>
        <w:pStyle w:val="FirstParagraph"/>
      </w:pPr>
      <w:r>
        <w:t xml:space="preserve">NovaTrait’s Proposal would, if accepted as drafted, raise Greenfield’s aggregate annual IP cost by roughly 50% (to ~$27.95M, ~7.22% of revenue) while narrowing Greenfield’s rights in three structurally important ways: (i) transferring ownership of Greenfield’s GenoMap Pro output data to NovaTrait; (ii) reversing Greenfield’s ownership of its own improvements to joint ownership with a perpetual royalty-free grant-back; and (iii) removing insect resistance from License A’s Field of Use. Each proposed rate and fee exceeds the upper end of the relevant market range, and the License A rate is within the §14.3 cap only because the Proposal splits the increase between a nominal rate hike and a Net Sales redefinition that together produce a 6.70% effective rate.</w:t>
      </w:r>
    </w:p>
    <w:p>
      <w:pPr>
        <w:pStyle w:val="BodyText"/>
      </w:pPr>
      <w:r>
        <w:t xml:space="preserve">Greenfield should renew all three licenses — the switching-cost and alternatives analyses confirm that none is safely walk-away-able today, and License B is irreplaceable — but on materially revised terms. The recommended strategy is to (1) secure the License B standstill extension immediately; (2) negotiate the three licenses on separate tracks calibrated to Greenfield’s leverage (most on License C, least on License B); (3) insist on a License A royalty step-down tied to the March 12, 2028 ’117 patent expiry; (4) treat the License C data-ownership and source-code terms and the License A/B improvements terms as non-negotiable; and (5) press all rates back into the market ranges supported by the comparables and the Clarendon Report, framing the discussion on effective rate and conditioning any acceptance on a current IFMV assessment. A consolidated counter-proposal reflecting the positions in Section 9 should be transmitted to NovaTrait on or about April 15, 2025.</w:t>
      </w:r>
    </w:p>
    <w:p>
      <w:pPr>
        <w:pStyle w:val="BodyText"/>
      </w:pPr>
      <w:r>
        <w:t xml:space="preserve">This memorandum is privileged and confidential, prepared in anticipation of negotiation and, where applicable, litigation, and is subject to Fed. R. Evid. 408 and Mass. R. Evid. 408. It does not constitute a final legal opinion; final positions should be confirmed with Ashworth &amp; Calder LLP prior to transmission.</w:t>
      </w:r>
    </w:p>
    <w:p>
      <w:r>
        <w:pict>
          <v:rect style="width:0;height:1.5pt" o:hralign="center" o:hrstd="t" o:hr="t"/>
        </w:pict>
      </w:r>
    </w:p>
    <w:p>
      <w:pPr>
        <w:pStyle w:val="FirstParagraph"/>
      </w:pPr>
      <w:r>
        <w:rPr>
          <w:i/>
          <w:iCs/>
        </w:rPr>
        <w:t xml:space="preserve">Prepared by the Office of the General Counsel &amp; Licensing &amp; Business Development, Greenfield Biosciences, Inc., with the support of Ashworth &amp; Calder LLP (outside counsel), Ridgemont/Oakvale Advisory Group (financial analysis, February 2025), and Clarendon Intellectual Property Consulting, LLC (patent landscape analysis, September 14, 2020).</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2026-06-28T21:51:53Z</dcterms:created>
  <dcterms:modified xsi:type="dcterms:W3CDTF">2026-06-28T21:51:53Z</dcterms:modified>
</cp:coreProperties>
</file>

<file path=docProps/custom.xml><?xml version="1.0" encoding="utf-8"?>
<Properties xmlns="http://schemas.openxmlformats.org/officeDocument/2006/custom-properties" xmlns:vt="http://schemas.openxmlformats.org/officeDocument/2006/docPropsVTypes"/>
</file>