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b00a8ce9f01252ee933d31ffed2c10f1672bce1"/>
    <w:p>
      <w:pPr>
        <w:pStyle w:val="Heading1"/>
      </w:pPr>
      <w:r>
        <w:t xml:space="preserve">PRIVILEGED &amp; CONFIDENTIAL — ATTORNEY-CLIENT COMMUNICATION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Eleanor Harrington, Chief Executive Officer; Board of Directors, Greenfield Biosciences, Inc.</w:t>
            </w:r>
          </w:p>
        </w:tc>
      </w:tr>
      <w:tr>
        <w:tc>
          <w:tcPr/>
          <w:p>
            <w:pPr>
              <w:pStyle w:val="Compact"/>
              <w:jc w:val="left"/>
            </w:pPr>
            <w:r>
              <w:rPr>
                <w:b/>
                <w:bCs/>
              </w:rPr>
              <w:t xml:space="preserve">From:</w:t>
            </w:r>
          </w:p>
        </w:tc>
        <w:tc>
          <w:tcPr/>
          <w:p>
            <w:pPr>
              <w:pStyle w:val="Compact"/>
              <w:jc w:val="left"/>
            </w:pPr>
            <w:r>
              <w:t xml:space="preserve">Marcus J. Whitfield, Esq., General Counsel, Greenfield Biosciences, Inc.</w:t>
            </w:r>
          </w:p>
        </w:tc>
      </w:tr>
      <w:tr>
        <w:tc>
          <w:tcPr/>
          <w:p>
            <w:pPr>
              <w:pStyle w:val="Compact"/>
              <w:jc w:val="left"/>
            </w:pPr>
            <w:r>
              <w:rPr>
                <w:b/>
                <w:bCs/>
              </w:rPr>
              <w:t xml:space="preserve">Date:</w:t>
            </w:r>
          </w:p>
        </w:tc>
        <w:tc>
          <w:tcPr/>
          <w:p>
            <w:pPr>
              <w:pStyle w:val="Compact"/>
              <w:jc w:val="left"/>
            </w:pPr>
            <w:r>
              <w:t xml:space="preserve">February 24, 2025</w:t>
            </w:r>
          </w:p>
        </w:tc>
      </w:tr>
      <w:tr>
        <w:tc>
          <w:tcPr/>
          <w:p>
            <w:pPr>
              <w:pStyle w:val="Compact"/>
              <w:jc w:val="left"/>
            </w:pPr>
            <w:r>
              <w:rPr>
                <w:b/>
                <w:bCs/>
              </w:rPr>
              <w:t xml:space="preserve">Re:</w:t>
            </w:r>
          </w:p>
        </w:tc>
        <w:tc>
          <w:tcPr/>
          <w:p>
            <w:pPr>
              <w:pStyle w:val="Compact"/>
              <w:jc w:val="left"/>
            </w:pPr>
            <w:r>
              <w:t xml:space="preserve">Renewal Analysis — NovaTrait IP License Portfolio (License A: CRISPR-Ag Suite; License B: TraitForge; License C: GenoMap Pro) — Recommended Response to NovaTrait’s Consolidated Renewal Proposal</w:t>
            </w:r>
          </w:p>
        </w:tc>
      </w:tr>
      <w:tr>
        <w:tc>
          <w:tcPr/>
          <w:p>
            <w:pPr>
              <w:pStyle w:val="Compact"/>
              <w:jc w:val="left"/>
            </w:pPr>
            <w:r>
              <w:rPr>
                <w:b/>
                <w:bCs/>
              </w:rPr>
              <w:t xml:space="preserve">Prepared with:</w:t>
            </w:r>
          </w:p>
        </w:tc>
        <w:tc>
          <w:tcPr/>
          <w:p>
            <w:pPr>
              <w:pStyle w:val="Compact"/>
              <w:jc w:val="left"/>
            </w:pPr>
            <w:r>
              <w:t xml:space="preserve">Ashworth &amp; Calder LLP (outside counsel) and Greenfield’s financial advisory team (Financial Impact Analysis, dated February 2025); patent landscape analysis of Clarendon Intellectual Property Consulting, LLC (dated September 14, 2020)</w:t>
            </w:r>
          </w:p>
        </w:tc>
      </w:tr>
    </w:tbl>
    <w:p>
      <w:r>
        <w:pict>
          <v:rect style="width:0;height:1.5pt" o:hralign="center" o:hrstd="t" o:hr="t"/>
        </w:pict>
      </w:r>
    </w:p>
    <w:bookmarkStart w:id="20" w:name="X6f7b94e9e818c12f4067ee679d021f92d6a5c64"/>
    <w:p>
      <w:pPr>
        <w:pStyle w:val="Heading2"/>
      </w:pPr>
      <w:r>
        <w:t xml:space="preserve">I. Executive Summary and Bottom-Line Recommendation</w:t>
      </w:r>
    </w:p>
    <w:p>
      <w:pPr>
        <w:pStyle w:val="FirstParagraph"/>
      </w:pPr>
      <w:r>
        <w:t xml:space="preserve">Greenfield Biosciences, Inc. (</w:t>
      </w:r>
      <w:r>
        <w:t xml:space="preserve">“</w:t>
      </w:r>
      <w:r>
        <w:t xml:space="preserve">Greenfield</w:t>
      </w:r>
      <w:r>
        <w:t xml:space="preserve">”</w:t>
      </w:r>
      <w:r>
        <w:t xml:space="preserve">) holds three intellectual-property and software licenses from NovaTrait Genomics Corporation (</w:t>
      </w:r>
      <w:r>
        <w:t xml:space="preserve">“</w:t>
      </w:r>
      <w:r>
        <w:t xml:space="preserve">NovaTrait</w:t>
      </w:r>
      <w:r>
        <w:t xml:space="preserve">”</w:t>
      </w:r>
      <w:r>
        <w:t xml:space="preserve">) that together underpin its corn, soybean, cotton, and (proposed) wheat trait programs, its Prairielands Seed Cooperative sublicense, and its bioinformatics R&amp;D pipeline. All three licenses are at or past their initial-term expiration dates, and NovaTrait has submitted a consolidated Renewal Proposal (the</w:t>
      </w:r>
      <w:r>
        <w:t xml:space="preserve"> </w:t>
      </w:r>
      <w:r>
        <w:t xml:space="preserve">“</w:t>
      </w:r>
      <w:r>
        <w:t xml:space="preserve">Proposal,</w:t>
      </w:r>
      <w:r>
        <w:t xml:space="preserve">”</w:t>
      </w:r>
      <w:r>
        <w:t xml:space="preserve"> </w:t>
      </w:r>
      <w:r>
        <w:t xml:space="preserve">dated October 14, 2024) that would, on the terms presented, increase Greenfield’s aggregate annual IP cost from approximately</w:t>
      </w:r>
      <w:r>
        <w:t xml:space="preserve"> </w:t>
      </w:r>
      <w:r>
        <w:rPr>
          <w:b/>
          <w:bCs/>
        </w:rPr>
        <w:t xml:space="preserve">$18.6 million to approximately $28.0 million</w:t>
      </w:r>
      <w:r>
        <w:t xml:space="preserve"> </w:t>
      </w:r>
      <w:r>
        <w:t xml:space="preserve">— an increase of roughly</w:t>
      </w:r>
      <w:r>
        <w:t xml:space="preserve"> </w:t>
      </w:r>
      <w:r>
        <w:rPr>
          <w:b/>
          <w:bCs/>
        </w:rPr>
        <w:t xml:space="preserve">$9.3 million per year (+49.9%)</w:t>
      </w:r>
      <w:r>
        <w:t xml:space="preserve">, rising from 4.81% to 7.22% of Greenfield’s FY 2024 revenue ($387.2M).</w:t>
      </w:r>
    </w:p>
    <w:p>
      <w:pPr>
        <w:pStyle w:val="BodyText"/>
      </w:pPr>
      <w:r>
        <w:rPr>
          <w:b/>
          <w:bCs/>
        </w:rPr>
        <w:t xml:space="preserve">Bottom line:</w:t>
      </w:r>
      <w:r>
        <w:t xml:space="preserve"> </w:t>
      </w:r>
      <w:r>
        <w:t xml:space="preserve">Greenfield should pursue renewal of all three licenses — none is safely substitutable in the near term — but should</w:t>
      </w:r>
      <w:r>
        <w:t xml:space="preserve"> </w:t>
      </w:r>
      <w:r>
        <w:rPr>
          <w:b/>
          <w:bCs/>
        </w:rPr>
        <w:t xml:space="preserve">reject the Proposal as presented and deliver a comprehensive counter-proposal</w:t>
      </w:r>
      <w:r>
        <w:t xml:space="preserve"> </w:t>
      </w:r>
      <w:r>
        <w:t xml:space="preserve">by the April 15, 2025 target date. The Proposal bundles genuine value (a Version 5.x software upgrade, an anti-stacking royalty offset, and the addition of wheat to License A’s field of use) with several terms that are materially adverse to Greenfield and, in two respects, unacceptable as a matter of principle: (i) the proposed reversal of Greenfield’s sole ownership of improvements to joint ownership with a royalty-free, perpetual, sublicensable grant-back to NovaTrait; and (ii) the proposed transfer of ownership of GenoMap Pro derivative data to NovaTrait coupled with elimination of Greenfield’s source-code access.</w:t>
      </w:r>
    </w:p>
    <w:p>
      <w:pPr>
        <w:pStyle w:val="BodyText"/>
      </w:pPr>
      <w:r>
        <w:t xml:space="preserve">The negotiating leverage profile differs sharply across the three licenses and should drive a differentiated strategy:</w:t>
      </w:r>
    </w:p>
    <w:p>
      <w:pPr>
        <w:numPr>
          <w:ilvl w:val="0"/>
          <w:numId w:val="1001"/>
        </w:numPr>
      </w:pPr>
      <w:r>
        <w:rPr>
          <w:b/>
          <w:bCs/>
        </w:rPr>
        <w:t xml:space="preserve">License A (CRISPR-Ag Suite) — moderate and declining leverage.</w:t>
      </w:r>
      <w:r>
        <w:t xml:space="preserve"> </w:t>
      </w:r>
      <w:r>
        <w:t xml:space="preserve">The foundational patent (U.S. 9,234,117) expires March 12, 2028, mid-renewal, representing ~60% of the portfolio’s value; at least two competing platforms are expected to be commercially viable by 2029–2030. Greenfield should resist the rate increase and Net Sales redefinition, demand a post-2028 royalty step-down, retain insect resistance in the field of use, and preserve sole ownership of improvements. Target rate:</w:t>
      </w:r>
      <w:r>
        <w:t xml:space="preserve"> </w:t>
      </w:r>
      <w:r>
        <w:rPr>
          <w:b/>
          <w:bCs/>
        </w:rPr>
        <w:t xml:space="preserve">5.0% on the original Net Sales definition</w:t>
      </w:r>
      <w:r>
        <w:t xml:space="preserve"> </w:t>
      </w:r>
      <w:r>
        <w:t xml:space="preserve">(or 4.75% on a redefined base), with a step-down to ~2.0–3.5% after March 2028.</w:t>
      </w:r>
    </w:p>
    <w:p>
      <w:pPr>
        <w:numPr>
          <w:ilvl w:val="0"/>
          <w:numId w:val="1001"/>
        </w:numPr>
      </w:pPr>
      <w:r>
        <w:rPr>
          <w:b/>
          <w:bCs/>
        </w:rPr>
        <w:t xml:space="preserve">License B (TraitForge) — low leverage, but rate is above market.</w:t>
      </w:r>
      <w:r>
        <w:t xml:space="preserve"> </w:t>
      </w:r>
      <w:r>
        <w:t xml:space="preserve">No commercial alternative exists; internal replacement would cost $24–34M and take 3–4 years. NovaTrait’s leverage is real, but its proposed 5.0% rate exceeds the market range (3.0–4.5%). Greenfield should lock in a long term at a market-informed rate, protect operational terms (biological-materials wind-down, audit frequency), and resist the new Prairielands pass-through. Target rate:</w:t>
      </w:r>
      <w:r>
        <w:t xml:space="preserve"> </w:t>
      </w:r>
      <w:r>
        <w:rPr>
          <w:b/>
          <w:bCs/>
        </w:rPr>
        <w:t xml:space="preserve">4.25% on the original Net Sales definition</w:t>
      </w:r>
      <w:r>
        <w:t xml:space="preserve">.</w:t>
      </w:r>
    </w:p>
    <w:p>
      <w:pPr>
        <w:numPr>
          <w:ilvl w:val="0"/>
          <w:numId w:val="1001"/>
        </w:numPr>
      </w:pPr>
      <w:r>
        <w:rPr>
          <w:b/>
          <w:bCs/>
        </w:rPr>
        <w:t xml:space="preserve">License C (GenoMap Pro) — strong leverage.</w:t>
      </w:r>
      <w:r>
        <w:t xml:space="preserve"> </w:t>
      </w:r>
      <w:r>
        <w:t xml:space="preserve">Multiple competing platforms exist at $2.5–4.0M annually; switching breaks even in 0.7–2.5 years. Greenfield should use a credible alternative-provider RFP to drive the fee to</w:t>
      </w:r>
      <w:r>
        <w:t xml:space="preserve"> </w:t>
      </w:r>
      <w:r>
        <w:rPr>
          <w:b/>
          <w:bCs/>
        </w:rPr>
        <w:t xml:space="preserve">$3.5–4.0M</w:t>
      </w:r>
      <w:r>
        <w:t xml:space="preserve">, retain source-code access, and reject the derivative-data ownership clause outright. The principal constraint is a 12–18 month transition period during which GenoMap Pro access must be maintained because it is integral to the License A and B workflows.</w:t>
      </w:r>
    </w:p>
    <w:p>
      <w:pPr>
        <w:pStyle w:val="FirstParagraph"/>
      </w:pPr>
      <w:r>
        <w:rPr>
          <w:b/>
          <w:bCs/>
        </w:rPr>
        <w:t xml:space="preserve">Most urgent action:</w:t>
      </w:r>
      <w:r>
        <w:t xml:space="preserve"> </w:t>
      </w:r>
      <w:r>
        <w:t xml:space="preserve">License B’s Initial Term expired December 31, 2024, and the Section 12.6 standstill expires</w:t>
      </w:r>
      <w:r>
        <w:t xml:space="preserve"> </w:t>
      </w:r>
      <w:r>
        <w:rPr>
          <w:b/>
          <w:bCs/>
        </w:rPr>
        <w:t xml:space="preserve">June 29, 2025</w:t>
      </w:r>
      <w:r>
        <w:t xml:space="preserve">. If no renewal (or standstill extension) is executed by that date, License B terminates entirely, triggering return/destruction of biological materials and disrupting the Prairielands sublicense. Greenfield must secure a written standstill extension to December 31, 2025 as a condition of continued negotiation, and must deliver the License A renewal notice by</w:t>
      </w:r>
      <w:r>
        <w:t xml:space="preserve"> </w:t>
      </w:r>
      <w:r>
        <w:rPr>
          <w:b/>
          <w:bCs/>
        </w:rPr>
        <w:t xml:space="preserve">March 31, 2025</w:t>
      </w:r>
      <w:r>
        <w:t xml:space="preserve">.</w:t>
      </w:r>
    </w:p>
    <w:p>
      <w:r>
        <w:pict>
          <v:rect style="width:0;height:1.5pt" o:hralign="center" o:hrstd="t" o:hr="t"/>
        </w:pict>
      </w:r>
    </w:p>
    <w:bookmarkEnd w:id="20"/>
    <w:bookmarkStart w:id="21" w:name="ii.-background-and-scope"/>
    <w:p>
      <w:pPr>
        <w:pStyle w:val="Heading2"/>
      </w:pPr>
      <w:r>
        <w:t xml:space="preserve">II. Background and Scope</w:t>
      </w:r>
    </w:p>
    <w:p>
      <w:pPr>
        <w:pStyle w:val="FirstParagraph"/>
      </w:pPr>
      <w:r>
        <w:t xml:space="preserve">This memorandum analyzes the renewal of three agreements between NovaTrait (licensor) and Greenfield (licensee), each of which is at or near the end of its initial term: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License</w:t>
            </w:r>
          </w:p>
        </w:tc>
        <w:tc>
          <w:tcPr/>
          <w:p>
            <w:pPr>
              <w:pStyle w:val="Compact"/>
              <w:jc w:val="left"/>
            </w:pPr>
            <w:r>
              <w:t xml:space="preserve">Technology</w:t>
            </w:r>
          </w:p>
        </w:tc>
        <w:tc>
          <w:tcPr/>
          <w:p>
            <w:pPr>
              <w:pStyle w:val="Compact"/>
              <w:jc w:val="left"/>
            </w:pPr>
            <w:r>
              <w:t xml:space="preserve">Effective Date</w:t>
            </w:r>
          </w:p>
        </w:tc>
        <w:tc>
          <w:tcPr/>
          <w:p>
            <w:pPr>
              <w:pStyle w:val="Compact"/>
              <w:jc w:val="left"/>
            </w:pPr>
            <w:r>
              <w:t xml:space="preserve">Initial Term</w:t>
            </w:r>
          </w:p>
        </w:tc>
        <w:tc>
          <w:tcPr/>
          <w:p>
            <w:pPr>
              <w:pStyle w:val="Compact"/>
              <w:jc w:val="left"/>
            </w:pPr>
            <w:r>
              <w:t xml:space="preserve">Expiration</w:t>
            </w:r>
          </w:p>
        </w:tc>
        <w:tc>
          <w:tcPr/>
          <w:p>
            <w:pPr>
              <w:pStyle w:val="Compact"/>
              <w:jc w:val="left"/>
            </w:pPr>
            <w:r>
              <w:t xml:space="preserve">Renewal Notice Deadline</w:t>
            </w:r>
          </w:p>
        </w:tc>
      </w:tr>
      <w:tr>
        <w:tc>
          <w:tcPr/>
          <w:p>
            <w:pPr>
              <w:pStyle w:val="Compact"/>
              <w:jc w:val="left"/>
            </w:pPr>
            <w:r>
              <w:rPr>
                <w:b/>
                <w:bCs/>
              </w:rPr>
              <w:t xml:space="preserve">A</w:t>
            </w:r>
            <w:r>
              <w:t xml:space="preserve"> </w:t>
            </w:r>
            <w:r>
              <w:t xml:space="preserve">— CRISPR-Ag Suite (NT-GF-2015-001)</w:t>
            </w:r>
          </w:p>
        </w:tc>
        <w:tc>
          <w:tcPr/>
          <w:p>
            <w:pPr>
              <w:pStyle w:val="Compact"/>
              <w:jc w:val="left"/>
            </w:pPr>
            <w:r>
              <w:t xml:space="preserve">Gene-editing platform</w:t>
            </w:r>
          </w:p>
        </w:tc>
        <w:tc>
          <w:tcPr/>
          <w:p>
            <w:pPr>
              <w:pStyle w:val="Compact"/>
              <w:jc w:val="left"/>
            </w:pPr>
            <w:r>
              <w:t xml:space="preserve">July 1, 2015</w:t>
            </w:r>
          </w:p>
        </w:tc>
        <w:tc>
          <w:tcPr/>
          <w:p>
            <w:pPr>
              <w:pStyle w:val="Compact"/>
              <w:jc w:val="left"/>
            </w:pPr>
            <w:r>
              <w:t xml:space="preserve">10 years</w:t>
            </w:r>
          </w:p>
        </w:tc>
        <w:tc>
          <w:tcPr/>
          <w:p>
            <w:pPr>
              <w:pStyle w:val="Compact"/>
              <w:jc w:val="left"/>
            </w:pPr>
            <w:r>
              <w:t xml:space="preserve">June 30, 2025</w:t>
            </w:r>
          </w:p>
        </w:tc>
        <w:tc>
          <w:tcPr/>
          <w:p>
            <w:pPr>
              <w:pStyle w:val="Compact"/>
              <w:jc w:val="left"/>
            </w:pPr>
            <w:r>
              <w:t xml:space="preserve">March 31, 2025 (§14.2)</w:t>
            </w:r>
          </w:p>
        </w:tc>
      </w:tr>
      <w:tr>
        <w:tc>
          <w:tcPr/>
          <w:p>
            <w:pPr>
              <w:pStyle w:val="Compact"/>
              <w:jc w:val="left"/>
            </w:pPr>
            <w:r>
              <w:rPr>
                <w:b/>
                <w:bCs/>
              </w:rPr>
              <w:t xml:space="preserve">B</w:t>
            </w:r>
            <w:r>
              <w:t xml:space="preserve"> </w:t>
            </w:r>
            <w:r>
              <w:t xml:space="preserve">— TraitForge</w:t>
            </w:r>
          </w:p>
        </w:tc>
        <w:tc>
          <w:tcPr/>
          <w:p>
            <w:pPr>
              <w:pStyle w:val="Compact"/>
              <w:jc w:val="left"/>
            </w:pPr>
            <w:r>
              <w:t xml:space="preserve">Plant trait expression platform</w:t>
            </w:r>
          </w:p>
        </w:tc>
        <w:tc>
          <w:tcPr/>
          <w:p>
            <w:pPr>
              <w:pStyle w:val="Compact"/>
              <w:jc w:val="left"/>
            </w:pPr>
            <w:r>
              <w:t xml:space="preserve">January 1, 2018</w:t>
            </w:r>
          </w:p>
        </w:tc>
        <w:tc>
          <w:tcPr/>
          <w:p>
            <w:pPr>
              <w:pStyle w:val="Compact"/>
              <w:jc w:val="left"/>
            </w:pPr>
            <w:r>
              <w:t xml:space="preserve">7 years</w:t>
            </w:r>
          </w:p>
        </w:tc>
        <w:tc>
          <w:tcPr/>
          <w:p>
            <w:pPr>
              <w:pStyle w:val="Compact"/>
              <w:jc w:val="left"/>
            </w:pPr>
            <w:r>
              <w:t xml:space="preserve">December 31, 2024 (expired)</w:t>
            </w:r>
          </w:p>
        </w:tc>
        <w:tc>
          <w:tcPr/>
          <w:p>
            <w:pPr>
              <w:pStyle w:val="Compact"/>
              <w:jc w:val="left"/>
            </w:pPr>
            <w:r>
              <w:t xml:space="preserve">September 30, 2024 (§12.2)</w:t>
            </w:r>
          </w:p>
        </w:tc>
      </w:tr>
      <w:tr>
        <w:tc>
          <w:tcPr/>
          <w:p>
            <w:pPr>
              <w:pStyle w:val="Compact"/>
              <w:jc w:val="left"/>
            </w:pPr>
            <w:r>
              <w:rPr>
                <w:b/>
                <w:bCs/>
              </w:rPr>
              <w:t xml:space="preserve">C</w:t>
            </w:r>
            <w:r>
              <w:t xml:space="preserve"> </w:t>
            </w:r>
            <w:r>
              <w:t xml:space="preserve">— GenoMap Pro</w:t>
            </w:r>
          </w:p>
        </w:tc>
        <w:tc>
          <w:tcPr/>
          <w:p>
            <w:pPr>
              <w:pStyle w:val="Compact"/>
              <w:jc w:val="left"/>
            </w:pPr>
            <w:r>
              <w:t xml:space="preserve">Bioinformatics software</w:t>
            </w:r>
          </w:p>
        </w:tc>
        <w:tc>
          <w:tcPr/>
          <w:p>
            <w:pPr>
              <w:pStyle w:val="Compact"/>
              <w:jc w:val="left"/>
            </w:pPr>
            <w:r>
              <w:t xml:space="preserve">March 1, 2020</w:t>
            </w:r>
          </w:p>
        </w:tc>
        <w:tc>
          <w:tcPr/>
          <w:p>
            <w:pPr>
              <w:pStyle w:val="Compact"/>
              <w:jc w:val="left"/>
            </w:pPr>
            <w:r>
              <w:t xml:space="preserve">5 years</w:t>
            </w:r>
          </w:p>
        </w:tc>
        <w:tc>
          <w:tcPr/>
          <w:p>
            <w:pPr>
              <w:pStyle w:val="Compact"/>
              <w:jc w:val="left"/>
            </w:pPr>
            <w:r>
              <w:t xml:space="preserve">February 28, 2025</w:t>
            </w:r>
          </w:p>
        </w:tc>
        <w:tc>
          <w:tcPr/>
          <w:p>
            <w:pPr>
              <w:pStyle w:val="Compact"/>
              <w:jc w:val="left"/>
            </w:pPr>
            <w:r>
              <w:t xml:space="preserve">November 30, 2024 (§3.2)</w:t>
            </w:r>
          </w:p>
        </w:tc>
      </w:tr>
    </w:tbl>
    <w:p>
      <w:pPr>
        <w:pStyle w:val="BodyText"/>
      </w:pPr>
      <w:r>
        <w:t xml:space="preserve">Greenfield also maintains a sublicense of the TraitForge technology to Prairielands Seed Cooperative (dated May 1, 2021), which is co-terminus with License B and therefore also expired on December 31, 2024.</w:t>
      </w:r>
    </w:p>
    <w:p>
      <w:pPr>
        <w:pStyle w:val="BodyText"/>
      </w:pPr>
      <w:r>
        <w:t xml:space="preserve">The analysis draws on: (a) the three existing license agreements and the Prairielands sublicense; (b) NovaTrait’s consolidated Renewal Proposal; (c) the Financial Impact Analysis prepared by Greenfield’s financial advisory team in February 2025 (the</w:t>
      </w:r>
      <w:r>
        <w:t xml:space="preserve"> </w:t>
      </w:r>
      <w:r>
        <w:t xml:space="preserve">“</w:t>
      </w:r>
      <w:r>
        <w:t xml:space="preserve">Financial Impact Analysis</w:t>
      </w:r>
      <w:r>
        <w:t xml:space="preserve">”</w:t>
      </w:r>
      <w:r>
        <w:t xml:space="preserve">); and (d) the patent landscape analysis prepared by Clarendon Intellectual Property Consulting, LLC for Greenfield dated September 14, 2020 (the</w:t>
      </w:r>
      <w:r>
        <w:t xml:space="preserve"> </w:t>
      </w:r>
      <w:r>
        <w:t xml:space="preserve">“</w:t>
      </w:r>
      <w:r>
        <w:t xml:space="preserve">Clarendon Report</w:t>
      </w:r>
      <w:r>
        <w:t xml:space="preserve">”</w:t>
      </w:r>
      <w:r>
        <w:t xml:space="preserve">). The Clarendon Report is now over four years old; an updated landscape analysis should be commissioned before final terms are locked (see Section IX and Recommendation 5 of the Clarendon Report).</w:t>
      </w:r>
    </w:p>
    <w:p>
      <w:r>
        <w:pict>
          <v:rect style="width:0;height:1.5pt" o:hralign="center" o:hrstd="t" o:hr="t"/>
        </w:pict>
      </w:r>
    </w:p>
    <w:bookmarkEnd w:id="21"/>
    <w:bookmarkStart w:id="22" w:name="Xf7cd6cd93f5963f085c393ac40e12e3e0dbc836"/>
    <w:p>
      <w:pPr>
        <w:pStyle w:val="Heading2"/>
      </w:pPr>
      <w:r>
        <w:t xml:space="preserve">III. Procedural Status and Urgent Deadlines</w:t>
      </w:r>
    </w:p>
    <w:p>
      <w:pPr>
        <w:pStyle w:val="FirstParagraph"/>
      </w:pPr>
      <w:r>
        <w:t xml:space="preserve">The overlapping expiration schedule creates a sequence of hard deadlines. Several have already passed; the most critical lie in the next four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Sep 30, 2024</w:t>
            </w:r>
          </w:p>
        </w:tc>
        <w:tc>
          <w:tcPr/>
          <w:p>
            <w:pPr>
              <w:pStyle w:val="Compact"/>
              <w:jc w:val="left"/>
            </w:pPr>
            <w:r>
              <w:t xml:space="preserve">License B renewal-notice deadline (§12.2)</w:t>
            </w:r>
          </w:p>
        </w:tc>
        <w:tc>
          <w:tcPr/>
          <w:p>
            <w:pPr>
              <w:pStyle w:val="Compact"/>
              <w:jc w:val="left"/>
            </w:pPr>
            <w:r>
              <w:t xml:space="preserve">Passed (notice believed timely)</w:t>
            </w:r>
          </w:p>
        </w:tc>
        <w:tc>
          <w:tcPr/>
          <w:p>
            <w:pPr>
              <w:pStyle w:val="Compact"/>
              <w:jc w:val="left"/>
            </w:pPr>
            <w:r>
              <w:t xml:space="preserve">Confirm with GC that notice was delivered</w:t>
            </w:r>
          </w:p>
        </w:tc>
      </w:tr>
      <w:tr>
        <w:tc>
          <w:tcPr/>
          <w:p>
            <w:pPr>
              <w:pStyle w:val="Compact"/>
              <w:jc w:val="left"/>
            </w:pPr>
            <w:r>
              <w:t xml:space="preserve">Nov 30, 2024</w:t>
            </w:r>
          </w:p>
        </w:tc>
        <w:tc>
          <w:tcPr/>
          <w:p>
            <w:pPr>
              <w:pStyle w:val="Compact"/>
              <w:jc w:val="left"/>
            </w:pPr>
            <w:r>
              <w:t xml:space="preserve">License C renewal-notice deadline (§3.2)</w:t>
            </w:r>
          </w:p>
        </w:tc>
        <w:tc>
          <w:tcPr/>
          <w:p>
            <w:pPr>
              <w:pStyle w:val="Compact"/>
              <w:jc w:val="left"/>
            </w:pPr>
            <w:r>
              <w:t xml:space="preserve">Passed (notice believed timely)</w:t>
            </w:r>
          </w:p>
        </w:tc>
        <w:tc>
          <w:tcPr/>
          <w:p>
            <w:pPr>
              <w:pStyle w:val="Compact"/>
              <w:jc w:val="left"/>
            </w:pPr>
            <w:r>
              <w:t xml:space="preserve">Confirm; ensure interim/holdover access through renewal</w:t>
            </w:r>
          </w:p>
        </w:tc>
      </w:tr>
      <w:tr>
        <w:tc>
          <w:tcPr/>
          <w:p>
            <w:pPr>
              <w:pStyle w:val="Compact"/>
              <w:jc w:val="left"/>
            </w:pPr>
            <w:r>
              <w:t xml:space="preserve">Dec 31, 2024</w:t>
            </w:r>
          </w:p>
        </w:tc>
        <w:tc>
          <w:tcPr/>
          <w:p>
            <w:pPr>
              <w:pStyle w:val="Compact"/>
              <w:jc w:val="left"/>
            </w:pPr>
            <w:r>
              <w:t xml:space="preserve">License B Initial Term expiration</w:t>
            </w:r>
          </w:p>
        </w:tc>
        <w:tc>
          <w:tcPr/>
          <w:p>
            <w:pPr>
              <w:pStyle w:val="Compact"/>
              <w:jc w:val="left"/>
            </w:pPr>
            <w:r>
              <w:t xml:space="preserve">Expired; §12.6 standstill active</w:t>
            </w:r>
          </w:p>
        </w:tc>
        <w:tc>
          <w:tcPr/>
          <w:p>
            <w:pPr>
              <w:pStyle w:val="Compact"/>
              <w:jc w:val="left"/>
            </w:pPr>
            <w:r>
              <w:t xml:space="preserve">Confirm good-faith negotiation to preserve standstill</w:t>
            </w:r>
          </w:p>
        </w:tc>
      </w:tr>
      <w:tr>
        <w:tc>
          <w:tcPr/>
          <w:p>
            <w:pPr>
              <w:pStyle w:val="Compact"/>
              <w:jc w:val="left"/>
            </w:pPr>
            <w:r>
              <w:t xml:space="preserve">Feb 28, 2025</w:t>
            </w:r>
          </w:p>
        </w:tc>
        <w:tc>
          <w:tcPr/>
          <w:p>
            <w:pPr>
              <w:pStyle w:val="Compact"/>
              <w:jc w:val="left"/>
            </w:pPr>
            <w:r>
              <w:t xml:space="preserve">License C Initial Term expiration</w:t>
            </w:r>
          </w:p>
        </w:tc>
        <w:tc>
          <w:tcPr/>
          <w:p>
            <w:pPr>
              <w:pStyle w:val="Compact"/>
              <w:jc w:val="left"/>
            </w:pPr>
            <w:r>
              <w:t xml:space="preserve">Imminent</w:t>
            </w:r>
          </w:p>
        </w:tc>
        <w:tc>
          <w:tcPr/>
          <w:p>
            <w:pPr>
              <w:pStyle w:val="Compact"/>
              <w:jc w:val="left"/>
            </w:pPr>
            <w:r>
              <w:t xml:space="preserve">Secure interim access / holdover pending renewal</w:t>
            </w:r>
          </w:p>
        </w:tc>
      </w:tr>
      <w:tr>
        <w:tc>
          <w:tcPr/>
          <w:p>
            <w:pPr>
              <w:pStyle w:val="Compact"/>
              <w:jc w:val="left"/>
            </w:pPr>
            <w:r>
              <w:rPr>
                <w:b/>
                <w:bCs/>
              </w:rPr>
              <w:t xml:space="preserve">Mar 31, 2025</w:t>
            </w:r>
          </w:p>
        </w:tc>
        <w:tc>
          <w:tcPr/>
          <w:p>
            <w:pPr>
              <w:pStyle w:val="Compact"/>
              <w:jc w:val="left"/>
            </w:pPr>
            <w:r>
              <w:rPr>
                <w:b/>
                <w:bCs/>
              </w:rPr>
              <w:t xml:space="preserve">License A renewal-notice deadline (§14.2)</w:t>
            </w:r>
          </w:p>
        </w:tc>
        <w:tc>
          <w:tcPr/>
          <w:p>
            <w:pPr>
              <w:pStyle w:val="Compact"/>
              <w:jc w:val="left"/>
            </w:pPr>
            <w:r>
              <w:rPr>
                <w:b/>
                <w:bCs/>
              </w:rPr>
              <w:t xml:space="preserve">Upcoming</w:t>
            </w:r>
          </w:p>
        </w:tc>
        <w:tc>
          <w:tcPr/>
          <w:p>
            <w:pPr>
              <w:pStyle w:val="Compact"/>
              <w:jc w:val="left"/>
            </w:pPr>
            <w:r>
              <w:rPr>
                <w:b/>
                <w:bCs/>
              </w:rPr>
              <w:t xml:space="preserve">Deliver written renewal notice to NovaTrait</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Planned</w:t>
            </w:r>
          </w:p>
        </w:tc>
        <w:tc>
          <w:tcPr/>
          <w:p>
            <w:pPr>
              <w:pStyle w:val="Compact"/>
              <w:jc w:val="left"/>
            </w:pPr>
            <w:r>
              <w:t xml:space="preserve">Ashworth &amp; Calder to prepare and transmit</w:t>
            </w:r>
          </w:p>
        </w:tc>
      </w:tr>
      <w:tr>
        <w:tc>
          <w:tcPr/>
          <w:p>
            <w:pPr>
              <w:pStyle w:val="Compact"/>
              <w:jc w:val="left"/>
            </w:pPr>
            <w:r>
              <w:rPr>
                <w:b/>
                <w:bCs/>
              </w:rPr>
              <w:t xml:space="preserve">Jun 29, 2025</w:t>
            </w:r>
          </w:p>
        </w:tc>
        <w:tc>
          <w:tcPr/>
          <w:p>
            <w:pPr>
              <w:pStyle w:val="Compact"/>
              <w:jc w:val="left"/>
            </w:pPr>
            <w:r>
              <w:rPr>
                <w:b/>
                <w:bCs/>
              </w:rPr>
              <w:t xml:space="preserve">License B standstill expiration (180 days from Dec 31, 2024)</w:t>
            </w:r>
          </w:p>
        </w:tc>
        <w:tc>
          <w:tcPr/>
          <w:p>
            <w:pPr>
              <w:pStyle w:val="Compact"/>
              <w:jc w:val="left"/>
            </w:pPr>
            <w:r>
              <w:rPr>
                <w:b/>
                <w:bCs/>
              </w:rPr>
              <w:t xml:space="preserve">CRITICAL</w:t>
            </w:r>
          </w:p>
        </w:tc>
        <w:tc>
          <w:tcPr/>
          <w:p>
            <w:pPr>
              <w:pStyle w:val="Compact"/>
              <w:jc w:val="left"/>
            </w:pPr>
            <w:r>
              <w:rPr>
                <w:b/>
                <w:bCs/>
              </w:rPr>
              <w:t xml:space="preserve">Execute renewal or written standstill extension before this date</w:t>
            </w:r>
          </w:p>
        </w:tc>
      </w:tr>
      <w:tr>
        <w:tc>
          <w:tcPr/>
          <w:p>
            <w:pPr>
              <w:pStyle w:val="Compact"/>
              <w:jc w:val="left"/>
            </w:pPr>
            <w:r>
              <w:t xml:space="preserve">Jun 30, 2025</w:t>
            </w:r>
          </w:p>
        </w:tc>
        <w:tc>
          <w:tcPr/>
          <w:p>
            <w:pPr>
              <w:pStyle w:val="Compact"/>
              <w:jc w:val="left"/>
            </w:pPr>
            <w:r>
              <w:t xml:space="preserve">License A Initial Term expiration</w:t>
            </w:r>
          </w:p>
        </w:tc>
        <w:tc>
          <w:tcPr/>
          <w:p>
            <w:pPr>
              <w:pStyle w:val="Compact"/>
              <w:jc w:val="left"/>
            </w:pPr>
            <w:r>
              <w:t xml:space="preserve">Upcoming</w:t>
            </w:r>
          </w:p>
        </w:tc>
        <w:tc>
          <w:tcPr/>
          <w:p>
            <w:pPr>
              <w:pStyle w:val="Compact"/>
              <w:jc w:val="left"/>
            </w:pPr>
            <w:r>
              <w:t xml:space="preserve">Execute renewal or assess holdover position</w:t>
            </w:r>
          </w:p>
        </w:tc>
      </w:tr>
      <w:tr>
        <w:tc>
          <w:tcPr/>
          <w:p>
            <w:pPr>
              <w:pStyle w:val="Compact"/>
              <w:jc w:val="left"/>
            </w:pPr>
            <w:r>
              <w:t xml:space="preserve">Mar 12, 2028</w:t>
            </w:r>
          </w:p>
        </w:tc>
        <w:tc>
          <w:tcPr/>
          <w:p>
            <w:pPr>
              <w:pStyle w:val="Compact"/>
              <w:jc w:val="left"/>
            </w:pPr>
            <w:r>
              <w:t xml:space="preserve">U.S. Patent 9,234,117 expiration</w:t>
            </w:r>
          </w:p>
        </w:tc>
        <w:tc>
          <w:tcPr/>
          <w:p>
            <w:pPr>
              <w:pStyle w:val="Compact"/>
              <w:jc w:val="left"/>
            </w:pPr>
            <w:r>
              <w:t xml:space="preserve">Future</w:t>
            </w:r>
          </w:p>
        </w:tc>
        <w:tc>
          <w:tcPr/>
          <w:p>
            <w:pPr>
              <w:pStyle w:val="Compact"/>
              <w:jc w:val="left"/>
            </w:pPr>
            <w:r>
              <w:t xml:space="preserve">Royalty step-down trigger for License A</w:t>
            </w:r>
          </w:p>
        </w:tc>
      </w:tr>
      <w:tr>
        <w:tc>
          <w:tcPr/>
          <w:p>
            <w:pPr>
              <w:pStyle w:val="Compact"/>
              <w:jc w:val="left"/>
            </w:pPr>
            <w:r>
              <w:t xml:space="preserve">Feb 28, 2028</w:t>
            </w:r>
          </w:p>
        </w:tc>
        <w:tc>
          <w:tcPr/>
          <w:p>
            <w:pPr>
              <w:pStyle w:val="Compact"/>
              <w:jc w:val="left"/>
            </w:pPr>
            <w:r>
              <w:t xml:space="preserve">License C proposed renewal-term expiration</w:t>
            </w:r>
          </w:p>
        </w:tc>
        <w:tc>
          <w:tcPr/>
          <w:p>
            <w:pPr>
              <w:pStyle w:val="Compact"/>
              <w:jc w:val="left"/>
            </w:pPr>
            <w:r>
              <w:t xml:space="preserve">Future</w:t>
            </w:r>
          </w:p>
        </w:tc>
        <w:tc>
          <w:tcPr/>
          <w:p>
            <w:pPr>
              <w:pStyle w:val="Compact"/>
              <w:jc w:val="left"/>
            </w:pPr>
            <w:r>
              <w:t xml:space="preserve">Begin alternative-platform evaluation by mid-2027</w:t>
            </w:r>
          </w:p>
        </w:tc>
      </w:tr>
    </w:tbl>
    <w:p>
      <w:pPr>
        <w:pStyle w:val="BodyText"/>
      </w:pPr>
      <w:r>
        <w:rPr>
          <w:b/>
          <w:bCs/>
        </w:rPr>
        <w:t xml:space="preserve">Key procedural points:</w:t>
      </w:r>
    </w:p>
    <w:p>
      <w:pPr>
        <w:numPr>
          <w:ilvl w:val="0"/>
          <w:numId w:val="1002"/>
        </w:numPr>
      </w:pPr>
      <w:r>
        <w:rPr>
          <w:b/>
          <w:bCs/>
        </w:rPr>
        <w:t xml:space="preserve">License B standstill (§12.6).</w:t>
      </w:r>
      <w:r>
        <w:t xml:space="preserve"> </w:t>
      </w:r>
      <w:r>
        <w:t xml:space="preserve">The standstill preserves License B’s terms for up to 180 days during good-faith renewal negotiations — i.e., through June 29, 2025. NovaTrait’s Proposal offers a short-form standstill confirmation running to the earlier of renewal execution, June 30, 2025, or 30-day termination notice.</w:t>
      </w:r>
      <w:r>
        <w:t xml:space="preserve"> </w:t>
      </w:r>
      <w:r>
        <w:rPr>
          <w:b/>
          <w:bCs/>
        </w:rPr>
        <w:t xml:space="preserve">Greenfield should not accept a June 30, 2025 cutoff.</w:t>
      </w:r>
      <w:r>
        <w:t xml:space="preserve"> </w:t>
      </w:r>
      <w:r>
        <w:t xml:space="preserve">If negotiations are not complete by late June, License B terminates, the 30-day (proposed) / 90-day (current) biological-materials return obligation is triggered, and the Prairielands sublicense (which auto-terminates on Master License expiration) collapses. Greenfield should make a written standstill extension to</w:t>
      </w:r>
      <w:r>
        <w:t xml:space="preserve"> </w:t>
      </w:r>
      <w:r>
        <w:rPr>
          <w:b/>
          <w:bCs/>
        </w:rPr>
        <w:t xml:space="preserve">December 31, 2025</w:t>
      </w:r>
      <w:r>
        <w:t xml:space="preserve"> </w:t>
      </w:r>
      <w:r>
        <w:t xml:space="preserve">a condition of continued negotiation.</w:t>
      </w:r>
    </w:p>
    <w:p>
      <w:pPr>
        <w:numPr>
          <w:ilvl w:val="0"/>
          <w:numId w:val="1002"/>
        </w:numPr>
      </w:pPr>
      <w:r>
        <w:rPr>
          <w:b/>
          <w:bCs/>
        </w:rPr>
        <w:t xml:space="preserve">License A renewal notice (§14.2).</w:t>
      </w:r>
      <w:r>
        <w:t xml:space="preserve"> </w:t>
      </w:r>
      <w:r>
        <w:t xml:space="preserve">Greenfield must deliver written notice of its desire to renew by March 31, 2025 to preserve renewal rights. Note that under §14.4, delivery of a Renewal Notice starts a 180-day good-faith negotiation clock; if the parties fail to agree within 180 days, the Agreement expires at the end of the current term. The notice should be delivered on time but framed to preserve all rights.</w:t>
      </w:r>
    </w:p>
    <w:p>
      <w:pPr>
        <w:numPr>
          <w:ilvl w:val="0"/>
          <w:numId w:val="1002"/>
        </w:numPr>
      </w:pPr>
      <w:r>
        <w:rPr>
          <w:b/>
          <w:bCs/>
        </w:rPr>
        <w:t xml:space="preserve">License C holdover.</w:t>
      </w:r>
      <w:r>
        <w:t xml:space="preserve"> </w:t>
      </w:r>
      <w:r>
        <w:t xml:space="preserve">License C expires February 28, 2025. The Proposal states that Greenfield’s receipt and acknowledgement of the Proposal constitutes initiation of renewal negotiations, but Greenfield should confirm in writing its intent to renew and secure an interim access/holdover arrangement so that the bioinformatics pipeline — on which the License A and B workflows depend — is not interrupted.</w:t>
      </w:r>
    </w:p>
    <w:p>
      <w:pPr>
        <w:numPr>
          <w:ilvl w:val="0"/>
          <w:numId w:val="1002"/>
        </w:numPr>
      </w:pPr>
      <w:r>
        <w:rPr>
          <w:b/>
          <w:bCs/>
        </w:rPr>
        <w:t xml:space="preserve">Reservation of rights.</w:t>
      </w:r>
      <w:r>
        <w:t xml:space="preserve"> </w:t>
      </w:r>
      <w:r>
        <w:t xml:space="preserve">NovaTrait’s Proposal expressly reserves all rights and is a Rule 408 settlement communication. Greenfield’s responses should likewise preserve all rights and remedies, including the right to decline any increase (see Section X.A on the §14.3 cap).</w:t>
      </w:r>
    </w:p>
    <w:p>
      <w:r>
        <w:pict>
          <v:rect style="width:0;height:1.5pt" o:hralign="center" o:hrstd="t" o:hr="t"/>
        </w:pict>
      </w:r>
    </w:p>
    <w:bookmarkEnd w:id="22"/>
    <w:bookmarkStart w:id="28" w:name="Xb09ea1f4ad10fcd72bf4afaa228552741155803"/>
    <w:p>
      <w:pPr>
        <w:pStyle w:val="Heading2"/>
      </w:pPr>
      <w:r>
        <w:t xml:space="preserve">IV. License A — CRISPR-Ag Suite Gene-Editing Platform</w:t>
      </w:r>
    </w:p>
    <w:bookmarkStart w:id="23" w:name="a.-current-terms-summary"/>
    <w:p>
      <w:pPr>
        <w:pStyle w:val="Heading3"/>
      </w:pPr>
      <w:r>
        <w:t xml:space="preserve">A. Current Terms (Summary)</w:t>
      </w:r>
    </w:p>
    <w:p>
      <w:pPr>
        <w:pStyle w:val="Compact"/>
        <w:numPr>
          <w:ilvl w:val="0"/>
          <w:numId w:val="1003"/>
        </w:numPr>
      </w:pPr>
      <w:r>
        <w:rPr>
          <w:b/>
          <w:bCs/>
        </w:rPr>
        <w:t xml:space="preserve">Grant:</w:t>
      </w:r>
      <w:r>
        <w:t xml:space="preserve"> </w:t>
      </w:r>
      <w:r>
        <w:t xml:space="preserve">Exclusive within the Territory (worldwide excluding China and India) for use in corn and soybean within the Field of Use (herbicide tolerance and insect resistance); non-exclusive elsewhere (§2.1–2.2).</w:t>
      </w:r>
    </w:p>
    <w:p>
      <w:pPr>
        <w:pStyle w:val="Compact"/>
        <w:numPr>
          <w:ilvl w:val="0"/>
          <w:numId w:val="1003"/>
        </w:numPr>
      </w:pPr>
      <w:r>
        <w:rPr>
          <w:b/>
          <w:bCs/>
        </w:rPr>
        <w:t xml:space="preserve">Royalty:</w:t>
      </w:r>
      <w:r>
        <w:t xml:space="preserve"> </w:t>
      </w:r>
      <w:r>
        <w:t xml:space="preserve">4.5% of Net Sales (§7.1); Minimum Annual Royalty $4.0M, creditable against running royalties (§7.2); upfront $2.5M (§7.7).</w:t>
      </w:r>
    </w:p>
    <w:p>
      <w:pPr>
        <w:pStyle w:val="Compact"/>
        <w:numPr>
          <w:ilvl w:val="0"/>
          <w:numId w:val="1003"/>
        </w:numPr>
      </w:pPr>
      <w:r>
        <w:rPr>
          <w:b/>
          <w:bCs/>
        </w:rPr>
        <w:t xml:space="preserve">Sublicense pass-through:</w:t>
      </w:r>
      <w:r>
        <w:t xml:space="preserve"> </w:t>
      </w:r>
      <w:r>
        <w:t xml:space="preserve">35% of sublicensee royalties (§10.3).</w:t>
      </w:r>
    </w:p>
    <w:p>
      <w:pPr>
        <w:pStyle w:val="Compact"/>
        <w:numPr>
          <w:ilvl w:val="0"/>
          <w:numId w:val="1003"/>
        </w:numPr>
      </w:pPr>
      <w:r>
        <w:rPr>
          <w:b/>
          <w:bCs/>
        </w:rPr>
        <w:t xml:space="preserve">Improvements:</w:t>
      </w:r>
      <w:r>
        <w:t xml:space="preserve"> </w:t>
      </w:r>
      <w:r>
        <w:t xml:space="preserve">Solely owned by Greenfield; NovaTrait receives a non-exclusive license back at a commercially reasonable royalty, exercisable only</w:t>
      </w:r>
      <w:r>
        <w:t xml:space="preserve"> </w:t>
      </w:r>
      <w:r>
        <w:rPr>
          <w:b/>
          <w:bCs/>
        </w:rPr>
        <w:t xml:space="preserve">outside</w:t>
      </w:r>
      <w:r>
        <w:t xml:space="preserve"> </w:t>
      </w:r>
      <w:r>
        <w:t xml:space="preserve">the Field of Use; NovaTrait may not use Greenfield improvements within the Field of Use during the Term without Greenfield’s consent (§8.1).</w:t>
      </w:r>
    </w:p>
    <w:p>
      <w:pPr>
        <w:pStyle w:val="Compact"/>
        <w:numPr>
          <w:ilvl w:val="0"/>
          <w:numId w:val="1003"/>
        </w:numPr>
      </w:pPr>
      <w:r>
        <w:rPr>
          <w:b/>
          <w:bCs/>
        </w:rPr>
        <w:t xml:space="preserve">Rate cap:</w:t>
      </w:r>
      <w:r>
        <w:t xml:space="preserve"> </w:t>
      </w:r>
      <w:r>
        <w:t xml:space="preserve">Any renewal royalty-rate increase above 150% of the then-current rate (i.e., above 6.75%) requires an independent fair-market-value (</w:t>
      </w:r>
      <w:r>
        <w:t xml:space="preserve">“</w:t>
      </w:r>
      <w:r>
        <w:t xml:space="preserve">IFMV</w:t>
      </w:r>
      <w:r>
        <w:t xml:space="preserve">”</w:t>
      </w:r>
      <w:r>
        <w:t xml:space="preserve">) assessment (§14.3(a)).</w:t>
      </w:r>
    </w:p>
    <w:p>
      <w:pPr>
        <w:pStyle w:val="Compact"/>
        <w:numPr>
          <w:ilvl w:val="0"/>
          <w:numId w:val="1003"/>
        </w:numPr>
      </w:pPr>
      <w:r>
        <w:rPr>
          <w:b/>
          <w:bCs/>
        </w:rPr>
        <w:t xml:space="preserve">Licensed patents:</w:t>
      </w:r>
      <w:r>
        <w:t xml:space="preserve"> </w:t>
      </w:r>
      <w:r>
        <w:t xml:space="preserve">U.S. 9,234,117 (exp. Mar. 12, 2028), 9,234,118, 9,651,002, 10,112,445, plus foreign counterparts (Exhibit A).</w:t>
      </w:r>
    </w:p>
    <w:p>
      <w:pPr>
        <w:pStyle w:val="Compact"/>
        <w:numPr>
          <w:ilvl w:val="0"/>
          <w:numId w:val="1003"/>
        </w:numPr>
      </w:pPr>
      <w:r>
        <w:rPr>
          <w:b/>
          <w:bCs/>
        </w:rPr>
        <w:t xml:space="preserve">FY 2024:</w:t>
      </w:r>
      <w:r>
        <w:t xml:space="preserve"> </w:t>
      </w:r>
      <w:r>
        <w:t xml:space="preserve">Net Sales $202.67M; royalty paid $9.12M (2.36% of Greenfield revenue).</w:t>
      </w:r>
    </w:p>
    <w:p>
      <w:pPr>
        <w:pStyle w:val="Compact"/>
        <w:numPr>
          <w:ilvl w:val="0"/>
          <w:numId w:val="1003"/>
        </w:numPr>
      </w:pPr>
      <w:r>
        <w:rPr>
          <w:b/>
          <w:bCs/>
        </w:rPr>
        <w:t xml:space="preserve">Other:</w:t>
      </w:r>
      <w:r>
        <w:t xml:space="preserve"> </w:t>
      </w:r>
      <w:r>
        <w:t xml:space="preserve">12-month sell-off period (§15.5(b)); NovaTrait may terminate if Greenfield challenges a Licensed Patent (§15.4); Greenfield may grant security interests to lenders (e.g., Fieldstone National Bank) with NovaTrait’s consent not unreasonably withheld (§17.12).</w:t>
      </w:r>
    </w:p>
    <w:bookmarkEnd w:id="23"/>
    <w:bookmarkStart w:id="24" w:name="b.-proposed-renewal-terms-and-assessment"/>
    <w:p>
      <w:pPr>
        <w:pStyle w:val="Heading3"/>
      </w:pPr>
      <w:r>
        <w:t xml:space="preserve">B. Proposed Renewal Terms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Royalty rate (§7.1)</w:t>
            </w:r>
          </w:p>
        </w:tc>
        <w:tc>
          <w:tcPr/>
          <w:p>
            <w:pPr>
              <w:pStyle w:val="Compact"/>
              <w:jc w:val="left"/>
            </w:pPr>
            <w:r>
              <w:t xml:space="preserve">4.5%</w:t>
            </w:r>
          </w:p>
        </w:tc>
        <w:tc>
          <w:tcPr/>
          <w:p>
            <w:pPr>
              <w:pStyle w:val="Compact"/>
              <w:jc w:val="left"/>
            </w:pPr>
            <w:r>
              <w:t xml:space="preserve">6.25%</w:t>
            </w:r>
          </w:p>
        </w:tc>
        <w:tc>
          <w:tcPr/>
          <w:p>
            <w:pPr>
              <w:pStyle w:val="Compact"/>
              <w:jc w:val="left"/>
            </w:pPr>
            <w:r>
              <w:t xml:space="preserve">+38.9%</w:t>
            </w:r>
          </w:p>
        </w:tc>
        <w:tc>
          <w:tcPr/>
          <w:p>
            <w:pPr>
              <w:pStyle w:val="Compact"/>
              <w:jc w:val="left"/>
            </w:pPr>
            <w:r>
              <w:t xml:space="preserve">Above market; resist</w:t>
            </w:r>
          </w:p>
        </w:tc>
      </w:tr>
      <w:tr>
        <w:tc>
          <w:tcPr/>
          <w:p>
            <w:pPr>
              <w:pStyle w:val="Compact"/>
              <w:jc w:val="left"/>
            </w:pPr>
            <w:r>
              <w:t xml:space="preserve">Minimum annual royalty (§7.2)</w:t>
            </w:r>
          </w:p>
        </w:tc>
        <w:tc>
          <w:tcPr/>
          <w:p>
            <w:pPr>
              <w:pStyle w:val="Compact"/>
              <w:jc w:val="left"/>
            </w:pPr>
            <w:r>
              <w:t xml:space="preserve">$4.0M</w:t>
            </w:r>
          </w:p>
        </w:tc>
        <w:tc>
          <w:tcPr/>
          <w:p>
            <w:pPr>
              <w:pStyle w:val="Compact"/>
              <w:jc w:val="left"/>
            </w:pPr>
            <w:r>
              <w:t xml:space="preserve">$8.0M (quarterly $2M)</w:t>
            </w:r>
          </w:p>
        </w:tc>
        <w:tc>
          <w:tcPr/>
          <w:p>
            <w:pPr>
              <w:pStyle w:val="Compact"/>
              <w:jc w:val="left"/>
            </w:pPr>
            <w:r>
              <w:t xml:space="preserve">+100%</w:t>
            </w:r>
          </w:p>
        </w:tc>
        <w:tc>
          <w:tcPr/>
          <w:p>
            <w:pPr>
              <w:pStyle w:val="Compact"/>
              <w:jc w:val="left"/>
            </w:pPr>
            <w:r>
              <w:t xml:space="preserve">Doubling not justified by volume</w:t>
            </w:r>
          </w:p>
        </w:tc>
      </w:tr>
      <w:tr>
        <w:tc>
          <w:tcPr/>
          <w:p>
            <w:pPr>
              <w:pStyle w:val="Compact"/>
              <w:jc w:val="left"/>
            </w:pPr>
            <w:r>
              <w:t xml:space="preserve">Net Sales definition (§1.14)</w:t>
            </w:r>
          </w:p>
        </w:tc>
        <w:tc>
          <w:tcPr/>
          <w:p>
            <w:pPr>
              <w:pStyle w:val="Compact"/>
              <w:jc w:val="left"/>
            </w:pPr>
            <w:r>
              <w:t xml:space="preserve">Standard (freight, insurance, returns, bad debt deductible)</w:t>
            </w:r>
          </w:p>
        </w:tc>
        <w:tc>
          <w:tcPr/>
          <w:p>
            <w:pPr>
              <w:pStyle w:val="Compact"/>
              <w:jc w:val="left"/>
            </w:pPr>
            <w:r>
              <w:t xml:space="preserve">Narrowed (only taxes + trade discounts)</w:t>
            </w:r>
          </w:p>
        </w:tc>
        <w:tc>
          <w:tcPr/>
          <w:p>
            <w:pPr>
              <w:pStyle w:val="Compact"/>
              <w:jc w:val="left"/>
            </w:pPr>
            <w:r>
              <w:t xml:space="preserve">Narrowed (+7.2% base)</w:t>
            </w:r>
          </w:p>
        </w:tc>
        <w:tc>
          <w:tcPr/>
          <w:p>
            <w:pPr>
              <w:pStyle w:val="Compact"/>
              <w:jc w:val="left"/>
            </w:pPr>
            <w:r>
              <w:t xml:space="preserve">Uncommon; effectively a hidden rate increase</w:t>
            </w:r>
          </w:p>
        </w:tc>
      </w:tr>
      <w:tr>
        <w:tc>
          <w:tcPr/>
          <w:p>
            <w:pPr>
              <w:pStyle w:val="Compact"/>
              <w:jc w:val="left"/>
            </w:pPr>
            <w:r>
              <w:t xml:space="preserve">Field of use — crops (§1.7)</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c>
          <w:tcPr/>
          <w:p>
            <w:pPr>
              <w:pStyle w:val="Compact"/>
              <w:jc w:val="left"/>
            </w:pPr>
            <w:r>
              <w:t xml:space="preserve">Value conditional on patent coverage of wheat</w:t>
            </w:r>
          </w:p>
        </w:tc>
      </w:tr>
      <w:tr>
        <w:tc>
          <w:tcPr/>
          <w:p>
            <w:pPr>
              <w:pStyle w:val="Compact"/>
              <w:jc w:val="left"/>
            </w:pPr>
            <w:r>
              <w:t xml:space="preserve">Field of use — traits (§1.7)</w:t>
            </w:r>
          </w:p>
        </w:tc>
        <w:tc>
          <w:tcPr/>
          <w:p>
            <w:pPr>
              <w:pStyle w:val="Compact"/>
              <w:jc w:val="left"/>
            </w:pPr>
            <w:r>
              <w:t xml:space="preserve">Herbicide tolerance + insect resistance</w:t>
            </w:r>
          </w:p>
        </w:tc>
        <w:tc>
          <w:tcPr/>
          <w:p>
            <w:pPr>
              <w:pStyle w:val="Compact"/>
              <w:jc w:val="left"/>
            </w:pPr>
            <w:r>
              <w:t xml:space="preserve">Herbicide tolerance</w:t>
            </w:r>
            <w:r>
              <w:t xml:space="preserve"> </w:t>
            </w:r>
            <w:r>
              <w:rPr>
                <w:b/>
                <w:bCs/>
              </w:rPr>
              <w:t xml:space="preserve">only</w:t>
            </w:r>
          </w:p>
        </w:tc>
        <w:tc>
          <w:tcPr/>
          <w:p>
            <w:pPr>
              <w:pStyle w:val="Compact"/>
              <w:jc w:val="left"/>
            </w:pPr>
            <w:r>
              <w:rPr>
                <w:b/>
                <w:bCs/>
              </w:rPr>
              <w:t xml:space="preserve">Narrowed</w:t>
            </w:r>
          </w:p>
        </w:tc>
        <w:tc>
          <w:tcPr/>
          <w:p>
            <w:pPr>
              <w:pStyle w:val="Compact"/>
              <w:jc w:val="left"/>
            </w:pPr>
            <w:r>
              <w:rPr>
                <w:b/>
                <w:bCs/>
              </w:rPr>
              <w:t xml:space="preserve">Major loss — IR is ~30% of License A revenue</w:t>
            </w:r>
          </w:p>
        </w:tc>
      </w:tr>
      <w:tr>
        <w:tc>
          <w:tcPr/>
          <w:p>
            <w:pPr>
              <w:pStyle w:val="Compact"/>
              <w:jc w:val="left"/>
            </w:pPr>
            <w:r>
              <w:t xml:space="preserve">Territory (§1.18)</w:t>
            </w:r>
          </w:p>
        </w:tc>
        <w:tc>
          <w:tcPr/>
          <w:p>
            <w:pPr>
              <w:pStyle w:val="Compact"/>
              <w:jc w:val="left"/>
            </w:pPr>
            <w:r>
              <w:t xml:space="preserve">Worldwide ex China/India</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Sublicense pass-through (§10.3)</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c>
          <w:tcPr/>
          <w:p>
            <w:pPr>
              <w:pStyle w:val="Compact"/>
              <w:jc w:val="left"/>
            </w:pPr>
            <w:r>
              <w:t xml:space="preserve">Above market; resist</w:t>
            </w:r>
          </w:p>
        </w:tc>
      </w:tr>
      <w:tr>
        <w:tc>
          <w:tcPr/>
          <w:p>
            <w:pPr>
              <w:pStyle w:val="Compact"/>
              <w:jc w:val="left"/>
            </w:pPr>
            <w:r>
              <w:t xml:space="preserve">Improvements (§8.1)</w:t>
            </w:r>
          </w:p>
        </w:tc>
        <w:tc>
          <w:tcPr/>
          <w:p>
            <w:pPr>
              <w:pStyle w:val="Compact"/>
              <w:jc w:val="left"/>
            </w:pPr>
            <w:r>
              <w:t xml:space="preserve">Greenfield sole owner; license back at commercial royalty (outside FOU)</w:t>
            </w:r>
          </w:p>
        </w:tc>
        <w:tc>
          <w:tcPr/>
          <w:p>
            <w:pPr>
              <w:pStyle w:val="Compact"/>
              <w:jc w:val="left"/>
            </w:pPr>
            <w:r>
              <w:t xml:space="preserve">Joint ownership; royalty-free perpetual license to NovaTrait (any purpose)</w:t>
            </w:r>
          </w:p>
        </w:tc>
        <w:tc>
          <w:tcPr/>
          <w:p>
            <w:pPr>
              <w:pStyle w:val="Compact"/>
              <w:jc w:val="left"/>
            </w:pPr>
            <w:r>
              <w:rPr>
                <w:b/>
                <w:bCs/>
              </w:rPr>
              <w:t xml:space="preserve">Reversed</w:t>
            </w:r>
          </w:p>
        </w:tc>
        <w:tc>
          <w:tcPr/>
          <w:p>
            <w:pPr>
              <w:pStyle w:val="Compact"/>
              <w:jc w:val="left"/>
            </w:pPr>
            <w:r>
              <w:rPr>
                <w:b/>
                <w:bCs/>
              </w:rPr>
              <w:t xml:space="preserve">Unacceptable — major value transfer</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FTO credit; cap 25%/quarter; floor 4.75%</w:t>
            </w:r>
          </w:p>
        </w:tc>
        <w:tc>
          <w:tcPr/>
          <w:p>
            <w:pPr>
              <w:pStyle w:val="Compact"/>
              <w:jc w:val="left"/>
            </w:pPr>
            <w:r>
              <w:t xml:space="preserve">New / beneficial</w:t>
            </w:r>
          </w:p>
        </w:tc>
        <w:tc>
          <w:tcPr/>
          <w:p>
            <w:pPr>
              <w:pStyle w:val="Compact"/>
              <w:jc w:val="left"/>
            </w:pPr>
            <w:r>
              <w:t xml:space="preserve">Accept with modifications</w:t>
            </w:r>
          </w:p>
        </w:tc>
      </w:tr>
      <w:tr>
        <w:tc>
          <w:tcPr/>
          <w:p>
            <w:pPr>
              <w:pStyle w:val="Compact"/>
              <w:jc w:val="left"/>
            </w:pPr>
            <w:r>
              <w:t xml:space="preserve">Audit (§9.2)</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Term</w:t>
            </w:r>
          </w:p>
        </w:tc>
        <w:tc>
          <w:tcPr/>
          <w:p>
            <w:pPr>
              <w:pStyle w:val="Compact"/>
              <w:jc w:val="left"/>
            </w:pPr>
            <w:r>
              <w:t xml:space="preserve">10 years (to 6/30/2025)</w:t>
            </w:r>
          </w:p>
        </w:tc>
        <w:tc>
          <w:tcPr/>
          <w:p>
            <w:pPr>
              <w:pStyle w:val="Compact"/>
              <w:jc w:val="left"/>
            </w:pPr>
            <w:r>
              <w:t xml:space="preserve">5 years (to 6/30/2030)</w:t>
            </w:r>
          </w:p>
        </w:tc>
        <w:tc>
          <w:tcPr/>
          <w:p>
            <w:pPr>
              <w:pStyle w:val="Compact"/>
              <w:jc w:val="left"/>
            </w:pPr>
            <w:r>
              <w:t xml:space="preserve">Shorter</w:t>
            </w:r>
          </w:p>
        </w:tc>
        <w:tc>
          <w:tcPr/>
          <w:p>
            <w:pPr>
              <w:pStyle w:val="Compact"/>
              <w:jc w:val="left"/>
            </w:pPr>
            <w:r>
              <w:t xml:space="preserve">Acceptable; aligns with patent-expiry analysis</w:t>
            </w:r>
          </w:p>
        </w:tc>
      </w:tr>
      <w:tr>
        <w:tc>
          <w:tcPr/>
          <w:p>
            <w:pPr>
              <w:pStyle w:val="Compact"/>
              <w:jc w:val="left"/>
            </w:pPr>
            <w:r>
              <w:t xml:space="preserve">MFL</w:t>
            </w:r>
          </w:p>
        </w:tc>
        <w:tc>
          <w:tcPr/>
          <w:p>
            <w:pPr>
              <w:pStyle w:val="Compact"/>
              <w:jc w:val="left"/>
            </w:pPr>
            <w:r>
              <w:t xml:space="preserve">(referenced as §14.5)</w:t>
            </w:r>
          </w:p>
        </w:tc>
        <w:tc>
          <w:tcPr/>
          <w:p>
            <w:pPr>
              <w:pStyle w:val="Compact"/>
              <w:jc w:val="left"/>
            </w:pPr>
            <w:r>
              <w:t xml:space="preserve">Retained</w:t>
            </w:r>
          </w:p>
        </w:tc>
        <w:tc>
          <w:tcPr/>
          <w:p>
            <w:pPr>
              <w:pStyle w:val="Compact"/>
              <w:jc w:val="left"/>
            </w:pPr>
            <w:r>
              <w:t xml:space="preserve">—</w:t>
            </w:r>
          </w:p>
        </w:tc>
        <w:tc>
          <w:tcPr/>
          <w:p>
            <w:pPr>
              <w:pStyle w:val="Compact"/>
              <w:jc w:val="left"/>
            </w:pPr>
            <w:r>
              <w:t xml:space="preserve">Verify existence (see Section X.E)</w:t>
            </w:r>
          </w:p>
        </w:tc>
      </w:tr>
    </w:tbl>
    <w:bookmarkEnd w:id="24"/>
    <w:bookmarkStart w:id="25" w:name="c.-financial-impact"/>
    <w:p>
      <w:pPr>
        <w:pStyle w:val="Heading3"/>
      </w:pPr>
      <w:r>
        <w:t xml:space="preserve">C. Financial Impact</w:t>
      </w:r>
    </w:p>
    <w:p>
      <w:pPr>
        <w:pStyle w:val="FirstParagraph"/>
      </w:pPr>
      <w:r>
        <w:t xml:space="preserve">Per the Financial Impact Analysis (base case, 5% annual Net Sales growth):</w:t>
      </w:r>
    </w:p>
    <w:p>
      <w:pPr>
        <w:pStyle w:val="Compact"/>
        <w:numPr>
          <w:ilvl w:val="0"/>
          <w:numId w:val="1004"/>
        </w:numPr>
      </w:pPr>
      <w:r>
        <w:rPr>
          <w:b/>
          <w:bCs/>
        </w:rPr>
        <w:t xml:space="preserve">Current terms:</w:t>
      </w:r>
      <w:r>
        <w:t xml:space="preserve"> </w:t>
      </w:r>
      <w:r>
        <w:t xml:space="preserve">FY 2025 royalty ~$9.58M, rising to ~$12.22M by FY 2030; cumulative 5-year royalty ~$55.1M.</w:t>
      </w:r>
    </w:p>
    <w:p>
      <w:pPr>
        <w:pStyle w:val="Compact"/>
        <w:numPr>
          <w:ilvl w:val="0"/>
          <w:numId w:val="1004"/>
        </w:numPr>
      </w:pPr>
      <w:r>
        <w:rPr>
          <w:b/>
          <w:bCs/>
        </w:rPr>
        <w:t xml:space="preserve">Proposed terms:</w:t>
      </w:r>
      <w:r>
        <w:t xml:space="preserve"> </w:t>
      </w:r>
      <w:r>
        <w:t xml:space="preserve">FY 2025 royalty ~$14.26M, rising to ~$18.20M by FY 2030; cumulative 5-year royalty ~$96.9M.</w:t>
      </w:r>
    </w:p>
    <w:p>
      <w:pPr>
        <w:pStyle w:val="Compact"/>
        <w:numPr>
          <w:ilvl w:val="0"/>
          <w:numId w:val="1004"/>
        </w:numPr>
      </w:pPr>
      <w:r>
        <w:rPr>
          <w:b/>
          <w:bCs/>
        </w:rPr>
        <w:t xml:space="preserve">Incremental cost:</w:t>
      </w:r>
      <w:r>
        <w:t xml:space="preserve"> </w:t>
      </w:r>
      <w:r>
        <w:t xml:space="preserve">~$4.7M/year,</w:t>
      </w:r>
      <w:r>
        <w:t xml:space="preserve"> </w:t>
      </w:r>
      <w:r>
        <w:rPr>
          <w:b/>
          <w:bCs/>
        </w:rPr>
        <w:t xml:space="preserve">cumulative 5-year incremental ~$31.8M</w:t>
      </w:r>
      <w:r>
        <w:t xml:space="preserve">.</w:t>
      </w:r>
    </w:p>
    <w:p>
      <w:pPr>
        <w:pStyle w:val="Compact"/>
        <w:numPr>
          <w:ilvl w:val="0"/>
          <w:numId w:val="1004"/>
        </w:numPr>
      </w:pPr>
      <w:r>
        <w:t xml:space="preserve">The proposed 6.25% is within the §14.3 nominal cap of 6.75% (150% × 4.5%). However, when the Net Sales redefinition is included, the</w:t>
      </w:r>
      <w:r>
        <w:t xml:space="preserve"> </w:t>
      </w:r>
      <w:r>
        <w:rPr>
          <w:b/>
          <w:bCs/>
        </w:rPr>
        <w:t xml:space="preserve">effective rate on the original Net Sales base is 6.70% — 148.9% of the current rate</w:t>
      </w:r>
      <w:r>
        <w:t xml:space="preserve">, barely within the 150% cap (see Section X.A). The Year-1 headline increase cited by NovaTrait (~$13.58M, +$4.46M) assumes constant sales; with growth, the burden compounds.</w:t>
      </w:r>
    </w:p>
    <w:bookmarkEnd w:id="25"/>
    <w:bookmarkStart w:id="26" w:name="d.-ip-and-leverage-analysis"/>
    <w:p>
      <w:pPr>
        <w:pStyle w:val="Heading3"/>
      </w:pPr>
      <w:r>
        <w:t xml:space="preserve">D. IP and Leverage Analysis</w:t>
      </w:r>
    </w:p>
    <w:p>
      <w:pPr>
        <w:pStyle w:val="FirstParagraph"/>
      </w:pPr>
      <w:r>
        <w:t xml:space="preserve">The Clarendon Report rates the License A portfolio</w:t>
      </w:r>
      <w:r>
        <w:t xml:space="preserve"> </w:t>
      </w:r>
      <w:r>
        <w:rPr>
          <w:b/>
          <w:bCs/>
        </w:rPr>
        <w:t xml:space="preserve">STRONG</w:t>
      </w:r>
      <w:r>
        <w:t xml:space="preserve"> </w:t>
      </w:r>
      <w:r>
        <w:t xml:space="preserve">but</w:t>
      </w:r>
      <w:r>
        <w:t xml:space="preserve"> </w:t>
      </w:r>
      <w:r>
        <w:rPr>
          <w:b/>
          <w:bCs/>
        </w:rPr>
        <w:t xml:space="preserve">declining over the renewal term</w:t>
      </w:r>
      <w:r>
        <w:t xml:space="preserve">:</w:t>
      </w:r>
    </w:p>
    <w:p>
      <w:pPr>
        <w:pStyle w:val="Compact"/>
        <w:numPr>
          <w:ilvl w:val="0"/>
          <w:numId w:val="1005"/>
        </w:numPr>
      </w:pPr>
      <w:r>
        <w:rPr>
          <w:b/>
          <w:bCs/>
        </w:rPr>
        <w:t xml:space="preserve">U.S. 9,234,117 is ~60% of the portfolio’s commercial value</w:t>
      </w:r>
      <w:r>
        <w:t xml:space="preserve"> </w:t>
      </w:r>
      <w:r>
        <w:t xml:space="preserve">and expires</w:t>
      </w:r>
      <w:r>
        <w:t xml:space="preserve"> </w:t>
      </w:r>
      <w:r>
        <w:rPr>
          <w:b/>
          <w:bCs/>
        </w:rPr>
        <w:t xml:space="preserve">March 12, 2028</w:t>
      </w:r>
      <w:r>
        <w:t xml:space="preserve"> </w:t>
      </w:r>
      <w:r>
        <w:t xml:space="preserve">— approximately the final two years of the proposed five-year renewal. Upon expiry, the core CRISPR editing methods enter the public domain; the residual portfolio (9,234,118; 9,651,002; 10,112,445) retains only ~35–40% of current aggregate value.</w:t>
      </w:r>
    </w:p>
    <w:p>
      <w:pPr>
        <w:pStyle w:val="Compact"/>
        <w:numPr>
          <w:ilvl w:val="0"/>
          <w:numId w:val="1005"/>
        </w:numPr>
      </w:pPr>
      <w:r>
        <w:rPr>
          <w:b/>
          <w:bCs/>
        </w:rPr>
        <w:t xml:space="preserve">Competing platforms are emerging.</w:t>
      </w:r>
      <w:r>
        <w:t xml:space="preserve"> </w:t>
      </w:r>
      <w:r>
        <w:t xml:space="preserve">Clarendon identified 47 third-party patent families; AgriGenome Solutions (7 improvement patents, expected in force through ~2037) and CropTech Innovations (4 base-editing applications) are positioned to offer viable alternative platforms once 9,234,117 expires. Clarendon projects at least two commercially viable alternatives by 2029–2030, exerting downward pressure on market rates (expected to fall to ≤3.5%).</w:t>
      </w:r>
    </w:p>
    <w:p>
      <w:pPr>
        <w:pStyle w:val="Compact"/>
        <w:numPr>
          <w:ilvl w:val="0"/>
          <w:numId w:val="1005"/>
        </w:numPr>
      </w:pPr>
      <w:r>
        <w:rPr>
          <w:b/>
          <w:bCs/>
        </w:rPr>
        <w:t xml:space="preserve">Current market royalty rates</w:t>
      </w:r>
      <w:r>
        <w:t xml:space="preserve"> </w:t>
      </w:r>
      <w:r>
        <w:t xml:space="preserve">for gene-editing platform licenses range 3.5–5.5% (median 4.0%, mean 4.33% per the Financial Impact Analysis’s eight comparable transactions). NovaTrait’s proposed 6.25% exceeds the market</w:t>
      </w:r>
      <w:r>
        <w:t xml:space="preserve"> </w:t>
      </w:r>
      <w:r>
        <w:rPr>
          <w:b/>
          <w:bCs/>
        </w:rPr>
        <w:t xml:space="preserve">high</w:t>
      </w:r>
      <w:r>
        <w:t xml:space="preserve">.</w:t>
      </w:r>
    </w:p>
    <w:p>
      <w:pPr>
        <w:pStyle w:val="Compact"/>
        <w:numPr>
          <w:ilvl w:val="0"/>
          <w:numId w:val="1005"/>
        </w:numPr>
      </w:pPr>
      <w:r>
        <w:rPr>
          <w:b/>
          <w:bCs/>
        </w:rPr>
        <w:t xml:space="preserve">Switching cost:</w:t>
      </w:r>
      <w:r>
        <w:t xml:space="preserve"> </w:t>
      </w:r>
      <w:r>
        <w:t xml:space="preserve">$16.65M–$23.6M direct (plus $8–15M opportunity cost); break-even 2.8–7.9 years. Switching is</w:t>
      </w:r>
      <w:r>
        <w:t xml:space="preserve"> </w:t>
      </w:r>
      <w:r>
        <w:rPr>
          <w:b/>
          <w:bCs/>
        </w:rPr>
        <w:t xml:space="preserve">not economically justified within the proposed 5-year term</w:t>
      </w:r>
      <w:r>
        <w:t xml:space="preserve">, but the analysis strengthens Greenfield’s leverage to negotiate the rate into the 5.0–5.5% range.</w:t>
      </w:r>
    </w:p>
    <w:bookmarkEnd w:id="26"/>
    <w:bookmarkStart w:id="27" w:name="e.-key-issues-and-recommended-positions"/>
    <w:p>
      <w:pPr>
        <w:pStyle w:val="Heading3"/>
      </w:pPr>
      <w:r>
        <w:t xml:space="preserve">E. Key Issues and Recommended Positions</w:t>
      </w:r>
    </w:p>
    <w:p>
      <w:pPr>
        <w:numPr>
          <w:ilvl w:val="0"/>
          <w:numId w:val="1006"/>
        </w:numPr>
      </w:pPr>
      <w:r>
        <w:rPr>
          <w:b/>
          <w:bCs/>
        </w:rPr>
        <w:t xml:space="preserve">Royalty rate and Net Sales redefinition (combined effect).</w:t>
      </w:r>
      <w:r>
        <w:t xml:space="preserve"> </w:t>
      </w:r>
      <w:r>
        <w:t xml:space="preserve">Greenfield should resist both the rate increase and the Net Sales redefinition. Recommended counter:</w:t>
      </w:r>
      <w:r>
        <w:t xml:space="preserve"> </w:t>
      </w:r>
      <w:r>
        <w:rPr>
          <w:b/>
          <w:bCs/>
        </w:rPr>
        <w:t xml:space="preserve">5.0% on the original Net Sales definition</w:t>
      </w:r>
      <w:r>
        <w:t xml:space="preserve">, or alternatively 4.75% on a redefined base. Greenfield should argue that the Net Sales redefinition is, in economic substance, a rate increase and that the combined effective rate (6.70%) must be measured against the §14.3 150% cap. Even if the nominal rate is within the cap, §14.3 requires any increase to be</w:t>
      </w:r>
      <w:r>
        <w:t xml:space="preserve"> </w:t>
      </w:r>
      <w:r>
        <w:t xml:space="preserve">“</w:t>
      </w:r>
      <w:r>
        <w:t xml:space="preserve">by mutual agreement</w:t>
      </w:r>
      <w:r>
        <w:t xml:space="preserve">”</w:t>
      </w:r>
      <w:r>
        <w:t xml:space="preserve"> </w:t>
      </w:r>
      <w:r>
        <w:t xml:space="preserve">— Greenfield is not obligated to accept any increase. If the combined effect is treated as exceeding 150%, an IFMV assessment is required; the 2020 Clarendon Report may serve as a starting point but should be updated.</w:t>
      </w:r>
    </w:p>
    <w:p>
      <w:pPr>
        <w:numPr>
          <w:ilvl w:val="0"/>
          <w:numId w:val="1006"/>
        </w:numPr>
      </w:pPr>
      <w:r>
        <w:rPr>
          <w:b/>
          <w:bCs/>
        </w:rPr>
        <w:t xml:space="preserve">Post-2028 royalty step-down.</w:t>
      </w:r>
      <w:r>
        <w:t xml:space="preserve"> </w:t>
      </w:r>
      <w:r>
        <w:t xml:space="preserve">A flat 6.25% across the full renewal term would have Greenfield overpaying for the final ~2 years, during which the foundational patent (60% of value) is expired. Greenfield should insist on a</w:t>
      </w:r>
      <w:r>
        <w:t xml:space="preserve"> </w:t>
      </w:r>
      <w:r>
        <w:rPr>
          <w:b/>
          <w:bCs/>
        </w:rPr>
        <w:t xml:space="preserve">step-down to ~2.0–3.5% effective March 12, 2028</w:t>
      </w:r>
      <w:r>
        <w:t xml:space="preserve">, reflecting the residual value of the improvement patents and know-how, consistent with Clarendon’s recommendation. This is the single most important economic term in the License A renewal.</w:t>
      </w:r>
    </w:p>
    <w:p>
      <w:pPr>
        <w:numPr>
          <w:ilvl w:val="0"/>
          <w:numId w:val="1006"/>
        </w:numPr>
      </w:pPr>
      <w:r>
        <w:rPr>
          <w:b/>
          <w:bCs/>
        </w:rPr>
        <w:t xml:space="preserve">Insect resistance removal.</w:t>
      </w:r>
      <w:r>
        <w:t xml:space="preserve"> </w:t>
      </w:r>
      <w:r>
        <w:t xml:space="preserve">NovaTrait proposes removing insect resistance from the Field of Use because it has granted an exclusive IR license to another company. IR is approximately</w:t>
      </w:r>
      <w:r>
        <w:t xml:space="preserve"> </w:t>
      </w:r>
      <w:r>
        <w:rPr>
          <w:b/>
          <w:bCs/>
        </w:rPr>
        <w:t xml:space="preserve">30% of License A revenue</w:t>
      </w:r>
      <w:r>
        <w:t xml:space="preserve">. This is a material narrowing, not a mere scope adjustment. Greenfield should</w:t>
      </w:r>
      <w:r>
        <w:t xml:space="preserve"> </w:t>
      </w:r>
      <w:r>
        <w:rPr>
          <w:b/>
          <w:bCs/>
        </w:rPr>
        <w:t xml:space="preserve">reject the removal</w:t>
      </w:r>
      <w:r>
        <w:t xml:space="preserve"> </w:t>
      </w:r>
      <w:r>
        <w:t xml:space="preserve">and seek to retain IR (and add wheat). NovaTrait has offered a</w:t>
      </w:r>
      <w:r>
        <w:t xml:space="preserve"> </w:t>
      </w:r>
      <w:r>
        <w:t xml:space="preserve">“</w:t>
      </w:r>
      <w:r>
        <w:t xml:space="preserve">separate, non-exclusive, transitional license with a finite sunset period</w:t>
      </w:r>
      <w:r>
        <w:t xml:space="preserve">”</w:t>
      </w:r>
      <w:r>
        <w:t xml:space="preserve"> </w:t>
      </w:r>
      <w:r>
        <w:t xml:space="preserve">for existing IR product lines; Greenfield should treat that only as a fallback and should not pay a premium for an expanded field (wheat) while surrendering an existing, revenue-generating field (IR).</w:t>
      </w:r>
    </w:p>
    <w:p>
      <w:pPr>
        <w:numPr>
          <w:ilvl w:val="0"/>
          <w:numId w:val="1006"/>
        </w:numPr>
      </w:pPr>
      <w:r>
        <w:rPr>
          <w:b/>
          <w:bCs/>
        </w:rPr>
        <w:t xml:space="preserve">Wheat addition — verify patent coverage.</w:t>
      </w:r>
      <w:r>
        <w:t xml:space="preserve"> </w:t>
      </w:r>
      <w:r>
        <w:t xml:space="preserve">Per Clarendon Recommendation 2, any field-of-use expansion must be evaluated against the actual scope of the underlying patents. The licensed patents may not include specific embodiments or data for wheat; if they do not block third-party competition in wheat, the</w:t>
      </w:r>
      <w:r>
        <w:t xml:space="preserve"> </w:t>
      </w:r>
      <w:r>
        <w:t xml:space="preserve">“</w:t>
      </w:r>
      <w:r>
        <w:t xml:space="preserve">expansion</w:t>
      </w:r>
      <w:r>
        <w:t xml:space="preserve">”</w:t>
      </w:r>
      <w:r>
        <w:t xml:space="preserve"> </w:t>
      </w:r>
      <w:r>
        <w:t xml:space="preserve">carries little incremental exclusivity value. Greenfield should require NovaTrait to demonstrate meaningful patent coverage of wheat before accepting any rate premium attributable to it.</w:t>
      </w:r>
    </w:p>
    <w:p>
      <w:pPr>
        <w:numPr>
          <w:ilvl w:val="0"/>
          <w:numId w:val="1006"/>
        </w:numPr>
      </w:pPr>
      <w:r>
        <w:rPr>
          <w:b/>
          <w:bCs/>
        </w:rPr>
        <w:t xml:space="preserve">Improvements — retain sole Greenfield ownership.</w:t>
      </w:r>
      <w:r>
        <w:t xml:space="preserve"> </w:t>
      </w:r>
      <w:r>
        <w:t xml:space="preserve">The proposed reversal to joint ownership, with a royalty-free, perpetual, irrevocable, sublicensable, transferable license to NovaTrait for</w:t>
      </w:r>
      <w:r>
        <w:t xml:space="preserve"> </w:t>
      </w:r>
      <w:r>
        <w:rPr>
          <w:b/>
          <w:bCs/>
        </w:rPr>
        <w:t xml:space="preserve">any purpose</w:t>
      </w:r>
      <w:r>
        <w:t xml:space="preserve"> </w:t>
      </w:r>
      <w:r>
        <w:t xml:space="preserve">(including within the Field of Use, which is currently prohibited), and only a non-exclusive, non-sublicensable, royalty-bearing license back to Greenfield for the Renewal Term, is a</w:t>
      </w:r>
      <w:r>
        <w:t xml:space="preserve"> </w:t>
      </w:r>
      <w:r>
        <w:rPr>
          <w:b/>
          <w:bCs/>
        </w:rPr>
        <w:t xml:space="preserve">major adverse change</w:t>
      </w:r>
      <w:r>
        <w:t xml:space="preserve">. It would strip Greenfield of ownership of its own platform improvements and grant NovaTrait a perpetual royalty-free right to exploit them — including against Greenfield’s own market. Greenfield should</w:t>
      </w:r>
      <w:r>
        <w:t xml:space="preserve"> </w:t>
      </w:r>
      <w:r>
        <w:rPr>
          <w:b/>
          <w:bCs/>
        </w:rPr>
        <w:t xml:space="preserve">retain sole ownership</w:t>
      </w:r>
      <w:r>
        <w:t xml:space="preserve"> </w:t>
      </w:r>
      <w:r>
        <w:t xml:space="preserve">of its improvements, with at most a non-exclusive license back to NovaTrait at a reduced royalty for use outside the Field of Use, consistent with the current §8.1 structure. This is a high-priority, likely non-negotiable term.</w:t>
      </w:r>
    </w:p>
    <w:p>
      <w:pPr>
        <w:numPr>
          <w:ilvl w:val="0"/>
          <w:numId w:val="1006"/>
        </w:numPr>
      </w:pPr>
      <w:r>
        <w:rPr>
          <w:b/>
          <w:bCs/>
        </w:rPr>
        <w:t xml:space="preserve">Sublicense pass-through.</w:t>
      </w:r>
      <w:r>
        <w:t xml:space="preserve"> </w:t>
      </w:r>
      <w:r>
        <w:t xml:space="preserve">The current 35% is already above the market median (comparables show 30–40%). The proposed increase to 50% is not justified. Recommended counter:</w:t>
      </w:r>
      <w:r>
        <w:t xml:space="preserve"> </w:t>
      </w:r>
      <w:r>
        <w:rPr>
          <w:b/>
          <w:bCs/>
        </w:rPr>
        <w:t xml:space="preserve">retain 35%</w:t>
      </w:r>
      <w:r>
        <w:t xml:space="preserve">, or accept 40% only with a volume discount above $2M of pass-through.</w:t>
      </w:r>
    </w:p>
    <w:p>
      <w:pPr>
        <w:numPr>
          <w:ilvl w:val="0"/>
          <w:numId w:val="1006"/>
        </w:numPr>
      </w:pPr>
      <w:r>
        <w:rPr>
          <w:b/>
          <w:bCs/>
        </w:rPr>
        <w:t xml:space="preserve">Anti-stacking offset — accept with modifications.</w:t>
      </w:r>
      <w:r>
        <w:t xml:space="preserve"> </w:t>
      </w:r>
      <w:r>
        <w:t xml:space="preserve">The proposed offset (50% of third-party FTO royalties creditable, capped at 25% of quarterly royalties) is genuinely beneficial and should be accepted in principle. Greenfield should seek to modify the floor from 4.75% of Net Sales to</w:t>
      </w:r>
      <w:r>
        <w:t xml:space="preserve"> </w:t>
      </w:r>
      <w:r>
        <w:rPr>
          <w:b/>
          <w:bCs/>
        </w:rPr>
        <w:t xml:space="preserve">75% of the calculated (not minimum) royalty</w:t>
      </w:r>
      <w:r>
        <w:t xml:space="preserve">, to preserve more of the offset’s utility.</w:t>
      </w:r>
    </w:p>
    <w:p>
      <w:pPr>
        <w:numPr>
          <w:ilvl w:val="0"/>
          <w:numId w:val="1006"/>
        </w:numPr>
      </w:pPr>
      <w:r>
        <w:rPr>
          <w:b/>
          <w:bCs/>
        </w:rPr>
        <w:t xml:space="preserve">Minimum annual royalty.</w:t>
      </w:r>
      <w:r>
        <w:t xml:space="preserve"> </w:t>
      </w:r>
      <w:r>
        <w:t xml:space="preserve">A doubling to $8.0M is not supported by the volume analysis (calculated royalties exceed the minimum in every projected year under all growth scenarios). Greenfield should seek a more modest increase (e.g., $5–6M) tied to the agreed rate.</w:t>
      </w:r>
    </w:p>
    <w:p>
      <w:r>
        <w:pict>
          <v:rect style="width:0;height:1.5pt" o:hralign="center" o:hrstd="t" o:hr="t"/>
        </w:pict>
      </w:r>
    </w:p>
    <w:bookmarkEnd w:id="27"/>
    <w:bookmarkEnd w:id="28"/>
    <w:bookmarkStart w:id="34" w:name="X0b53db5f84187e9bac5fb3ecb368393150472cc"/>
    <w:p>
      <w:pPr>
        <w:pStyle w:val="Heading2"/>
      </w:pPr>
      <w:r>
        <w:t xml:space="preserve">V. License B — TraitForge Plant Trait Expression Platform</w:t>
      </w:r>
    </w:p>
    <w:bookmarkStart w:id="29" w:name="a.-current-terms-summary-1"/>
    <w:p>
      <w:pPr>
        <w:pStyle w:val="Heading3"/>
      </w:pPr>
      <w:r>
        <w:t xml:space="preserve">A. Current Terms (Summary)</w:t>
      </w:r>
    </w:p>
    <w:p>
      <w:pPr>
        <w:pStyle w:val="Compact"/>
        <w:numPr>
          <w:ilvl w:val="0"/>
          <w:numId w:val="1007"/>
        </w:numPr>
      </w:pPr>
      <w:r>
        <w:rPr>
          <w:b/>
          <w:bCs/>
        </w:rPr>
        <w:t xml:space="preserve">Grant:</w:t>
      </w:r>
      <w:r>
        <w:t xml:space="preserve"> </w:t>
      </w:r>
      <w:r>
        <w:t xml:space="preserve">Exclusive for the first 3 years (through ~January 1, 2021), thereafter</w:t>
      </w:r>
      <w:r>
        <w:t xml:space="preserve"> </w:t>
      </w:r>
      <w:r>
        <w:rPr>
          <w:b/>
          <w:bCs/>
        </w:rPr>
        <w:t xml:space="preserve">non-exclusive</w:t>
      </w:r>
      <w:r>
        <w:t xml:space="preserve">, within the Field of Use (drought tolerance and nutrient uptake efficiency in corn, soybean, cotton) and Territory (Western Hemisphere) (§3.1–3.2).</w:t>
      </w:r>
    </w:p>
    <w:p>
      <w:pPr>
        <w:pStyle w:val="Compact"/>
        <w:numPr>
          <w:ilvl w:val="0"/>
          <w:numId w:val="1007"/>
        </w:numPr>
      </w:pPr>
      <w:r>
        <w:rPr>
          <w:b/>
          <w:bCs/>
        </w:rPr>
        <w:t xml:space="preserve">Royalty:</w:t>
      </w:r>
      <w:r>
        <w:t xml:space="preserve"> </w:t>
      </w:r>
      <w:r>
        <w:t xml:space="preserve">3.75% of Net Sales (§4.1); Minimum Annual Royalty $2.5M (§4.2).</w:t>
      </w:r>
      <w:r>
        <w:t xml:space="preserve"> </w:t>
      </w:r>
      <w:r>
        <w:rPr>
          <w:b/>
          <w:bCs/>
        </w:rPr>
        <w:t xml:space="preserve">No rate-cap provision.</w:t>
      </w:r>
    </w:p>
    <w:p>
      <w:pPr>
        <w:pStyle w:val="Compact"/>
        <w:numPr>
          <w:ilvl w:val="0"/>
          <w:numId w:val="1007"/>
        </w:numPr>
      </w:pPr>
      <w:r>
        <w:rPr>
          <w:b/>
          <w:bCs/>
        </w:rPr>
        <w:t xml:space="preserve">Sublicensing:</w:t>
      </w:r>
      <w:r>
        <w:t xml:space="preserve"> </w:t>
      </w:r>
      <w:r>
        <w:t xml:space="preserve">Permitted with NovaTrait’s prior written consent (§3.3).</w:t>
      </w:r>
      <w:r>
        <w:t xml:space="preserve"> </w:t>
      </w:r>
      <w:r>
        <w:rPr>
          <w:b/>
          <w:bCs/>
        </w:rPr>
        <w:t xml:space="preserve">No sublicensee royalty pass-through</w:t>
      </w:r>
      <w:r>
        <w:t xml:space="preserve"> </w:t>
      </w:r>
      <w:r>
        <w:t xml:space="preserve">is specified in the royalty article; the NovaTrait consent letter for Prairielands confirms</w:t>
      </w:r>
      <w:r>
        <w:t xml:space="preserve"> </w:t>
      </w:r>
      <w:r>
        <w:t xml:space="preserve">“</w:t>
      </w:r>
      <w:r>
        <w:t xml:space="preserve">the Master License does not currently require the remittance by Greenfield to NovaTrait of any portion of royalties received by Greenfield from sublicensees.</w:t>
      </w:r>
      <w:r>
        <w:t xml:space="preserve">”</w:t>
      </w:r>
    </w:p>
    <w:p>
      <w:pPr>
        <w:pStyle w:val="Compact"/>
        <w:numPr>
          <w:ilvl w:val="0"/>
          <w:numId w:val="1007"/>
        </w:numPr>
      </w:pPr>
      <w:r>
        <w:rPr>
          <w:b/>
          <w:bCs/>
        </w:rPr>
        <w:t xml:space="preserve">Improvements:</w:t>
      </w:r>
      <w:r>
        <w:t xml:space="preserve"> </w:t>
      </w:r>
      <w:r>
        <w:t xml:space="preserve">Greenfield solely owns Greenfield Improvements (with a non-exclusive, perpetual license back to NovaTrait at a commercially reasonable royalty); NovaTrait solely owns NovaTrait Improvements; Joint Improvements jointly owned (§6.2–6.4).</w:t>
      </w:r>
    </w:p>
    <w:p>
      <w:pPr>
        <w:pStyle w:val="Compact"/>
        <w:numPr>
          <w:ilvl w:val="0"/>
          <w:numId w:val="1007"/>
        </w:numPr>
      </w:pPr>
      <w:r>
        <w:rPr>
          <w:b/>
          <w:bCs/>
        </w:rPr>
        <w:t xml:space="preserve">Biological materials:</w:t>
      </w:r>
      <w:r>
        <w:t xml:space="preserve"> </w:t>
      </w:r>
      <w:r>
        <w:t xml:space="preserve">90-day Wind-Down Period during which Greenfield may continue use to fulfill in-process obligations, followed by return/destruction (§7.4).</w:t>
      </w:r>
    </w:p>
    <w:p>
      <w:pPr>
        <w:pStyle w:val="Compact"/>
        <w:numPr>
          <w:ilvl w:val="0"/>
          <w:numId w:val="1007"/>
        </w:numPr>
      </w:pPr>
      <w:r>
        <w:rPr>
          <w:b/>
          <w:bCs/>
        </w:rPr>
        <w:t xml:space="preserve">Standstill:</w:t>
      </w:r>
      <w:r>
        <w:t xml:space="preserve"> </w:t>
      </w:r>
      <w:r>
        <w:t xml:space="preserve">§12.6 — up to 180 days post-expiration during good-faith negotiations.</w:t>
      </w:r>
    </w:p>
    <w:p>
      <w:pPr>
        <w:pStyle w:val="Compact"/>
        <w:numPr>
          <w:ilvl w:val="0"/>
          <w:numId w:val="1007"/>
        </w:numPr>
      </w:pPr>
      <w:r>
        <w:rPr>
          <w:b/>
          <w:bCs/>
        </w:rPr>
        <w:t xml:space="preserve">Licensed patents:</w:t>
      </w:r>
      <w:r>
        <w:t xml:space="preserve"> </w:t>
      </w:r>
      <w:r>
        <w:t xml:space="preserve">U.S. 10,443,076 (exp. May 2, 2036), 10,443,077 (exp. May 2, 2036), 10,889,201 (exp. Jan. 15, 2038), plus foreign counterparts.</w:t>
      </w:r>
    </w:p>
    <w:p>
      <w:pPr>
        <w:pStyle w:val="Compact"/>
        <w:numPr>
          <w:ilvl w:val="0"/>
          <w:numId w:val="1007"/>
        </w:numPr>
      </w:pPr>
      <w:r>
        <w:rPr>
          <w:b/>
          <w:bCs/>
        </w:rPr>
        <w:t xml:space="preserve">FY 2024:</w:t>
      </w:r>
      <w:r>
        <w:t xml:space="preserve"> </w:t>
      </w:r>
      <w:r>
        <w:t xml:space="preserve">Net Sales $170.13M; royalty paid $6.38M (1.65% of Greenfield revenue).</w:t>
      </w:r>
    </w:p>
    <w:bookmarkEnd w:id="29"/>
    <w:bookmarkStart w:id="30" w:name="Xf5c893be5131a00f80e347e519342e97d0a028a"/>
    <w:p>
      <w:pPr>
        <w:pStyle w:val="Heading3"/>
      </w:pPr>
      <w:r>
        <w:t xml:space="preserve">B. Proposed Renewal Terms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Royalty rate (§4.1)</w:t>
            </w:r>
          </w:p>
        </w:tc>
        <w:tc>
          <w:tcPr/>
          <w:p>
            <w:pPr>
              <w:pStyle w:val="Compact"/>
              <w:jc w:val="left"/>
            </w:pPr>
            <w:r>
              <w:t xml:space="preserve">3.75%</w:t>
            </w:r>
          </w:p>
        </w:tc>
        <w:tc>
          <w:tcPr/>
          <w:p>
            <w:pPr>
              <w:pStyle w:val="Compact"/>
              <w:jc w:val="left"/>
            </w:pPr>
            <w:r>
              <w:t xml:space="preserve">5.0%</w:t>
            </w:r>
          </w:p>
        </w:tc>
        <w:tc>
          <w:tcPr/>
          <w:p>
            <w:pPr>
              <w:pStyle w:val="Compact"/>
              <w:jc w:val="left"/>
            </w:pPr>
            <w:r>
              <w:t xml:space="preserve">+33.3%</w:t>
            </w:r>
          </w:p>
        </w:tc>
        <w:tc>
          <w:tcPr/>
          <w:p>
            <w:pPr>
              <w:pStyle w:val="Compact"/>
              <w:jc w:val="left"/>
            </w:pPr>
            <w:r>
              <w:t xml:space="preserve">Above market high (4.5%); resist</w:t>
            </w:r>
          </w:p>
        </w:tc>
      </w:tr>
      <w:tr>
        <w:tc>
          <w:tcPr/>
          <w:p>
            <w:pPr>
              <w:pStyle w:val="Compact"/>
              <w:jc w:val="left"/>
            </w:pPr>
            <w:r>
              <w:t xml:space="preserve">Minimum annual royalty (§4.2)</w:t>
            </w:r>
          </w:p>
        </w:tc>
        <w:tc>
          <w:tcPr/>
          <w:p>
            <w:pPr>
              <w:pStyle w:val="Compact"/>
              <w:jc w:val="left"/>
            </w:pPr>
            <w:r>
              <w:t xml:space="preserve">$2.5M</w:t>
            </w:r>
          </w:p>
        </w:tc>
        <w:tc>
          <w:tcPr/>
          <w:p>
            <w:pPr>
              <w:pStyle w:val="Compact"/>
              <w:jc w:val="left"/>
            </w:pPr>
            <w:r>
              <w:t xml:space="preserve">$5.0M (quarterly $1.25M)</w:t>
            </w:r>
          </w:p>
        </w:tc>
        <w:tc>
          <w:tcPr/>
          <w:p>
            <w:pPr>
              <w:pStyle w:val="Compact"/>
              <w:jc w:val="left"/>
            </w:pPr>
            <w:r>
              <w:t xml:space="preserve">+100%</w:t>
            </w:r>
          </w:p>
        </w:tc>
        <w:tc>
          <w:tcPr/>
          <w:p>
            <w:pPr>
              <w:pStyle w:val="Compact"/>
              <w:jc w:val="left"/>
            </w:pPr>
            <w:r>
              <w:t xml:space="preserve">Aggressive; negotiate</w:t>
            </w:r>
          </w:p>
        </w:tc>
      </w:tr>
      <w:tr>
        <w:tc>
          <w:tcPr/>
          <w:p>
            <w:pPr>
              <w:pStyle w:val="Compact"/>
              <w:jc w:val="left"/>
            </w:pPr>
            <w:r>
              <w:t xml:space="preserve">Net Sales definition</w:t>
            </w:r>
          </w:p>
        </w:tc>
        <w:tc>
          <w:tcPr/>
          <w:p>
            <w:pPr>
              <w:pStyle w:val="Compact"/>
              <w:jc w:val="left"/>
            </w:pPr>
            <w:r>
              <w:t xml:space="preserve">Standard</w:t>
            </w:r>
          </w:p>
        </w:tc>
        <w:tc>
          <w:tcPr/>
          <w:p>
            <w:pPr>
              <w:pStyle w:val="Compact"/>
              <w:jc w:val="left"/>
            </w:pPr>
            <w:r>
              <w:t xml:space="preserve">Redefined (+6.8% base)</w:t>
            </w:r>
          </w:p>
        </w:tc>
        <w:tc>
          <w:tcPr/>
          <w:p>
            <w:pPr>
              <w:pStyle w:val="Compact"/>
              <w:jc w:val="left"/>
            </w:pPr>
            <w:r>
              <w:t xml:space="preserve">Narrowed</w:t>
            </w:r>
          </w:p>
        </w:tc>
        <w:tc>
          <w:tcPr/>
          <w:p>
            <w:pPr>
              <w:pStyle w:val="Compact"/>
              <w:jc w:val="left"/>
            </w:pPr>
            <w:r>
              <w:t xml:space="preserve">Resist (same as License A)</w:t>
            </w:r>
          </w:p>
        </w:tc>
      </w:tr>
      <w:tr>
        <w:tc>
          <w:tcPr/>
          <w:p>
            <w:pPr>
              <w:pStyle w:val="Compact"/>
              <w:jc w:val="left"/>
            </w:pPr>
            <w:r>
              <w:t xml:space="preserve">Field of use (§1.5)</w:t>
            </w:r>
          </w:p>
        </w:tc>
        <w:tc>
          <w:tcPr/>
          <w:p>
            <w:pPr>
              <w:pStyle w:val="Compact"/>
              <w:jc w:val="left"/>
            </w:pPr>
            <w:r>
              <w:t xml:space="preserve">Drought + nutrient uptake; corn/soy/cotton</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Territory</w:t>
            </w:r>
          </w:p>
        </w:tc>
        <w:tc>
          <w:tcPr/>
          <w:p>
            <w:pPr>
              <w:pStyle w:val="Compact"/>
              <w:jc w:val="left"/>
            </w:pPr>
            <w:r>
              <w:t xml:space="preserve">Western Hemisphere</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Audit (§5.2)</w:t>
            </w:r>
          </w:p>
        </w:tc>
        <w:tc>
          <w:tcPr/>
          <w:p>
            <w:pPr>
              <w:pStyle w:val="Compact"/>
              <w:jc w:val="left"/>
            </w:pPr>
            <w:r>
              <w:t xml:space="preserve">1x/year, 30 calendar days, 3-yr lookback</w:t>
            </w:r>
          </w:p>
        </w:tc>
        <w:tc>
          <w:tcPr/>
          <w:p>
            <w:pPr>
              <w:pStyle w:val="Compact"/>
              <w:jc w:val="left"/>
            </w:pPr>
            <w:r>
              <w:t xml:space="preserve">2x/year, 15 business days, 5-yr lookback</w:t>
            </w:r>
          </w:p>
        </w:tc>
        <w:tc>
          <w:tcPr/>
          <w:p>
            <w:pPr>
              <w:pStyle w:val="Compact"/>
              <w:jc w:val="left"/>
            </w:pPr>
            <w:r>
              <w:t xml:space="preserve">Expanded</w:t>
            </w:r>
          </w:p>
        </w:tc>
        <w:tc>
          <w:tcPr/>
          <w:p>
            <w:pPr>
              <w:pStyle w:val="Compact"/>
              <w:jc w:val="left"/>
            </w:pPr>
            <w:r>
              <w:t xml:space="preserve">Resist — compliance burden</w:t>
            </w:r>
          </w:p>
        </w:tc>
      </w:tr>
      <w:tr>
        <w:tc>
          <w:tcPr/>
          <w:p>
            <w:pPr>
              <w:pStyle w:val="Compact"/>
              <w:jc w:val="left"/>
            </w:pPr>
            <w:r>
              <w:t xml:space="preserve">Biological materials return (§7.4)</w:t>
            </w:r>
          </w:p>
        </w:tc>
        <w:tc>
          <w:tcPr/>
          <w:p>
            <w:pPr>
              <w:pStyle w:val="Compact"/>
              <w:jc w:val="left"/>
            </w:pPr>
            <w:r>
              <w:t xml:space="preserve">90-day wind-down</w:t>
            </w:r>
          </w:p>
        </w:tc>
        <w:tc>
          <w:tcPr/>
          <w:p>
            <w:pPr>
              <w:pStyle w:val="Compact"/>
              <w:jc w:val="left"/>
            </w:pPr>
            <w:r>
              <w:t xml:space="preserve">30-day return/destruction, no wind-down</w:t>
            </w:r>
          </w:p>
        </w:tc>
        <w:tc>
          <w:tcPr/>
          <w:p>
            <w:pPr>
              <w:pStyle w:val="Compact"/>
              <w:jc w:val="left"/>
            </w:pPr>
            <w:r>
              <w:rPr>
                <w:b/>
                <w:bCs/>
              </w:rPr>
              <w:t xml:space="preserve">Shortened</w:t>
            </w:r>
          </w:p>
        </w:tc>
        <w:tc>
          <w:tcPr/>
          <w:p>
            <w:pPr>
              <w:pStyle w:val="Compact"/>
              <w:jc w:val="left"/>
            </w:pPr>
            <w:r>
              <w:rPr>
                <w:b/>
                <w:bCs/>
              </w:rPr>
              <w:t xml:space="preserve">Operational risk — reject</w:t>
            </w:r>
          </w:p>
        </w:tc>
      </w:tr>
      <w:tr>
        <w:tc>
          <w:tcPr/>
          <w:p>
            <w:pPr>
              <w:pStyle w:val="Compact"/>
              <w:jc w:val="left"/>
            </w:pPr>
            <w:r>
              <w:t xml:space="preserve">Improvements (§6)</w:t>
            </w:r>
          </w:p>
        </w:tc>
        <w:tc>
          <w:tcPr/>
          <w:p>
            <w:pPr>
              <w:pStyle w:val="Compact"/>
              <w:jc w:val="left"/>
            </w:pPr>
            <w:r>
              <w:t xml:space="preserve">Greenfield-sole; license back at commercial royalty</w:t>
            </w:r>
          </w:p>
        </w:tc>
        <w:tc>
          <w:tcPr/>
          <w:p>
            <w:pPr>
              <w:pStyle w:val="Compact"/>
              <w:jc w:val="left"/>
            </w:pPr>
            <w:r>
              <w:t xml:space="preserve">Joint ownership; royalty-free license to NovaTrait</w:t>
            </w:r>
          </w:p>
        </w:tc>
        <w:tc>
          <w:tcPr/>
          <w:p>
            <w:pPr>
              <w:pStyle w:val="Compact"/>
              <w:jc w:val="left"/>
            </w:pPr>
            <w:r>
              <w:t xml:space="preserve">Modified</w:t>
            </w:r>
          </w:p>
        </w:tc>
        <w:tc>
          <w:tcPr/>
          <w:p>
            <w:pPr>
              <w:pStyle w:val="Compact"/>
              <w:jc w:val="left"/>
            </w:pPr>
            <w:r>
              <w:rPr>
                <w:b/>
                <w:bCs/>
              </w:rPr>
              <w:t xml:space="preserve">Reject — same as License A</w:t>
            </w:r>
          </w:p>
        </w:tc>
      </w:tr>
      <w:tr>
        <w:tc>
          <w:tcPr/>
          <w:p>
            <w:pPr>
              <w:pStyle w:val="Compact"/>
              <w:jc w:val="left"/>
            </w:pPr>
            <w:r>
              <w:t xml:space="preserve">Standstill (§12.6)</w:t>
            </w:r>
          </w:p>
        </w:tc>
        <w:tc>
          <w:tcPr/>
          <w:p>
            <w:pPr>
              <w:pStyle w:val="Compact"/>
              <w:jc w:val="left"/>
            </w:pPr>
            <w:r>
              <w:t xml:space="preserve">180 days</w:t>
            </w:r>
          </w:p>
        </w:tc>
        <w:tc>
          <w:tcPr/>
          <w:p>
            <w:pPr>
              <w:pStyle w:val="Compact"/>
              <w:jc w:val="left"/>
            </w:pPr>
            <w:r>
              <w:t xml:space="preserve">Retained 180 days</w:t>
            </w:r>
          </w:p>
        </w:tc>
        <w:tc>
          <w:tcPr/>
          <w:p>
            <w:pPr>
              <w:pStyle w:val="Compact"/>
              <w:jc w:val="left"/>
            </w:pPr>
            <w:r>
              <w:t xml:space="preserve">—</w:t>
            </w:r>
          </w:p>
        </w:tc>
        <w:tc>
          <w:tcPr/>
          <w:p>
            <w:pPr>
              <w:pStyle w:val="Compact"/>
              <w:jc w:val="left"/>
            </w:pPr>
            <w:r>
              <w:t xml:space="preserve">Acceptable; seek extension now</w:t>
            </w:r>
          </w:p>
        </w:tc>
      </w:tr>
      <w:tr>
        <w:tc>
          <w:tcPr/>
          <w:p>
            <w:pPr>
              <w:pStyle w:val="Compact"/>
              <w:jc w:val="left"/>
            </w:pPr>
            <w:r>
              <w:t xml:space="preserve">Term</w:t>
            </w:r>
          </w:p>
        </w:tc>
        <w:tc>
          <w:tcPr/>
          <w:p>
            <w:pPr>
              <w:pStyle w:val="Compact"/>
              <w:jc w:val="left"/>
            </w:pPr>
            <w:r>
              <w:t xml:space="preserve">7 years (ended 12/31/2024)</w:t>
            </w:r>
          </w:p>
        </w:tc>
        <w:tc>
          <w:tcPr/>
          <w:p>
            <w:pPr>
              <w:pStyle w:val="Compact"/>
              <w:jc w:val="left"/>
            </w:pPr>
            <w:r>
              <w:t xml:space="preserve">5 years (1/1/2025–12/31/2029)</w:t>
            </w:r>
          </w:p>
        </w:tc>
        <w:tc>
          <w:tcPr/>
          <w:p>
            <w:pPr>
              <w:pStyle w:val="Compact"/>
              <w:jc w:val="left"/>
            </w:pPr>
            <w:r>
              <w:t xml:space="preserve">Renewal</w:t>
            </w:r>
          </w:p>
        </w:tc>
        <w:tc>
          <w:tcPr/>
          <w:p>
            <w:pPr>
              <w:pStyle w:val="Compact"/>
              <w:jc w:val="left"/>
            </w:pPr>
            <w:r>
              <w:t xml:space="preserve">Acceptable; seek longest term</w:t>
            </w:r>
          </w:p>
        </w:tc>
      </w:tr>
      <w:tr>
        <w:tc>
          <w:tcPr/>
          <w:p>
            <w:pPr>
              <w:pStyle w:val="Compact"/>
              <w:jc w:val="left"/>
            </w:pPr>
            <w:r>
              <w:t xml:space="preserve">Prairielands pass-through</w:t>
            </w:r>
          </w:p>
        </w:tc>
        <w:tc>
          <w:tcPr/>
          <w:p>
            <w:pPr>
              <w:pStyle w:val="Compact"/>
              <w:jc w:val="left"/>
            </w:pPr>
            <w:r>
              <w:t xml:space="preserve">None</w:t>
            </w:r>
          </w:p>
        </w:tc>
        <w:tc>
          <w:tcPr/>
          <w:p>
            <w:pPr>
              <w:pStyle w:val="Compact"/>
              <w:jc w:val="left"/>
            </w:pPr>
            <w:r>
              <w:t xml:space="preserve">40% (per Financial Impact Analysis)</w:t>
            </w:r>
          </w:p>
        </w:tc>
        <w:tc>
          <w:tcPr/>
          <w:p>
            <w:pPr>
              <w:pStyle w:val="Compact"/>
              <w:jc w:val="left"/>
            </w:pPr>
            <w:r>
              <w:rPr>
                <w:b/>
                <w:bCs/>
              </w:rPr>
              <w:t xml:space="preserve">New</w:t>
            </w:r>
          </w:p>
        </w:tc>
        <w:tc>
          <w:tcPr/>
          <w:p>
            <w:pPr>
              <w:pStyle w:val="Compact"/>
              <w:jc w:val="left"/>
            </w:pPr>
            <w:r>
              <w:rPr>
                <w:b/>
                <w:bCs/>
              </w:rPr>
              <w:t xml:space="preserve">Resist — new cost where none exists</w:t>
            </w:r>
          </w:p>
        </w:tc>
      </w:tr>
    </w:tbl>
    <w:bookmarkEnd w:id="30"/>
    <w:bookmarkStart w:id="31" w:name="c.-financial-impact-1"/>
    <w:p>
      <w:pPr>
        <w:pStyle w:val="Heading3"/>
      </w:pPr>
      <w:r>
        <w:t xml:space="preserve">C. Financial Impact</w:t>
      </w:r>
    </w:p>
    <w:p>
      <w:pPr>
        <w:pStyle w:val="FirstParagraph"/>
      </w:pPr>
      <w:r>
        <w:t xml:space="preserve">Per the Financial Impact Analysis (base case, 4% annual Net Sales growth):</w:t>
      </w:r>
    </w:p>
    <w:p>
      <w:pPr>
        <w:pStyle w:val="Compact"/>
        <w:numPr>
          <w:ilvl w:val="0"/>
          <w:numId w:val="1008"/>
        </w:numPr>
      </w:pPr>
      <w:r>
        <w:rPr>
          <w:b/>
          <w:bCs/>
        </w:rPr>
        <w:t xml:space="preserve">Current terms:</w:t>
      </w:r>
      <w:r>
        <w:t xml:space="preserve"> </w:t>
      </w:r>
      <w:r>
        <w:t xml:space="preserve">FY 2025 royalty ~$6.64M, rising to ~$7.76M by FY 2029; cumulative 5-year ~$35.9M.</w:t>
      </w:r>
    </w:p>
    <w:p>
      <w:pPr>
        <w:pStyle w:val="Compact"/>
        <w:numPr>
          <w:ilvl w:val="0"/>
          <w:numId w:val="1008"/>
        </w:numPr>
      </w:pPr>
      <w:r>
        <w:rPr>
          <w:b/>
          <w:bCs/>
        </w:rPr>
        <w:t xml:space="preserve">Proposed terms (direct royalty):</w:t>
      </w:r>
      <w:r>
        <w:t xml:space="preserve"> </w:t>
      </w:r>
      <w:r>
        <w:t xml:space="preserve">FY 2025 ~$9.45M, rising to ~$11.05M by FY 2029; cumulative 5-year ~$51.2M.</w:t>
      </w:r>
    </w:p>
    <w:p>
      <w:pPr>
        <w:pStyle w:val="Compact"/>
        <w:numPr>
          <w:ilvl w:val="0"/>
          <w:numId w:val="1008"/>
        </w:numPr>
      </w:pPr>
      <w:r>
        <w:rPr>
          <w:b/>
          <w:bCs/>
        </w:rPr>
        <w:t xml:space="preserve">Direct incremental:</w:t>
      </w:r>
      <w:r>
        <w:t xml:space="preserve"> </w:t>
      </w:r>
      <w:r>
        <w:t xml:space="preserve">~$2.8–3.3M/year; cumulative 5-year direct incremental ~$15.3M.</w:t>
      </w:r>
    </w:p>
    <w:p>
      <w:pPr>
        <w:pStyle w:val="Compact"/>
        <w:numPr>
          <w:ilvl w:val="0"/>
          <w:numId w:val="1008"/>
        </w:numPr>
      </w:pPr>
      <w:r>
        <w:rPr>
          <w:b/>
          <w:bCs/>
        </w:rPr>
        <w:t xml:space="preserve">Prairielands pass-through (new):</w:t>
      </w:r>
      <w:r>
        <w:t xml:space="preserve"> </w:t>
      </w:r>
      <w:r>
        <w:t xml:space="preserve">Estimated Prairielands sublicense revenue ~$12.5M (FY 2025) growing at 4%; a 40% pass-through yields ~$5.0M in FY 2025, rising to ~$5.8M by FY 2029; cumulative 5-year ~$27.0M of</w:t>
      </w:r>
      <w:r>
        <w:t xml:space="preserve"> </w:t>
      </w:r>
      <w:r>
        <w:rPr>
          <w:b/>
          <w:bCs/>
        </w:rPr>
        <w:t xml:space="preserve">entirely new</w:t>
      </w:r>
      <w:r>
        <w:t xml:space="preserve"> </w:t>
      </w:r>
      <w:r>
        <w:t xml:space="preserve">cost.</w:t>
      </w:r>
    </w:p>
    <w:p>
      <w:pPr>
        <w:pStyle w:val="Compact"/>
        <w:numPr>
          <w:ilvl w:val="0"/>
          <w:numId w:val="1008"/>
        </w:numPr>
      </w:pPr>
      <w:r>
        <w:rPr>
          <w:b/>
          <w:bCs/>
        </w:rPr>
        <w:t xml:space="preserve">Total License B incremental (direct + Prairielands):</w:t>
      </w:r>
      <w:r>
        <w:t xml:space="preserve"> </w:t>
      </w:r>
      <w:r>
        <w:t xml:space="preserve">~$7.8M in FY 2025, rising to ~$9.1M by FY 2029;</w:t>
      </w:r>
      <w:r>
        <w:t xml:space="preserve"> </w:t>
      </w:r>
      <w:r>
        <w:rPr>
          <w:b/>
          <w:bCs/>
        </w:rPr>
        <w:t xml:space="preserve">cumulative 5-year total incremental ~$42.3M</w:t>
      </w:r>
      <w:r>
        <w:t xml:space="preserve"> </w:t>
      </w:r>
      <w:r>
        <w:t xml:space="preserve">— the largest single source of new cost in the Proposal.</w:t>
      </w:r>
    </w:p>
    <w:bookmarkEnd w:id="31"/>
    <w:bookmarkStart w:id="32" w:name="d.-ip-and-leverage-analysis-1"/>
    <w:p>
      <w:pPr>
        <w:pStyle w:val="Heading3"/>
      </w:pPr>
      <w:r>
        <w:t xml:space="preserve">D. IP and Leverage Analysis</w:t>
      </w:r>
    </w:p>
    <w:p>
      <w:pPr>
        <w:pStyle w:val="FirstParagraph"/>
      </w:pPr>
      <w:r>
        <w:t xml:space="preserve">The Clarendon Report rates the TraitForge portfolio</w:t>
      </w:r>
      <w:r>
        <w:t xml:space="preserve"> </w:t>
      </w:r>
      <w:r>
        <w:rPr>
          <w:b/>
          <w:bCs/>
        </w:rPr>
        <w:t xml:space="preserve">VERY STRONG</w:t>
      </w:r>
      <w:r>
        <w:t xml:space="preserve"> </w:t>
      </w:r>
      <w:r>
        <w:t xml:space="preserve">and Greenfield’s renewal risk</w:t>
      </w:r>
      <w:r>
        <w:t xml:space="preserve"> </w:t>
      </w:r>
      <w:r>
        <w:rPr>
          <w:b/>
          <w:bCs/>
        </w:rPr>
        <w:t xml:space="preserve">HIGH (irreplaceable)</w:t>
      </w:r>
      <w:r>
        <w:t xml:space="preserve">:</w:t>
      </w:r>
    </w:p>
    <w:p>
      <w:pPr>
        <w:pStyle w:val="Compact"/>
        <w:numPr>
          <w:ilvl w:val="0"/>
          <w:numId w:val="1009"/>
        </w:numPr>
      </w:pPr>
      <w:r>
        <w:rPr>
          <w:b/>
          <w:bCs/>
        </w:rPr>
        <w:t xml:space="preserve">No commercial alternatives</w:t>
      </w:r>
      <w:r>
        <w:t xml:space="preserve"> </w:t>
      </w:r>
      <w:r>
        <w:t xml:space="preserve">were identified. The proprietary promoter-enhancer system (U.S. 10,443,076) and multi-gene expression cassette (10,443,077) have no equivalent in the patent literature or marketplace; no viable design-around exists in the near or medium term.</w:t>
      </w:r>
    </w:p>
    <w:p>
      <w:pPr>
        <w:pStyle w:val="Compact"/>
        <w:numPr>
          <w:ilvl w:val="0"/>
          <w:numId w:val="1009"/>
        </w:numPr>
      </w:pPr>
      <w:r>
        <w:rPr>
          <w:b/>
          <w:bCs/>
        </w:rPr>
        <w:t xml:space="preserve">Internal development</w:t>
      </w:r>
      <w:r>
        <w:t xml:space="preserve"> </w:t>
      </w:r>
      <w:r>
        <w:t xml:space="preserve">would require 3–4 years and $24.3M–$33.7M (R&amp;D, field trials, regulatory, IP clearance), with no guarantee of success, plus $15–25M of revenue at risk during the gap and $5–8M of Prairielands disruption.</w:t>
      </w:r>
    </w:p>
    <w:p>
      <w:pPr>
        <w:pStyle w:val="Compact"/>
        <w:numPr>
          <w:ilvl w:val="0"/>
          <w:numId w:val="1009"/>
        </w:numPr>
      </w:pPr>
      <w:r>
        <w:rPr>
          <w:b/>
          <w:bCs/>
        </w:rPr>
        <w:t xml:space="preserve">Patent terms extend through 2036–2038</w:t>
      </w:r>
      <w:r>
        <w:t xml:space="preserve"> </w:t>
      </w:r>
      <w:r>
        <w:t xml:space="preserve">— well beyond any plausible renewal period — so the exclusivity does not decay during the renewal term (unlike License A).</w:t>
      </w:r>
    </w:p>
    <w:p>
      <w:pPr>
        <w:pStyle w:val="Compact"/>
        <w:numPr>
          <w:ilvl w:val="0"/>
          <w:numId w:val="1009"/>
        </w:numPr>
      </w:pPr>
      <w:r>
        <w:rPr>
          <w:b/>
          <w:bCs/>
        </w:rPr>
        <w:t xml:space="preserve">Market royalty rates</w:t>
      </w:r>
      <w:r>
        <w:t xml:space="preserve"> </w:t>
      </w:r>
      <w:r>
        <w:t xml:space="preserve">for trait-expression platforms range 3.0–4.5% (median 3.25%, mean 3.58%). NovaTrait’s proposed 5.0% exceeds the market</w:t>
      </w:r>
      <w:r>
        <w:t xml:space="preserve"> </w:t>
      </w:r>
      <w:r>
        <w:rPr>
          <w:b/>
          <w:bCs/>
        </w:rPr>
        <w:t xml:space="preserve">high</w:t>
      </w:r>
      <w:r>
        <w:t xml:space="preserve">.</w:t>
      </w:r>
    </w:p>
    <w:p>
      <w:pPr>
        <w:pStyle w:val="FirstParagraph"/>
      </w:pPr>
      <w:r>
        <w:rPr>
          <w:b/>
          <w:bCs/>
        </w:rPr>
        <w:t xml:space="preserve">Strategic implication:</w:t>
      </w:r>
      <w:r>
        <w:t xml:space="preserve"> </w:t>
      </w:r>
      <w:r>
        <w:t xml:space="preserve">NovaTrait possesses substantial leverage on License B, and Greenfield’s position is best served by</w:t>
      </w:r>
      <w:r>
        <w:t xml:space="preserve"> </w:t>
      </w:r>
      <w:r>
        <w:rPr>
          <w:b/>
          <w:bCs/>
        </w:rPr>
        <w:t xml:space="preserve">securing a long renewal term to lock in rates</w:t>
      </w:r>
      <w:r>
        <w:t xml:space="preserve"> </w:t>
      </w:r>
      <w:r>
        <w:t xml:space="preserve">before further increases can be sought. However, the proposed rate is above market and should be challenged with comparables. Greenfield’s leverage is concentrated on (a) the rate (above market), (b) operational terms (biological-materials wind-down, audit), and (c) the new Prairielands pass-through.</w:t>
      </w:r>
    </w:p>
    <w:bookmarkEnd w:id="32"/>
    <w:bookmarkStart w:id="33" w:name="X4a2705118060d8fb1f520725cab0ae6fc7cf39e"/>
    <w:p>
      <w:pPr>
        <w:pStyle w:val="Heading3"/>
      </w:pPr>
      <w:r>
        <w:t xml:space="preserve">E. Key Issues and Recommended Positions</w:t>
      </w:r>
    </w:p>
    <w:p>
      <w:pPr>
        <w:numPr>
          <w:ilvl w:val="0"/>
          <w:numId w:val="1010"/>
        </w:numPr>
      </w:pPr>
      <w:r>
        <w:rPr>
          <w:b/>
          <w:bCs/>
        </w:rPr>
        <w:t xml:space="preserve">Royalty rate.</w:t>
      </w:r>
      <w:r>
        <w:t xml:space="preserve"> </w:t>
      </w:r>
      <w:r>
        <w:t xml:space="preserve">Recommended counter:</w:t>
      </w:r>
      <w:r>
        <w:t xml:space="preserve"> </w:t>
      </w:r>
      <w:r>
        <w:rPr>
          <w:b/>
          <w:bCs/>
        </w:rPr>
        <w:t xml:space="preserve">4.25% on the original Net Sales definition</w:t>
      </w:r>
      <w:r>
        <w:t xml:space="preserve"> </w:t>
      </w:r>
      <w:r>
        <w:t xml:space="preserve">(within the market range of 3.0–4.5%, acknowledging the platform’s irreplaceability). Reject the Net Sales redefinition.</w:t>
      </w:r>
    </w:p>
    <w:p>
      <w:pPr>
        <w:numPr>
          <w:ilvl w:val="0"/>
          <w:numId w:val="1010"/>
        </w:numPr>
      </w:pPr>
      <w:r>
        <w:rPr>
          <w:b/>
          <w:bCs/>
        </w:rPr>
        <w:t xml:space="preserve">Biological materials return — retain wind-down.</w:t>
      </w:r>
      <w:r>
        <w:t xml:space="preserve"> </w:t>
      </w:r>
      <w:r>
        <w:t xml:space="preserve">The proposed 30-day return/destruction with no wind-down is operationally untenable: it would force abandonment of in-process breeding programs and field trials and would disrupt the Prairielands sublicense. Greenfield should insist on retaining the</w:t>
      </w:r>
      <w:r>
        <w:t xml:space="preserve"> </w:t>
      </w:r>
      <w:r>
        <w:rPr>
          <w:b/>
          <w:bCs/>
        </w:rPr>
        <w:t xml:space="preserve">90-day wind-down</w:t>
      </w:r>
      <w:r>
        <w:t xml:space="preserve"> </w:t>
      </w:r>
      <w:r>
        <w:t xml:space="preserve">(and ideally seek 180 days) with the right to continue use of remaining materials in ongoing trials, consistent with market comparable 5 (180-day wind-down).</w:t>
      </w:r>
    </w:p>
    <w:p>
      <w:pPr>
        <w:numPr>
          <w:ilvl w:val="0"/>
          <w:numId w:val="1010"/>
        </w:numPr>
      </w:pPr>
      <w:r>
        <w:rPr>
          <w:b/>
          <w:bCs/>
        </w:rPr>
        <w:t xml:space="preserve">Audit rights.</w:t>
      </w:r>
      <w:r>
        <w:t xml:space="preserve"> </w:t>
      </w:r>
      <w:r>
        <w:t xml:space="preserve">The proposed doubling to 2x/year with 15 business days’ notice and a 5-year lookback materially increases compliance burden and is more aggressive than market norms. Recommended counter:</w:t>
      </w:r>
      <w:r>
        <w:t xml:space="preserve"> </w:t>
      </w:r>
      <w:r>
        <w:rPr>
          <w:b/>
          <w:bCs/>
        </w:rPr>
        <w:t xml:space="preserve">retain 1x/year</w:t>
      </w:r>
      <w:r>
        <w:t xml:space="preserve">, with at most a concession to 20 business days’ notice and a 3-year lookback.</w:t>
      </w:r>
    </w:p>
    <w:p>
      <w:pPr>
        <w:numPr>
          <w:ilvl w:val="0"/>
          <w:numId w:val="1010"/>
        </w:numPr>
      </w:pPr>
      <w:r>
        <w:rPr>
          <w:b/>
          <w:bCs/>
        </w:rPr>
        <w:t xml:space="preserve">Prairielands pass-through — resist the new cost.</w:t>
      </w:r>
      <w:r>
        <w:t xml:space="preserve"> </w:t>
      </w:r>
      <w:r>
        <w:t xml:space="preserve">There is currently</w:t>
      </w:r>
      <w:r>
        <w:t xml:space="preserve"> </w:t>
      </w:r>
      <w:r>
        <w:rPr>
          <w:b/>
          <w:bCs/>
        </w:rPr>
        <w:t xml:space="preserve">no pass-through obligation</w:t>
      </w:r>
      <w:r>
        <w:t xml:space="preserve"> </w:t>
      </w:r>
      <w:r>
        <w:t xml:space="preserve">on the Prairielands sublicense; Greenfield retains 100% of the 2.0% Prairielands royalty. Introducing a 40% pass-through would transfer ~$5M/year (and ~$27M over five years) to NovaTrait — a wholly new cost. Recommended counter:</w:t>
      </w:r>
      <w:r>
        <w:t xml:space="preserve"> </w:t>
      </w:r>
      <w:r>
        <w:rPr>
          <w:b/>
          <w:bCs/>
        </w:rPr>
        <w:t xml:space="preserve">20% pass-through with a 12-month implementation period</w:t>
      </w:r>
      <w:r>
        <w:t xml:space="preserve">, or resist entirely and treat any pass-through as a concession to be traded against rate concessions.</w:t>
      </w:r>
    </w:p>
    <w:p>
      <w:pPr>
        <w:numPr>
          <w:ilvl w:val="0"/>
          <w:numId w:val="1010"/>
        </w:numPr>
      </w:pPr>
      <w:r>
        <w:rPr>
          <w:b/>
          <w:bCs/>
        </w:rPr>
        <w:t xml:space="preserve">Improvements — retain sole Greenfield ownership.</w:t>
      </w:r>
      <w:r>
        <w:t xml:space="preserve"> </w:t>
      </w:r>
      <w:r>
        <w:t xml:space="preserve">Same position as License A: reject joint ownership with royalty-free grant-back; retain sole ownership of Greenfield improvements with a non-exclusive license back to NovaTrait at a commercial royalty for use outside the Field of Use.</w:t>
      </w:r>
    </w:p>
    <w:p>
      <w:pPr>
        <w:numPr>
          <w:ilvl w:val="0"/>
          <w:numId w:val="1010"/>
        </w:numPr>
      </w:pPr>
      <w:r>
        <w:rPr>
          <w:b/>
          <w:bCs/>
        </w:rPr>
        <w:t xml:space="preserve">Term — seek the longest available.</w:t>
      </w:r>
      <w:r>
        <w:t xml:space="preserve"> </w:t>
      </w:r>
      <w:r>
        <w:t xml:space="preserve">Given the irreplaceability and the long patent terms, Greenfield should seek the longest renewal term available (the Proposal offers 5 years plus a 3-year option) to lock in rates before NovaTrait can seek further increases. Greenfield should also preserve the §12.6 standstill for future renewals.</w:t>
      </w:r>
    </w:p>
    <w:p>
      <w:pPr>
        <w:numPr>
          <w:ilvl w:val="0"/>
          <w:numId w:val="1010"/>
        </w:numPr>
      </w:pPr>
      <w:r>
        <w:rPr>
          <w:b/>
          <w:bCs/>
        </w:rPr>
        <w:t xml:space="preserve">Standstill extension — immediate priority.</w:t>
      </w:r>
      <w:r>
        <w:t xml:space="preserve"> </w:t>
      </w:r>
      <w:r>
        <w:t xml:space="preserve">As noted in Section III, Greenfield must secure a written standstill extension beyond June 29, 2025 (target: December 31, 2025) before any other term is finalized.</w:t>
      </w:r>
    </w:p>
    <w:p>
      <w:r>
        <w:pict>
          <v:rect style="width:0;height:1.5pt" o:hralign="center" o:hrstd="t" o:hr="t"/>
        </w:pict>
      </w:r>
    </w:p>
    <w:bookmarkEnd w:id="33"/>
    <w:bookmarkEnd w:id="34"/>
    <w:bookmarkStart w:id="40" w:name="Xc1e5179dc691e273bf5c296138a8c2f42805751"/>
    <w:p>
      <w:pPr>
        <w:pStyle w:val="Heading2"/>
      </w:pPr>
      <w:r>
        <w:t xml:space="preserve">VI. License C — GenoMap Pro Software License</w:t>
      </w:r>
    </w:p>
    <w:bookmarkStart w:id="35" w:name="a.-current-terms-summary-2"/>
    <w:p>
      <w:pPr>
        <w:pStyle w:val="Heading3"/>
      </w:pPr>
      <w:r>
        <w:t xml:space="preserve">A. Current Terms (Summary)</w:t>
      </w:r>
    </w:p>
    <w:p>
      <w:pPr>
        <w:pStyle w:val="Compact"/>
        <w:numPr>
          <w:ilvl w:val="0"/>
          <w:numId w:val="1011"/>
        </w:numPr>
      </w:pPr>
      <w:r>
        <w:rPr>
          <w:b/>
          <w:bCs/>
        </w:rPr>
        <w:t xml:space="preserve">Grant:</w:t>
      </w:r>
      <w:r>
        <w:t xml:space="preserve"> </w:t>
      </w:r>
      <w:r>
        <w:t xml:space="preserve">Non-exclusive, non-transferable license for internal business purposes (genomic analysis, trait mapping, product development) (§2.1).</w:t>
      </w:r>
      <w:r>
        <w:t xml:space="preserve"> </w:t>
      </w:r>
      <w:r>
        <w:rPr>
          <w:b/>
          <w:bCs/>
        </w:rPr>
        <w:t xml:space="preserve">No sublicensing</w:t>
      </w:r>
      <w:r>
        <w:t xml:space="preserve"> </w:t>
      </w:r>
      <w:r>
        <w:t xml:space="preserve">(§2.4).</w:t>
      </w:r>
    </w:p>
    <w:p>
      <w:pPr>
        <w:pStyle w:val="Compact"/>
        <w:numPr>
          <w:ilvl w:val="0"/>
          <w:numId w:val="1011"/>
        </w:numPr>
      </w:pPr>
      <w:r>
        <w:rPr>
          <w:b/>
          <w:bCs/>
        </w:rPr>
        <w:t xml:space="preserve">Fee:</w:t>
      </w:r>
      <w:r>
        <w:t xml:space="preserve"> </w:t>
      </w:r>
      <w:r>
        <w:t xml:space="preserve">Flat $3.14M/year, payable quarterly ($785,000) (§4.1–4.2). No usage-based component.</w:t>
      </w:r>
      <w:r>
        <w:t xml:space="preserve"> </w:t>
      </w:r>
      <w:r>
        <w:rPr>
          <w:b/>
          <w:bCs/>
        </w:rPr>
        <w:t xml:space="preserve">73 named users</w:t>
      </w:r>
      <w:r>
        <w:t xml:space="preserve">, no cap.</w:t>
      </w:r>
    </w:p>
    <w:p>
      <w:pPr>
        <w:pStyle w:val="Compact"/>
        <w:numPr>
          <w:ilvl w:val="0"/>
          <w:numId w:val="1011"/>
        </w:numPr>
      </w:pPr>
      <w:r>
        <w:rPr>
          <w:b/>
          <w:bCs/>
        </w:rPr>
        <w:t xml:space="preserve">Source code:</w:t>
      </w:r>
      <w:r>
        <w:t xml:space="preserve"> </w:t>
      </w:r>
      <w:r>
        <w:t xml:space="preserve">Greenfield has</w:t>
      </w:r>
      <w:r>
        <w:t xml:space="preserve"> </w:t>
      </w:r>
      <w:r>
        <w:rPr>
          <w:b/>
          <w:bCs/>
        </w:rPr>
        <w:t xml:space="preserve">full source-code access</w:t>
      </w:r>
      <w:r>
        <w:t xml:space="preserve"> </w:t>
      </w:r>
      <w:r>
        <w:t xml:space="preserve">for internal modification; Licensee Modifications owned by Greenfield, with a royalty-free license back to NovaTrait (§5.2). Source-code escrow with release conditions (§5.3).</w:t>
      </w:r>
    </w:p>
    <w:p>
      <w:pPr>
        <w:pStyle w:val="Compact"/>
        <w:numPr>
          <w:ilvl w:val="0"/>
          <w:numId w:val="1011"/>
        </w:numPr>
      </w:pPr>
      <w:r>
        <w:rPr>
          <w:b/>
          <w:bCs/>
        </w:rPr>
        <w:t xml:space="preserve">Data:</w:t>
      </w:r>
      <w:r>
        <w:t xml:space="preserve"> </w:t>
      </w:r>
      <w:r>
        <w:t xml:space="preserve">Input Data owned by Greenfield (§9.2).</w:t>
      </w:r>
      <w:r>
        <w:t xml:space="preserve"> </w:t>
      </w:r>
      <w:r>
        <w:rPr>
          <w:b/>
          <w:bCs/>
        </w:rPr>
        <w:t xml:space="preserve">Derivative Data ownership is silent.</w:t>
      </w:r>
    </w:p>
    <w:p>
      <w:pPr>
        <w:pStyle w:val="Compact"/>
        <w:numPr>
          <w:ilvl w:val="0"/>
          <w:numId w:val="1011"/>
        </w:numPr>
      </w:pPr>
      <w:r>
        <w:rPr>
          <w:b/>
          <w:bCs/>
        </w:rPr>
        <w:t xml:space="preserve">Version:</w:t>
      </w:r>
      <w:r>
        <w:t xml:space="preserve"> </w:t>
      </w:r>
      <w:r>
        <w:t xml:space="preserve">Version 4.x; Minor Updates included; Major Version Upgrades (5.x) not included (§6).</w:t>
      </w:r>
    </w:p>
    <w:p>
      <w:pPr>
        <w:pStyle w:val="Compact"/>
        <w:numPr>
          <w:ilvl w:val="0"/>
          <w:numId w:val="1011"/>
        </w:numPr>
      </w:pPr>
      <w:r>
        <w:rPr>
          <w:b/>
          <w:bCs/>
        </w:rPr>
        <w:t xml:space="preserve">Liability cap:</w:t>
      </w:r>
      <w:r>
        <w:t xml:space="preserve"> </w:t>
      </w:r>
      <w:r>
        <w:t xml:space="preserve">12 months of fees ($3.14M) (§12.2).</w:t>
      </w:r>
    </w:p>
    <w:p>
      <w:pPr>
        <w:pStyle w:val="Compact"/>
        <w:numPr>
          <w:ilvl w:val="0"/>
          <w:numId w:val="1011"/>
        </w:numPr>
      </w:pPr>
      <w:r>
        <w:rPr>
          <w:b/>
          <w:bCs/>
        </w:rPr>
        <w:t xml:space="preserve">FY 2024:</w:t>
      </w:r>
      <w:r>
        <w:t xml:space="preserve"> </w:t>
      </w:r>
      <w:r>
        <w:t xml:space="preserve">Fee paid $3.14M (0.81% of Greenfield revenue).</w:t>
      </w:r>
    </w:p>
    <w:bookmarkEnd w:id="35"/>
    <w:bookmarkStart w:id="36" w:name="Xa92cdea7cdfe83b1a73ec46f73740615356016b"/>
    <w:p>
      <w:pPr>
        <w:pStyle w:val="Heading3"/>
      </w:pPr>
      <w:r>
        <w:t xml:space="preserve">B. Proposed Renewal Terms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Annual fee</w:t>
            </w:r>
          </w:p>
        </w:tc>
        <w:tc>
          <w:tcPr/>
          <w:p>
            <w:pPr>
              <w:pStyle w:val="Compact"/>
              <w:jc w:val="left"/>
            </w:pPr>
            <w:r>
              <w:t xml:space="preserve">~$3.14M flat</w:t>
            </w:r>
          </w:p>
        </w:tc>
        <w:tc>
          <w:tcPr/>
          <w:p>
            <w:pPr>
              <w:pStyle w:val="Compact"/>
              <w:jc w:val="left"/>
            </w:pPr>
            <w:r>
              <w:t xml:space="preserve">~$5.28M effective (+68%)</w:t>
            </w:r>
          </w:p>
        </w:tc>
        <w:tc>
          <w:tcPr/>
          <w:p>
            <w:pPr>
              <w:pStyle w:val="Compact"/>
              <w:jc w:val="left"/>
            </w:pPr>
            <w:r>
              <w:t xml:space="preserve">+68%</w:t>
            </w:r>
          </w:p>
        </w:tc>
        <w:tc>
          <w:tcPr/>
          <w:p>
            <w:pPr>
              <w:pStyle w:val="Compact"/>
              <w:jc w:val="left"/>
            </w:pPr>
            <w:r>
              <w:t xml:space="preserve">Far above market; resist</w:t>
            </w:r>
          </w:p>
        </w:tc>
      </w:tr>
      <w:tr>
        <w:tc>
          <w:tcPr/>
          <w:p>
            <w:pPr>
              <w:pStyle w:val="Compact"/>
              <w:jc w:val="left"/>
            </w:pPr>
            <w:r>
              <w:t xml:space="preserve">Base fee</w:t>
            </w:r>
          </w:p>
        </w:tc>
        <w:tc>
          <w:tcPr/>
          <w:p>
            <w:pPr>
              <w:pStyle w:val="Compact"/>
              <w:jc w:val="left"/>
            </w:pPr>
            <w:r>
              <w:t xml:space="preserve">$3.14M</w:t>
            </w:r>
          </w:p>
        </w:tc>
        <w:tc>
          <w:tcPr/>
          <w:p>
            <w:pPr>
              <w:pStyle w:val="Compact"/>
              <w:jc w:val="left"/>
            </w:pPr>
            <w:r>
              <w:t xml:space="preserve">~$4.8–4.85M + support</w:t>
            </w:r>
          </w:p>
        </w:tc>
        <w:tc>
          <w:tcPr/>
          <w:p>
            <w:pPr>
              <w:pStyle w:val="Compact"/>
              <w:jc w:val="left"/>
            </w:pPr>
            <w:r>
              <w:t xml:space="preserve">+54%</w:t>
            </w:r>
          </w:p>
        </w:tc>
        <w:tc>
          <w:tcPr/>
          <w:p>
            <w:pPr>
              <w:pStyle w:val="Compact"/>
              <w:jc w:val="left"/>
            </w:pPr>
            <w:r>
              <w:t xml:space="preserve">Above market high ($4.0M)</w:t>
            </w:r>
          </w:p>
        </w:tc>
      </w:tr>
      <w:tr>
        <w:tc>
          <w:tcPr/>
          <w:p>
            <w:pPr>
              <w:pStyle w:val="Compact"/>
              <w:jc w:val="left"/>
            </w:pPr>
            <w:r>
              <w:t xml:space="preserve">Named-user cap</w:t>
            </w:r>
          </w:p>
        </w:tc>
        <w:tc>
          <w:tcPr/>
          <w:p>
            <w:pPr>
              <w:pStyle w:val="Compact"/>
              <w:jc w:val="left"/>
            </w:pPr>
            <w:r>
              <w:t xml:space="preserve">Unlimited</w:t>
            </w:r>
          </w:p>
        </w:tc>
        <w:tc>
          <w:tcPr/>
          <w:p>
            <w:pPr>
              <w:pStyle w:val="Compact"/>
              <w:jc w:val="left"/>
            </w:pPr>
            <w:r>
              <w:t xml:space="preserve">50 (overage $18,500/user)</w:t>
            </w:r>
          </w:p>
        </w:tc>
        <w:tc>
          <w:tcPr/>
          <w:p>
            <w:pPr>
              <w:pStyle w:val="Compact"/>
              <w:jc w:val="left"/>
            </w:pPr>
            <w:r>
              <w:t xml:space="preserve">New</w:t>
            </w:r>
          </w:p>
        </w:tc>
        <w:tc>
          <w:tcPr/>
          <w:p>
            <w:pPr>
              <w:pStyle w:val="Compact"/>
              <w:jc w:val="left"/>
            </w:pPr>
            <w:r>
              <w:t xml:space="preserve">73 current users → 23 excess = ~$425.5K/yr</w:t>
            </w:r>
          </w:p>
        </w:tc>
      </w:tr>
      <w:tr>
        <w:tc>
          <w:tcPr/>
          <w:p>
            <w:pPr>
              <w:pStyle w:val="Compact"/>
              <w:jc w:val="left"/>
            </w:pPr>
            <w:r>
              <w:t xml:space="preserve">One-time costs</w:t>
            </w:r>
          </w:p>
        </w:tc>
        <w:tc>
          <w:tcPr/>
          <w:p>
            <w:pPr>
              <w:pStyle w:val="Compact"/>
              <w:jc w:val="left"/>
            </w:pPr>
            <w:r>
              <w:t xml:space="preserve">None</w:t>
            </w:r>
          </w:p>
        </w:tc>
        <w:tc>
          <w:tcPr/>
          <w:p>
            <w:pPr>
              <w:pStyle w:val="Compact"/>
              <w:jc w:val="left"/>
            </w:pPr>
            <w:r>
              <w:t xml:space="preserve">~$175–270K (conversion + integration)</w:t>
            </w:r>
          </w:p>
        </w:tc>
        <w:tc>
          <w:tcPr/>
          <w:p>
            <w:pPr>
              <w:pStyle w:val="Compact"/>
              <w:jc w:val="left"/>
            </w:pPr>
            <w:r>
              <w:t xml:space="preserve">New</w:t>
            </w:r>
          </w:p>
        </w:tc>
        <w:tc>
          <w:tcPr/>
          <w:p>
            <w:pPr>
              <w:pStyle w:val="Compact"/>
              <w:jc w:val="left"/>
            </w:pPr>
            <w:r>
              <w:t xml:space="preserve">Should be included in renewal</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 (ML trait prediction, ~22% accuracy gain)</w:t>
            </w:r>
          </w:p>
        </w:tc>
        <w:tc>
          <w:tcPr/>
          <w:p>
            <w:pPr>
              <w:pStyle w:val="Compact"/>
              <w:jc w:val="left"/>
            </w:pPr>
            <w:r>
              <w:t xml:space="preserve">Upgraded</w:t>
            </w:r>
          </w:p>
        </w:tc>
        <w:tc>
          <w:tcPr/>
          <w:p>
            <w:pPr>
              <w:pStyle w:val="Compact"/>
              <w:jc w:val="left"/>
            </w:pPr>
            <w:r>
              <w:t xml:space="preserve">Genuinely valuable</w:t>
            </w:r>
          </w:p>
        </w:tc>
      </w:tr>
      <w:tr>
        <w:tc>
          <w:tcPr/>
          <w:p>
            <w:pPr>
              <w:pStyle w:val="Compact"/>
              <w:jc w:val="left"/>
            </w:pPr>
            <w:r>
              <w:t xml:space="preserve">Source-code access (§5.2)</w:t>
            </w:r>
          </w:p>
        </w:tc>
        <w:tc>
          <w:tcPr/>
          <w:p>
            <w:pPr>
              <w:pStyle w:val="Compact"/>
              <w:jc w:val="left"/>
            </w:pPr>
            <w:r>
              <w:t xml:space="preserve">Granted (internal modification)</w:t>
            </w:r>
          </w:p>
        </w:tc>
        <w:tc>
          <w:tcPr/>
          <w:p>
            <w:pPr>
              <w:pStyle w:val="Compact"/>
              <w:jc w:val="left"/>
            </w:pPr>
            <w:r>
              <w:rPr>
                <w:b/>
                <w:bCs/>
              </w:rPr>
              <w:t xml:space="preserve">Eliminated</w:t>
            </w:r>
            <w:r>
              <w:t xml:space="preserve"> </w:t>
            </w:r>
            <w:r>
              <w:t xml:space="preserve">(object code only)</w:t>
            </w:r>
          </w:p>
        </w:tc>
        <w:tc>
          <w:tcPr/>
          <w:p>
            <w:pPr>
              <w:pStyle w:val="Compact"/>
              <w:jc w:val="left"/>
            </w:pPr>
            <w:r>
              <w:rPr>
                <w:b/>
                <w:bCs/>
              </w:rPr>
              <w:t xml:space="preserve">Narrowed</w:t>
            </w:r>
          </w:p>
        </w:tc>
        <w:tc>
          <w:tcPr/>
          <w:p>
            <w:pPr>
              <w:pStyle w:val="Compact"/>
              <w:jc w:val="left"/>
            </w:pPr>
            <w:r>
              <w:rPr>
                <w:b/>
                <w:bCs/>
              </w:rPr>
              <w:t xml:space="preserve">Material adverse change — reject</w:t>
            </w:r>
          </w:p>
        </w:tc>
      </w:tr>
      <w:tr>
        <w:tc>
          <w:tcPr/>
          <w:p>
            <w:pPr>
              <w:pStyle w:val="Compact"/>
              <w:jc w:val="left"/>
            </w:pPr>
            <w:r>
              <w:t xml:space="preserve">Source-code escrow (§5.3)</w:t>
            </w:r>
          </w:p>
        </w:tc>
        <w:tc>
          <w:tcPr/>
          <w:p>
            <w:pPr>
              <w:pStyle w:val="Compact"/>
              <w:jc w:val="left"/>
            </w:pPr>
            <w:r>
              <w:t xml:space="preserve">Retained</w:t>
            </w:r>
          </w:p>
        </w:tc>
        <w:tc>
          <w:tcPr/>
          <w:p>
            <w:pPr>
              <w:pStyle w:val="Compact"/>
              <w:jc w:val="left"/>
            </w:pPr>
            <w:r>
              <w:t xml:space="preserve">Retained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Input data ownership (§9.2)</w:t>
            </w:r>
          </w:p>
        </w:tc>
        <w:tc>
          <w:tcPr/>
          <w:p>
            <w:pPr>
              <w:pStyle w:val="Compact"/>
              <w:jc w:val="left"/>
            </w:pPr>
            <w:r>
              <w:t xml:space="preserve">Greenfield</w:t>
            </w:r>
          </w:p>
        </w:tc>
        <w:tc>
          <w:tcPr/>
          <w:p>
            <w:pPr>
              <w:pStyle w:val="Compact"/>
              <w:jc w:val="left"/>
            </w:pPr>
            <w:r>
              <w:t xml:space="preserve">Greenfield</w:t>
            </w:r>
          </w:p>
        </w:tc>
        <w:tc>
          <w:tcPr/>
          <w:p>
            <w:pPr>
              <w:pStyle w:val="Compact"/>
              <w:jc w:val="left"/>
            </w:pPr>
            <w:r>
              <w:t xml:space="preserve">—</w:t>
            </w:r>
          </w:p>
        </w:tc>
        <w:tc>
          <w:tcPr/>
          <w:p>
            <w:pPr>
              <w:pStyle w:val="Compact"/>
              <w:jc w:val="left"/>
            </w:pPr>
            <w:r>
              <w:t xml:space="preserve">Acceptable</w:t>
            </w:r>
          </w:p>
        </w:tc>
      </w:tr>
      <w:tr>
        <w:tc>
          <w:tcPr/>
          <w:p>
            <w:pPr>
              <w:pStyle w:val="Compact"/>
              <w:jc w:val="left"/>
            </w:pPr>
            <w:r>
              <w:t xml:space="preserve">Derivative data ownership</w:t>
            </w:r>
          </w:p>
        </w:tc>
        <w:tc>
          <w:tcPr/>
          <w:p>
            <w:pPr>
              <w:pStyle w:val="Compact"/>
              <w:jc w:val="left"/>
            </w:pPr>
            <w:r>
              <w:t xml:space="preserve">Silent</w:t>
            </w:r>
          </w:p>
        </w:tc>
        <w:tc>
          <w:tcPr/>
          <w:p>
            <w:pPr>
              <w:pStyle w:val="Compact"/>
              <w:jc w:val="left"/>
            </w:pPr>
            <w:r>
              <w:rPr>
                <w:b/>
                <w:bCs/>
              </w:rPr>
              <w:t xml:space="preserve">NovaTrait owns</w:t>
            </w:r>
            <w:r>
              <w:t xml:space="preserve">; Greenfield non-exclusive, term-limited license</w:t>
            </w:r>
          </w:p>
        </w:tc>
        <w:tc>
          <w:tcPr/>
          <w:p>
            <w:pPr>
              <w:pStyle w:val="Compact"/>
              <w:jc w:val="left"/>
            </w:pPr>
            <w:r>
              <w:rPr>
                <w:b/>
                <w:bCs/>
              </w:rPr>
              <w:t xml:space="preserve">New / narrowed</w:t>
            </w:r>
          </w:p>
        </w:tc>
        <w:tc>
          <w:tcPr/>
          <w:p>
            <w:pPr>
              <w:pStyle w:val="Compact"/>
              <w:jc w:val="left"/>
            </w:pPr>
            <w:r>
              <w:rPr>
                <w:b/>
                <w:bCs/>
              </w:rPr>
              <w:t xml:space="preserve">Material adverse change — reject</w:t>
            </w:r>
          </w:p>
        </w:tc>
      </w:tr>
      <w:tr>
        <w:tc>
          <w:tcPr/>
          <w:p>
            <w:pPr>
              <w:pStyle w:val="Compact"/>
              <w:jc w:val="left"/>
            </w:pPr>
            <w:r>
              <w:t xml:space="preserve">Term</w:t>
            </w:r>
          </w:p>
        </w:tc>
        <w:tc>
          <w:tcPr/>
          <w:p>
            <w:pPr>
              <w:pStyle w:val="Compact"/>
              <w:jc w:val="left"/>
            </w:pPr>
            <w:r>
              <w:t xml:space="preserve">5 years (to 2/28/2025)</w:t>
            </w:r>
          </w:p>
        </w:tc>
        <w:tc>
          <w:tcPr/>
          <w:p>
            <w:pPr>
              <w:pStyle w:val="Compact"/>
              <w:jc w:val="left"/>
            </w:pPr>
            <w:r>
              <w:t xml:space="preserve">3 years (to 2/28/2028)</w:t>
            </w:r>
          </w:p>
        </w:tc>
        <w:tc>
          <w:tcPr/>
          <w:p>
            <w:pPr>
              <w:pStyle w:val="Compact"/>
              <w:jc w:val="left"/>
            </w:pPr>
            <w:r>
              <w:t xml:space="preserve">Shorter</w:t>
            </w:r>
          </w:p>
        </w:tc>
        <w:tc>
          <w:tcPr/>
          <w:p>
            <w:pPr>
              <w:pStyle w:val="Compact"/>
              <w:jc w:val="left"/>
            </w:pPr>
            <w:r>
              <w:t xml:space="preserve">Acceptable given product cycle</w:t>
            </w:r>
          </w:p>
        </w:tc>
      </w:tr>
      <w:tr>
        <w:tc>
          <w:tcPr/>
          <w:p>
            <w:pPr>
              <w:pStyle w:val="Compact"/>
              <w:jc w:val="left"/>
            </w:pPr>
            <w:r>
              <w:t xml:space="preserve">Audit (§4.6)</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Acceptable</w:t>
            </w:r>
          </w:p>
        </w:tc>
      </w:tr>
    </w:tbl>
    <w:bookmarkEnd w:id="36"/>
    <w:bookmarkStart w:id="37" w:name="c.-financial-impact-2"/>
    <w:p>
      <w:pPr>
        <w:pStyle w:val="Heading3"/>
      </w:pPr>
      <w:r>
        <w:t xml:space="preserve">C. Financial Impact</w:t>
      </w:r>
    </w:p>
    <w:p>
      <w:pPr>
        <w:pStyle w:val="FirstParagraph"/>
      </w:pPr>
      <w:r>
        <w:t xml:space="preserve">Per the Financial Impact Analysis:</w:t>
      </w:r>
    </w:p>
    <w:p>
      <w:pPr>
        <w:pStyle w:val="Compact"/>
        <w:numPr>
          <w:ilvl w:val="0"/>
          <w:numId w:val="1012"/>
        </w:numPr>
      </w:pPr>
      <w:r>
        <w:rPr>
          <w:b/>
          <w:bCs/>
        </w:rPr>
        <w:t xml:space="preserve">Current:</w:t>
      </w:r>
      <w:r>
        <w:t xml:space="preserve"> </w:t>
      </w:r>
      <w:r>
        <w:t xml:space="preserve">$3.14M/year; 3-year total $9.42M.</w:t>
      </w:r>
    </w:p>
    <w:p>
      <w:pPr>
        <w:pStyle w:val="Compact"/>
        <w:numPr>
          <w:ilvl w:val="0"/>
          <w:numId w:val="1012"/>
        </w:numPr>
      </w:pPr>
      <w:r>
        <w:rPr>
          <w:b/>
          <w:bCs/>
        </w:rPr>
        <w:t xml:space="preserve">Proposed:</w:t>
      </w:r>
      <w:r>
        <w:t xml:space="preserve"> </w:t>
      </w:r>
      <w:r>
        <w:t xml:space="preserve">~$5.2755M/year effective ($4.85M base + ~$425.5K overage for 23 excess users over a 50-user cap), plus one-time ~$270K (conversion tool $175K + integration/training $95K).</w:t>
      </w:r>
      <w:r>
        <w:t xml:space="preserve"> </w:t>
      </w:r>
      <w:r>
        <w:rPr>
          <w:b/>
          <w:bCs/>
        </w:rPr>
        <w:t xml:space="preserve">3-year total cost of ownership ~$16.1M — an increase of ~$6.68M (+70.9%).</w:t>
      </w:r>
    </w:p>
    <w:p>
      <w:pPr>
        <w:pStyle w:val="Compact"/>
        <w:numPr>
          <w:ilvl w:val="0"/>
          <w:numId w:val="1012"/>
        </w:numPr>
      </w:pPr>
      <w:r>
        <w:t xml:space="preserve">The proposed base fee alone (~$4.85M) exceeds the market range high ($4.0M) by ~21%, and the effective total (~$5.28M) is ~32% above the market high and ~65% above the comparable mean ($3.05M).</w:t>
      </w:r>
    </w:p>
    <w:bookmarkEnd w:id="37"/>
    <w:bookmarkStart w:id="38" w:name="d.-ip-and-leverage-analysis-2"/>
    <w:p>
      <w:pPr>
        <w:pStyle w:val="Heading3"/>
      </w:pPr>
      <w:r>
        <w:t xml:space="preserve">D. IP and Leverage Analysis</w:t>
      </w:r>
    </w:p>
    <w:p>
      <w:pPr>
        <w:pStyle w:val="FirstParagraph"/>
      </w:pPr>
      <w:r>
        <w:t xml:space="preserve">The Clarendon Report rates License C</w:t>
      </w:r>
      <w:r>
        <w:t xml:space="preserve"> </w:t>
      </w:r>
      <w:r>
        <w:rPr>
          <w:b/>
          <w:bCs/>
        </w:rPr>
        <w:t xml:space="preserve">MODERATE</w:t>
      </w:r>
      <w:r>
        <w:t xml:space="preserve"> </w:t>
      </w:r>
      <w:r>
        <w:t xml:space="preserve">and Greenfield’s renewal risk</w:t>
      </w:r>
      <w:r>
        <w:t xml:space="preserve"> </w:t>
      </w:r>
      <w:r>
        <w:rPr>
          <w:b/>
          <w:bCs/>
        </w:rPr>
        <w:t xml:space="preserve">LOW (substitutable)</w:t>
      </w:r>
      <w:r>
        <w:t xml:space="preserve"> </w:t>
      </w:r>
      <w:r>
        <w:t xml:space="preserve">— the strongest negotiating position of the three licenses:</w:t>
      </w:r>
    </w:p>
    <w:p>
      <w:pPr>
        <w:pStyle w:val="Compact"/>
        <w:numPr>
          <w:ilvl w:val="0"/>
          <w:numId w:val="1013"/>
        </w:numPr>
      </w:pPr>
      <w:r>
        <w:rPr>
          <w:b/>
          <w:bCs/>
        </w:rPr>
        <w:t xml:space="preserve">Multiple commercial alternatives</w:t>
      </w:r>
      <w:r>
        <w:t xml:space="preserve"> </w:t>
      </w:r>
      <w:r>
        <w:t xml:space="preserve">exist: BioSphere Analytics (~$2.8M/year, unlimited users), PlantLogic Suite (~$3.5M/year, 100-user cap), and TraitView Pro (~$1.8M/year, 50-user cap). Market range $2.5–4.0M annually.</w:t>
      </w:r>
    </w:p>
    <w:p>
      <w:pPr>
        <w:pStyle w:val="Compact"/>
        <w:numPr>
          <w:ilvl w:val="0"/>
          <w:numId w:val="1013"/>
        </w:numPr>
      </w:pPr>
      <w:r>
        <w:rPr>
          <w:b/>
          <w:bCs/>
        </w:rPr>
        <w:t xml:space="preserve">Switching cost:</w:t>
      </w:r>
      <w:r>
        <w:t xml:space="preserve"> </w:t>
      </w:r>
      <w:r>
        <w:t xml:space="preserve">$2.55M–$4.375M one-time (evaluation, data migration, pipeline redevelopment, retraining, integration, legal);</w:t>
      </w:r>
      <w:r>
        <w:t xml:space="preserve"> </w:t>
      </w:r>
      <w:r>
        <w:rPr>
          <w:b/>
          <w:bCs/>
        </w:rPr>
        <w:t xml:space="preserve">break-even 0.7–2.5 years</w:t>
      </w:r>
      <w:r>
        <w:t xml:space="preserve"> </w:t>
      </w:r>
      <w:r>
        <w:t xml:space="preserve">against the proposed GenoMap Pro cost.</w:t>
      </w:r>
    </w:p>
    <w:p>
      <w:pPr>
        <w:pStyle w:val="Compact"/>
        <w:numPr>
          <w:ilvl w:val="0"/>
          <w:numId w:val="1013"/>
        </w:numPr>
      </w:pPr>
      <w:r>
        <w:rPr>
          <w:b/>
          <w:bCs/>
        </w:rPr>
        <w:t xml:space="preserve">Critical dependency caveat:</w:t>
      </w:r>
      <w:r>
        <w:t xml:space="preserve"> </w:t>
      </w:r>
      <w:r>
        <w:t xml:space="preserve">GenoMap Pro is integral to the License A and B workflows; loss of access requires 12–18 months to source and integrate an alternative, during which the License A and B operations would be jeopardized. This dependency is the principal constraint on Greenfield’s leverage and the reason a switch, while economically attractive, must be managed with a maintained-access bridge.</w:t>
      </w:r>
    </w:p>
    <w:bookmarkEnd w:id="38"/>
    <w:bookmarkStart w:id="39" w:name="X260e41d7290578ee0632fbc868a1dc39713c709"/>
    <w:p>
      <w:pPr>
        <w:pStyle w:val="Heading3"/>
      </w:pPr>
      <w:r>
        <w:t xml:space="preserve">E. Key Issues and Recommended Positions</w:t>
      </w:r>
    </w:p>
    <w:p>
      <w:pPr>
        <w:numPr>
          <w:ilvl w:val="0"/>
          <w:numId w:val="1014"/>
        </w:numPr>
      </w:pPr>
      <w:r>
        <w:rPr>
          <w:b/>
          <w:bCs/>
        </w:rPr>
        <w:t xml:space="preserve">Fee — drive to market.</w:t>
      </w:r>
      <w:r>
        <w:t xml:space="preserve"> </w:t>
      </w:r>
      <w:r>
        <w:t xml:space="preserve">Recommended counter:</w:t>
      </w:r>
      <w:r>
        <w:t xml:space="preserve"> </w:t>
      </w:r>
      <w:r>
        <w:rPr>
          <w:b/>
          <w:bCs/>
        </w:rPr>
        <w:t xml:space="preserve">$3.5–4.0M total annual cost</w:t>
      </w:r>
      <w:r>
        <w:t xml:space="preserve">, with no per-user overage (or a user cap of at least 100). Greenfield should obtain competitive proposals from BioSphere Analytics, PlantLogic Suite, and TraitView Pro to support this position. The Version 5.x upgrade has genuine value (ML-driven trait prediction, ~22% accuracy improvement) and may justify a modest increase above the current $3.14M, but not a 68% increase.</w:t>
      </w:r>
    </w:p>
    <w:p>
      <w:pPr>
        <w:numPr>
          <w:ilvl w:val="0"/>
          <w:numId w:val="1014"/>
        </w:numPr>
      </w:pPr>
      <w:r>
        <w:rPr>
          <w:b/>
          <w:bCs/>
        </w:rPr>
        <w:t xml:space="preserve">Derivative data ownership — reject outright.</w:t>
      </w:r>
      <w:r>
        <w:t xml:space="preserve"> </w:t>
      </w:r>
      <w:r>
        <w:t xml:space="preserve">The proposed transfer of all Derivative Data to NovaTrait, with Greenfield receiving only a non-exclusive, term-limited license that prohibits sublicensing, publication identifiable to NovaTrait, and post-term use, is a</w:t>
      </w:r>
      <w:r>
        <w:t xml:space="preserve"> </w:t>
      </w:r>
      <w:r>
        <w:rPr>
          <w:b/>
          <w:bCs/>
        </w:rPr>
        <w:t xml:space="preserve">material adverse change</w:t>
      </w:r>
      <w:r>
        <w:t xml:space="preserve">. It conflicts with the §9.2 principle that Greenfield’s data remains its own and could jeopardize Greenfield’s proprietary trait-mapping datasets and R&amp;D outputs — which are themselves valuable IP. Greenfield should insist that</w:t>
      </w:r>
      <w:r>
        <w:t xml:space="preserve"> </w:t>
      </w:r>
      <w:r>
        <w:rPr>
          <w:b/>
          <w:bCs/>
        </w:rPr>
        <w:t xml:space="preserve">all output and derived data be solely owned by Greenfield</w:t>
      </w:r>
      <w:r>
        <w:t xml:space="preserve">, consistent with §9.2. This is a critical, likely non-negotiable term.</w:t>
      </w:r>
    </w:p>
    <w:p>
      <w:pPr>
        <w:numPr>
          <w:ilvl w:val="0"/>
          <w:numId w:val="1014"/>
        </w:numPr>
      </w:pPr>
      <w:r>
        <w:rPr>
          <w:b/>
          <w:bCs/>
        </w:rPr>
        <w:t xml:space="preserve">Source-code access — retain.</w:t>
      </w:r>
      <w:r>
        <w:t xml:space="preserve"> </w:t>
      </w:r>
      <w:r>
        <w:t xml:space="preserve">Elimination of source-code access would prevent Greenfield from customizing its analytics pipelines — a significant R&amp;D capability built over five years. Existing Licensee Modifications would, under the Proposal, become jointly owned or be purchased by NovaTrait at fair market value — another value transfer. Greenfield should</w:t>
      </w:r>
      <w:r>
        <w:t xml:space="preserve"> </w:t>
      </w:r>
      <w:r>
        <w:rPr>
          <w:b/>
          <w:bCs/>
        </w:rPr>
        <w:t xml:space="preserve">retain source-code access</w:t>
      </w:r>
      <w:r>
        <w:t xml:space="preserve"> </w:t>
      </w:r>
      <w:r>
        <w:t xml:space="preserve">(with reasonable security/escrow provisions) and</w:t>
      </w:r>
      <w:r>
        <w:t xml:space="preserve"> </w:t>
      </w:r>
      <w:r>
        <w:rPr>
          <w:b/>
          <w:bCs/>
        </w:rPr>
        <w:t xml:space="preserve">retain ownership of its Licensee Modifications</w:t>
      </w:r>
      <w:r>
        <w:t xml:space="preserve">. If NovaTrait insists on object-code-only for Version 5.x, Greenfield should require, at minimum, continued source-code escrow with broadened release conditions and a contractual right to maintain existing Version 4.x modifications.</w:t>
      </w:r>
    </w:p>
    <w:p>
      <w:pPr>
        <w:numPr>
          <w:ilvl w:val="0"/>
          <w:numId w:val="1014"/>
        </w:numPr>
      </w:pPr>
      <w:r>
        <w:rPr>
          <w:b/>
          <w:bCs/>
        </w:rPr>
        <w:t xml:space="preserve">User cap — eliminate or raise.</w:t>
      </w:r>
      <w:r>
        <w:t xml:space="preserve"> </w:t>
      </w:r>
      <w:r>
        <w:t xml:space="preserve">A 50-user cap is below Greenfield’s current 73 users and would immediately impose ~$425.5K/year in overage. Recommended counter:</w:t>
      </w:r>
      <w:r>
        <w:t xml:space="preserve"> </w:t>
      </w:r>
      <w:r>
        <w:rPr>
          <w:b/>
          <w:bCs/>
        </w:rPr>
        <w:t xml:space="preserve">no cap, or a cap of at least 100 users</w:t>
      </w:r>
      <w:r>
        <w:t xml:space="preserve">, with overage (if any) at $12,000/user.</w:t>
      </w:r>
    </w:p>
    <w:p>
      <w:pPr>
        <w:numPr>
          <w:ilvl w:val="0"/>
          <w:numId w:val="1014"/>
        </w:numPr>
      </w:pPr>
      <w:r>
        <w:rPr>
          <w:b/>
          <w:bCs/>
        </w:rPr>
        <w:t xml:space="preserve">Conversion tool — include at no cost.</w:t>
      </w:r>
      <w:r>
        <w:t xml:space="preserve"> </w:t>
      </w:r>
      <w:r>
        <w:t xml:space="preserve">The $175,000 Version 5.x file-conversion tool (and ~$95K integration/training) should be included in the renewal fee as a condition of Greenfield’s agreement to upgrade, not charged separately.</w:t>
      </w:r>
    </w:p>
    <w:p>
      <w:pPr>
        <w:numPr>
          <w:ilvl w:val="0"/>
          <w:numId w:val="1014"/>
        </w:numPr>
      </w:pPr>
      <w:r>
        <w:rPr>
          <w:b/>
          <w:bCs/>
        </w:rPr>
        <w:t xml:space="preserve">Term.</w:t>
      </w:r>
      <w:r>
        <w:t xml:space="preserve"> </w:t>
      </w:r>
      <w:r>
        <w:t xml:space="preserve">A 3-year term is reasonable given the software product cycle (Version 6.x anticipated late 2027), but Greenfield should preserve the renewal option and begin alternative-platform evaluation no later than mid-2027.</w:t>
      </w:r>
    </w:p>
    <w:p>
      <w:r>
        <w:pict>
          <v:rect style="width:0;height:1.5pt" o:hralign="center" o:hrstd="t" o:hr="t"/>
        </w:pict>
      </w:r>
    </w:p>
    <w:bookmarkEnd w:id="39"/>
    <w:bookmarkEnd w:id="40"/>
    <w:bookmarkStart w:id="41" w:name="X601f39d6a0bd5f99923808c5132a63d93705371"/>
    <w:p>
      <w:pPr>
        <w:pStyle w:val="Heading2"/>
      </w:pPr>
      <w:r>
        <w:t xml:space="preserve">VII. Prairielands Sublicense Considerations</w:t>
      </w:r>
    </w:p>
    <w:p>
      <w:pPr>
        <w:pStyle w:val="FirstParagraph"/>
      </w:pPr>
      <w:r>
        <w:t xml:space="preserve">The Prairielands sublicense (dated May 1, 2021) is directly affected by the License B renewal and must be addressed in parallel.</w:t>
      </w:r>
    </w:p>
    <w:p>
      <w:pPr>
        <w:pStyle w:val="Compact"/>
        <w:numPr>
          <w:ilvl w:val="0"/>
          <w:numId w:val="1015"/>
        </w:numPr>
      </w:pPr>
      <w:r>
        <w:rPr>
          <w:b/>
          <w:bCs/>
        </w:rPr>
        <w:t xml:space="preserve">Scope:</w:t>
      </w:r>
      <w:r>
        <w:t xml:space="preserve"> </w:t>
      </w:r>
      <w:r>
        <w:t xml:space="preserve">Non-exclusive sublicense to Prairielands for</w:t>
      </w:r>
      <w:r>
        <w:t xml:space="preserve"> </w:t>
      </w:r>
      <w:r>
        <w:rPr>
          <w:b/>
          <w:bCs/>
        </w:rPr>
        <w:t xml:space="preserve">soybean only, drought tolerance only, in Argentina and Brazil only</w:t>
      </w:r>
      <w:r>
        <w:t xml:space="preserve">, at a 2.0% royalty on Prairielands’ Net Sales payable to Greenfield.</w:t>
      </w:r>
    </w:p>
    <w:p>
      <w:pPr>
        <w:pStyle w:val="Compact"/>
        <w:numPr>
          <w:ilvl w:val="0"/>
          <w:numId w:val="1015"/>
        </w:numPr>
      </w:pPr>
      <w:r>
        <w:rPr>
          <w:b/>
          <w:bCs/>
        </w:rPr>
        <w:t xml:space="preserve">Co-terminus with License B:</w:t>
      </w:r>
      <w:r>
        <w:t xml:space="preserve"> </w:t>
      </w:r>
      <w:r>
        <w:t xml:space="preserve">The sublicense term expired December 31, 2024 with the Master License and</w:t>
      </w:r>
      <w:r>
        <w:t xml:space="preserve"> </w:t>
      </w:r>
      <w:r>
        <w:rPr>
          <w:b/>
          <w:bCs/>
        </w:rPr>
        <w:t xml:space="preserve">auto-terminates</w:t>
      </w:r>
      <w:r>
        <w:t xml:space="preserve"> </w:t>
      </w:r>
      <w:r>
        <w:t xml:space="preserve">on Master License expiration (§7.4). It is therefore currently in the same standstill posture as License B.</w:t>
      </w:r>
    </w:p>
    <w:p>
      <w:pPr>
        <w:pStyle w:val="Compact"/>
        <w:numPr>
          <w:ilvl w:val="0"/>
          <w:numId w:val="1015"/>
        </w:numPr>
      </w:pPr>
      <w:r>
        <w:rPr>
          <w:b/>
          <w:bCs/>
        </w:rPr>
        <w:t xml:space="preserve">No current pass-through:</w:t>
      </w:r>
      <w:r>
        <w:t xml:space="preserve"> </w:t>
      </w:r>
      <w:r>
        <w:t xml:space="preserve">The NovaTrait consent letter (April 15, 2021) expressly confirms that the Master License does not require Greenfield to remit any portion of sublicensee royalties to NovaTrait. Greenfield retains 100% of the 2.0% Prairielands royalty.</w:t>
      </w:r>
    </w:p>
    <w:p>
      <w:pPr>
        <w:pStyle w:val="Compact"/>
        <w:numPr>
          <w:ilvl w:val="0"/>
          <w:numId w:val="1015"/>
        </w:numPr>
      </w:pPr>
      <w:r>
        <w:rPr>
          <w:b/>
          <w:bCs/>
        </w:rPr>
        <w:t xml:space="preserve">NovaTrait consent required for amendment:</w:t>
      </w:r>
      <w:r>
        <w:t xml:space="preserve"> </w:t>
      </w:r>
      <w:r>
        <w:t xml:space="preserve">Any modification, expansion, or renewal of the sublicense requires NovaTrait’s separate written consent (per the consent letter and Master License §3.3). NovaTrait has indicated willingness to consent on reasonable terms.</w:t>
      </w:r>
    </w:p>
    <w:p>
      <w:pPr>
        <w:pStyle w:val="Compact"/>
        <w:numPr>
          <w:ilvl w:val="0"/>
          <w:numId w:val="1015"/>
        </w:numPr>
      </w:pPr>
      <w:r>
        <w:rPr>
          <w:b/>
          <w:bCs/>
        </w:rPr>
        <w:t xml:space="preserve">Estimated revenue:</w:t>
      </w:r>
      <w:r>
        <w:t xml:space="preserve"> </w:t>
      </w:r>
      <w:r>
        <w:t xml:space="preserve">~$12M base (FY 2024), growing ~4% annually.</w:t>
      </w:r>
    </w:p>
    <w:p>
      <w:pPr>
        <w:pStyle w:val="FirstParagraph"/>
      </w:pPr>
      <w:r>
        <w:rPr>
          <w:b/>
          <w:bCs/>
        </w:rPr>
        <w:t xml:space="preserve">Recommended actions:</w:t>
      </w:r>
    </w:p>
    <w:p>
      <w:pPr>
        <w:numPr>
          <w:ilvl w:val="0"/>
          <w:numId w:val="1016"/>
        </w:numPr>
      </w:pPr>
      <w:r>
        <w:rPr>
          <w:b/>
          <w:bCs/>
        </w:rPr>
        <w:t xml:space="preserve">Renew the Prairielands sublicense in parallel with License B.</w:t>
      </w:r>
      <w:r>
        <w:t xml:space="preserve"> </w:t>
      </w:r>
      <w:r>
        <w:t xml:space="preserve">Because the sublicense auto-terminates on Master License expiration, failure to renew License B (or extend the standstill) by June 29, 2025 will collapse the Prairielands relationship. Greenfield should coordinate the timing so that both are renewed (or both extended) together.</w:t>
      </w:r>
    </w:p>
    <w:p>
      <w:pPr>
        <w:numPr>
          <w:ilvl w:val="0"/>
          <w:numId w:val="1016"/>
        </w:numPr>
      </w:pPr>
      <w:r>
        <w:rPr>
          <w:b/>
          <w:bCs/>
        </w:rPr>
        <w:t xml:space="preserve">Resist the new pass-through.</w:t>
      </w:r>
      <w:r>
        <w:t xml:space="preserve"> </w:t>
      </w:r>
      <w:r>
        <w:t xml:space="preserve">The Financial Impact Analysis models a proposed 40% NovaTrait pass-through on Prairielands revenue — a new ~$5M/year cost where none contractually exists. Greenfield should counter at 20% with a 12-month phase-in, or resist entirely and trade it against rate concessions on License B. Any pass-through should apply prospectively only (consistent with the License A proposal’s treatment of existing sublicensees).</w:t>
      </w:r>
    </w:p>
    <w:p>
      <w:pPr>
        <w:numPr>
          <w:ilvl w:val="0"/>
          <w:numId w:val="1016"/>
        </w:numPr>
      </w:pPr>
      <w:r>
        <w:rPr>
          <w:b/>
          <w:bCs/>
        </w:rPr>
        <w:t xml:space="preserve">Preserve the sublicense’s narrow scope as a negotiating asset.</w:t>
      </w:r>
      <w:r>
        <w:t xml:space="preserve"> </w:t>
      </w:r>
      <w:r>
        <w:t xml:space="preserve">The sublicense is tightly scoped (soybean/drought/Argentina-Brazil) and does not compete with Greenfield’s core corn/soy programs in North America. Greenfield should ensure the renewed sublicense remains consistent with the renewed Master License’s field of use and territory.</w:t>
      </w:r>
    </w:p>
    <w:p>
      <w:pPr>
        <w:numPr>
          <w:ilvl w:val="0"/>
          <w:numId w:val="1016"/>
        </w:numPr>
      </w:pPr>
      <w:r>
        <w:rPr>
          <w:b/>
          <w:bCs/>
        </w:rPr>
        <w:t xml:space="preserve">Wind-down.</w:t>
      </w:r>
      <w:r>
        <w:t xml:space="preserve"> </w:t>
      </w:r>
      <w:r>
        <w:t xml:space="preserve">The sublicense provides a 90-day Wind-Down Period (§7.5). If License B’s biological-materials return is shortened to 30 days (as proposed), the sublicense wind-down would be inconsistent with the Master License; Greenfield should align the two.</w:t>
      </w:r>
    </w:p>
    <w:p>
      <w:r>
        <w:pict>
          <v:rect style="width:0;height:1.5pt" o:hralign="center" o:hrstd="t" o:hr="t"/>
        </w:pict>
      </w:r>
    </w:p>
    <w:bookmarkEnd w:id="41"/>
    <w:bookmarkStart w:id="42" w:name="viii.-aggregate-financial-impact"/>
    <w:p>
      <w:pPr>
        <w:pStyle w:val="Heading2"/>
      </w:pPr>
      <w:r>
        <w:t xml:space="preserve">VIII. Aggregate Financial Impact</w:t>
      </w:r>
    </w:p>
    <w:p>
      <w:pPr>
        <w:pStyle w:val="FirstParagraph"/>
      </w:pPr>
      <w:r>
        <w:t xml:space="preserve">The Proposal would increase Greenfield’s aggregate annual IP cost substantially, with the burden rising as a percentage of revenue over time.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Change</w:t>
            </w:r>
          </w:p>
        </w:tc>
      </w:tr>
      <w:tr>
        <w:tc>
          <w:tcPr/>
          <w:p>
            <w:pPr>
              <w:pStyle w:val="Compact"/>
              <w:jc w:val="left"/>
            </w:pPr>
            <w:r>
              <w:t xml:space="preserve">License A (royalty + MAR)</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+$4.46M (+48.9%)</w:t>
            </w:r>
          </w:p>
        </w:tc>
      </w:tr>
      <w:tr>
        <w:tc>
          <w:tcPr/>
          <w:p>
            <w:pPr>
              <w:pStyle w:val="Compact"/>
              <w:jc w:val="left"/>
            </w:pPr>
            <w:r>
              <w:t xml:space="preserve">License B (royalty + MAR)</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+$2.71M (+42.5%)</w:t>
            </w:r>
          </w:p>
        </w:tc>
      </w:tr>
      <w:tr>
        <w:tc>
          <w:tcPr/>
          <w:p>
            <w:pPr>
              <w:pStyle w:val="Compact"/>
              <w:jc w:val="left"/>
            </w:pPr>
            <w:r>
              <w:t xml:space="preserve">License C (fees)</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+$2.14M (+68.0%)</w:t>
            </w:r>
          </w:p>
        </w:tc>
      </w:tr>
      <w:tr>
        <w:tc>
          <w:tcPr/>
          <w:p>
            <w:pPr>
              <w:pStyle w:val="Compact"/>
              <w:jc w:val="left"/>
            </w:pPr>
            <w:r>
              <w:rPr>
                <w:b/>
                <w:bCs/>
              </w:rPr>
              <w:t xml:space="preserve">Total</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+$9.31M (+49.9%)</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r>
    </w:tbl>
    <w:p>
      <w:pPr>
        <w:pStyle w:val="BodyText"/>
      </w:pPr>
      <w:r>
        <w:rPr>
          <w:b/>
          <w:bCs/>
        </w:rPr>
        <w:t xml:space="preserve">Cumulative incremental cost over the renewal terms (Financial Impact Analysis, base-case growth):</w:t>
      </w:r>
    </w:p>
    <w:p>
      <w:pPr>
        <w:pStyle w:val="Compact"/>
        <w:numPr>
          <w:ilvl w:val="0"/>
          <w:numId w:val="1017"/>
        </w:numPr>
      </w:pPr>
      <w:r>
        <w:rPr>
          <w:b/>
          <w:bCs/>
        </w:rPr>
        <w:t xml:space="preserve">License A (5 years):</w:t>
      </w:r>
      <w:r>
        <w:t xml:space="preserve"> </w:t>
      </w:r>
      <w:r>
        <w:t xml:space="preserve">~$31.8M cumulative incremental (direct royalty).</w:t>
      </w:r>
    </w:p>
    <w:p>
      <w:pPr>
        <w:pStyle w:val="Compact"/>
        <w:numPr>
          <w:ilvl w:val="0"/>
          <w:numId w:val="1017"/>
        </w:numPr>
      </w:pPr>
      <w:r>
        <w:rPr>
          <w:b/>
          <w:bCs/>
        </w:rPr>
        <w:t xml:space="preserve">License B (5 years):</w:t>
      </w:r>
      <w:r>
        <w:t xml:space="preserve"> </w:t>
      </w:r>
      <w:r>
        <w:t xml:space="preserve">~$42.3M cumulative incremental (direct royalty + new Prairielands pass-through) — the largest single source of new cost.</w:t>
      </w:r>
    </w:p>
    <w:p>
      <w:pPr>
        <w:pStyle w:val="Compact"/>
        <w:numPr>
          <w:ilvl w:val="0"/>
          <w:numId w:val="1017"/>
        </w:numPr>
      </w:pPr>
      <w:r>
        <w:rPr>
          <w:b/>
          <w:bCs/>
        </w:rPr>
        <w:t xml:space="preserve">License C (3 years):</w:t>
      </w:r>
      <w:r>
        <w:t xml:space="preserve"> </w:t>
      </w:r>
      <w:r>
        <w:t xml:space="preserve">~$6.68M cumulative incremental (3-year TCO).</w:t>
      </w:r>
    </w:p>
    <w:p>
      <w:pPr>
        <w:pStyle w:val="Compact"/>
        <w:numPr>
          <w:ilvl w:val="0"/>
          <w:numId w:val="1017"/>
        </w:numPr>
      </w:pPr>
      <w:r>
        <w:rPr>
          <w:b/>
          <w:bCs/>
        </w:rPr>
        <w:t xml:space="preserve">Aggregate (FY 2025–2027, base case):</w:t>
      </w:r>
      <w:r>
        <w:t xml:space="preserve"> </w:t>
      </w:r>
      <w:r>
        <w:t xml:space="preserve">~$30.0M cumulative incremental vs. current terms; under a 7% growth scenario, ~$30.3M.</w:t>
      </w:r>
    </w:p>
    <w:p>
      <w:pPr>
        <w:pStyle w:val="FirstParagraph"/>
      </w:pPr>
      <w:r>
        <w:rPr>
          <w:b/>
          <w:bCs/>
        </w:rPr>
        <w:t xml:space="preserve">Sensitivity.</w:t>
      </w:r>
      <w:r>
        <w:t xml:space="preserve"> </w:t>
      </w:r>
      <w:r>
        <w:t xml:space="preserve">Across 3%/5%/7% growth scenarios, the aggregate annual cost rises from ~5.0% of revenue (current) to ~7.2–8.2% of revenue by FY 2027. The License A and B minimum annual royalties are not binding in any projected scenario (calculated royalties exceed the minimums in all years), so the rate and Net Sales base — not the minimums — drive the cost.</w:t>
      </w:r>
    </w:p>
    <w:p>
      <w:pPr>
        <w:pStyle w:val="BodyText"/>
      </w:pPr>
      <w:r>
        <w:rPr>
          <w:b/>
          <w:bCs/>
        </w:rPr>
        <w:t xml:space="preserve">Strategic observation.</w:t>
      </w:r>
      <w:r>
        <w:t xml:space="preserve"> </w:t>
      </w:r>
      <w:r>
        <w:t xml:space="preserve">The ~$9.3M/year increase is concentrated in (a) the rate increases and Net Sales redefinitions on Licenses A and B, and (b) the entirely new Prairielands pass-through and License C fee/overage structure. Each of these is negotiable, and the Financial Impact Analysis’s counter-positions would materially reduce the aggregate burden while preserving Greenfield’s access to all three platforms.</w:t>
      </w:r>
    </w:p>
    <w:p>
      <w:r>
        <w:pict>
          <v:rect style="width:0;height:1.5pt" o:hralign="center" o:hrstd="t" o:hr="t"/>
        </w:pict>
      </w:r>
    </w:p>
    <w:bookmarkEnd w:id="42"/>
    <w:bookmarkStart w:id="46" w:name="Xba9e1787b9f15a2dfd0f5db20af684cdb829b11"/>
    <w:p>
      <w:pPr>
        <w:pStyle w:val="Heading2"/>
      </w:pPr>
      <w:r>
        <w:t xml:space="preserve">IX. Market Comparables, Patent Landscape, and Switching-Cost Leverage</w:t>
      </w:r>
    </w:p>
    <w:bookmarkStart w:id="43" w:name="X3d88667ea1b6963d92d4f2c596f1f01f2d6f204"/>
    <w:p>
      <w:pPr>
        <w:pStyle w:val="Heading3"/>
      </w:pPr>
      <w:r>
        <w:t xml:space="preserve">A. Market Comparables (Financial Impact Analysis, 8 transactions, 2022–2024)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Market Range</w:t>
            </w:r>
          </w:p>
        </w:tc>
        <w:tc>
          <w:tcPr/>
          <w:p>
            <w:pPr>
              <w:pStyle w:val="Compact"/>
              <w:jc w:val="left"/>
            </w:pPr>
            <w:r>
              <w:t xml:space="preserve">Median</w:t>
            </w:r>
          </w:p>
        </w:tc>
        <w:tc>
          <w:tcPr/>
          <w:p>
            <w:pPr>
              <w:pStyle w:val="Compact"/>
              <w:jc w:val="left"/>
            </w:pPr>
            <w:r>
              <w:t xml:space="preserve">Mean</w:t>
            </w:r>
          </w:p>
        </w:tc>
        <w:tc>
          <w:tcPr/>
          <w:p>
            <w:pPr>
              <w:pStyle w:val="Compact"/>
              <w:jc w:val="left"/>
            </w:pPr>
            <w:r>
              <w:t xml:space="preserve">NovaTrait Proposed</w:t>
            </w:r>
          </w:p>
        </w:tc>
        <w:tc>
          <w:tcPr/>
          <w:p>
            <w:pPr>
              <w:pStyle w:val="Compact"/>
              <w:jc w:val="left"/>
            </w:pPr>
            <w:r>
              <w:t xml:space="preserve">Position</w:t>
            </w:r>
          </w:p>
        </w:tc>
      </w:tr>
      <w:tr>
        <w:tc>
          <w:tcPr/>
          <w:p>
            <w:pPr>
              <w:pStyle w:val="Compact"/>
              <w:jc w:val="left"/>
            </w:pPr>
            <w:r>
              <w:t xml:space="preserve">Gene-editing platform (A)</w:t>
            </w:r>
          </w:p>
        </w:tc>
        <w:tc>
          <w:tcPr/>
          <w:p>
            <w:pPr>
              <w:pStyle w:val="Compact"/>
              <w:jc w:val="left"/>
            </w:pPr>
            <w:r>
              <w:t xml:space="preserve">3.5%–5.5%</w:t>
            </w:r>
          </w:p>
        </w:tc>
        <w:tc>
          <w:tcPr/>
          <w:p>
            <w:pPr>
              <w:pStyle w:val="Compact"/>
              <w:jc w:val="left"/>
            </w:pPr>
            <w:r>
              <w:t xml:space="preserve">4.0%</w:t>
            </w:r>
          </w:p>
        </w:tc>
        <w:tc>
          <w:tcPr/>
          <w:p>
            <w:pPr>
              <w:pStyle w:val="Compact"/>
              <w:jc w:val="left"/>
            </w:pPr>
            <w:r>
              <w:t xml:space="preserve">4.33%</w:t>
            </w:r>
          </w:p>
        </w:tc>
        <w:tc>
          <w:tcPr/>
          <w:p>
            <w:pPr>
              <w:pStyle w:val="Compact"/>
              <w:jc w:val="left"/>
            </w:pPr>
            <w:r>
              <w:t xml:space="preserve">6.25%</w:t>
            </w:r>
          </w:p>
        </w:tc>
        <w:tc>
          <w:tcPr/>
          <w:p>
            <w:pPr>
              <w:pStyle w:val="Compact"/>
              <w:jc w:val="left"/>
            </w:pPr>
            <w:r>
              <w:t xml:space="preserve">Above market</w:t>
            </w:r>
            <w:r>
              <w:t xml:space="preserve"> </w:t>
            </w:r>
            <w:r>
              <w:rPr>
                <w:b/>
                <w:bCs/>
              </w:rPr>
              <w:t xml:space="preserve">high</w:t>
            </w:r>
          </w:p>
        </w:tc>
      </w:tr>
      <w:tr>
        <w:tc>
          <w:tcPr/>
          <w:p>
            <w:pPr>
              <w:pStyle w:val="Compact"/>
              <w:jc w:val="left"/>
            </w:pPr>
            <w:r>
              <w:t xml:space="preserve">Trait expression platform (B)</w:t>
            </w:r>
          </w:p>
        </w:tc>
        <w:tc>
          <w:tcPr/>
          <w:p>
            <w:pPr>
              <w:pStyle w:val="Compact"/>
              <w:jc w:val="left"/>
            </w:pPr>
            <w:r>
              <w:t xml:space="preserve">3.0%–4.5%</w:t>
            </w:r>
          </w:p>
        </w:tc>
        <w:tc>
          <w:tcPr/>
          <w:p>
            <w:pPr>
              <w:pStyle w:val="Compact"/>
              <w:jc w:val="left"/>
            </w:pPr>
            <w:r>
              <w:t xml:space="preserve">3.25%</w:t>
            </w:r>
          </w:p>
        </w:tc>
        <w:tc>
          <w:tcPr/>
          <w:p>
            <w:pPr>
              <w:pStyle w:val="Compact"/>
              <w:jc w:val="left"/>
            </w:pPr>
            <w:r>
              <w:t xml:space="preserve">3.58%</w:t>
            </w:r>
          </w:p>
        </w:tc>
        <w:tc>
          <w:tcPr/>
          <w:p>
            <w:pPr>
              <w:pStyle w:val="Compact"/>
              <w:jc w:val="left"/>
            </w:pPr>
            <w:r>
              <w:t xml:space="preserve">5.0%</w:t>
            </w:r>
          </w:p>
        </w:tc>
        <w:tc>
          <w:tcPr/>
          <w:p>
            <w:pPr>
              <w:pStyle w:val="Compact"/>
              <w:jc w:val="left"/>
            </w:pPr>
            <w:r>
              <w:t xml:space="preserve">Above market</w:t>
            </w:r>
            <w:r>
              <w:t xml:space="preserve"> </w:t>
            </w:r>
            <w:r>
              <w:rPr>
                <w:b/>
                <w:bCs/>
              </w:rPr>
              <w:t xml:space="preserve">high</w:t>
            </w:r>
          </w:p>
        </w:tc>
      </w:tr>
      <w:tr>
        <w:tc>
          <w:tcPr/>
          <w:p>
            <w:pPr>
              <w:pStyle w:val="Compact"/>
              <w:jc w:val="left"/>
            </w:pPr>
            <w:r>
              <w:t xml:space="preserve">Bioinformatics software (C)</w:t>
            </w:r>
          </w:p>
        </w:tc>
        <w:tc>
          <w:tcPr/>
          <w:p>
            <w:pPr>
              <w:pStyle w:val="Compact"/>
              <w:jc w:val="left"/>
            </w:pPr>
            <w:r>
              <w:t xml:space="preserve">$2.9–3.2M (Clarendon: $2.5–4.0M)</w:t>
            </w:r>
          </w:p>
        </w:tc>
        <w:tc>
          <w:tcPr/>
          <w:p>
            <w:pPr>
              <w:pStyle w:val="Compact"/>
              <w:jc w:val="left"/>
            </w:pPr>
            <w:r>
              <w:t xml:space="preserve">—</w:t>
            </w:r>
          </w:p>
        </w:tc>
        <w:tc>
          <w:tcPr/>
          <w:p>
            <w:pPr>
              <w:pStyle w:val="Compact"/>
              <w:jc w:val="left"/>
            </w:pPr>
            <w:r>
              <w:t xml:space="preserve">$3.05M</w:t>
            </w:r>
          </w:p>
        </w:tc>
        <w:tc>
          <w:tcPr/>
          <w:p>
            <w:pPr>
              <w:pStyle w:val="Compact"/>
              <w:jc w:val="left"/>
            </w:pPr>
            <w:r>
              <w:t xml:space="preserve">~$5.28M</w:t>
            </w:r>
          </w:p>
        </w:tc>
        <w:tc>
          <w:tcPr/>
          <w:p>
            <w:pPr>
              <w:pStyle w:val="Compact"/>
              <w:jc w:val="left"/>
            </w:pPr>
            <w:r>
              <w:t xml:space="preserve">~65% above comp mean; ~32% above market high</w:t>
            </w:r>
          </w:p>
        </w:tc>
      </w:tr>
    </w:tbl>
    <w:p>
      <w:pPr>
        <w:pStyle w:val="BodyText"/>
      </w:pPr>
      <w:r>
        <w:t xml:space="preserve">NovaTrait’s proposed rates exceed both the market medians and the upper ranges for</w:t>
      </w:r>
      <w:r>
        <w:t xml:space="preserve"> </w:t>
      </w:r>
      <w:r>
        <w:rPr>
          <w:b/>
          <w:bCs/>
        </w:rPr>
        <w:t xml:space="preserve">all three</w:t>
      </w:r>
      <w:r>
        <w:t xml:space="preserve"> </w:t>
      </w:r>
      <w:r>
        <w:t xml:space="preserve">license categories. Modified Net Sales definitions (removing standard deductions) are uncommon — only 1 of 6 rate-based comparables uses a modified definition, and that comparable removes returns only (not freight, insurance, and bad debt, as NovaTrait proposes).</w:t>
      </w:r>
    </w:p>
    <w:bookmarkEnd w:id="43"/>
    <w:bookmarkStart w:id="44" w:name="X598294a26f26674c5e223c018e1a5d49a5ad3e2"/>
    <w:p>
      <w:pPr>
        <w:pStyle w:val="Heading3"/>
      </w:pPr>
      <w:r>
        <w:t xml:space="preserve">B. Patent Landscape (Clarendon Report, September 14, 2020)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Portfolio Strength</w:t>
            </w:r>
          </w:p>
        </w:tc>
        <w:tc>
          <w:tcPr/>
          <w:p>
            <w:pPr>
              <w:pStyle w:val="Compact"/>
              <w:jc w:val="left"/>
            </w:pPr>
            <w:r>
              <w:t xml:space="preserve">Commercial Alternatives</w:t>
            </w:r>
          </w:p>
        </w:tc>
        <w:tc>
          <w:tcPr/>
          <w:p>
            <w:pPr>
              <w:pStyle w:val="Compact"/>
              <w:jc w:val="left"/>
            </w:pPr>
            <w:r>
              <w:t xml:space="preserve">Renewal Risk to Greenfield</w:t>
            </w:r>
          </w:p>
        </w:tc>
        <w:tc>
          <w:tcPr/>
          <w:p>
            <w:pPr>
              <w:pStyle w:val="Compact"/>
              <w:jc w:val="left"/>
            </w:pPr>
            <w:r>
              <w:t xml:space="preserve">Licensor Leverage</w:t>
            </w:r>
          </w:p>
        </w:tc>
      </w:tr>
      <w:tr>
        <w:tc>
          <w:tcPr/>
          <w:p>
            <w:pPr>
              <w:pStyle w:val="Compact"/>
              <w:jc w:val="left"/>
            </w:pPr>
            <w:r>
              <w:t xml:space="preserve">A (CRISPR-Ag)</w:t>
            </w:r>
          </w:p>
        </w:tc>
        <w:tc>
          <w:tcPr/>
          <w:p>
            <w:pPr>
              <w:pStyle w:val="Compact"/>
              <w:jc w:val="left"/>
            </w:pPr>
            <w:r>
              <w:t xml:space="preserve">Strong</w:t>
            </w:r>
          </w:p>
        </w:tc>
        <w:tc>
          <w:tcPr/>
          <w:p>
            <w:pPr>
              <w:pStyle w:val="Compact"/>
              <w:jc w:val="left"/>
            </w:pPr>
            <w:r>
              <w:t xml:space="preserve">Emerging (post-2028)</w:t>
            </w:r>
          </w:p>
        </w:tc>
        <w:tc>
          <w:tcPr/>
          <w:p>
            <w:pPr>
              <w:pStyle w:val="Compact"/>
              <w:jc w:val="left"/>
            </w:pPr>
            <w:r>
              <w:t xml:space="preserve">Moderate — declining over term</w:t>
            </w:r>
          </w:p>
        </w:tc>
        <w:tc>
          <w:tcPr/>
          <w:p>
            <w:pPr>
              <w:pStyle w:val="Compact"/>
              <w:jc w:val="left"/>
            </w:pPr>
            <w:r>
              <w:t xml:space="preserve">Moderate — declining</w:t>
            </w:r>
          </w:p>
        </w:tc>
      </w:tr>
      <w:tr>
        <w:tc>
          <w:tcPr/>
          <w:p>
            <w:pPr>
              <w:pStyle w:val="Compact"/>
              <w:jc w:val="left"/>
            </w:pPr>
            <w:r>
              <w:t xml:space="preserve">B (TraitForge)</w:t>
            </w:r>
          </w:p>
        </w:tc>
        <w:tc>
          <w:tcPr/>
          <w:p>
            <w:pPr>
              <w:pStyle w:val="Compact"/>
              <w:jc w:val="left"/>
            </w:pPr>
            <w:r>
              <w:t xml:space="preserve">Very Strong</w:t>
            </w:r>
          </w:p>
        </w:tc>
        <w:tc>
          <w:tcPr/>
          <w:p>
            <w:pPr>
              <w:pStyle w:val="Compact"/>
              <w:jc w:val="left"/>
            </w:pPr>
            <w:r>
              <w:t xml:space="preserve">None identified</w:t>
            </w:r>
          </w:p>
        </w:tc>
        <w:tc>
          <w:tcPr/>
          <w:p>
            <w:pPr>
              <w:pStyle w:val="Compact"/>
              <w:jc w:val="left"/>
            </w:pPr>
            <w:r>
              <w:t xml:space="preserve">High — irreplaceable</w:t>
            </w:r>
          </w:p>
        </w:tc>
        <w:tc>
          <w:tcPr/>
          <w:p>
            <w:pPr>
              <w:pStyle w:val="Compact"/>
              <w:jc w:val="left"/>
            </w:pPr>
            <w:r>
              <w:t xml:space="preserve">Very High</w:t>
            </w:r>
          </w:p>
        </w:tc>
      </w:tr>
      <w:tr>
        <w:tc>
          <w:tcPr/>
          <w:p>
            <w:pPr>
              <w:pStyle w:val="Compact"/>
              <w:jc w:val="left"/>
            </w:pPr>
            <w:r>
              <w:t xml:space="preserve">C (GenoMap Pro)</w:t>
            </w:r>
          </w:p>
        </w:tc>
        <w:tc>
          <w:tcPr/>
          <w:p>
            <w:pPr>
              <w:pStyle w:val="Compact"/>
              <w:jc w:val="left"/>
            </w:pPr>
            <w:r>
              <w:t xml:space="preserve">Moderate (copyright/trade secret)</w:t>
            </w:r>
          </w:p>
        </w:tc>
        <w:tc>
          <w:tcPr/>
          <w:p>
            <w:pPr>
              <w:pStyle w:val="Compact"/>
              <w:jc w:val="left"/>
            </w:pPr>
            <w:r>
              <w:t xml:space="preserve">Multiple alternatives</w:t>
            </w:r>
          </w:p>
        </w:tc>
        <w:tc>
          <w:tcPr/>
          <w:p>
            <w:pPr>
              <w:pStyle w:val="Compact"/>
              <w:jc w:val="left"/>
            </w:pPr>
            <w:r>
              <w:t xml:space="preserve">Low — substitutable</w:t>
            </w:r>
          </w:p>
        </w:tc>
        <w:tc>
          <w:tcPr/>
          <w:p>
            <w:pPr>
              <w:pStyle w:val="Compact"/>
              <w:jc w:val="left"/>
            </w:pPr>
            <w:r>
              <w:t xml:space="preserve">Low to Moderate</w:t>
            </w:r>
          </w:p>
        </w:tc>
      </w:tr>
    </w:tbl>
    <w:p>
      <w:pPr>
        <w:pStyle w:val="BodyText"/>
      </w:pPr>
      <w:r>
        <w:rPr>
          <w:b/>
          <w:bCs/>
        </w:rPr>
        <w:t xml:space="preserve">Key landscape findings:</w:t>
      </w:r>
    </w:p>
    <w:p>
      <w:pPr>
        <w:pStyle w:val="Compact"/>
        <w:numPr>
          <w:ilvl w:val="0"/>
          <w:numId w:val="1018"/>
        </w:numPr>
      </w:pPr>
      <w:r>
        <w:rPr>
          <w:b/>
          <w:bCs/>
        </w:rPr>
        <w:t xml:space="preserve">License A:</w:t>
      </w:r>
      <w:r>
        <w:t xml:space="preserve"> </w:t>
      </w:r>
      <w:r>
        <w:t xml:space="preserve">U.S. 9,234,117 (~60% of portfolio value) expires March 12, 2028; residual portfolio value post-expiry ~35–40%. AgriGenome Solutions and CropTech Innovations are positioned to offer competitive platforms post-2028; market rates expected to fall to ≤3.5%. Clarendon recommends a</w:t>
      </w:r>
      <w:r>
        <w:t xml:space="preserve"> </w:t>
      </w:r>
      <w:r>
        <w:rPr>
          <w:b/>
          <w:bCs/>
        </w:rPr>
        <w:t xml:space="preserve">royalty step-down tied to the 9,234,117 expiry</w:t>
      </w:r>
      <w:r>
        <w:t xml:space="preserve"> </w:t>
      </w:r>
      <w:r>
        <w:t xml:space="preserve">and cautions against accepting an expanded field of use (e.g., wheat) at a higher rate unless NovaTrait demonstrates patent coverage in the expanded field.</w:t>
      </w:r>
    </w:p>
    <w:p>
      <w:pPr>
        <w:pStyle w:val="Compact"/>
        <w:numPr>
          <w:ilvl w:val="0"/>
          <w:numId w:val="1018"/>
        </w:numPr>
      </w:pPr>
      <w:r>
        <w:rPr>
          <w:b/>
          <w:bCs/>
        </w:rPr>
        <w:t xml:space="preserve">License B:</w:t>
      </w:r>
      <w:r>
        <w:t xml:space="preserve"> </w:t>
      </w:r>
      <w:r>
        <w:t xml:space="preserve">No commercial alternatives; 3–4 years and $25–30M to develop internally; patent terms through 2036–2038. NovaTrait’s leverage is very high, but the proposed rate exceeds the market range and should be challenged. Clarendon recommends securing the</w:t>
      </w:r>
      <w:r>
        <w:t xml:space="preserve"> </w:t>
      </w:r>
      <w:r>
        <w:rPr>
          <w:b/>
          <w:bCs/>
        </w:rPr>
        <w:t xml:space="preserve">longest possible renewal term</w:t>
      </w:r>
      <w:r>
        <w:t xml:space="preserve"> </w:t>
      </w:r>
      <w:r>
        <w:t xml:space="preserve">to lock in rates.</w:t>
      </w:r>
    </w:p>
    <w:p>
      <w:pPr>
        <w:pStyle w:val="Compact"/>
        <w:numPr>
          <w:ilvl w:val="0"/>
          <w:numId w:val="1018"/>
        </w:numPr>
      </w:pPr>
      <w:r>
        <w:rPr>
          <w:b/>
          <w:bCs/>
        </w:rPr>
        <w:t xml:space="preserve">License C:</w:t>
      </w:r>
      <w:r>
        <w:t xml:space="preserve"> </w:t>
      </w:r>
      <w:r>
        <w:t xml:space="preserve">Three alternatives at $2.5–4.0M; Greenfield’s strongest negotiating position. Clarendon recommends obtaining competitive proposals to support fee negotiation.</w:t>
      </w:r>
    </w:p>
    <w:p>
      <w:pPr>
        <w:pStyle w:val="FirstParagraph"/>
      </w:pPr>
      <w:r>
        <w:rPr>
          <w:b/>
          <w:bCs/>
        </w:rPr>
        <w:t xml:space="preserve">Important caveat:</w:t>
      </w:r>
      <w:r>
        <w:t xml:space="preserve"> </w:t>
      </w:r>
      <w:r>
        <w:t xml:space="preserve">The Clarendon Report is dated September 14, 2020, and its own Recommendation 5 urges an updated landscape analysis before formal renewal negotiations, particularly as to the AgriGenome Solutions and CropTech Innovations portfolios (which were in early prosecution in 2020 and may have materially advanced). NovaTrait states it has since secured 30+ new counterpart filings and successfully defended 9,234,117 in an inter partes review.</w:t>
      </w:r>
      <w:r>
        <w:t xml:space="preserve"> </w:t>
      </w:r>
      <w:r>
        <w:rPr>
          <w:b/>
          <w:bCs/>
        </w:rPr>
        <w:t xml:space="preserve">Greenfield should commission an updated landscape analysis</w:t>
      </w:r>
      <w:r>
        <w:t xml:space="preserve"> </w:t>
      </w:r>
      <w:r>
        <w:t xml:space="preserve">before finalizing License A terms, both to validate the post-2028 step-down argument and to assess the wheat field-of-use coverage.</w:t>
      </w:r>
    </w:p>
    <w:bookmarkEnd w:id="44"/>
    <w:bookmarkStart w:id="45" w:name="c.-switching-cost-leverage"/>
    <w:p>
      <w:pPr>
        <w:pStyle w:val="Heading3"/>
      </w:pPr>
      <w:r>
        <w:t xml:space="preserve">C. Switching-Cost Leverage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w:t>
            </w:r>
          </w:p>
        </w:tc>
        <w:tc>
          <w:tcPr/>
          <w:p>
            <w:pPr>
              <w:pStyle w:val="Compact"/>
              <w:jc w:val="left"/>
            </w:pPr>
            <w:r>
              <w:t xml:space="preserve">Switching Cost (Direct)</w:t>
            </w:r>
          </w:p>
        </w:tc>
        <w:tc>
          <w:tcPr/>
          <w:p>
            <w:pPr>
              <w:pStyle w:val="Compact"/>
              <w:jc w:val="left"/>
            </w:pPr>
            <w:r>
              <w:t xml:space="preserve">Break-Even</w:t>
            </w:r>
          </w:p>
        </w:tc>
        <w:tc>
          <w:tcPr/>
          <w:p>
            <w:pPr>
              <w:pStyle w:val="Compact"/>
              <w:jc w:val="left"/>
            </w:pPr>
            <w:r>
              <w:t xml:space="preserve">Assessment</w:t>
            </w:r>
          </w:p>
        </w:tc>
      </w:tr>
      <w:tr>
        <w:tc>
          <w:tcPr/>
          <w:p>
            <w:pPr>
              <w:pStyle w:val="Compact"/>
              <w:jc w:val="left"/>
            </w:pPr>
            <w:r>
              <w:t xml:space="preserve">A</w:t>
            </w:r>
          </w:p>
        </w:tc>
        <w:tc>
          <w:tcPr/>
          <w:p>
            <w:pPr>
              <w:pStyle w:val="Compact"/>
              <w:jc w:val="left"/>
            </w:pPr>
            <w:r>
              <w:t xml:space="preserve">$16.65M–$23.6M (+$8–15M opportunity)</w:t>
            </w:r>
          </w:p>
        </w:tc>
        <w:tc>
          <w:tcPr/>
          <w:p>
            <w:pPr>
              <w:pStyle w:val="Compact"/>
              <w:jc w:val="left"/>
            </w:pPr>
            <w:r>
              <w:t xml:space="preserve">2.8–7.9 yrs (direct)</w:t>
            </w:r>
          </w:p>
        </w:tc>
        <w:tc>
          <w:tcPr/>
          <w:p>
            <w:pPr>
              <w:pStyle w:val="Compact"/>
              <w:jc w:val="left"/>
            </w:pPr>
            <w:r>
              <w:t xml:space="preserve">Not justified near-term; leverage for 5.0–5.5% rate</w:t>
            </w:r>
          </w:p>
        </w:tc>
      </w:tr>
      <w:tr>
        <w:tc>
          <w:tcPr/>
          <w:p>
            <w:pPr>
              <w:pStyle w:val="Compact"/>
              <w:jc w:val="left"/>
            </w:pPr>
            <w:r>
              <w:t xml:space="preserve">B</w:t>
            </w:r>
          </w:p>
        </w:tc>
        <w:tc>
          <w:tcPr/>
          <w:p>
            <w:pPr>
              <w:pStyle w:val="Compact"/>
              <w:jc w:val="left"/>
            </w:pPr>
            <w:r>
              <w:t xml:space="preserve">$24.3M–$33.7M internal dev (3–4 yrs)</w:t>
            </w:r>
          </w:p>
        </w:tc>
        <w:tc>
          <w:tcPr/>
          <w:p>
            <w:pPr>
              <w:pStyle w:val="Compact"/>
              <w:jc w:val="left"/>
            </w:pPr>
            <w:r>
              <w:t xml:space="preserve">n/a (no alternative)</w:t>
            </w:r>
          </w:p>
        </w:tc>
        <w:tc>
          <w:tcPr/>
          <w:p>
            <w:pPr>
              <w:pStyle w:val="Compact"/>
              <w:jc w:val="left"/>
            </w:pPr>
            <w:r>
              <w:t xml:space="preserve">Minimal leverage; protect operational terms</w:t>
            </w:r>
          </w:p>
        </w:tc>
      </w:tr>
      <w:tr>
        <w:tc>
          <w:tcPr/>
          <w:p>
            <w:pPr>
              <w:pStyle w:val="Compact"/>
              <w:jc w:val="left"/>
            </w:pPr>
            <w:r>
              <w:t xml:space="preserve">C</w:t>
            </w:r>
          </w:p>
        </w:tc>
        <w:tc>
          <w:tcPr/>
          <w:p>
            <w:pPr>
              <w:pStyle w:val="Compact"/>
              <w:jc w:val="left"/>
            </w:pPr>
            <w:r>
              <w:t xml:space="preserve">$2.55M–$4.375M one-time</w:t>
            </w:r>
          </w:p>
        </w:tc>
        <w:tc>
          <w:tcPr/>
          <w:p>
            <w:pPr>
              <w:pStyle w:val="Compact"/>
              <w:jc w:val="left"/>
            </w:pPr>
            <w:r>
              <w:t xml:space="preserve">0.7–2.5 yrs</w:t>
            </w:r>
          </w:p>
        </w:tc>
        <w:tc>
          <w:tcPr/>
          <w:p>
            <w:pPr>
              <w:pStyle w:val="Compact"/>
              <w:jc w:val="left"/>
            </w:pPr>
            <w:r>
              <w:t xml:space="preserve">Strongest case; use RFP to drive fee to $3.5–4.0M</w:t>
            </w:r>
          </w:p>
        </w:tc>
      </w:tr>
    </w:tbl>
    <w:p>
      <w:pPr>
        <w:pStyle w:val="BodyText"/>
      </w:pPr>
      <w:r>
        <w:t xml:space="preserve">The switching-cost analysis confirms a differentiated strategy: credible alternatives support aggressive negotiation on License C; the cost and timeline of replacing License A support a rate reduction but not a switch; and License B cannot be replaced, so negotiation must focus on rate (above market) and operational protections.</w:t>
      </w:r>
    </w:p>
    <w:p>
      <w:r>
        <w:pict>
          <v:rect style="width:0;height:1.5pt" o:hralign="center" o:hrstd="t" o:hr="t"/>
        </w:pict>
      </w:r>
    </w:p>
    <w:bookmarkEnd w:id="45"/>
    <w:bookmarkEnd w:id="46"/>
    <w:bookmarkStart w:id="53" w:name="x.-cross-cutting-contractual-issues"/>
    <w:p>
      <w:pPr>
        <w:pStyle w:val="Heading2"/>
      </w:pPr>
      <w:r>
        <w:t xml:space="preserve">X. Cross-Cutting Contractual Issues</w:t>
      </w:r>
    </w:p>
    <w:bookmarkStart w:id="47" w:name="X48e3b39631b304a982a751866e72841bb8289f7"/>
    <w:p>
      <w:pPr>
        <w:pStyle w:val="Heading3"/>
      </w:pPr>
      <w:r>
        <w:t xml:space="preserve">A. Section 14.3 Rate Cap (License A) and the Net Sales Redefinition</w:t>
      </w:r>
    </w:p>
    <w:p>
      <w:pPr>
        <w:pStyle w:val="FirstParagraph"/>
      </w:pPr>
      <w:r>
        <w:t xml:space="preserve">License A §14.3(a) caps any renewal royalty-rate increase at 150% of the then-current rate (4.5% → 6.75%) without an IFMV assessment. The proposed 6.25% nominal rate is within this cap. However, the simultaneous Net Sales redefinition (removing freight, insurance, returns, and bad-debt deductions) increases the royalty base by ~7.2%, producing an</w:t>
      </w:r>
      <w:r>
        <w:t xml:space="preserve"> </w:t>
      </w:r>
      <w:r>
        <w:rPr>
          <w:b/>
          <w:bCs/>
        </w:rPr>
        <w:t xml:space="preserve">effective rate of 6.70% on the original Net Sales base — 148.9% of the current rate</w:t>
      </w:r>
      <w:r>
        <w:t xml:space="preserve">, barely within the 150% cap.</w:t>
      </w:r>
    </w:p>
    <w:p>
      <w:pPr>
        <w:pStyle w:val="BodyText"/>
      </w:pPr>
      <w:r>
        <w:rPr>
          <w:b/>
          <w:bCs/>
        </w:rPr>
        <w:t xml:space="preserve">Recommended position:</w:t>
      </w:r>
      <w:r>
        <w:t xml:space="preserve"> </w:t>
      </w:r>
      <w:r>
        <w:t xml:space="preserve">Greenfield should argue that the Net Sales redefinition is, in economic substance, a rate increase, and that the</w:t>
      </w:r>
      <w:r>
        <w:t xml:space="preserve"> </w:t>
      </w:r>
      <w:r>
        <w:rPr>
          <w:b/>
          <w:bCs/>
        </w:rPr>
        <w:t xml:space="preserve">combined effective rate</w:t>
      </w:r>
      <w:r>
        <w:t xml:space="preserve"> </w:t>
      </w:r>
      <w:r>
        <w:t xml:space="preserve">must be measured against the 150% cap. If the combined effect is treated as exceeding 150%, an IFMV assessment is required before the increase can take effect. Critically, even if the nominal rate is within the cap, §14.3 states that any increase must be</w:t>
      </w:r>
      <w:r>
        <w:t xml:space="preserve"> </w:t>
      </w:r>
      <w:r>
        <w:t xml:space="preserve">“</w:t>
      </w:r>
      <w:r>
        <w:t xml:space="preserve">by mutual agreement</w:t>
      </w:r>
      <w:r>
        <w:t xml:space="preserve">”</w:t>
      </w:r>
      <w:r>
        <w:t xml:space="preserve"> </w:t>
      </w:r>
      <w:r>
        <w:t xml:space="preserve">—</w:t>
      </w:r>
      <w:r>
        <w:t xml:space="preserve"> </w:t>
      </w:r>
      <w:r>
        <w:rPr>
          <w:b/>
          <w:bCs/>
        </w:rPr>
        <w:t xml:space="preserve">Greenfield is not obligated to accept any increase</w:t>
      </w:r>
      <w:r>
        <w:t xml:space="preserve">, and the cap is a ceiling, not a floor or an entitlement. Licenses B and C contain no equivalent rate-cap provision, so this argument is specific to License A.</w:t>
      </w:r>
    </w:p>
    <w:bookmarkEnd w:id="47"/>
    <w:bookmarkStart w:id="48" w:name="Xc4c5bc9c7a7673d96aefcb3d26b327f9bbccb9d"/>
    <w:p>
      <w:pPr>
        <w:pStyle w:val="Heading3"/>
      </w:pPr>
      <w:r>
        <w:t xml:space="preserve">B. Improvements Ownership (Licenses A and B)</w:t>
      </w:r>
    </w:p>
    <w:p>
      <w:pPr>
        <w:pStyle w:val="FirstParagraph"/>
      </w:pPr>
      <w:r>
        <w:t xml:space="preserve">The Proposal would reverse Greenfield’s sole ownership of its improvements to</w:t>
      </w:r>
      <w:r>
        <w:t xml:space="preserve"> </w:t>
      </w:r>
      <w:r>
        <w:rPr>
          <w:b/>
          <w:bCs/>
        </w:rPr>
        <w:t xml:space="preserve">joint ownership</w:t>
      </w:r>
      <w:r>
        <w:t xml:space="preserve"> </w:t>
      </w:r>
      <w:r>
        <w:t xml:space="preserve">with a</w:t>
      </w:r>
      <w:r>
        <w:t xml:space="preserve"> </w:t>
      </w:r>
      <w:r>
        <w:rPr>
          <w:b/>
          <w:bCs/>
        </w:rPr>
        <w:t xml:space="preserve">royalty-free, perpetual, irrevocable, sublicensable, transferable license to NovaTrait for any purpose</w:t>
      </w:r>
      <w:r>
        <w:t xml:space="preserve"> </w:t>
      </w:r>
      <w:r>
        <w:t xml:space="preserve">(including within the Field of Use, which is currently prohibited under License A §8.1), while Greenfield would receive only a non-exclusive, non-sublicensable, royalty-bearing license for the Renewal Term. This is a</w:t>
      </w:r>
      <w:r>
        <w:t xml:space="preserve"> </w:t>
      </w:r>
      <w:r>
        <w:rPr>
          <w:b/>
          <w:bCs/>
        </w:rPr>
        <w:t xml:space="preserve">fundamental value transfer</w:t>
      </w:r>
      <w:r>
        <w:t xml:space="preserve">: Greenfield would lose ownership of its own platform improvements and grant NovaTrait a perpetual royalty-free right to exploit them — including in Greenfield’s own market — while Greenfield’s own right to use jointly-owned improvements would expire with the Renewal Term.</w:t>
      </w:r>
    </w:p>
    <w:p>
      <w:pPr>
        <w:pStyle w:val="BodyText"/>
      </w:pPr>
      <w:r>
        <w:rPr>
          <w:b/>
          <w:bCs/>
        </w:rPr>
        <w:t xml:space="preserve">Recommended position:</w:t>
      </w:r>
      <w:r>
        <w:t xml:space="preserve"> </w:t>
      </w:r>
      <w:r>
        <w:t xml:space="preserve">Retain sole Greenfield ownership of Greenfield improvements, with at most a non-exclusive license back to NovaTrait at a reduced royalty for use</w:t>
      </w:r>
      <w:r>
        <w:t xml:space="preserve"> </w:t>
      </w:r>
      <w:r>
        <w:rPr>
          <w:b/>
          <w:bCs/>
        </w:rPr>
        <w:t xml:space="preserve">outside</w:t>
      </w:r>
      <w:r>
        <w:t xml:space="preserve"> </w:t>
      </w:r>
      <w:r>
        <w:t xml:space="preserve">the Field of Use, consistent with the current §8.1 (License A) and §6.3 (License B) structure. This should be treated as a high-priority, likely non-negotiable term for both licenses.</w:t>
      </w:r>
    </w:p>
    <w:bookmarkEnd w:id="48"/>
    <w:bookmarkStart w:id="49" w:name="X4440366ca1bd5c8817f6a55e0fbbc12957c9efb"/>
    <w:p>
      <w:pPr>
        <w:pStyle w:val="Heading3"/>
      </w:pPr>
      <w:r>
        <w:t xml:space="preserve">C. Net Sales Redefinition (Licenses A and B)</w:t>
      </w:r>
    </w:p>
    <w:p>
      <w:pPr>
        <w:pStyle w:val="FirstParagraph"/>
      </w:pPr>
      <w:r>
        <w:t xml:space="preserve">The proposed narrowing of the Net Sales definition (eliminating freight, insurance, returns, and bad-debt deductions) is uncommon in the market (only 1 of 6 rate-based comparables uses a modified definition, and that removes returns only). It functions as a hidden rate increase (~7.2% for License A; ~6.8% for License B) and should be resisted. Greenfield should insist on retaining the</w:t>
      </w:r>
      <w:r>
        <w:t xml:space="preserve"> </w:t>
      </w:r>
      <w:r>
        <w:rPr>
          <w:b/>
          <w:bCs/>
        </w:rPr>
        <w:t xml:space="preserve">original Net Sales definition</w:t>
      </w:r>
      <w:r>
        <w:t xml:space="preserve"> </w:t>
      </w:r>
      <w:r>
        <w:t xml:space="preserve">in both licenses.</w:t>
      </w:r>
    </w:p>
    <w:bookmarkEnd w:id="49"/>
    <w:bookmarkStart w:id="50" w:name="X382928b1f63e154a7ad334236ff77a086c6b8e9"/>
    <w:p>
      <w:pPr>
        <w:pStyle w:val="Heading3"/>
      </w:pPr>
      <w:r>
        <w:t xml:space="preserve">D. Term Alignment and Cross-License Coordination</w:t>
      </w:r>
    </w:p>
    <w:p>
      <w:pPr>
        <w:pStyle w:val="FirstParagraph"/>
      </w:pPr>
      <w:r>
        <w:t xml:space="preserve">The proposed renewal terms are misaligned: License A to June 30, 2030 (5 years); License B to December 31, 2029 (5 years); License C to February 28, 2028 (3 years). This creates recurring, staggered renewal negotiations and renewal-management complexity. NovaTrait offers optional harmonization (e.g., a coordinated 5-year License C term at an incremental fee). Greenfield should weigh harmonization against the benefit of License C’s shorter cycle (which preserves leverage given the software’s rapid evolution and the anticipated Version 6.x release in late 2027). A coordinated quarterly payment statement (NovaTrait’s proposal) is administratively convenient and acceptable.</w:t>
      </w:r>
    </w:p>
    <w:bookmarkEnd w:id="50"/>
    <w:bookmarkStart w:id="51" w:name="Xfae5f3acc8f575dd8e1b2b2f0d36b8fc21686f0"/>
    <w:p>
      <w:pPr>
        <w:pStyle w:val="Heading3"/>
      </w:pPr>
      <w:r>
        <w:t xml:space="preserve">E. Most-Favored-Licensee (MFL) and Diligence Items</w:t>
      </w:r>
    </w:p>
    <w:p>
      <w:pPr>
        <w:numPr>
          <w:ilvl w:val="0"/>
          <w:numId w:val="1019"/>
        </w:numPr>
      </w:pPr>
      <w:r>
        <w:rPr>
          <w:b/>
          <w:bCs/>
        </w:rPr>
        <w:t xml:space="preserve">MFL existence — verify.</w:t>
      </w:r>
      <w:r>
        <w:t xml:space="preserve"> </w:t>
      </w:r>
      <w:r>
        <w:t xml:space="preserve">The Proposal states that License A’s</w:t>
      </w:r>
      <w:r>
        <w:t xml:space="preserve"> </w:t>
      </w:r>
      <w:r>
        <w:t xml:space="preserve">“</w:t>
      </w:r>
      <w:r>
        <w:t xml:space="preserve">existing Section 14.5 (MFL)</w:t>
      </w:r>
      <w:r>
        <w:t xml:space="preserve">”</w:t>
      </w:r>
      <w:r>
        <w:t xml:space="preserve"> </w:t>
      </w:r>
      <w:r>
        <w:t xml:space="preserve">will be retained. However, the version of License A provided for review contains Article 14 with sections 14.1–14.4 only;</w:t>
      </w:r>
      <w:r>
        <w:t xml:space="preserve"> </w:t>
      </w:r>
      <w:r>
        <w:rPr>
          <w:b/>
          <w:bCs/>
        </w:rPr>
        <w:t xml:space="preserve">no Section 14.5 (MFL) appears</w:t>
      </w:r>
      <w:r>
        <w:t xml:space="preserve">. Greenfield should verify whether an MFL provision exists in License A (and Licenses B and C) and, if so, its scope and carve-outs, before agreeing to</w:t>
      </w:r>
      <w:r>
        <w:t xml:space="preserve"> </w:t>
      </w:r>
      <w:r>
        <w:t xml:space="preserve">“</w:t>
      </w:r>
      <w:r>
        <w:t xml:space="preserve">retain</w:t>
      </w:r>
      <w:r>
        <w:t xml:space="preserve">”</w:t>
      </w:r>
      <w:r>
        <w:t xml:space="preserve"> </w:t>
      </w:r>
      <w:r>
        <w:t xml:space="preserve">it. If no MFL currently exists, Greenfield should consider whether to seek one as a renewal benefit.</w:t>
      </w:r>
    </w:p>
    <w:p>
      <w:pPr>
        <w:numPr>
          <w:ilvl w:val="0"/>
          <w:numId w:val="1019"/>
        </w:numPr>
      </w:pPr>
      <w:r>
        <w:rPr>
          <w:b/>
          <w:bCs/>
        </w:rPr>
        <w:t xml:space="preserve">Patent expiration dates — verify.</w:t>
      </w:r>
      <w:r>
        <w:t xml:space="preserve"> </w:t>
      </w:r>
      <w:r>
        <w:t xml:space="preserve">The patent expiration dates differ between License A’s Exhibit A and the Proposal’s Appendix A (e.g., U.S. 9,234,118: September 22, 2033 per Exhibit A vs. December 19, 2028 per Appendix A; U.S. 9,651,002: March 8, 2034 vs. March 8, 2029; U.S. 10,112,445: October 6, 2035 vs. November 3, 2031). These discrepancies affect the post-2028 residual-value analysis and the step-down argument. Greenfield’s patent counsel should confirm the correct expiration dates (including any patent-term adjustments or extensions) before finalizing License A terms.</w:t>
      </w:r>
    </w:p>
    <w:p>
      <w:pPr>
        <w:numPr>
          <w:ilvl w:val="0"/>
          <w:numId w:val="1019"/>
        </w:numPr>
      </w:pPr>
      <w:r>
        <w:rPr>
          <w:b/>
          <w:bCs/>
        </w:rPr>
        <w:t xml:space="preserve">Counsel of record.</w:t>
      </w:r>
      <w:r>
        <w:t xml:space="preserve"> </w:t>
      </w:r>
      <w:r>
        <w:t xml:space="preserve">The Proposal states NovaTrait’s understanding that Greenfield is represented by</w:t>
      </w:r>
      <w:r>
        <w:t xml:space="preserve"> </w:t>
      </w:r>
      <w:r>
        <w:t xml:space="preserve">“</w:t>
      </w:r>
      <w:r>
        <w:t xml:space="preserve">Bergerac Whitlock LLP.</w:t>
      </w:r>
      <w:r>
        <w:t xml:space="preserve">”</w:t>
      </w:r>
      <w:r>
        <w:t xml:space="preserve"> </w:t>
      </w:r>
      <w:r>
        <w:t xml:space="preserve">Greenfield’s counsel of record on the existing licenses and in the Financial Impact Analysis is</w:t>
      </w:r>
      <w:r>
        <w:t xml:space="preserve"> </w:t>
      </w:r>
      <w:r>
        <w:rPr>
          <w:b/>
          <w:bCs/>
        </w:rPr>
        <w:t xml:space="preserve">Ashworth &amp; Calder LLP</w:t>
      </w:r>
      <w:r>
        <w:t xml:space="preserve"> </w:t>
      </w:r>
      <w:r>
        <w:t xml:space="preserve">(Victoria Chen). Greenfield should correct this in its response.</w:t>
      </w:r>
    </w:p>
    <w:p>
      <w:pPr>
        <w:numPr>
          <w:ilvl w:val="0"/>
          <w:numId w:val="1019"/>
        </w:numPr>
      </w:pPr>
      <w:r>
        <w:rPr>
          <w:b/>
          <w:bCs/>
        </w:rPr>
        <w:t xml:space="preserve">Patent-challenge termination (License A §15.4).</w:t>
      </w:r>
      <w:r>
        <w:t xml:space="preserve"> </w:t>
      </w:r>
      <w:r>
        <w:t xml:space="preserve">NovaTrait may terminate License A if Greenfield challenges any Licensed Patent. This limits Greenfield’s ability to challenge validity and is relevant to the post-2028 landscape (where 9,234,117 will have expired but improvement patents remain). Greenfield should preserve its defensive challenge rights where practicable.</w:t>
      </w:r>
    </w:p>
    <w:p>
      <w:pPr>
        <w:numPr>
          <w:ilvl w:val="0"/>
          <w:numId w:val="1019"/>
        </w:numPr>
      </w:pPr>
      <w:r>
        <w:rPr>
          <w:b/>
          <w:bCs/>
        </w:rPr>
        <w:t xml:space="preserve">Security interest (License A §17.12).</w:t>
      </w:r>
      <w:r>
        <w:t xml:space="preserve"> </w:t>
      </w:r>
      <w:r>
        <w:t xml:space="preserve">Greenfield’s ability to grant security interests in its license rights to lenders (e.g., Fieldstone National Bank) should be preserved in any renewal.</w:t>
      </w:r>
    </w:p>
    <w:bookmarkEnd w:id="51"/>
    <w:bookmarkStart w:id="52" w:name="f.-governing-law-and-dispute-resolution"/>
    <w:p>
      <w:pPr>
        <w:pStyle w:val="Heading3"/>
      </w:pPr>
      <w:r>
        <w:t xml:space="preserve">F. Governing Law and Dispute Resolution</w:t>
      </w:r>
    </w:p>
    <w:p>
      <w:pPr>
        <w:pStyle w:val="FirstParagraph"/>
      </w:pPr>
      <w:r>
        <w:t xml:space="preserve">All three licenses are governed by Massachusetts law, but dispute-resolution mechanisms differ: License A provides for Boston state/federal litigation (§17.7); License B for Suffolk County courts (§15.7); License C for</w:t>
      </w:r>
      <w:r>
        <w:t xml:space="preserve"> </w:t>
      </w:r>
      <w:r>
        <w:rPr>
          <w:b/>
          <w:bCs/>
        </w:rPr>
        <w:t xml:space="preserve">binding AAA arbitration</w:t>
      </w:r>
      <w:r>
        <w:t xml:space="preserve"> </w:t>
      </w:r>
      <w:r>
        <w:t xml:space="preserve">in Boston (§13.2). Greenfield should consider whether to harmonize dispute resolution across the renewed agreements and should note that the arbitration election in License C may affect the enforceability of certain provisions.</w:t>
      </w:r>
    </w:p>
    <w:p>
      <w:r>
        <w:pict>
          <v:rect style="width:0;height:1.5pt" o:hralign="center" o:hrstd="t" o:hr="t"/>
        </w:pict>
      </w:r>
    </w:p>
    <w:bookmarkEnd w:id="52"/>
    <w:bookmarkEnd w:id="53"/>
    <w:bookmarkStart w:id="54" w:name="xi.-prioritized-negotiation-positions"/>
    <w:p>
      <w:pPr>
        <w:pStyle w:val="Heading2"/>
      </w:pPr>
      <w:r>
        <w:t xml:space="preserve">XI. Prioritized Negotiation Positions</w:t>
      </w:r>
    </w:p>
    <w:p>
      <w:pPr>
        <w:pStyle w:val="FirstParagraph"/>
      </w:pPr>
      <w:r>
        <w:t xml:space="preserve">The following table consolidates the recommended counter-positions, ranked by risk level. It is adapted from the Financial Impact Analysis’s negotiation-priority matrix and refined in light of the contractual and IP analysis above.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Rank</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Greenfield Position</w:t>
            </w:r>
          </w:p>
        </w:tc>
        <w:tc>
          <w:tcPr/>
          <w:p>
            <w:pPr>
              <w:pStyle w:val="Compact"/>
              <w:jc w:val="left"/>
            </w:pPr>
            <w:r>
              <w:t xml:space="preserve">Recommended Counter</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w:t>
            </w:r>
          </w:p>
        </w:tc>
        <w:tc>
          <w:tcPr/>
          <w:p>
            <w:pPr>
              <w:pStyle w:val="Compact"/>
              <w:jc w:val="left"/>
            </w:pPr>
            <w:r>
              <w:t xml:space="preserve">Renewal effective 1/1/2025</w:t>
            </w:r>
          </w:p>
        </w:tc>
        <w:tc>
          <w:tcPr/>
          <w:p>
            <w:pPr>
              <w:pStyle w:val="Compact"/>
              <w:jc w:val="left"/>
            </w:pPr>
            <w:r>
              <w:t xml:space="preserve">Standstill expires 6/29/2025</w:t>
            </w:r>
          </w:p>
        </w:tc>
        <w:tc>
          <w:tcPr/>
          <w:p>
            <w:pPr>
              <w:pStyle w:val="Compact"/>
              <w:jc w:val="left"/>
            </w:pPr>
            <w:r>
              <w:rPr>
                <w:b/>
                <w:bCs/>
              </w:rPr>
              <w:t xml:space="preserve">Written standstill extension to 12/31/2025 as condition of negotiation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NovaTrait owns; Greenfield non-exclusive, term-limited license</w:t>
            </w:r>
          </w:p>
        </w:tc>
        <w:tc>
          <w:tcPr/>
          <w:p>
            <w:pPr>
              <w:pStyle w:val="Compact"/>
              <w:jc w:val="left"/>
            </w:pPr>
            <w:r>
              <w:t xml:space="preserve">Greenfield must own all output/derived data</w:t>
            </w:r>
          </w:p>
        </w:tc>
        <w:tc>
          <w:tcPr/>
          <w:p>
            <w:pPr>
              <w:pStyle w:val="Compact"/>
              <w:jc w:val="left"/>
            </w:pPr>
            <w:r>
              <w:rPr>
                <w:b/>
                <w:bCs/>
              </w:rPr>
              <w:t xml:space="preserve">All output data solely owned by Greenfield (consistent with §9.2)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Improvements ownership</w:t>
            </w:r>
          </w:p>
        </w:tc>
        <w:tc>
          <w:tcPr/>
          <w:p>
            <w:pPr>
              <w:pStyle w:val="Compact"/>
              <w:jc w:val="left"/>
            </w:pPr>
            <w:r>
              <w:t xml:space="preserve">Joint ownership; royalty-free grant-back to NovaTrait</w:t>
            </w:r>
          </w:p>
        </w:tc>
        <w:tc>
          <w:tcPr/>
          <w:p>
            <w:pPr>
              <w:pStyle w:val="Compact"/>
              <w:jc w:val="left"/>
            </w:pPr>
            <w:r>
              <w:t xml:space="preserve">Retain sole Greenfield ownership (§8.1)</w:t>
            </w:r>
          </w:p>
        </w:tc>
        <w:tc>
          <w:tcPr/>
          <w:p>
            <w:pPr>
              <w:pStyle w:val="Compact"/>
              <w:jc w:val="left"/>
            </w:pPr>
            <w:r>
              <w:rPr>
                <w:b/>
                <w:bCs/>
              </w:rPr>
              <w:t xml:space="preserve">Greenfield sole ownership; non-exclusive license to NovaTrait at reduced royalty, outside FOU</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 Net Sales redefinition (combined)</w:t>
            </w:r>
          </w:p>
        </w:tc>
        <w:tc>
          <w:tcPr/>
          <w:p>
            <w:pPr>
              <w:pStyle w:val="Compact"/>
              <w:jc w:val="left"/>
            </w:pPr>
            <w:r>
              <w:t xml:space="preserve">6.25% on redefined Net Sales (effective ~6.70%)</w:t>
            </w:r>
          </w:p>
        </w:tc>
        <w:tc>
          <w:tcPr/>
          <w:p>
            <w:pPr>
              <w:pStyle w:val="Compact"/>
              <w:jc w:val="left"/>
            </w:pPr>
            <w:r>
              <w:t xml:space="preserve">4.5% on original definition</w:t>
            </w:r>
          </w:p>
        </w:tc>
        <w:tc>
          <w:tcPr/>
          <w:p>
            <w:pPr>
              <w:pStyle w:val="Compact"/>
              <w:jc w:val="left"/>
            </w:pPr>
            <w:r>
              <w:rPr>
                <w:b/>
                <w:bCs/>
              </w:rPr>
              <w:t xml:space="preserve">5.0% on original Net Sales definition, or 4.75% on redefined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market 3.0–4.5%)</w:t>
            </w:r>
          </w:p>
        </w:tc>
        <w:tc>
          <w:tcPr/>
          <w:p>
            <w:pPr>
              <w:pStyle w:val="Compact"/>
              <w:jc w:val="left"/>
            </w:pPr>
            <w:r>
              <w:t xml:space="preserve">3.75%</w:t>
            </w:r>
          </w:p>
        </w:tc>
        <w:tc>
          <w:tcPr/>
          <w:p>
            <w:pPr>
              <w:pStyle w:val="Compact"/>
              <w:jc w:val="left"/>
            </w:pPr>
            <w:r>
              <w:rPr>
                <w:b/>
                <w:bCs/>
              </w:rPr>
              <w:t xml:space="preserve">4.25% on original Net Sales definition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Source-code access</w:t>
            </w:r>
          </w:p>
        </w:tc>
        <w:tc>
          <w:tcPr/>
          <w:p>
            <w:pPr>
              <w:pStyle w:val="Compact"/>
              <w:jc w:val="left"/>
            </w:pPr>
            <w:r>
              <w:t xml:space="preserve">Eliminated (object code only)</w:t>
            </w:r>
          </w:p>
        </w:tc>
        <w:tc>
          <w:tcPr/>
          <w:p>
            <w:pPr>
              <w:pStyle w:val="Compact"/>
              <w:jc w:val="left"/>
            </w:pPr>
            <w:r>
              <w:t xml:space="preserve">Retain full source-code access</w:t>
            </w:r>
          </w:p>
        </w:tc>
        <w:tc>
          <w:tcPr/>
          <w:p>
            <w:pPr>
              <w:pStyle w:val="Compact"/>
              <w:jc w:val="left"/>
            </w:pPr>
            <w:r>
              <w:rPr>
                <w:b/>
                <w:bCs/>
              </w:rPr>
              <w:t xml:space="preserve">Retain source-code access; accept reasonable security/escrow</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Biological materials return</w:t>
            </w:r>
          </w:p>
        </w:tc>
        <w:tc>
          <w:tcPr/>
          <w:p>
            <w:pPr>
              <w:pStyle w:val="Compact"/>
              <w:jc w:val="left"/>
            </w:pPr>
            <w:r>
              <w:t xml:space="preserve">30-day return/destruction, no wind-down</w:t>
            </w:r>
          </w:p>
        </w:tc>
        <w:tc>
          <w:tcPr/>
          <w:p>
            <w:pPr>
              <w:pStyle w:val="Compact"/>
              <w:jc w:val="left"/>
            </w:pPr>
            <w:r>
              <w:t xml:space="preserve">Inadequate for operational continuity</w:t>
            </w:r>
          </w:p>
        </w:tc>
        <w:tc>
          <w:tcPr/>
          <w:p>
            <w:pPr>
              <w:pStyle w:val="Compact"/>
              <w:jc w:val="left"/>
            </w:pPr>
            <w:r>
              <w:rPr>
                <w:b/>
                <w:bCs/>
              </w:rPr>
              <w:t xml:space="preserve">180-day wind-down; right to use remaining materials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 user cap</w:t>
            </w:r>
          </w:p>
        </w:tc>
        <w:tc>
          <w:tcPr/>
          <w:p>
            <w:pPr>
              <w:pStyle w:val="Compact"/>
              <w:jc w:val="left"/>
            </w:pPr>
            <w:r>
              <w:t xml:space="preserve">~$4.85M base + 50-user cap ($18.5K/user overage)</w:t>
            </w:r>
          </w:p>
        </w:tc>
        <w:tc>
          <w:tcPr/>
          <w:p>
            <w:pPr>
              <w:pStyle w:val="Compact"/>
              <w:jc w:val="left"/>
            </w:pPr>
            <w:r>
              <w:t xml:space="preserve">~$5.28M total vs. $3.14M (+68%)</w:t>
            </w:r>
          </w:p>
        </w:tc>
        <w:tc>
          <w:tcPr/>
          <w:p>
            <w:pPr>
              <w:pStyle w:val="Compact"/>
              <w:jc w:val="left"/>
            </w:pPr>
            <w:r>
              <w:rPr>
                <w:b/>
                <w:bCs/>
              </w:rPr>
              <w:t xml:space="preserve">$3.5–4.0M total; no cap or ≥100 users; overage ≤$12K/user</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35% already above market median</w:t>
            </w:r>
          </w:p>
        </w:tc>
        <w:tc>
          <w:tcPr/>
          <w:p>
            <w:pPr>
              <w:pStyle w:val="Compact"/>
              <w:jc w:val="left"/>
            </w:pPr>
            <w:r>
              <w:rPr>
                <w:b/>
                <w:bCs/>
              </w:rPr>
              <w:t xml:space="preserve">Retain 35%; or 40% with volume discount above $2M</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(new)</w:t>
            </w:r>
          </w:p>
        </w:tc>
        <w:tc>
          <w:tcPr/>
          <w:p>
            <w:pPr>
              <w:pStyle w:val="Compact"/>
              <w:jc w:val="left"/>
            </w:pPr>
            <w:r>
              <w:t xml:space="preserve">No current pass-through obligation</w:t>
            </w:r>
          </w:p>
        </w:tc>
        <w:tc>
          <w:tcPr/>
          <w:p>
            <w:pPr>
              <w:pStyle w:val="Compact"/>
              <w:jc w:val="left"/>
            </w:pPr>
            <w:r>
              <w:rPr>
                <w:b/>
                <w:bCs/>
              </w:rPr>
              <w:t xml:space="preserve">20% with 12-month phase-in; or resist and trade against rate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 resistance removal</w:t>
            </w:r>
          </w:p>
        </w:tc>
        <w:tc>
          <w:tcPr/>
          <w:p>
            <w:pPr>
              <w:pStyle w:val="Compact"/>
              <w:jc w:val="left"/>
            </w:pPr>
            <w:r>
              <w:t xml:space="preserve">Removes IR; adds wheat</w:t>
            </w:r>
          </w:p>
        </w:tc>
        <w:tc>
          <w:tcPr/>
          <w:p>
            <w:pPr>
              <w:pStyle w:val="Compact"/>
              <w:jc w:val="left"/>
            </w:pPr>
            <w:r>
              <w:t xml:space="preserve">IR is ~30% of License A revenue</w:t>
            </w:r>
          </w:p>
        </w:tc>
        <w:tc>
          <w:tcPr/>
          <w:p>
            <w:pPr>
              <w:pStyle w:val="Compact"/>
              <w:jc w:val="left"/>
            </w:pPr>
            <w:r>
              <w:rPr>
                <w:b/>
                <w:bCs/>
              </w:rPr>
              <w:t xml:space="preserve">Retain IR AND add wheat; no rate premium without patent coverage of wheat</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w:t>
            </w:r>
          </w:p>
        </w:tc>
        <w:tc>
          <w:tcPr/>
          <w:p>
            <w:pPr>
              <w:pStyle w:val="Compact"/>
              <w:jc w:val="left"/>
            </w:pPr>
            <w:r>
              <w:t xml:space="preserve">2x/year, 15 business days, 5-yr lookback</w:t>
            </w:r>
          </w:p>
        </w:tc>
        <w:tc>
          <w:tcPr/>
          <w:p>
            <w:pPr>
              <w:pStyle w:val="Compact"/>
              <w:jc w:val="left"/>
            </w:pPr>
            <w:r>
              <w:t xml:space="preserve">1x/year, 30 calendar days, 3-yr lookback</w:t>
            </w:r>
          </w:p>
        </w:tc>
        <w:tc>
          <w:tcPr/>
          <w:p>
            <w:pPr>
              <w:pStyle w:val="Compact"/>
              <w:jc w:val="left"/>
            </w:pPr>
            <w:r>
              <w:rPr>
                <w:b/>
                <w:bCs/>
              </w:rPr>
              <w:t xml:space="preserve">Retain 1x/year; concede 20 business days’ notice</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25% offset; floor 4.75%</w:t>
            </w:r>
          </w:p>
        </w:tc>
        <w:tc>
          <w:tcPr/>
          <w:p>
            <w:pPr>
              <w:pStyle w:val="Compact"/>
              <w:jc w:val="left"/>
            </w:pPr>
            <w:r>
              <w:t xml:space="preserve">Beneficial but floor limits utility</w:t>
            </w:r>
          </w:p>
        </w:tc>
        <w:tc>
          <w:tcPr/>
          <w:p>
            <w:pPr>
              <w:pStyle w:val="Compact"/>
              <w:jc w:val="left"/>
            </w:pPr>
            <w:r>
              <w:rPr>
                <w:b/>
                <w:bCs/>
              </w:rPr>
              <w:t xml:space="preserve">Accept; modify floor to 75% of calculated (not minimum) royalty</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w:t>
            </w:r>
          </w:p>
        </w:tc>
        <w:tc>
          <w:tcPr/>
          <w:p>
            <w:pPr>
              <w:pStyle w:val="Compact"/>
              <w:jc w:val="left"/>
            </w:pPr>
            <w:r>
              <w:t xml:space="preserve">$175K additional</w:t>
            </w:r>
          </w:p>
        </w:tc>
        <w:tc>
          <w:tcPr/>
          <w:p>
            <w:pPr>
              <w:pStyle w:val="Compact"/>
              <w:jc w:val="left"/>
            </w:pPr>
            <w:r>
              <w:t xml:space="preserve">Should be included in renewal</w:t>
            </w:r>
          </w:p>
        </w:tc>
        <w:tc>
          <w:tcPr/>
          <w:p>
            <w:pPr>
              <w:pStyle w:val="Compact"/>
              <w:jc w:val="left"/>
            </w:pPr>
            <w:r>
              <w:rPr>
                <w:b/>
                <w:bCs/>
              </w:rPr>
              <w:t xml:space="preserve">Included at no cost as condition of renewal</w:t>
            </w:r>
          </w:p>
        </w:tc>
        <w:tc>
          <w:tcPr/>
          <w:p>
            <w:pPr>
              <w:pStyle w:val="Compact"/>
              <w:jc w:val="left"/>
            </w:pPr>
            <w:r>
              <w:t xml:space="preserve">LOW</w:t>
            </w:r>
          </w:p>
        </w:tc>
      </w:tr>
    </w:tbl>
    <w:p>
      <w:pPr>
        <w:pStyle w:val="BodyText"/>
      </w:pPr>
      <w:r>
        <w:rPr>
          <w:b/>
          <w:bCs/>
        </w:rPr>
        <w:t xml:space="preserve">Additional high-value term not in the Proposal:</w:t>
      </w:r>
      <w:r>
        <w:t xml:space="preserve"> </w:t>
      </w:r>
      <w:r>
        <w:t xml:space="preserve">License A</w:t>
      </w:r>
      <w:r>
        <w:t xml:space="preserve"> </w:t>
      </w:r>
      <w:r>
        <w:rPr>
          <w:b/>
          <w:bCs/>
        </w:rPr>
        <w:t xml:space="preserve">post-2028 royalty step-down</w:t>
      </w:r>
      <w:r>
        <w:t xml:space="preserve"> </w:t>
      </w:r>
      <w:r>
        <w:t xml:space="preserve">tied to the March 12, 2028 expiration of U.S. 9,234,117 (~60% of portfolio value). Recommended: step-down to ~2.0–3.5% effective March 12, 2028. This is the single most important economic term in the License A renewal and should be elevated to HIGH priority in negotiation.</w:t>
      </w:r>
    </w:p>
    <w:p>
      <w:r>
        <w:pict>
          <v:rect style="width:0;height:1.5pt" o:hralign="center" o:hrstd="t" o:hr="t"/>
        </w:pict>
      </w:r>
    </w:p>
    <w:bookmarkEnd w:id="54"/>
    <w:bookmarkStart w:id="59" w:name="xii.-recommended-strategy-and-next-steps"/>
    <w:p>
      <w:pPr>
        <w:pStyle w:val="Heading2"/>
      </w:pPr>
      <w:r>
        <w:t xml:space="preserve">XII. Recommended Strategy and Next Steps</w:t>
      </w:r>
    </w:p>
    <w:bookmarkStart w:id="55" w:name="a.-overall-strategy"/>
    <w:p>
      <w:pPr>
        <w:pStyle w:val="Heading3"/>
      </w:pPr>
      <w:r>
        <w:t xml:space="preserve">A. Overall Strategy</w:t>
      </w:r>
    </w:p>
    <w:p>
      <w:pPr>
        <w:pStyle w:val="FirstParagraph"/>
      </w:pPr>
      <w:r>
        <w:t xml:space="preserve">Greenfield should pursue a</w:t>
      </w:r>
      <w:r>
        <w:t xml:space="preserve"> </w:t>
      </w:r>
      <w:r>
        <w:rPr>
          <w:b/>
          <w:bCs/>
        </w:rPr>
        <w:t xml:space="preserve">“</w:t>
      </w:r>
      <w:r>
        <w:rPr>
          <w:b/>
          <w:bCs/>
        </w:rPr>
        <w:t xml:space="preserve">renew all three, but on renegotiated terms</w:t>
      </w:r>
      <w:r>
        <w:rPr>
          <w:b/>
          <w:bCs/>
        </w:rPr>
        <w:t xml:space="preserve">”</w:t>
      </w:r>
      <w:r>
        <w:t xml:space="preserve"> </w:t>
      </w:r>
      <w:r>
        <w:t xml:space="preserve">strategy, with a differentiated posture per license reflecting the leverage profile:</w:t>
      </w:r>
    </w:p>
    <w:p>
      <w:pPr>
        <w:pStyle w:val="Compact"/>
        <w:numPr>
          <w:ilvl w:val="0"/>
          <w:numId w:val="1020"/>
        </w:numPr>
      </w:pPr>
      <w:r>
        <w:rPr>
          <w:b/>
          <w:bCs/>
        </w:rPr>
        <w:t xml:space="preserve">License A:</w:t>
      </w:r>
      <w:r>
        <w:t xml:space="preserve"> </w:t>
      </w:r>
      <w:r>
        <w:t xml:space="preserve">Negotiate hard on rate and Net Sales definition; insist on the post-2028 step-down; retain IR and sole improvement ownership; accept the anti-stacking offset (modified) and the wheat addition (subject to patent-coverage verification). Use the 2028 patent expiry and emerging alternatives as leverage.</w:t>
      </w:r>
    </w:p>
    <w:p>
      <w:pPr>
        <w:pStyle w:val="Compact"/>
        <w:numPr>
          <w:ilvl w:val="0"/>
          <w:numId w:val="1020"/>
        </w:numPr>
      </w:pPr>
      <w:r>
        <w:rPr>
          <w:b/>
          <w:bCs/>
        </w:rPr>
        <w:t xml:space="preserve">License B:</w:t>
      </w:r>
      <w:r>
        <w:t xml:space="preserve"> </w:t>
      </w:r>
      <w:r>
        <w:t xml:space="preserve">Acknowledge NovaTrait’s leverage but challenge the above-market rate with comparables; secure the longest available term; protect operational terms (wind-down, audit); resist the new Prairielands pass-through. Prioritize the standstill extension immediately.</w:t>
      </w:r>
    </w:p>
    <w:p>
      <w:pPr>
        <w:pStyle w:val="Compact"/>
        <w:numPr>
          <w:ilvl w:val="0"/>
          <w:numId w:val="1020"/>
        </w:numPr>
      </w:pPr>
      <w:r>
        <w:rPr>
          <w:b/>
          <w:bCs/>
        </w:rPr>
        <w:t xml:space="preserve">License C:</w:t>
      </w:r>
      <w:r>
        <w:t xml:space="preserve"> </w:t>
      </w:r>
      <w:r>
        <w:t xml:space="preserve">Lead with a credible alternative-provider RFP (BioSphere Analytics, PlantLogic Suite, TraitView Pro) to drive the fee to $3.5–4.0M; reject the derivative-data ownership clause and source-code elimination as non-negotiable; require a maintained-access bridge during any transition.</w:t>
      </w:r>
    </w:p>
    <w:bookmarkEnd w:id="55"/>
    <w:bookmarkStart w:id="56" w:name="b.-immediate-actions-030-days"/>
    <w:p>
      <w:pPr>
        <w:pStyle w:val="Heading3"/>
      </w:pPr>
      <w:r>
        <w:t xml:space="preserve">B. Immediate Actions (0–30 days)</w:t>
      </w:r>
    </w:p>
    <w:p>
      <w:pPr>
        <w:pStyle w:val="Compact"/>
        <w:numPr>
          <w:ilvl w:val="0"/>
          <w:numId w:val="1021"/>
        </w:numPr>
      </w:pPr>
      <w:r>
        <w:rPr>
          <w:b/>
          <w:bCs/>
        </w:rPr>
        <w:t xml:space="preserve">Deliver the License A renewal notice</w:t>
      </w:r>
      <w:r>
        <w:t xml:space="preserve"> </w:t>
      </w:r>
      <w:r>
        <w:t xml:space="preserve">to NovaTrait on or before March 31, 2025 (§14.2), preserving all rights.</w:t>
      </w:r>
    </w:p>
    <w:p>
      <w:pPr>
        <w:pStyle w:val="Compact"/>
        <w:numPr>
          <w:ilvl w:val="0"/>
          <w:numId w:val="1021"/>
        </w:numPr>
      </w:pPr>
      <w:r>
        <w:rPr>
          <w:b/>
          <w:bCs/>
        </w:rPr>
        <w:t xml:space="preserve">Secure a written License B standstill extension</w:t>
      </w:r>
      <w:r>
        <w:t xml:space="preserve"> </w:t>
      </w:r>
      <w:r>
        <w:t xml:space="preserve">to December 31, 2025 as a condition of continued negotiation; do not accept the June 30, 2025 cutoff in NovaTrait’s draft standstill confirmation.</w:t>
      </w:r>
    </w:p>
    <w:p>
      <w:pPr>
        <w:pStyle w:val="Compact"/>
        <w:numPr>
          <w:ilvl w:val="0"/>
          <w:numId w:val="1021"/>
        </w:numPr>
      </w:pPr>
      <w:r>
        <w:rPr>
          <w:b/>
          <w:bCs/>
        </w:rPr>
        <w:t xml:space="preserve">Confirm License C renewal intent and interim/holdover access</w:t>
      </w:r>
      <w:r>
        <w:t xml:space="preserve"> </w:t>
      </w:r>
      <w:r>
        <w:t xml:space="preserve">in writing to avoid interruption of the bioinformatics pipeline on February 28, 2025.</w:t>
      </w:r>
    </w:p>
    <w:p>
      <w:pPr>
        <w:pStyle w:val="Compact"/>
        <w:numPr>
          <w:ilvl w:val="0"/>
          <w:numId w:val="1021"/>
        </w:numPr>
      </w:pPr>
      <w:r>
        <w:rPr>
          <w:b/>
          <w:bCs/>
        </w:rPr>
        <w:t xml:space="preserve">Commission an updated patent landscape analysis</w:t>
      </w:r>
      <w:r>
        <w:t xml:space="preserve"> </w:t>
      </w:r>
      <w:r>
        <w:t xml:space="preserve">(per Clarendon Recommendation 5), focused on the AgriGenome Solutions and CropTech Innovations portfolios and on wheat field-of-use coverage.</w:t>
      </w:r>
    </w:p>
    <w:p>
      <w:pPr>
        <w:pStyle w:val="Compact"/>
        <w:numPr>
          <w:ilvl w:val="0"/>
          <w:numId w:val="1021"/>
        </w:numPr>
      </w:pPr>
      <w:r>
        <w:rPr>
          <w:b/>
          <w:bCs/>
        </w:rPr>
        <w:t xml:space="preserve">Initiate a competitive RFP</w:t>
      </w:r>
      <w:r>
        <w:t xml:space="preserve"> </w:t>
      </w:r>
      <w:r>
        <w:t xml:space="preserve">for bioinformatics platforms to support License C negotiation.</w:t>
      </w:r>
    </w:p>
    <w:p>
      <w:pPr>
        <w:pStyle w:val="Compact"/>
        <w:numPr>
          <w:ilvl w:val="0"/>
          <w:numId w:val="1021"/>
        </w:numPr>
      </w:pPr>
      <w:r>
        <w:rPr>
          <w:b/>
          <w:bCs/>
        </w:rPr>
        <w:t xml:space="preserve">Verify</w:t>
      </w:r>
      <w:r>
        <w:t xml:space="preserve"> </w:t>
      </w:r>
      <w:r>
        <w:t xml:space="preserve">the License A MFL provision (§14.5), the correct patent expiration dates, and the existence/scope of any IFMV assessment basis.</w:t>
      </w:r>
    </w:p>
    <w:bookmarkEnd w:id="56"/>
    <w:bookmarkStart w:id="57" w:name="c.-near-term-actions-3090-days"/>
    <w:p>
      <w:pPr>
        <w:pStyle w:val="Heading3"/>
      </w:pPr>
      <w:r>
        <w:t xml:space="preserve">C. Near-Term Actions (30–90 days)</w:t>
      </w:r>
    </w:p>
    <w:p>
      <w:pPr>
        <w:pStyle w:val="Compact"/>
        <w:numPr>
          <w:ilvl w:val="0"/>
          <w:numId w:val="1022"/>
        </w:numPr>
      </w:pPr>
      <w:r>
        <w:rPr>
          <w:b/>
          <w:bCs/>
        </w:rPr>
        <w:t xml:space="preserve">Prepare and transmit a comprehensive counter-proposal</w:t>
      </w:r>
      <w:r>
        <w:t xml:space="preserve"> </w:t>
      </w:r>
      <w:r>
        <w:t xml:space="preserve">to NovaTrait by the April 15, 2025 target, incorporating the prioritized positions in Section XI and the post-2028 step-down for License A. The counter-proposal should be a Rule 408 settlement communication and should reserve all rights.</w:t>
      </w:r>
    </w:p>
    <w:p>
      <w:pPr>
        <w:pStyle w:val="Compact"/>
        <w:numPr>
          <w:ilvl w:val="0"/>
          <w:numId w:val="1022"/>
        </w:numPr>
      </w:pPr>
      <w:r>
        <w:rPr>
          <w:b/>
          <w:bCs/>
        </w:rPr>
        <w:t xml:space="preserve">Coordinate the Prairielands sublicense renewal</w:t>
      </w:r>
      <w:r>
        <w:t xml:space="preserve"> </w:t>
      </w:r>
      <w:r>
        <w:t xml:space="preserve">with the License B renewal so that both are renewed (or both extended) together, and seek NovaTrait’s consent to any necessary sublicense amendment.</w:t>
      </w:r>
    </w:p>
    <w:p>
      <w:pPr>
        <w:pStyle w:val="Compact"/>
        <w:numPr>
          <w:ilvl w:val="0"/>
          <w:numId w:val="1022"/>
        </w:numPr>
      </w:pPr>
      <w:r>
        <w:rPr>
          <w:b/>
          <w:bCs/>
        </w:rPr>
        <w:t xml:space="preserve">Convene the proposed working session</w:t>
      </w:r>
      <w:r>
        <w:t xml:space="preserve"> </w:t>
      </w:r>
      <w:r>
        <w:t xml:space="preserve">with NovaTrait (Cambridge or Raleigh) to negotiate term-by-term, using the Financial Impact Analysis and (updated) landscape analysis as support.</w:t>
      </w:r>
    </w:p>
    <w:bookmarkEnd w:id="57"/>
    <w:bookmarkStart w:id="58" w:name="d.-risk-management"/>
    <w:p>
      <w:pPr>
        <w:pStyle w:val="Heading3"/>
      </w:pPr>
      <w:r>
        <w:t xml:space="preserve">D. Risk Management</w:t>
      </w:r>
    </w:p>
    <w:p>
      <w:pPr>
        <w:pStyle w:val="Compact"/>
        <w:numPr>
          <w:ilvl w:val="0"/>
          <w:numId w:val="1023"/>
        </w:numPr>
      </w:pPr>
      <w:r>
        <w:rPr>
          <w:b/>
          <w:bCs/>
        </w:rPr>
        <w:t xml:space="preserve">Operational continuity:</w:t>
      </w:r>
      <w:r>
        <w:t xml:space="preserve"> </w:t>
      </w:r>
      <w:r>
        <w:t xml:space="preserve">The single largest operational risk is a gap in License B (biological materials) or License C (bioinformatics) access. Greenfield should maintain access to both throughout negotiations via standstill/holdover and should not allow either to lapse.</w:t>
      </w:r>
    </w:p>
    <w:p>
      <w:pPr>
        <w:pStyle w:val="Compact"/>
        <w:numPr>
          <w:ilvl w:val="0"/>
          <w:numId w:val="1023"/>
        </w:numPr>
      </w:pPr>
      <w:r>
        <w:rPr>
          <w:b/>
          <w:bCs/>
        </w:rPr>
        <w:t xml:space="preserve">Prairielands:</w:t>
      </w:r>
      <w:r>
        <w:t xml:space="preserve"> </w:t>
      </w:r>
      <w:r>
        <w:t xml:space="preserve">The sublicense auto-terminates with License B; Greenfield should communicate proactively with Prairielands to manage expectations and avoid disruption.</w:t>
      </w:r>
    </w:p>
    <w:p>
      <w:pPr>
        <w:pStyle w:val="Compact"/>
        <w:numPr>
          <w:ilvl w:val="0"/>
          <w:numId w:val="1023"/>
        </w:numPr>
      </w:pPr>
      <w:r>
        <w:rPr>
          <w:b/>
          <w:bCs/>
        </w:rPr>
        <w:t xml:space="preserve">Improvements and data:</w:t>
      </w:r>
      <w:r>
        <w:t xml:space="preserve"> </w:t>
      </w:r>
      <w:r>
        <w:t xml:space="preserve">The improvements-ownership and derivative-data terms are value-transfer risks that persist beyond the renewal term if accepted; they should be resolved before execution, not deferred.</w:t>
      </w:r>
    </w:p>
    <w:p>
      <w:pPr>
        <w:pStyle w:val="Compact"/>
        <w:numPr>
          <w:ilvl w:val="0"/>
          <w:numId w:val="1023"/>
        </w:numPr>
      </w:pPr>
      <w:r>
        <w:rPr>
          <w:b/>
          <w:bCs/>
        </w:rPr>
        <w:t xml:space="preserve">Patent-challenge clause (License A §15.4):</w:t>
      </w:r>
      <w:r>
        <w:t xml:space="preserve"> </w:t>
      </w:r>
      <w:r>
        <w:t xml:space="preserve">Greenfield should preserve its defensive rights and avoid any action that could be construed as a</w:t>
      </w:r>
      <w:r>
        <w:t xml:space="preserve"> </w:t>
      </w:r>
      <w:r>
        <w:t xml:space="preserve">“</w:t>
      </w:r>
      <w:r>
        <w:t xml:space="preserve">challenge</w:t>
      </w:r>
      <w:r>
        <w:t xml:space="preserve">”</w:t>
      </w:r>
      <w:r>
        <w:t xml:space="preserve"> </w:t>
      </w:r>
      <w:r>
        <w:t xml:space="preserve">during negotiations.</w:t>
      </w:r>
    </w:p>
    <w:p>
      <w:r>
        <w:pict>
          <v:rect style="width:0;height:1.5pt" o:hralign="center" o:hrstd="t" o:hr="t"/>
        </w:pict>
      </w:r>
    </w:p>
    <w:bookmarkEnd w:id="58"/>
    <w:bookmarkEnd w:id="59"/>
    <w:bookmarkStart w:id="60" w:name="xiii.-conclusion"/>
    <w:p>
      <w:pPr>
        <w:pStyle w:val="Heading2"/>
      </w:pPr>
      <w:r>
        <w:t xml:space="preserve">XIII. Conclusion</w:t>
      </w:r>
    </w:p>
    <w:p>
      <w:pPr>
        <w:pStyle w:val="FirstParagraph"/>
      </w:pPr>
      <w:r>
        <w:t xml:space="preserve">NovaTrait’s Proposal would increase Greenfield’s aggregate annual IP cost by approximately $9.3 million (+49.9%) and contains several terms that are materially adverse to Greenfield — most importantly, the reversal of sole improvement ownership (Licenses A and B) and the transfer of derivative-data ownership with elimination of source-code access (License C). At the same time, the Proposal bundles genuine value (the Version 5.x upgrade, the anti-stacking offset, and the wheat field-of-use addition) and reflects NovaTrait’s real leverage, particularly on the irreplaceable TraitForge platform.</w:t>
      </w:r>
    </w:p>
    <w:p>
      <w:pPr>
        <w:pStyle w:val="BodyText"/>
      </w:pPr>
      <w:r>
        <w:t xml:space="preserve">Greenfield’s leverage is differentiated and substantial: strong on License C (multiple alternatives, fast break-even), moderate and rising on License A (foundational patent expiry in 2028, emerging competitors), and limited but not absent on License B (above-market rate, operational-term protections). A comprehensive counter-proposal that (i) secures the License B standstill extension, (ii) rejects the improvement-ownership and derivative-data transfers, (iii) drives rates to market-informed levels on the original Net Sales definitions, (iv) installs a post-2028 step-down for License A, and (v) retains insect resistance, source-code access, and biological-materials wind-down — supported by an updated landscape analysis and a competitive License C RFP — can materially reduce the cost increase while preserving Greenfield’s access to all three platforms and protecting its proprietary IP.</w:t>
      </w:r>
    </w:p>
    <w:p>
      <w:pPr>
        <w:pStyle w:val="BodyText"/>
      </w:pPr>
      <w:r>
        <w:t xml:space="preserve">We recommend that Greenfield deliver the License A renewal notice by March 31, 2025, secure the License B standstill extension immediately, and transmit a comprehensive counter-proposal by April 15, 2025. We are available to discuss any aspect of this analysis at your convenience.</w:t>
      </w:r>
    </w:p>
    <w:p>
      <w:r>
        <w:pict>
          <v:rect style="width:0;height:1.5pt" o:hralign="center" o:hrstd="t" o:hr="t"/>
        </w:pict>
      </w:r>
    </w:p>
    <w:p>
      <w:pPr>
        <w:pStyle w:val="FirstParagraph"/>
      </w:pPr>
      <w:r>
        <w:rPr>
          <w:i/>
          <w:iCs/>
        </w:rPr>
        <w:t xml:space="preserve">This memorandum is privileged and confidential, constitutes attorney-client communication and attorney work product, and is prepared in anticipation of renewal negotiations subject to Fed. R. Evid. 408 / Mass. R. Evid. 408. It does not constitute a final legal opinion on any specific provision; section references are to the existing license agreements unless otherwise noted. Financial figures are drawn from the Financial Impact Analysis (February 2025) and patent-landscape findings from the Clarendon Report (September 14, 2020); both should be updated as negotiations proceed.</w:t>
      </w:r>
    </w:p>
    <w:p>
      <w:r>
        <w:pict>
          <v:rect style="width:0;height:1.5pt" o:hralign="center" o:hrstd="t" o:hr="t"/>
        </w:pict>
      </w:r>
    </w:p>
    <w:bookmarkEnd w:id="60"/>
    <w:bookmarkStart w:id="64" w:name="appendix-a-key-term-comparison-summary"/>
    <w:p>
      <w:pPr>
        <w:pStyle w:val="Heading2"/>
      </w:pPr>
      <w:r>
        <w:t xml:space="preserve">Appendix A — Key Term Comparison Summary</w:t>
      </w:r>
    </w:p>
    <w:bookmarkStart w:id="61" w:name="license-a-crispr-ag-suite"/>
    <w:p>
      <w:pPr>
        <w:pStyle w:val="Heading3"/>
      </w:pPr>
      <w:r>
        <w:t xml:space="preserve">License A (CRISPR-Ag Suite)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w:t>
            </w:r>
          </w:p>
        </w:tc>
        <w:tc>
          <w:tcPr/>
          <w:p>
            <w:pPr>
              <w:pStyle w:val="Compact"/>
              <w:jc w:val="left"/>
            </w:pPr>
            <w:r>
              <w:t xml:space="preserve">4.5%</w:t>
            </w:r>
          </w:p>
        </w:tc>
        <w:tc>
          <w:tcPr/>
          <w:p>
            <w:pPr>
              <w:pStyle w:val="Compact"/>
              <w:jc w:val="left"/>
            </w:pPr>
            <w:r>
              <w:t xml:space="preserve">6.25%</w:t>
            </w:r>
          </w:p>
        </w:tc>
        <w:tc>
          <w:tcPr/>
          <w:p>
            <w:pPr>
              <w:pStyle w:val="Compact"/>
              <w:jc w:val="left"/>
            </w:pPr>
            <w:r>
              <w:t xml:space="preserve">+38.9%</w:t>
            </w:r>
          </w:p>
        </w:tc>
      </w:tr>
      <w:tr>
        <w:tc>
          <w:tcPr/>
          <w:p>
            <w:pPr>
              <w:pStyle w:val="Compact"/>
              <w:jc w:val="left"/>
            </w:pPr>
            <w:r>
              <w:t xml:space="preserve">Minimum annual royalty</w:t>
            </w:r>
          </w:p>
        </w:tc>
        <w:tc>
          <w:tcPr/>
          <w:p>
            <w:pPr>
              <w:pStyle w:val="Compact"/>
              <w:jc w:val="left"/>
            </w:pPr>
            <w:r>
              <w:t xml:space="preserve">$4.0M</w:t>
            </w:r>
          </w:p>
        </w:tc>
        <w:tc>
          <w:tcPr/>
          <w:p>
            <w:pPr>
              <w:pStyle w:val="Compact"/>
              <w:jc w:val="left"/>
            </w:pPr>
            <w:r>
              <w:t xml:space="preserve">$8.0M</w:t>
            </w:r>
          </w:p>
        </w:tc>
        <w:tc>
          <w:tcPr/>
          <w:p>
            <w:pPr>
              <w:pStyle w:val="Compact"/>
              <w:jc w:val="left"/>
            </w:pPr>
            <w:r>
              <w:t xml:space="preserve">+100%</w:t>
            </w:r>
          </w:p>
        </w:tc>
      </w:tr>
      <w:tr>
        <w:tc>
          <w:tcPr/>
          <w:p>
            <w:pPr>
              <w:pStyle w:val="Compact"/>
              <w:jc w:val="left"/>
            </w:pPr>
            <w:r>
              <w:t xml:space="preserve">Net Sales deductions</w:t>
            </w:r>
          </w:p>
        </w:tc>
        <w:tc>
          <w:tcPr/>
          <w:p>
            <w:pPr>
              <w:pStyle w:val="Compact"/>
              <w:jc w:val="left"/>
            </w:pPr>
            <w:r>
              <w:t xml:space="preserve">Standard</w:t>
            </w:r>
          </w:p>
        </w:tc>
        <w:tc>
          <w:tcPr/>
          <w:p>
            <w:pPr>
              <w:pStyle w:val="Compact"/>
              <w:jc w:val="left"/>
            </w:pPr>
            <w:r>
              <w:t xml:space="preserve">Narrowed (taxes + discounts only)</w:t>
            </w:r>
          </w:p>
        </w:tc>
        <w:tc>
          <w:tcPr/>
          <w:p>
            <w:pPr>
              <w:pStyle w:val="Compact"/>
              <w:jc w:val="left"/>
            </w:pPr>
            <w:r>
              <w:t xml:space="preserve">Narrowed (+7.2%)</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 wheat</w:t>
            </w:r>
          </w:p>
        </w:tc>
        <w:tc>
          <w:tcPr/>
          <w:p>
            <w:pPr>
              <w:pStyle w:val="Compact"/>
              <w:jc w:val="left"/>
            </w:pPr>
            <w:r>
              <w:t xml:space="preserve">Expanded</w:t>
            </w:r>
          </w:p>
        </w:tc>
      </w:tr>
      <w:tr>
        <w:tc>
          <w:tcPr/>
          <w:p>
            <w:pPr>
              <w:pStyle w:val="Compact"/>
              <w:jc w:val="left"/>
            </w:pPr>
            <w:r>
              <w:t xml:space="preserve">Field of use — traits</w:t>
            </w:r>
          </w:p>
        </w:tc>
        <w:tc>
          <w:tcPr/>
          <w:p>
            <w:pPr>
              <w:pStyle w:val="Compact"/>
              <w:jc w:val="left"/>
            </w:pPr>
            <w:r>
              <w:t xml:space="preserve">Herbicide tol. + insect resist.</w:t>
            </w:r>
          </w:p>
        </w:tc>
        <w:tc>
          <w:tcPr/>
          <w:p>
            <w:pPr>
              <w:pStyle w:val="Compact"/>
              <w:jc w:val="left"/>
            </w:pPr>
            <w:r>
              <w:t xml:space="preserve">Herbicide tol. only</w:t>
            </w:r>
          </w:p>
        </w:tc>
        <w:tc>
          <w:tcPr/>
          <w:p>
            <w:pPr>
              <w:pStyle w:val="Compact"/>
              <w:jc w:val="left"/>
            </w:pPr>
            <w:r>
              <w:t xml:space="preserve">Narrowed</w:t>
            </w:r>
          </w:p>
        </w:tc>
      </w:tr>
      <w:tr>
        <w:tc>
          <w:tcPr/>
          <w:p>
            <w:pPr>
              <w:pStyle w:val="Compact"/>
              <w:jc w:val="left"/>
            </w:pPr>
            <w:r>
              <w:t xml:space="preserve">Territory</w:t>
            </w:r>
          </w:p>
        </w:tc>
        <w:tc>
          <w:tcPr/>
          <w:p>
            <w:pPr>
              <w:pStyle w:val="Compact"/>
              <w:jc w:val="left"/>
            </w:pPr>
            <w:r>
              <w:t xml:space="preserve">Worldwide ex China/India</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Sublicense pass-through</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r>
      <w:tr>
        <w:tc>
          <w:tcPr/>
          <w:p>
            <w:pPr>
              <w:pStyle w:val="Compact"/>
              <w:jc w:val="left"/>
            </w:pPr>
            <w:r>
              <w:t xml:space="preserve">Improvements</w:t>
            </w:r>
          </w:p>
        </w:tc>
        <w:tc>
          <w:tcPr/>
          <w:p>
            <w:pPr>
              <w:pStyle w:val="Compact"/>
              <w:jc w:val="left"/>
            </w:pPr>
            <w:r>
              <w:t xml:space="preserve">Greenfield sole; license back at commercial royalty</w:t>
            </w:r>
          </w:p>
        </w:tc>
        <w:tc>
          <w:tcPr/>
          <w:p>
            <w:pPr>
              <w:pStyle w:val="Compact"/>
              <w:jc w:val="left"/>
            </w:pPr>
            <w:r>
              <w:t xml:space="preserve">Joint; royalty-free to NovaTrait</w:t>
            </w:r>
          </w:p>
        </w:tc>
        <w:tc>
          <w:tcPr/>
          <w:p>
            <w:pPr>
              <w:pStyle w:val="Compact"/>
              <w:jc w:val="left"/>
            </w:pPr>
            <w:r>
              <w:t xml:space="preserve">Reversed</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FTO credit; cap 25%/qtr; floor 4.75%</w:t>
            </w:r>
          </w:p>
        </w:tc>
        <w:tc>
          <w:tcPr/>
          <w:p>
            <w:pPr>
              <w:pStyle w:val="Compact"/>
              <w:jc w:val="left"/>
            </w:pPr>
            <w:r>
              <w:t xml:space="preserve">New</w:t>
            </w:r>
          </w:p>
        </w:tc>
      </w:tr>
      <w:tr>
        <w:tc>
          <w:tcPr/>
          <w:p>
            <w:pPr>
              <w:pStyle w:val="Compact"/>
              <w:jc w:val="left"/>
            </w:pPr>
            <w:r>
              <w:t xml:space="preserve">Audit</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Term</w:t>
            </w:r>
          </w:p>
        </w:tc>
        <w:tc>
          <w:tcPr/>
          <w:p>
            <w:pPr>
              <w:pStyle w:val="Compact"/>
              <w:jc w:val="left"/>
            </w:pPr>
            <w:r>
              <w:t xml:space="preserve">10 yrs (to 6/30/2025)</w:t>
            </w:r>
          </w:p>
        </w:tc>
        <w:tc>
          <w:tcPr/>
          <w:p>
            <w:pPr>
              <w:pStyle w:val="Compact"/>
              <w:jc w:val="left"/>
            </w:pPr>
            <w:r>
              <w:t xml:space="preserve">5 yrs (to 6/30/2030)</w:t>
            </w:r>
          </w:p>
        </w:tc>
        <w:tc>
          <w:tcPr/>
          <w:p>
            <w:pPr>
              <w:pStyle w:val="Compact"/>
              <w:jc w:val="left"/>
            </w:pPr>
            <w:r>
              <w:t xml:space="preserve">Shorter</w:t>
            </w:r>
          </w:p>
        </w:tc>
      </w:tr>
    </w:tbl>
    <w:bookmarkEnd w:id="61"/>
    <w:bookmarkStart w:id="62" w:name="license-b-traitforge"/>
    <w:p>
      <w:pPr>
        <w:pStyle w:val="Heading3"/>
      </w:pPr>
      <w:r>
        <w:t xml:space="preserve">License B (TraitForge)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Royalty rate</w:t>
            </w:r>
          </w:p>
        </w:tc>
        <w:tc>
          <w:tcPr/>
          <w:p>
            <w:pPr>
              <w:pStyle w:val="Compact"/>
              <w:jc w:val="left"/>
            </w:pPr>
            <w:r>
              <w:t xml:space="preserve">3.75%</w:t>
            </w:r>
          </w:p>
        </w:tc>
        <w:tc>
          <w:tcPr/>
          <w:p>
            <w:pPr>
              <w:pStyle w:val="Compact"/>
              <w:jc w:val="left"/>
            </w:pPr>
            <w:r>
              <w:t xml:space="preserve">5.0%</w:t>
            </w:r>
          </w:p>
        </w:tc>
        <w:tc>
          <w:tcPr/>
          <w:p>
            <w:pPr>
              <w:pStyle w:val="Compact"/>
              <w:jc w:val="left"/>
            </w:pPr>
            <w:r>
              <w:t xml:space="preserve">+33.3%</w:t>
            </w:r>
          </w:p>
        </w:tc>
      </w:tr>
      <w:tr>
        <w:tc>
          <w:tcPr/>
          <w:p>
            <w:pPr>
              <w:pStyle w:val="Compact"/>
              <w:jc w:val="left"/>
            </w:pPr>
            <w:r>
              <w:t xml:space="preserve">Minimum annual royalty</w:t>
            </w:r>
          </w:p>
        </w:tc>
        <w:tc>
          <w:tcPr/>
          <w:p>
            <w:pPr>
              <w:pStyle w:val="Compact"/>
              <w:jc w:val="left"/>
            </w:pPr>
            <w:r>
              <w:t xml:space="preserve">$2.5M</w:t>
            </w:r>
          </w:p>
        </w:tc>
        <w:tc>
          <w:tcPr/>
          <w:p>
            <w:pPr>
              <w:pStyle w:val="Compact"/>
              <w:jc w:val="left"/>
            </w:pPr>
            <w:r>
              <w:t xml:space="preserve">$5.0M</w:t>
            </w:r>
          </w:p>
        </w:tc>
        <w:tc>
          <w:tcPr/>
          <w:p>
            <w:pPr>
              <w:pStyle w:val="Compact"/>
              <w:jc w:val="left"/>
            </w:pPr>
            <w:r>
              <w:t xml:space="preserve">+100%</w:t>
            </w:r>
          </w:p>
        </w:tc>
      </w:tr>
      <w:tr>
        <w:tc>
          <w:tcPr/>
          <w:p>
            <w:pPr>
              <w:pStyle w:val="Compact"/>
              <w:jc w:val="left"/>
            </w:pPr>
            <w:r>
              <w:t xml:space="preserve">Net Sales deductions</w:t>
            </w:r>
          </w:p>
        </w:tc>
        <w:tc>
          <w:tcPr/>
          <w:p>
            <w:pPr>
              <w:pStyle w:val="Compact"/>
              <w:jc w:val="left"/>
            </w:pPr>
            <w:r>
              <w:t xml:space="preserve">Standard</w:t>
            </w:r>
          </w:p>
        </w:tc>
        <w:tc>
          <w:tcPr/>
          <w:p>
            <w:pPr>
              <w:pStyle w:val="Compact"/>
              <w:jc w:val="left"/>
            </w:pPr>
            <w:r>
              <w:t xml:space="preserve">Narrowed (+6.8%)</w:t>
            </w:r>
          </w:p>
        </w:tc>
        <w:tc>
          <w:tcPr/>
          <w:p>
            <w:pPr>
              <w:pStyle w:val="Compact"/>
              <w:jc w:val="left"/>
            </w:pPr>
            <w:r>
              <w:t xml:space="preserve">Narrowed</w:t>
            </w:r>
          </w:p>
        </w:tc>
      </w:tr>
      <w:tr>
        <w:tc>
          <w:tcPr/>
          <w:p>
            <w:pPr>
              <w:pStyle w:val="Compact"/>
              <w:jc w:val="left"/>
            </w:pPr>
            <w:r>
              <w:t xml:space="preserve">Field of use</w:t>
            </w:r>
          </w:p>
        </w:tc>
        <w:tc>
          <w:tcPr/>
          <w:p>
            <w:pPr>
              <w:pStyle w:val="Compact"/>
              <w:jc w:val="left"/>
            </w:pPr>
            <w:r>
              <w:t xml:space="preserve">Drought + nutrient uptake; corn/soy/cotton</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Territory</w:t>
            </w:r>
          </w:p>
        </w:tc>
        <w:tc>
          <w:tcPr/>
          <w:p>
            <w:pPr>
              <w:pStyle w:val="Compact"/>
              <w:jc w:val="left"/>
            </w:pPr>
            <w:r>
              <w:t xml:space="preserve">Western Hemisphere</w:t>
            </w:r>
          </w:p>
        </w:tc>
        <w:tc>
          <w:tcPr/>
          <w:p>
            <w:pPr>
              <w:pStyle w:val="Compact"/>
              <w:jc w:val="left"/>
            </w:pPr>
            <w:r>
              <w:t xml:space="preserve">Unchanged</w:t>
            </w:r>
          </w:p>
        </w:tc>
        <w:tc>
          <w:tcPr/>
          <w:p>
            <w:pPr>
              <w:pStyle w:val="Compact"/>
              <w:jc w:val="left"/>
            </w:pPr>
            <w:r>
              <w:t xml:space="preserve">—</w:t>
            </w:r>
          </w:p>
        </w:tc>
      </w:tr>
      <w:tr>
        <w:tc>
          <w:tcPr/>
          <w:p>
            <w:pPr>
              <w:pStyle w:val="Compact"/>
              <w:jc w:val="left"/>
            </w:pPr>
            <w:r>
              <w:t xml:space="preserve">Audit</w:t>
            </w:r>
          </w:p>
        </w:tc>
        <w:tc>
          <w:tcPr/>
          <w:p>
            <w:pPr>
              <w:pStyle w:val="Compact"/>
              <w:jc w:val="left"/>
            </w:pPr>
            <w:r>
              <w:t xml:space="preserve">1x/year, 30 cal. days, 3-yr lookback</w:t>
            </w:r>
          </w:p>
        </w:tc>
        <w:tc>
          <w:tcPr/>
          <w:p>
            <w:pPr>
              <w:pStyle w:val="Compact"/>
              <w:jc w:val="left"/>
            </w:pPr>
            <w:r>
              <w:t xml:space="preserve">2x/year, 15 bus. days, 5-yr lookback</w:t>
            </w:r>
          </w:p>
        </w:tc>
        <w:tc>
          <w:tcPr/>
          <w:p>
            <w:pPr>
              <w:pStyle w:val="Compact"/>
              <w:jc w:val="left"/>
            </w:pPr>
            <w:r>
              <w:t xml:space="preserve">Expanded</w:t>
            </w:r>
          </w:p>
        </w:tc>
      </w:tr>
      <w:tr>
        <w:tc>
          <w:tcPr/>
          <w:p>
            <w:pPr>
              <w:pStyle w:val="Compact"/>
              <w:jc w:val="left"/>
            </w:pPr>
            <w:r>
              <w:t xml:space="preserve">Biological materials return</w:t>
            </w:r>
          </w:p>
        </w:tc>
        <w:tc>
          <w:tcPr/>
          <w:p>
            <w:pPr>
              <w:pStyle w:val="Compact"/>
              <w:jc w:val="left"/>
            </w:pPr>
            <w:r>
              <w:t xml:space="preserve">90-day wind-down</w:t>
            </w:r>
          </w:p>
        </w:tc>
        <w:tc>
          <w:tcPr/>
          <w:p>
            <w:pPr>
              <w:pStyle w:val="Compact"/>
              <w:jc w:val="left"/>
            </w:pPr>
            <w:r>
              <w:t xml:space="preserve">30-day return/destruction</w:t>
            </w:r>
          </w:p>
        </w:tc>
        <w:tc>
          <w:tcPr/>
          <w:p>
            <w:pPr>
              <w:pStyle w:val="Compact"/>
              <w:jc w:val="left"/>
            </w:pPr>
            <w:r>
              <w:t xml:space="preserve">Shortened</w:t>
            </w:r>
          </w:p>
        </w:tc>
      </w:tr>
      <w:tr>
        <w:tc>
          <w:tcPr/>
          <w:p>
            <w:pPr>
              <w:pStyle w:val="Compact"/>
              <w:jc w:val="left"/>
            </w:pPr>
            <w:r>
              <w:t xml:space="preserve">Improvements</w:t>
            </w:r>
          </w:p>
        </w:tc>
        <w:tc>
          <w:tcPr/>
          <w:p>
            <w:pPr>
              <w:pStyle w:val="Compact"/>
              <w:jc w:val="left"/>
            </w:pPr>
            <w:r>
              <w:t xml:space="preserve">Greenfield sole; license back at commercial royalty</w:t>
            </w:r>
          </w:p>
        </w:tc>
        <w:tc>
          <w:tcPr/>
          <w:p>
            <w:pPr>
              <w:pStyle w:val="Compact"/>
              <w:jc w:val="left"/>
            </w:pPr>
            <w:r>
              <w:t xml:space="preserve">Joint; royalty-free to NovaTrait</w:t>
            </w:r>
          </w:p>
        </w:tc>
        <w:tc>
          <w:tcPr/>
          <w:p>
            <w:pPr>
              <w:pStyle w:val="Compact"/>
              <w:jc w:val="left"/>
            </w:pPr>
            <w:r>
              <w:t xml:space="preserve">Modified</w:t>
            </w:r>
          </w:p>
        </w:tc>
      </w:tr>
      <w:tr>
        <w:tc>
          <w:tcPr/>
          <w:p>
            <w:pPr>
              <w:pStyle w:val="Compact"/>
              <w:jc w:val="left"/>
            </w:pPr>
            <w:r>
              <w:t xml:space="preserve">Prairielands pass-through</w:t>
            </w:r>
          </w:p>
        </w:tc>
        <w:tc>
          <w:tcPr/>
          <w:p>
            <w:pPr>
              <w:pStyle w:val="Compact"/>
              <w:jc w:val="left"/>
            </w:pPr>
            <w:r>
              <w:t xml:space="preserve">None</w:t>
            </w:r>
          </w:p>
        </w:tc>
        <w:tc>
          <w:tcPr/>
          <w:p>
            <w:pPr>
              <w:pStyle w:val="Compact"/>
              <w:jc w:val="left"/>
            </w:pPr>
            <w:r>
              <w:t xml:space="preserve">40% (new)</w:t>
            </w:r>
          </w:p>
        </w:tc>
        <w:tc>
          <w:tcPr/>
          <w:p>
            <w:pPr>
              <w:pStyle w:val="Compact"/>
              <w:jc w:val="left"/>
            </w:pPr>
            <w:r>
              <w:t xml:space="preserve">New</w:t>
            </w:r>
          </w:p>
        </w:tc>
      </w:tr>
      <w:tr>
        <w:tc>
          <w:tcPr/>
          <w:p>
            <w:pPr>
              <w:pStyle w:val="Compact"/>
              <w:jc w:val="left"/>
            </w:pPr>
            <w:r>
              <w:t xml:space="preserve">Standstill</w:t>
            </w:r>
          </w:p>
        </w:tc>
        <w:tc>
          <w:tcPr/>
          <w:p>
            <w:pPr>
              <w:pStyle w:val="Compact"/>
              <w:jc w:val="left"/>
            </w:pPr>
            <w:r>
              <w:t xml:space="preserve">180 days</w:t>
            </w:r>
          </w:p>
        </w:tc>
        <w:tc>
          <w:tcPr/>
          <w:p>
            <w:pPr>
              <w:pStyle w:val="Compact"/>
              <w:jc w:val="left"/>
            </w:pPr>
            <w:r>
              <w:t xml:space="preserve">Retained 180 days</w:t>
            </w:r>
          </w:p>
        </w:tc>
        <w:tc>
          <w:tcPr/>
          <w:p>
            <w:pPr>
              <w:pStyle w:val="Compact"/>
              <w:jc w:val="left"/>
            </w:pPr>
            <w:r>
              <w:t xml:space="preserve">—</w:t>
            </w:r>
          </w:p>
        </w:tc>
      </w:tr>
      <w:tr>
        <w:tc>
          <w:tcPr/>
          <w:p>
            <w:pPr>
              <w:pStyle w:val="Compact"/>
              <w:jc w:val="left"/>
            </w:pPr>
            <w:r>
              <w:t xml:space="preserve">Term</w:t>
            </w:r>
          </w:p>
        </w:tc>
        <w:tc>
          <w:tcPr/>
          <w:p>
            <w:pPr>
              <w:pStyle w:val="Compact"/>
              <w:jc w:val="left"/>
            </w:pPr>
            <w:r>
              <w:t xml:space="preserve">7 yrs (ended 12/31/2024)</w:t>
            </w:r>
          </w:p>
        </w:tc>
        <w:tc>
          <w:tcPr/>
          <w:p>
            <w:pPr>
              <w:pStyle w:val="Compact"/>
              <w:jc w:val="left"/>
            </w:pPr>
            <w:r>
              <w:t xml:space="preserve">5 yrs (1/1/2025–12/31/2029)</w:t>
            </w:r>
          </w:p>
        </w:tc>
        <w:tc>
          <w:tcPr/>
          <w:p>
            <w:pPr>
              <w:pStyle w:val="Compact"/>
              <w:jc w:val="left"/>
            </w:pPr>
            <w:r>
              <w:t xml:space="preserve">Renewal</w:t>
            </w:r>
          </w:p>
        </w:tc>
      </w:tr>
    </w:tbl>
    <w:bookmarkEnd w:id="62"/>
    <w:bookmarkStart w:id="63" w:name="license-c-genomap-pro"/>
    <w:p>
      <w:pPr>
        <w:pStyle w:val="Heading3"/>
      </w:pPr>
      <w:r>
        <w:t xml:space="preserve">License C (GenoMap Pro)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r>
      <w:tr>
        <w:tc>
          <w:tcPr/>
          <w:p>
            <w:pPr>
              <w:pStyle w:val="Compact"/>
              <w:jc w:val="left"/>
            </w:pPr>
            <w:r>
              <w:t xml:space="preserve">Annual fee</w:t>
            </w:r>
          </w:p>
        </w:tc>
        <w:tc>
          <w:tcPr/>
          <w:p>
            <w:pPr>
              <w:pStyle w:val="Compact"/>
              <w:jc w:val="left"/>
            </w:pPr>
            <w:r>
              <w:t xml:space="preserve">~$3.14M flat</w:t>
            </w:r>
          </w:p>
        </w:tc>
        <w:tc>
          <w:tcPr/>
          <w:p>
            <w:pPr>
              <w:pStyle w:val="Compact"/>
              <w:jc w:val="left"/>
            </w:pPr>
            <w:r>
              <w:t xml:space="preserve">~$5.28M effective</w:t>
            </w:r>
          </w:p>
        </w:tc>
        <w:tc>
          <w:tcPr/>
          <w:p>
            <w:pPr>
              <w:pStyle w:val="Compact"/>
              <w:jc w:val="left"/>
            </w:pPr>
            <w:r>
              <w:t xml:space="preserve">+68%</w:t>
            </w:r>
          </w:p>
        </w:tc>
      </w:tr>
      <w:tr>
        <w:tc>
          <w:tcPr/>
          <w:p>
            <w:pPr>
              <w:pStyle w:val="Compact"/>
              <w:jc w:val="left"/>
            </w:pPr>
            <w:r>
              <w:t xml:space="preserve">Named-user cap</w:t>
            </w:r>
          </w:p>
        </w:tc>
        <w:tc>
          <w:tcPr/>
          <w:p>
            <w:pPr>
              <w:pStyle w:val="Compact"/>
              <w:jc w:val="left"/>
            </w:pPr>
            <w:r>
              <w:t xml:space="preserve">Unlimited</w:t>
            </w:r>
          </w:p>
        </w:tc>
        <w:tc>
          <w:tcPr/>
          <w:p>
            <w:pPr>
              <w:pStyle w:val="Compact"/>
              <w:jc w:val="left"/>
            </w:pPr>
            <w:r>
              <w:t xml:space="preserve">50 (overage $18.5K/user)</w:t>
            </w:r>
          </w:p>
        </w:tc>
        <w:tc>
          <w:tcPr/>
          <w:p>
            <w:pPr>
              <w:pStyle w:val="Compact"/>
              <w:jc w:val="left"/>
            </w:pPr>
            <w:r>
              <w:t xml:space="preserve">New</w:t>
            </w:r>
          </w:p>
        </w:tc>
      </w:tr>
      <w:tr>
        <w:tc>
          <w:tcPr/>
          <w:p>
            <w:pPr>
              <w:pStyle w:val="Compact"/>
              <w:jc w:val="left"/>
            </w:pPr>
            <w:r>
              <w:t xml:space="preserve">One-time costs</w:t>
            </w:r>
          </w:p>
        </w:tc>
        <w:tc>
          <w:tcPr/>
          <w:p>
            <w:pPr>
              <w:pStyle w:val="Compact"/>
              <w:jc w:val="left"/>
            </w:pPr>
            <w:r>
              <w:t xml:space="preserve">None</w:t>
            </w:r>
          </w:p>
        </w:tc>
        <w:tc>
          <w:tcPr/>
          <w:p>
            <w:pPr>
              <w:pStyle w:val="Compact"/>
              <w:jc w:val="left"/>
            </w:pPr>
            <w:r>
              <w:t xml:space="preserve">~$175–270K</w:t>
            </w:r>
          </w:p>
        </w:tc>
        <w:tc>
          <w:tcPr/>
          <w:p>
            <w:pPr>
              <w:pStyle w:val="Compact"/>
              <w:jc w:val="left"/>
            </w:pPr>
            <w:r>
              <w:t xml:space="preserve">New</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w:t>
            </w:r>
          </w:p>
        </w:tc>
        <w:tc>
          <w:tcPr/>
          <w:p>
            <w:pPr>
              <w:pStyle w:val="Compact"/>
              <w:jc w:val="left"/>
            </w:pPr>
            <w:r>
              <w:t xml:space="preserve">Upgraded</w:t>
            </w:r>
          </w:p>
        </w:tc>
      </w:tr>
      <w:tr>
        <w:tc>
          <w:tcPr/>
          <w:p>
            <w:pPr>
              <w:pStyle w:val="Compact"/>
              <w:jc w:val="left"/>
            </w:pPr>
            <w:r>
              <w:t xml:space="preserve">Source-code access</w:t>
            </w:r>
          </w:p>
        </w:tc>
        <w:tc>
          <w:tcPr/>
          <w:p>
            <w:pPr>
              <w:pStyle w:val="Compact"/>
              <w:jc w:val="left"/>
            </w:pPr>
            <w:r>
              <w:t xml:space="preserve">Granted (internal modification)</w:t>
            </w:r>
          </w:p>
        </w:tc>
        <w:tc>
          <w:tcPr/>
          <w:p>
            <w:pPr>
              <w:pStyle w:val="Compact"/>
              <w:jc w:val="left"/>
            </w:pPr>
            <w:r>
              <w:t xml:space="preserve">Eliminated (object code only)</w:t>
            </w:r>
          </w:p>
        </w:tc>
        <w:tc>
          <w:tcPr/>
          <w:p>
            <w:pPr>
              <w:pStyle w:val="Compact"/>
              <w:jc w:val="left"/>
            </w:pPr>
            <w:r>
              <w:t xml:space="preserve">Narrowed</w:t>
            </w:r>
          </w:p>
        </w:tc>
      </w:tr>
      <w:tr>
        <w:tc>
          <w:tcPr/>
          <w:p>
            <w:pPr>
              <w:pStyle w:val="Compact"/>
              <w:jc w:val="left"/>
            </w:pPr>
            <w:r>
              <w:t xml:space="preserve">Source-code escrow</w:t>
            </w:r>
          </w:p>
        </w:tc>
        <w:tc>
          <w:tcPr/>
          <w:p>
            <w:pPr>
              <w:pStyle w:val="Compact"/>
              <w:jc w:val="left"/>
            </w:pPr>
            <w:r>
              <w:t xml:space="preserve">Retained</w:t>
            </w:r>
          </w:p>
        </w:tc>
        <w:tc>
          <w:tcPr/>
          <w:p>
            <w:pPr>
              <w:pStyle w:val="Compact"/>
              <w:jc w:val="left"/>
            </w:pPr>
            <w:r>
              <w:t xml:space="preserve">Retained</w:t>
            </w:r>
          </w:p>
        </w:tc>
        <w:tc>
          <w:tcPr/>
          <w:p>
            <w:pPr>
              <w:pStyle w:val="Compact"/>
              <w:jc w:val="left"/>
            </w:pPr>
            <w:r>
              <w:t xml:space="preserve">—</w:t>
            </w:r>
          </w:p>
        </w:tc>
      </w:tr>
      <w:tr>
        <w:tc>
          <w:tcPr/>
          <w:p>
            <w:pPr>
              <w:pStyle w:val="Compact"/>
              <w:jc w:val="left"/>
            </w:pPr>
            <w:r>
              <w:t xml:space="preserve">Input data ownership</w:t>
            </w:r>
          </w:p>
        </w:tc>
        <w:tc>
          <w:tcPr/>
          <w:p>
            <w:pPr>
              <w:pStyle w:val="Compact"/>
              <w:jc w:val="left"/>
            </w:pPr>
            <w:r>
              <w:t xml:space="preserve">Greenfield</w:t>
            </w:r>
          </w:p>
        </w:tc>
        <w:tc>
          <w:tcPr/>
          <w:p>
            <w:pPr>
              <w:pStyle w:val="Compact"/>
              <w:jc w:val="left"/>
            </w:pPr>
            <w:r>
              <w:t xml:space="preserve">Greenfield</w:t>
            </w:r>
          </w:p>
        </w:tc>
        <w:tc>
          <w:tcPr/>
          <w:p>
            <w:pPr>
              <w:pStyle w:val="Compact"/>
              <w:jc w:val="left"/>
            </w:pPr>
            <w:r>
              <w:t xml:space="preserve">—</w:t>
            </w:r>
          </w:p>
        </w:tc>
      </w:tr>
      <w:tr>
        <w:tc>
          <w:tcPr/>
          <w:p>
            <w:pPr>
              <w:pStyle w:val="Compact"/>
              <w:jc w:val="left"/>
            </w:pPr>
            <w:r>
              <w:t xml:space="preserve">Derivative data ownership</w:t>
            </w:r>
          </w:p>
        </w:tc>
        <w:tc>
          <w:tcPr/>
          <w:p>
            <w:pPr>
              <w:pStyle w:val="Compact"/>
              <w:jc w:val="left"/>
            </w:pPr>
            <w:r>
              <w:t xml:space="preserve">Silent</w:t>
            </w:r>
          </w:p>
        </w:tc>
        <w:tc>
          <w:tcPr/>
          <w:p>
            <w:pPr>
              <w:pStyle w:val="Compact"/>
              <w:jc w:val="left"/>
            </w:pPr>
            <w:r>
              <w:t xml:space="preserve">NovaTrait owns; Greenfield non-exclusive, term-limited</w:t>
            </w:r>
          </w:p>
        </w:tc>
        <w:tc>
          <w:tcPr/>
          <w:p>
            <w:pPr>
              <w:pStyle w:val="Compact"/>
              <w:jc w:val="left"/>
            </w:pPr>
            <w:r>
              <w:t xml:space="preserve">New / narrowed</w:t>
            </w:r>
          </w:p>
        </w:tc>
      </w:tr>
      <w:tr>
        <w:tc>
          <w:tcPr/>
          <w:p>
            <w:pPr>
              <w:pStyle w:val="Compact"/>
              <w:jc w:val="left"/>
            </w:pPr>
            <w:r>
              <w:t xml:space="preserve">Term</w:t>
            </w:r>
          </w:p>
        </w:tc>
        <w:tc>
          <w:tcPr/>
          <w:p>
            <w:pPr>
              <w:pStyle w:val="Compact"/>
              <w:jc w:val="left"/>
            </w:pPr>
            <w:r>
              <w:t xml:space="preserve">5 yrs (to 2/28/2025)</w:t>
            </w:r>
          </w:p>
        </w:tc>
        <w:tc>
          <w:tcPr/>
          <w:p>
            <w:pPr>
              <w:pStyle w:val="Compact"/>
              <w:jc w:val="left"/>
            </w:pPr>
            <w:r>
              <w:t xml:space="preserve">3 yrs (to 2/28/2028)</w:t>
            </w:r>
          </w:p>
        </w:tc>
        <w:tc>
          <w:tcPr/>
          <w:p>
            <w:pPr>
              <w:pStyle w:val="Compact"/>
              <w:jc w:val="left"/>
            </w:pPr>
            <w:r>
              <w:t xml:space="preserve">Shorter</w:t>
            </w:r>
          </w:p>
        </w:tc>
      </w:tr>
      <w:tr>
        <w:tc>
          <w:tcPr/>
          <w:p>
            <w:pPr>
              <w:pStyle w:val="Compact"/>
              <w:jc w:val="left"/>
            </w:pPr>
            <w:r>
              <w:t xml:space="preserve">Audit</w:t>
            </w:r>
          </w:p>
        </w:tc>
        <w:tc>
          <w:tcPr/>
          <w:p>
            <w:pPr>
              <w:pStyle w:val="Compact"/>
              <w:jc w:val="left"/>
            </w:pPr>
            <w:r>
              <w:t xml:space="preserve">1x/year, 30 days</w:t>
            </w:r>
          </w:p>
        </w:tc>
        <w:tc>
          <w:tcPr/>
          <w:p>
            <w:pPr>
              <w:pStyle w:val="Compact"/>
              <w:jc w:val="left"/>
            </w:pPr>
            <w:r>
              <w:t xml:space="preserve">Unchanged</w:t>
            </w:r>
          </w:p>
        </w:tc>
        <w:tc>
          <w:tcPr/>
          <w:p>
            <w:pPr>
              <w:pStyle w:val="Compact"/>
              <w:jc w:val="left"/>
            </w:pPr>
            <w:r>
              <w:t xml:space="preserve">—</w:t>
            </w:r>
          </w:p>
        </w:tc>
      </w:tr>
    </w:tbl>
    <w:p>
      <w:r>
        <w:pict>
          <v:rect style="width:0;height:1.5pt" o:hralign="center" o:hrstd="t" o:hr="t"/>
        </w:pict>
      </w:r>
    </w:p>
    <w:bookmarkEnd w:id="63"/>
    <w:bookmarkEnd w:id="64"/>
    <w:bookmarkStart w:id="65" w:name="appendix-b-critical-timeline"/>
    <w:p>
      <w:pPr>
        <w:pStyle w:val="Heading2"/>
      </w:pPr>
      <w:r>
        <w:t xml:space="preserve">Appendix B — Critical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w:t>
            </w:r>
          </w:p>
        </w:tc>
      </w:tr>
      <w:tr>
        <w:tc>
          <w:tcPr/>
          <w:p>
            <w:pPr>
              <w:pStyle w:val="Compact"/>
              <w:jc w:val="left"/>
            </w:pPr>
            <w:r>
              <w:t xml:space="preserve">Sep 30, 2024</w:t>
            </w:r>
          </w:p>
        </w:tc>
        <w:tc>
          <w:tcPr/>
          <w:p>
            <w:pPr>
              <w:pStyle w:val="Compact"/>
              <w:jc w:val="left"/>
            </w:pPr>
            <w:r>
              <w:t xml:space="preserve">Renewal-notice deadline</w:t>
            </w:r>
          </w:p>
        </w:tc>
        <w:tc>
          <w:tcPr/>
          <w:p>
            <w:pPr>
              <w:pStyle w:val="Compact"/>
              <w:jc w:val="left"/>
            </w:pPr>
            <w:r>
              <w:t xml:space="preserve">B</w:t>
            </w:r>
          </w:p>
        </w:tc>
        <w:tc>
          <w:tcPr/>
          <w:p>
            <w:pPr>
              <w:pStyle w:val="Compact"/>
              <w:jc w:val="left"/>
            </w:pPr>
            <w:r>
              <w:t xml:space="preserve">Passed</w:t>
            </w:r>
          </w:p>
        </w:tc>
      </w:tr>
      <w:tr>
        <w:tc>
          <w:tcPr/>
          <w:p>
            <w:pPr>
              <w:pStyle w:val="Compact"/>
              <w:jc w:val="left"/>
            </w:pPr>
            <w:r>
              <w:t xml:space="preserve">Nov 30, 2024</w:t>
            </w:r>
          </w:p>
        </w:tc>
        <w:tc>
          <w:tcPr/>
          <w:p>
            <w:pPr>
              <w:pStyle w:val="Compact"/>
              <w:jc w:val="left"/>
            </w:pPr>
            <w:r>
              <w:t xml:space="preserve">Renewal-notice deadline</w:t>
            </w:r>
          </w:p>
        </w:tc>
        <w:tc>
          <w:tcPr/>
          <w:p>
            <w:pPr>
              <w:pStyle w:val="Compact"/>
              <w:jc w:val="left"/>
            </w:pPr>
            <w:r>
              <w:t xml:space="preserve">C</w:t>
            </w:r>
          </w:p>
        </w:tc>
        <w:tc>
          <w:tcPr/>
          <w:p>
            <w:pPr>
              <w:pStyle w:val="Compact"/>
              <w:jc w:val="left"/>
            </w:pPr>
            <w:r>
              <w:t xml:space="preserve">Passed</w:t>
            </w:r>
          </w:p>
        </w:tc>
      </w:tr>
      <w:tr>
        <w:tc>
          <w:tcPr/>
          <w:p>
            <w:pPr>
              <w:pStyle w:val="Compact"/>
              <w:jc w:val="left"/>
            </w:pPr>
            <w:r>
              <w:t xml:space="preserve">Dec 31, 2024</w:t>
            </w:r>
          </w:p>
        </w:tc>
        <w:tc>
          <w:tcPr/>
          <w:p>
            <w:pPr>
              <w:pStyle w:val="Compact"/>
              <w:jc w:val="left"/>
            </w:pPr>
            <w:r>
              <w:t xml:space="preserve">Initial Term expiration; standstill activated</w:t>
            </w:r>
          </w:p>
        </w:tc>
        <w:tc>
          <w:tcPr/>
          <w:p>
            <w:pPr>
              <w:pStyle w:val="Compact"/>
              <w:jc w:val="left"/>
            </w:pPr>
            <w:r>
              <w:t xml:space="preserve">B</w:t>
            </w:r>
          </w:p>
        </w:tc>
        <w:tc>
          <w:tcPr/>
          <w:p>
            <w:pPr>
              <w:pStyle w:val="Compact"/>
              <w:jc w:val="left"/>
            </w:pPr>
            <w:r>
              <w:t xml:space="preserve">Expired</w:t>
            </w:r>
          </w:p>
        </w:tc>
      </w:tr>
      <w:tr>
        <w:tc>
          <w:tcPr/>
          <w:p>
            <w:pPr>
              <w:pStyle w:val="Compact"/>
              <w:jc w:val="left"/>
            </w:pPr>
            <w:r>
              <w:t xml:space="preserve">Feb 28, 2025</w:t>
            </w:r>
          </w:p>
        </w:tc>
        <w:tc>
          <w:tcPr/>
          <w:p>
            <w:pPr>
              <w:pStyle w:val="Compact"/>
              <w:jc w:val="left"/>
            </w:pPr>
            <w:r>
              <w:t xml:space="preserve">Initial Term expiration</w:t>
            </w:r>
          </w:p>
        </w:tc>
        <w:tc>
          <w:tcPr/>
          <w:p>
            <w:pPr>
              <w:pStyle w:val="Compact"/>
              <w:jc w:val="left"/>
            </w:pPr>
            <w:r>
              <w:t xml:space="preserve">C</w:t>
            </w:r>
          </w:p>
        </w:tc>
        <w:tc>
          <w:tcPr/>
          <w:p>
            <w:pPr>
              <w:pStyle w:val="Compact"/>
              <w:jc w:val="left"/>
            </w:pPr>
            <w:r>
              <w:t xml:space="preserve">Imminent</w:t>
            </w:r>
          </w:p>
        </w:tc>
      </w:tr>
      <w:tr>
        <w:tc>
          <w:tcPr/>
          <w:p>
            <w:pPr>
              <w:pStyle w:val="Compact"/>
              <w:jc w:val="left"/>
            </w:pPr>
            <w:r>
              <w:rPr>
                <w:b/>
                <w:bCs/>
              </w:rPr>
              <w:t xml:space="preserve">Mar 31, 2025</w:t>
            </w:r>
          </w:p>
        </w:tc>
        <w:tc>
          <w:tcPr/>
          <w:p>
            <w:pPr>
              <w:pStyle w:val="Compact"/>
              <w:jc w:val="left"/>
            </w:pPr>
            <w:r>
              <w:rPr>
                <w:b/>
                <w:bCs/>
              </w:rPr>
              <w:t xml:space="preserve">Renewal-notice deadline</w:t>
            </w:r>
          </w:p>
        </w:tc>
        <w:tc>
          <w:tcPr/>
          <w:p>
            <w:pPr>
              <w:pStyle w:val="Compact"/>
              <w:jc w:val="left"/>
            </w:pPr>
            <w:r>
              <w:rPr>
                <w:b/>
                <w:bCs/>
              </w:rPr>
              <w:t xml:space="preserve">A</w:t>
            </w:r>
          </w:p>
        </w:tc>
        <w:tc>
          <w:tcPr/>
          <w:p>
            <w:pPr>
              <w:pStyle w:val="Compact"/>
              <w:jc w:val="left"/>
            </w:pPr>
            <w:r>
              <w:rPr>
                <w:b/>
                <w:bCs/>
              </w:rPr>
              <w:t xml:space="preserve">Upcoming — deliver notice</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A, B, C</w:t>
            </w:r>
          </w:p>
        </w:tc>
        <w:tc>
          <w:tcPr/>
          <w:p>
            <w:pPr>
              <w:pStyle w:val="Compact"/>
              <w:jc w:val="left"/>
            </w:pPr>
            <w:r>
              <w:t xml:space="preserve">Planned</w:t>
            </w:r>
          </w:p>
        </w:tc>
      </w:tr>
      <w:tr>
        <w:tc>
          <w:tcPr/>
          <w:p>
            <w:pPr>
              <w:pStyle w:val="Compact"/>
              <w:jc w:val="left"/>
            </w:pPr>
            <w:r>
              <w:rPr>
                <w:b/>
                <w:bCs/>
              </w:rPr>
              <w:t xml:space="preserve">Jun 29, 2025</w:t>
            </w:r>
          </w:p>
        </w:tc>
        <w:tc>
          <w:tcPr/>
          <w:p>
            <w:pPr>
              <w:pStyle w:val="Compact"/>
              <w:jc w:val="left"/>
            </w:pPr>
            <w:r>
              <w:rPr>
                <w:b/>
                <w:bCs/>
              </w:rPr>
              <w:t xml:space="preserve">Standstill expiration (180 days)</w:t>
            </w:r>
          </w:p>
        </w:tc>
        <w:tc>
          <w:tcPr/>
          <w:p>
            <w:pPr>
              <w:pStyle w:val="Compact"/>
              <w:jc w:val="left"/>
            </w:pPr>
            <w:r>
              <w:rPr>
                <w:b/>
                <w:bCs/>
              </w:rPr>
              <w:t xml:space="preserve">B</w:t>
            </w:r>
          </w:p>
        </w:tc>
        <w:tc>
          <w:tcPr/>
          <w:p>
            <w:pPr>
              <w:pStyle w:val="Compact"/>
              <w:jc w:val="left"/>
            </w:pPr>
            <w:r>
              <w:rPr>
                <w:b/>
                <w:bCs/>
              </w:rPr>
              <w:t xml:space="preserve">CRITICAL — extend or execute</w:t>
            </w:r>
          </w:p>
        </w:tc>
      </w:tr>
      <w:tr>
        <w:tc>
          <w:tcPr/>
          <w:p>
            <w:pPr>
              <w:pStyle w:val="Compact"/>
              <w:jc w:val="left"/>
            </w:pPr>
            <w:r>
              <w:t xml:space="preserve">Jun 30, 2025</w:t>
            </w:r>
          </w:p>
        </w:tc>
        <w:tc>
          <w:tcPr/>
          <w:p>
            <w:pPr>
              <w:pStyle w:val="Compact"/>
              <w:jc w:val="left"/>
            </w:pPr>
            <w:r>
              <w:t xml:space="preserve">Initial Term expiration</w:t>
            </w:r>
          </w:p>
        </w:tc>
        <w:tc>
          <w:tcPr/>
          <w:p>
            <w:pPr>
              <w:pStyle w:val="Compact"/>
              <w:jc w:val="left"/>
            </w:pPr>
            <w:r>
              <w:t xml:space="preserve">A</w:t>
            </w:r>
          </w:p>
        </w:tc>
        <w:tc>
          <w:tcPr/>
          <w:p>
            <w:pPr>
              <w:pStyle w:val="Compact"/>
              <w:jc w:val="left"/>
            </w:pPr>
            <w:r>
              <w:t xml:space="preserve">Upcoming</w:t>
            </w:r>
          </w:p>
        </w:tc>
      </w:tr>
      <w:tr>
        <w:tc>
          <w:tcPr/>
          <w:p>
            <w:pPr>
              <w:pStyle w:val="Compact"/>
              <w:jc w:val="left"/>
            </w:pPr>
            <w:r>
              <w:t xml:space="preserve">Feb 28, 2028</w:t>
            </w:r>
          </w:p>
        </w:tc>
        <w:tc>
          <w:tcPr/>
          <w:p>
            <w:pPr>
              <w:pStyle w:val="Compact"/>
              <w:jc w:val="left"/>
            </w:pPr>
            <w:r>
              <w:t xml:space="preserve">Proposed renewal-term expiration</w:t>
            </w:r>
          </w:p>
        </w:tc>
        <w:tc>
          <w:tcPr/>
          <w:p>
            <w:pPr>
              <w:pStyle w:val="Compact"/>
              <w:jc w:val="left"/>
            </w:pPr>
            <w:r>
              <w:t xml:space="preserve">C</w:t>
            </w:r>
          </w:p>
        </w:tc>
        <w:tc>
          <w:tcPr/>
          <w:p>
            <w:pPr>
              <w:pStyle w:val="Compact"/>
              <w:jc w:val="left"/>
            </w:pPr>
            <w:r>
              <w:t xml:space="preserve">Future</w:t>
            </w:r>
          </w:p>
        </w:tc>
      </w:tr>
      <w:tr>
        <w:tc>
          <w:tcPr/>
          <w:p>
            <w:pPr>
              <w:pStyle w:val="Compact"/>
              <w:jc w:val="left"/>
            </w:pPr>
            <w:r>
              <w:rPr>
                <w:b/>
                <w:bCs/>
              </w:rPr>
              <w:t xml:space="preserve">Mar 12, 2028</w:t>
            </w:r>
          </w:p>
        </w:tc>
        <w:tc>
          <w:tcPr/>
          <w:p>
            <w:pPr>
              <w:pStyle w:val="Compact"/>
              <w:jc w:val="left"/>
            </w:pPr>
            <w:r>
              <w:rPr>
                <w:b/>
                <w:bCs/>
              </w:rPr>
              <w:t xml:space="preserve">U.S. Patent 9,234,117 expiration</w:t>
            </w:r>
          </w:p>
        </w:tc>
        <w:tc>
          <w:tcPr/>
          <w:p>
            <w:pPr>
              <w:pStyle w:val="Compact"/>
              <w:jc w:val="left"/>
            </w:pPr>
            <w:r>
              <w:rPr>
                <w:b/>
                <w:bCs/>
              </w:rPr>
              <w:t xml:space="preserve">A</w:t>
            </w:r>
          </w:p>
        </w:tc>
        <w:tc>
          <w:tcPr/>
          <w:p>
            <w:pPr>
              <w:pStyle w:val="Compact"/>
              <w:jc w:val="left"/>
            </w:pPr>
            <w:r>
              <w:rPr>
                <w:b/>
                <w:bCs/>
              </w:rPr>
              <w:t xml:space="preserve">Step-down trigger</w:t>
            </w:r>
          </w:p>
        </w:tc>
      </w:tr>
      <w:tr>
        <w:tc>
          <w:tcPr/>
          <w:p>
            <w:pPr>
              <w:pStyle w:val="Compact"/>
              <w:jc w:val="left"/>
            </w:pPr>
            <w:r>
              <w:t xml:space="preserve">Dec 31, 2029</w:t>
            </w:r>
          </w:p>
        </w:tc>
        <w:tc>
          <w:tcPr/>
          <w:p>
            <w:pPr>
              <w:pStyle w:val="Compact"/>
              <w:jc w:val="left"/>
            </w:pPr>
            <w:r>
              <w:t xml:space="preserve">Proposed renewal-term expiration</w:t>
            </w:r>
          </w:p>
        </w:tc>
        <w:tc>
          <w:tcPr/>
          <w:p>
            <w:pPr>
              <w:pStyle w:val="Compact"/>
              <w:jc w:val="left"/>
            </w:pPr>
            <w:r>
              <w:t xml:space="preserve">B</w:t>
            </w:r>
          </w:p>
        </w:tc>
        <w:tc>
          <w:tcPr/>
          <w:p>
            <w:pPr>
              <w:pStyle w:val="Compact"/>
              <w:jc w:val="left"/>
            </w:pPr>
            <w:r>
              <w:t xml:space="preserve">Future</w:t>
            </w:r>
          </w:p>
        </w:tc>
      </w:tr>
      <w:tr>
        <w:tc>
          <w:tcPr/>
          <w:p>
            <w:pPr>
              <w:pStyle w:val="Compact"/>
              <w:jc w:val="left"/>
            </w:pPr>
            <w:r>
              <w:t xml:space="preserve">Jun 30, 2030</w:t>
            </w:r>
          </w:p>
        </w:tc>
        <w:tc>
          <w:tcPr/>
          <w:p>
            <w:pPr>
              <w:pStyle w:val="Compact"/>
              <w:jc w:val="left"/>
            </w:pPr>
            <w:r>
              <w:t xml:space="preserve">Proposed renewal-term expiration</w:t>
            </w:r>
          </w:p>
        </w:tc>
        <w:tc>
          <w:tcPr/>
          <w:p>
            <w:pPr>
              <w:pStyle w:val="Compact"/>
              <w:jc w:val="left"/>
            </w:pPr>
            <w:r>
              <w:t xml:space="preserve">A</w:t>
            </w:r>
          </w:p>
        </w:tc>
        <w:tc>
          <w:tcPr/>
          <w:p>
            <w:pPr>
              <w:pStyle w:val="Compact"/>
              <w:jc w:val="left"/>
            </w:pPr>
            <w:r>
              <w:t xml:space="preserve">Future</w:t>
            </w:r>
          </w:p>
        </w:tc>
      </w:tr>
      <w:tr>
        <w:tc>
          <w:tcPr/>
          <w:p>
            <w:pPr>
              <w:pStyle w:val="Compact"/>
              <w:jc w:val="left"/>
            </w:pPr>
            <w:r>
              <w:t xml:space="preserve">Oct 6, 2035</w:t>
            </w:r>
          </w:p>
        </w:tc>
        <w:tc>
          <w:tcPr/>
          <w:p>
            <w:pPr>
              <w:pStyle w:val="Compact"/>
              <w:jc w:val="left"/>
            </w:pPr>
            <w:r>
              <w:t xml:space="preserve">U.S. Patent 10,112,445 expiration (per Exhibit A)</w:t>
            </w:r>
          </w:p>
        </w:tc>
        <w:tc>
          <w:tcPr/>
          <w:p>
            <w:pPr>
              <w:pStyle w:val="Compact"/>
              <w:jc w:val="left"/>
            </w:pPr>
            <w:r>
              <w:t xml:space="preserve">A</w:t>
            </w:r>
          </w:p>
        </w:tc>
        <w:tc>
          <w:tcPr/>
          <w:p>
            <w:pPr>
              <w:pStyle w:val="Compact"/>
              <w:jc w:val="left"/>
            </w:pPr>
            <w:r>
              <w:t xml:space="preserve">Future</w:t>
            </w:r>
          </w:p>
        </w:tc>
      </w:tr>
    </w:tbl>
    <w:p>
      <w:r>
        <w:pict>
          <v:rect style="width:0;height:1.5pt" o:hralign="center" o:hrstd="t" o:hr="t"/>
        </w:pict>
      </w:r>
    </w:p>
    <w:p>
      <w:pPr>
        <w:pStyle w:val="FirstParagraph"/>
      </w:pPr>
      <w:r>
        <w:rPr>
          <w:i/>
          <w:iCs/>
        </w:rPr>
        <w:t xml:space="preserve">[End of Memorandum]</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2026-06-29T00:53:11Z</dcterms:created>
  <dcterms:modified xsi:type="dcterms:W3CDTF">2026-06-29T00:53:11Z</dcterms:modified>
</cp:coreProperties>
</file>

<file path=docProps/custom.xml><?xml version="1.0" encoding="utf-8"?>
<Properties xmlns="http://schemas.openxmlformats.org/officeDocument/2006/custom-properties" xmlns:vt="http://schemas.openxmlformats.org/officeDocument/2006/docPropsVTypes"/>
</file>