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pplication-for-specific-license"/>
    <w:p>
      <w:pPr>
        <w:pStyle w:val="Heading1"/>
      </w:pPr>
      <w:r>
        <w:t xml:space="preserve">APPLICATION FOR SPECIFIC LICENSE</w:t>
      </w:r>
    </w:p>
    <w:bookmarkStart w:id="21" w:name="X54025307c9a0eadc0a8083206e234fb006104bd"/>
    <w:p>
      <w:pPr>
        <w:pStyle w:val="Heading2"/>
      </w:pPr>
      <w:r>
        <w:t xml:space="preserve">Office of Foreign Assets Control, U.S. Department of the Treasury</w:t>
      </w:r>
    </w:p>
    <w:bookmarkStart w:id="20" w:name="X8c64baf0a5856ebd0e3348ced15962125d4834a"/>
    <w:p>
      <w:pPr>
        <w:pStyle w:val="Heading3"/>
      </w:pPr>
      <w:r>
        <w:t xml:space="preserve">Syrian Sanctions Regulations, 31 C.F.R. Part 542; Executive Order 13582</w:t>
      </w:r>
    </w:p>
    <w:p>
      <w:pPr>
        <w:pStyle w:val="FirstParagraph"/>
      </w:pPr>
      <w:r>
        <w:rPr>
          <w:b/>
          <w:bCs/>
        </w:rPr>
        <w:t xml:space="preserve">Applicant:</w:t>
      </w:r>
      <w:r>
        <w:t xml:space="preserve"> </w:t>
      </w:r>
      <w:r>
        <w:t xml:space="preserve">Meridian Biotech Solutions, Inc.</w:t>
      </w:r>
    </w:p>
    <w:p>
      <w:pPr>
        <w:pStyle w:val="BodyText"/>
      </w:pPr>
      <w:r>
        <w:rPr>
          <w:b/>
          <w:bCs/>
        </w:rPr>
        <w:t xml:space="preserve">Proposed Transaction:</w:t>
      </w:r>
      <w:r>
        <w:t xml:space="preserve"> </w:t>
      </w:r>
      <w:r>
        <w:t xml:space="preserve">Export of CancerDetect RX-700 Reagent Kits, CalibPro 3100 Calibration Units, and Related Remote Training Services to Damascus Central University Hospital, Damascus, Syria</w:t>
      </w:r>
    </w:p>
    <w:p>
      <w:pPr>
        <w:pStyle w:val="BodyText"/>
      </w:pPr>
      <w:r>
        <w:rPr>
          <w:b/>
          <w:bCs/>
        </w:rPr>
        <w:t xml:space="preserve">Outside Counsel of Record:</w:t>
      </w:r>
      <w:r>
        <w:t xml:space="preserve"> </w:t>
      </w:r>
      <w:r>
        <w:t xml:space="preserve">Ashford &amp; Whitmore LLP</w:t>
      </w:r>
    </w:p>
    <w:p>
      <w:pPr>
        <w:pStyle w:val="BodyText"/>
      </w:pPr>
      <w:r>
        <w:rPr>
          <w:b/>
          <w:bCs/>
        </w:rPr>
        <w:t xml:space="preserve">Date of Application:</w:t>
      </w:r>
      <w:r>
        <w:t xml:space="preserve"> </w:t>
      </w:r>
      <w:r>
        <w:t xml:space="preserve">July 8, 2024</w:t>
      </w:r>
    </w:p>
    <w:p>
      <w:r>
        <w:pict>
          <v:rect style="width:0;height:1.5pt" o:hralign="center" o:hrstd="t" o:hr="t"/>
        </w:pict>
      </w:r>
    </w:p>
    <w:bookmarkEnd w:id="20"/>
    <w:bookmarkEnd w:id="21"/>
    <w:bookmarkEnd w:id="22"/>
    <w:bookmarkStart w:id="23" w:name="transmittal-letter"/>
    <w:p>
      <w:pPr>
        <w:pStyle w:val="Heading1"/>
      </w:pPr>
      <w:r>
        <w:t xml:space="preserve">TRANSMITTAL LETTER</w:t>
      </w:r>
    </w:p>
    <w:p>
      <w:pPr>
        <w:pStyle w:val="FirstParagraph"/>
      </w:pPr>
      <w:r>
        <w:rPr>
          <w:b/>
          <w:bCs/>
        </w:rPr>
        <w:t xml:space="preserve">Ashford &amp; Whitmore LLP</w:t>
      </w:r>
    </w:p>
    <w:p>
      <w:pPr>
        <w:pStyle w:val="BodyText"/>
      </w:pPr>
      <w:r>
        <w:t xml:space="preserve">1700 K Street NW, Suite 950, Washington, DC 20006</w:t>
      </w:r>
    </w:p>
    <w:p>
      <w:pPr>
        <w:pStyle w:val="BodyText"/>
      </w:pPr>
      <w:r>
        <w:t xml:space="preserve">July 8, 2024</w:t>
      </w:r>
    </w:p>
    <w:p>
      <w:pPr>
        <w:pStyle w:val="BodyText"/>
      </w:pPr>
      <w:r>
        <w:rPr>
          <w:b/>
          <w:bCs/>
        </w:rPr>
        <w:t xml:space="preserve">VIA ELECTRONIC SUBMISSION AND COURIER</w:t>
      </w:r>
    </w:p>
    <w:p>
      <w:pPr>
        <w:pStyle w:val="BodyText"/>
      </w:pPr>
      <w:r>
        <w:t xml:space="preserve">Director, Licensing Division</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Re: Application for Specific License under the Syrian Sanctions Regulations, 31 C.F.R. Part 542 — Proposed Export of Cancer Diagnostic Reagent Kits, Calibration Instruments, and Remote Training Services to Damascus Central University Hospital, Damascus, Syria</w:t>
      </w:r>
    </w:p>
    <w:p>
      <w:pPr>
        <w:pStyle w:val="BodyText"/>
      </w:pPr>
      <w:r>
        <w:t xml:space="preserve">Dear Director:</w:t>
      </w:r>
    </w:p>
    <w:p>
      <w:pPr>
        <w:pStyle w:val="BodyText"/>
      </w:pPr>
      <w:r>
        <w:t xml:space="preserve">Enclosed for your review and consideration is an application, submitted on behalf of our client 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for a specific license authorizing the export of cancer diagnostic supplies and related remote training services to Damascus Central University Hospital (</w:t>
      </w:r>
      <w:r>
        <w:t xml:space="preserve">“</w:t>
      </w:r>
      <w:r>
        <w:t xml:space="preserve">DCUH</w:t>
      </w:r>
      <w:r>
        <w:t xml:space="preserve">”</w:t>
      </w:r>
      <w:r>
        <w:t xml:space="preserve">) in Damascus, Syria. The proposed transaction would otherwise be prohibited under the Syrian Sanctions Regulations, 31 C.F.R. Part 542 (</w:t>
      </w:r>
      <w:r>
        <w:t xml:space="preserve">“</w:t>
      </w:r>
      <w:r>
        <w:t xml:space="preserve">SySR</w:t>
      </w:r>
      <w:r>
        <w:t xml:space="preserve">”</w:t>
      </w:r>
      <w:r>
        <w:t xml:space="preserve">), and Executive Order 13582 of August 17, 2011, because DCUH is an instrumentality of the Government of Syria.</w:t>
      </w:r>
    </w:p>
    <w:p>
      <w:pPr>
        <w:pStyle w:val="BodyText"/>
      </w:pPr>
      <w:r>
        <w:t xml:space="preserve">The proposed transaction is a humanitarian medical export. It will deliver the only U.S. Food and Drug Administration (</w:t>
      </w:r>
      <w:r>
        <w:t xml:space="preserve">“</w:t>
      </w:r>
      <w:r>
        <w:t xml:space="preserve">FDA</w:t>
      </w:r>
      <w:r>
        <w:t xml:space="preserve">”</w:t>
      </w:r>
      <w:r>
        <w:t xml:space="preserve">)-cleared immunohistochemical reagent kit validated for the automated tissue-staining platform already installed at DCUH — Syria’s largest remaining oncology referral center — together with the calibration instruments and remote operator training required to restore quality-assured breast cancer biomarker diagnostics at that facility. The World Health Organization (</w:t>
      </w:r>
      <w:r>
        <w:t xml:space="preserve">“</w:t>
      </w:r>
      <w:r>
        <w:t xml:space="preserve">WHO</w:t>
      </w:r>
      <w:r>
        <w:t xml:space="preserve">”</w:t>
      </w:r>
      <w:r>
        <w:t xml:space="preserve">) Syria Country Office, in its January 2024 Comprehensive Health Needs Assessment, has identified cancer diagnostics as a critical gap in the Syrian health system, has named DCUH specifically, and has called upon the international community to ensure that sanctions frameworks do not impede the delivery of essential medical diagnostic supplies to the Syrian population.</w:t>
      </w:r>
    </w:p>
    <w:p>
      <w:pPr>
        <w:pStyle w:val="BodyText"/>
      </w:pPr>
      <w:r>
        <w:t xml:space="preserve">Meridian has a demonstrated track record of compliance with OFAC specific license conditions in comprehensively sanctioned jurisdictions. Meridian previously held Specific License No. SYR-2021-384712 (issued September 14, 2021; expired March 31, 2023), which authorized the export of tuberculosis diagnostic kits to a public hospital in Damascus. All authorized transactions under that license were completed by January 2023, with no violations, late filings, or deviations from license terms. Meridian has no history of OFAC violations, civil monetary penalties, enforcement actions, or voluntary self-disclosures.</w:t>
      </w:r>
    </w:p>
    <w:p>
      <w:pPr>
        <w:pStyle w:val="BodyText"/>
      </w:pPr>
      <w:r>
        <w:t xml:space="preserve">We wish to bring two screening findings to OFAC’s attention at the outset, in keeping with the Applicant’s obligation of full and candid disclosure. In the course of pre-transaction sanctions screening, Meridian’s Compliance Department identified that (i) the Syrian customs clearance agent originally designated in the end-user’s purchase order is 30% owned by an individual designated on the Specially Designated Nationals and Blocked Persons List (</w:t>
      </w:r>
      <w:r>
        <w:t xml:space="preserve">“</w:t>
      </w:r>
      <w:r>
        <w:t xml:space="preserve">SDN List</w:t>
      </w:r>
      <w:r>
        <w:t xml:space="preserve">”</w:t>
      </w:r>
      <w:r>
        <w:t xml:space="preserve">), and (ii) the purchase order designated the Central Bank of Calverley (</w:t>
      </w:r>
      <w:r>
        <w:t xml:space="preserve">“</w:t>
      </w:r>
      <w:r>
        <w:t xml:space="preserve">CBS</w:t>
      </w:r>
      <w:r>
        <w:t xml:space="preserve">”</w:t>
      </w:r>
      <w:r>
        <w:t xml:space="preserve">) — an SDN-listed entity — as the remitting bank. Meridian has restructured the proposed transaction to address both findings before submitting this application. Specifically, Meridian has removed the SDN-adjacent customs agent from the transaction structure and will substitute an alternative Syrian customs clearance agent with no SDN nexus, and Meridian has replaced the CBS payment mechanism with payment through a non-SDN-listed Syrian commercial bank. Both restructuring measures are consistent with the conditions of Meridian’s prior specific license. These matters are addressed in detail in Part XIV of the enclosed application.</w:t>
      </w:r>
    </w:p>
    <w:p>
      <w:pPr>
        <w:pStyle w:val="BodyText"/>
      </w:pPr>
      <w:r>
        <w:t xml:space="preserve">Meridian requests that the specific license, if issued, be effective September 1, 2024 through February 28, 2026, to provide an adequate window for completion of all authorized shipments and the remote training engagement. We are available to provide any additional information or documentation that OFAC may require, and we respectfully request the opportunity to respond to any questions during the review process.</w:t>
      </w:r>
    </w:p>
    <w:p>
      <w:pPr>
        <w:pStyle w:val="BodyText"/>
      </w:pPr>
      <w:r>
        <w:t xml:space="preserve">Respectfully submitted,</w:t>
      </w:r>
    </w:p>
    <w:p>
      <w:pPr>
        <w:pStyle w:val="BodyText"/>
      </w:pPr>
      <w:r>
        <w:rPr>
          <w:b/>
          <w:bCs/>
        </w:rPr>
        <w:t xml:space="preserve">Ashford &amp; Whitmore LLP</w:t>
      </w:r>
    </w:p>
    <w:p>
      <w:pPr>
        <w:pStyle w:val="BodyText"/>
      </w:pPr>
      <w:r>
        <w:t xml:space="preserve">Catherine R. Bellingham</w:t>
      </w:r>
      <w:r>
        <w:t xml:space="preserve"> </w:t>
      </w:r>
      <w:r>
        <w:t xml:space="preserve">Partner</w:t>
      </w:r>
      <w:r>
        <w:t xml:space="preserve"> </w:t>
      </w:r>
      <w:r>
        <w:t xml:space="preserve">cbellingham@ashfordwhitmore.com</w:t>
      </w:r>
      <w:r>
        <w:t xml:space="preserve"> </w:t>
      </w:r>
      <w:r>
        <w:t xml:space="preserve">(202) 555-0140</w:t>
      </w:r>
    </w:p>
    <w:p>
      <w:pPr>
        <w:pStyle w:val="BodyText"/>
      </w:pPr>
      <w:r>
        <w:t xml:space="preserve">David Osei-Mensah</w:t>
      </w:r>
      <w:r>
        <w:t xml:space="preserve"> </w:t>
      </w:r>
      <w:r>
        <w:t xml:space="preserve">Senior Associate</w:t>
      </w:r>
      <w:r>
        <w:t xml:space="preserve"> </w:t>
      </w:r>
      <w:r>
        <w:t xml:space="preserve">doesei-mensah@ashfordwhitmore.com</w:t>
      </w:r>
      <w:r>
        <w:t xml:space="preserve"> </w:t>
      </w:r>
      <w:r>
        <w:t xml:space="preserve">(202) 555-0147</w:t>
      </w:r>
    </w:p>
    <w:p>
      <w:pPr>
        <w:pStyle w:val="BodyText"/>
      </w:pPr>
      <w:r>
        <w:t xml:space="preserve">Enclosure: Application for Specific License and Supporting Exhibits</w:t>
      </w:r>
    </w:p>
    <w:p>
      <w:r>
        <w:pict>
          <v:rect style="width:0;height:1.5pt" o:hralign="center" o:hrstd="t" o:hr="t"/>
        </w:pict>
      </w:r>
    </w:p>
    <w:bookmarkEnd w:id="23"/>
    <w:bookmarkStart w:id="49" w:name="application-for-specific-license-1"/>
    <w:p>
      <w:pPr>
        <w:pStyle w:val="Heading1"/>
      </w:pPr>
      <w:r>
        <w:t xml:space="preserve">APPLICATION FOR SPECIFIC LICENSE</w:t>
      </w:r>
    </w:p>
    <w:bookmarkStart w:id="24" w:name="part-i.-applicant-information"/>
    <w:p>
      <w:pPr>
        <w:pStyle w:val="Heading2"/>
      </w:pPr>
      <w:r>
        <w:t xml:space="preserve">Part I.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Meridian Biotech Solutions, Inc.</w:t>
            </w:r>
          </w:p>
        </w:tc>
      </w:tr>
      <w:tr>
        <w:tc>
          <w:tcPr/>
          <w:p>
            <w:pPr>
              <w:pStyle w:val="Compact"/>
              <w:jc w:val="left"/>
            </w:pPr>
            <w:r>
              <w:t xml:space="preserve">Entity type</w:t>
            </w:r>
          </w:p>
        </w:tc>
        <w:tc>
          <w:tcPr/>
          <w:p>
            <w:pPr>
              <w:pStyle w:val="Compact"/>
              <w:jc w:val="left"/>
            </w:pPr>
            <w:r>
              <w:t xml:space="preserve">Delaware C-Corporation</w:t>
            </w:r>
          </w:p>
        </w:tc>
      </w:tr>
      <w:tr>
        <w:tc>
          <w:tcPr/>
          <w:p>
            <w:pPr>
              <w:pStyle w:val="Compact"/>
              <w:jc w:val="left"/>
            </w:pPr>
            <w:r>
              <w:t xml:space="preserve">Principal place of business</w:t>
            </w:r>
          </w:p>
        </w:tc>
        <w:tc>
          <w:tcPr/>
          <w:p>
            <w:pPr>
              <w:pStyle w:val="Compact"/>
              <w:jc w:val="left"/>
            </w:pPr>
            <w:r>
              <w:t xml:space="preserve">4200 Lakeshore Boulevard, Suite 800, Cambridge, MA 02142</w:t>
            </w:r>
          </w:p>
        </w:tc>
      </w:tr>
      <w:tr>
        <w:tc>
          <w:tcPr/>
          <w:p>
            <w:pPr>
              <w:pStyle w:val="Compact"/>
              <w:jc w:val="left"/>
            </w:pPr>
            <w:r>
              <w:t xml:space="preserve">Employer Identification Number (EIN)</w:t>
            </w:r>
          </w:p>
        </w:tc>
        <w:tc>
          <w:tcPr/>
          <w:p>
            <w:pPr>
              <w:pStyle w:val="Compact"/>
              <w:jc w:val="left"/>
            </w:pPr>
            <w:r>
              <w:t xml:space="preserve">47-3928104</w:t>
            </w:r>
          </w:p>
        </w:tc>
      </w:tr>
      <w:tr>
        <w:tc>
          <w:tcPr/>
          <w:p>
            <w:pPr>
              <w:pStyle w:val="Compact"/>
              <w:jc w:val="left"/>
            </w:pPr>
            <w:r>
              <w:t xml:space="preserve">DUNS Number</w:t>
            </w:r>
          </w:p>
        </w:tc>
        <w:tc>
          <w:tcPr/>
          <w:p>
            <w:pPr>
              <w:pStyle w:val="Compact"/>
              <w:jc w:val="left"/>
            </w:pPr>
            <w:r>
              <w:t xml:space="preserve">08-471-3920</w:t>
            </w:r>
          </w:p>
        </w:tc>
      </w:tr>
      <w:tr>
        <w:tc>
          <w:tcPr/>
          <w:p>
            <w:pPr>
              <w:pStyle w:val="Compact"/>
              <w:jc w:val="left"/>
            </w:pPr>
            <w:r>
              <w:t xml:space="preserve">Nature of business</w:t>
            </w:r>
          </w:p>
        </w:tc>
        <w:tc>
          <w:tcPr/>
          <w:p>
            <w:pPr>
              <w:pStyle w:val="Compact"/>
              <w:jc w:val="left"/>
            </w:pPr>
            <w:r>
              <w:t xml:space="preserve">Development and manufacture of in vitro diagnostic reagent kits, laboratory calibration instruments, and point-of-care testing platforms</w:t>
            </w:r>
          </w:p>
        </w:tc>
      </w:tr>
      <w:tr>
        <w:tc>
          <w:tcPr/>
          <w:p>
            <w:pPr>
              <w:pStyle w:val="Compact"/>
              <w:jc w:val="left"/>
            </w:pPr>
            <w:r>
              <w:t xml:space="preserve">Projected FY2024 revenue</w:t>
            </w:r>
          </w:p>
        </w:tc>
        <w:tc>
          <w:tcPr/>
          <w:p>
            <w:pPr>
              <w:pStyle w:val="Compact"/>
              <w:jc w:val="left"/>
            </w:pPr>
            <w:r>
              <w:t xml:space="preserve">Approximately $482 million</w:t>
            </w:r>
          </w:p>
        </w:tc>
      </w:tr>
      <w:tr>
        <w:tc>
          <w:tcPr/>
          <w:p>
            <w:pPr>
              <w:pStyle w:val="Compact"/>
              <w:jc w:val="left"/>
            </w:pPr>
            <w:r>
              <w:t xml:space="preserve">Chief Executive Officer</w:t>
            </w:r>
          </w:p>
        </w:tc>
        <w:tc>
          <w:tcPr/>
          <w:p>
            <w:pPr>
              <w:pStyle w:val="Compact"/>
              <w:jc w:val="left"/>
            </w:pPr>
            <w:r>
              <w:t xml:space="preserve">Dr. Priya Ramaswamy</w:t>
            </w:r>
          </w:p>
        </w:tc>
      </w:tr>
      <w:tr>
        <w:tc>
          <w:tcPr/>
          <w:p>
            <w:pPr>
              <w:pStyle w:val="Compact"/>
              <w:jc w:val="left"/>
            </w:pPr>
            <w:r>
              <w:t xml:space="preserve">General Counsel / Point of Contact</w:t>
            </w:r>
          </w:p>
        </w:tc>
        <w:tc>
          <w:tcPr/>
          <w:p>
            <w:pPr>
              <w:pStyle w:val="Compact"/>
              <w:jc w:val="left"/>
            </w:pPr>
            <w:r>
              <w:t xml:space="preserve">Jonathan D. Halsted, (617) 555-0193, jhalsted@meridianbiotech.com</w:t>
            </w:r>
          </w:p>
        </w:tc>
      </w:tr>
      <w:tr>
        <w:tc>
          <w:tcPr/>
          <w:p>
            <w:pPr>
              <w:pStyle w:val="Compact"/>
              <w:jc w:val="left"/>
            </w:pPr>
            <w:r>
              <w:t xml:space="preserve">Chief Compliance Officer</w:t>
            </w:r>
          </w:p>
        </w:tc>
        <w:tc>
          <w:tcPr/>
          <w:p>
            <w:pPr>
              <w:pStyle w:val="Compact"/>
              <w:jc w:val="left"/>
            </w:pPr>
            <w:r>
              <w:t xml:space="preserve">Margaret</w:t>
            </w:r>
            <w:r>
              <w:t xml:space="preserve"> </w:t>
            </w:r>
            <w:r>
              <w:t xml:space="preserve">“</w:t>
            </w:r>
            <w:r>
              <w:t xml:space="preserve">Peggy</w:t>
            </w:r>
            <w:r>
              <w:t xml:space="preserve">”</w:t>
            </w:r>
            <w:r>
              <w:t xml:space="preserve"> </w:t>
            </w:r>
            <w:r>
              <w:t xml:space="preserve">Dunleavy</w:t>
            </w:r>
          </w:p>
        </w:tc>
      </w:tr>
      <w:tr>
        <w:tc>
          <w:tcPr/>
          <w:p>
            <w:pPr>
              <w:pStyle w:val="Compact"/>
              <w:jc w:val="left"/>
            </w:pPr>
            <w:r>
              <w:t xml:space="preserve">OFAC compliance program established</w:t>
            </w:r>
          </w:p>
        </w:tc>
        <w:tc>
          <w:tcPr/>
          <w:p>
            <w:pPr>
              <w:pStyle w:val="Compact"/>
              <w:jc w:val="left"/>
            </w:pPr>
            <w:r>
              <w:t xml:space="preserve">2015</w:t>
            </w:r>
          </w:p>
        </w:tc>
      </w:tr>
    </w:tbl>
    <w:p>
      <w:pPr>
        <w:pStyle w:val="BodyText"/>
      </w:pPr>
      <w:r>
        <w:t xml:space="preserve">Meridian is a U.S. person within the meaning of 31 C.F.R. § 542.309 and is not listed on the SDN List, the OFAC Consolidated Sanctions List, the Sectoral Sanctions Identifications List, or any list administered by the U.S. Department of Commerce, Bureau of Industry and Security (</w:t>
      </w:r>
      <w:r>
        <w:t xml:space="preserve">“</w:t>
      </w:r>
      <w:r>
        <w:t xml:space="preserve">BIS</w:t>
      </w:r>
      <w:r>
        <w:t xml:space="preserve">”</w:t>
      </w:r>
      <w:r>
        <w:t xml:space="preserve">). Meridian has no history of OFAC violations, civil monetary penalties, cautionary or warning letters, findings of violation, or voluntary self-disclosures.</w:t>
      </w:r>
    </w:p>
    <w:bookmarkEnd w:id="24"/>
    <w:bookmarkStart w:id="25" w:name="X304aae37a956d28741a5aa44b3a66ee44e253a1"/>
    <w:p>
      <w:pPr>
        <w:pStyle w:val="Heading2"/>
      </w:pPr>
      <w:r>
        <w:t xml:space="preserve">Part II. Counsel and Authorized Representatives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 / Firm</w:t>
            </w:r>
          </w:p>
        </w:tc>
        <w:tc>
          <w:tcPr/>
          <w:p>
            <w:pPr>
              <w:pStyle w:val="Compact"/>
              <w:jc w:val="left"/>
            </w:pPr>
            <w:r>
              <w:t xml:space="preserve">Contact</w:t>
            </w:r>
          </w:p>
        </w:tc>
      </w:tr>
      <w:tr>
        <w:tc>
          <w:tcPr/>
          <w:p>
            <w:pPr>
              <w:pStyle w:val="Compact"/>
              <w:jc w:val="left"/>
            </w:pPr>
            <w:r>
              <w:t xml:space="preserve">Outside counsel of record</w:t>
            </w:r>
          </w:p>
        </w:tc>
        <w:tc>
          <w:tcPr/>
          <w:p>
            <w:pPr>
              <w:pStyle w:val="Compact"/>
              <w:jc w:val="left"/>
            </w:pPr>
            <w:r>
              <w:t xml:space="preserve">Catherine R. Bellingham, Partner, Ashford &amp; Whitmore LLP, 1700 K Street NW, Suite 950, Washington, DC 20006</w:t>
            </w:r>
          </w:p>
        </w:tc>
        <w:tc>
          <w:tcPr/>
          <w:p>
            <w:pPr>
              <w:pStyle w:val="Compact"/>
              <w:jc w:val="left"/>
            </w:pPr>
            <w:r>
              <w:t xml:space="preserve">cbellingham@ashfordwhitmore.com; (202) 555-0140</w:t>
            </w:r>
          </w:p>
        </w:tc>
      </w:tr>
      <w:tr>
        <w:tc>
          <w:tcPr/>
          <w:p>
            <w:pPr>
              <w:pStyle w:val="Compact"/>
              <w:jc w:val="left"/>
            </w:pPr>
            <w:r>
              <w:t xml:space="preserve">Co-counsel</w:t>
            </w:r>
          </w:p>
        </w:tc>
        <w:tc>
          <w:tcPr/>
          <w:p>
            <w:pPr>
              <w:pStyle w:val="Compact"/>
              <w:jc w:val="left"/>
            </w:pPr>
            <w:r>
              <w:t xml:space="preserve">David Osei-Mensah, Senior Associate, Ashford &amp; Whitmore LLP</w:t>
            </w:r>
          </w:p>
        </w:tc>
        <w:tc>
          <w:tcPr/>
          <w:p>
            <w:pPr>
              <w:pStyle w:val="Compact"/>
              <w:jc w:val="left"/>
            </w:pPr>
            <w:r>
              <w:t xml:space="preserve">doesei-mensah@ashfordwhitmore.com; (202) 555-0147</w:t>
            </w:r>
          </w:p>
        </w:tc>
      </w:tr>
      <w:tr>
        <w:tc>
          <w:tcPr/>
          <w:p>
            <w:pPr>
              <w:pStyle w:val="Compact"/>
              <w:jc w:val="left"/>
            </w:pPr>
            <w:r>
              <w:t xml:space="preserve">Applicant point of contact</w:t>
            </w:r>
          </w:p>
        </w:tc>
        <w:tc>
          <w:tcPr/>
          <w:p>
            <w:pPr>
              <w:pStyle w:val="Compact"/>
              <w:jc w:val="left"/>
            </w:pPr>
            <w:r>
              <w:t xml:space="preserve">Jonathan D. Halsted, General Counsel, Meridian Biotech Solutions, Inc.</w:t>
            </w:r>
          </w:p>
        </w:tc>
        <w:tc>
          <w:tcPr/>
          <w:p>
            <w:pPr>
              <w:pStyle w:val="Compact"/>
              <w:jc w:val="left"/>
            </w:pPr>
            <w:r>
              <w:t xml:space="preserve">jhalsted@meridianbiotech.com; (617) 555-0193</w:t>
            </w:r>
          </w:p>
        </w:tc>
      </w:tr>
      <w:tr>
        <w:tc>
          <w:tcPr/>
          <w:p>
            <w:pPr>
              <w:pStyle w:val="Compact"/>
              <w:jc w:val="left"/>
            </w:pPr>
            <w:r>
              <w:t xml:space="preserve">Compliance point of contact</w:t>
            </w:r>
          </w:p>
        </w:tc>
        <w:tc>
          <w:tcPr/>
          <w:p>
            <w:pPr>
              <w:pStyle w:val="Compact"/>
              <w:jc w:val="left"/>
            </w:pPr>
            <w:r>
              <w:t xml:space="preserve">Margaret</w:t>
            </w:r>
            <w:r>
              <w:t xml:space="preserve"> </w:t>
            </w:r>
            <w:r>
              <w:t xml:space="preserve">“</w:t>
            </w:r>
            <w:r>
              <w:t xml:space="preserve">Peggy</w:t>
            </w:r>
            <w:r>
              <w:t xml:space="preserve">”</w:t>
            </w:r>
            <w:r>
              <w:t xml:space="preserve"> </w:t>
            </w:r>
            <w:r>
              <w:t xml:space="preserve">Dunleavy, Chief Compliance Officer, Meridian Biotech Solutions, Inc.</w:t>
            </w:r>
          </w:p>
        </w:tc>
        <w:tc>
          <w:tcPr/>
          <w:p>
            <w:pPr>
              <w:pStyle w:val="Compact"/>
              <w:jc w:val="left"/>
            </w:pPr>
            <w:r>
              <w:t xml:space="preserve">(617) 555-0193</w:t>
            </w:r>
          </w:p>
        </w:tc>
      </w:tr>
    </w:tbl>
    <w:p>
      <w:pPr>
        <w:pStyle w:val="BodyText"/>
      </w:pPr>
      <w:r>
        <w:t xml:space="preserve">Ashford &amp; Whitmore LLP is authorized to communicate with OFAC on Meridian’s behalf concerning this application and any license issued in connection with it.</w:t>
      </w:r>
    </w:p>
    <w:bookmarkEnd w:id="25"/>
    <w:bookmarkStart w:id="26" w:name="Xb35a492cdae83b9036856658d6d9adafc565618"/>
    <w:p>
      <w:pPr>
        <w:pStyle w:val="Heading2"/>
      </w:pPr>
      <w:r>
        <w:t xml:space="preserve">Part III. Summary of the Requested Authorization</w:t>
      </w:r>
    </w:p>
    <w:p>
      <w:pPr>
        <w:pStyle w:val="FirstParagraph"/>
      </w:pPr>
      <w:r>
        <w:t xml:space="preserve">Meridian requests a specific license authorizing the following transaction, which would otherwise be prohibited under 31 C.F.R. Part 542 and Executive Order 13582:</w:t>
      </w:r>
    </w:p>
    <w:p>
      <w:pPr>
        <w:pStyle w:val="Compact"/>
        <w:numPr>
          <w:ilvl w:val="0"/>
          <w:numId w:val="1001"/>
        </w:numPr>
      </w:pPr>
      <w:r>
        <w:t xml:space="preserve">The export from the United States to Damascus Central University Hospital, Damascus, Syria, of five hundred (500) CancerDetect RX-700 Reagent Kits (immunohistochemical breast cancer biomarker staining kits);</w:t>
      </w:r>
    </w:p>
    <w:p>
      <w:pPr>
        <w:pStyle w:val="Compact"/>
        <w:numPr>
          <w:ilvl w:val="0"/>
          <w:numId w:val="1001"/>
        </w:numPr>
      </w:pPr>
      <w:r>
        <w:t xml:space="preserve">The export of four (4) CalibPro 3100 Calibration Units (benchtop laboratory calibration instruments); and</w:t>
      </w:r>
    </w:p>
    <w:p>
      <w:pPr>
        <w:pStyle w:val="Compact"/>
        <w:numPr>
          <w:ilvl w:val="0"/>
          <w:numId w:val="1001"/>
        </w:numPr>
      </w:pPr>
      <w:r>
        <w:t xml:space="preserve">The provision of approximately forty (40) hours of remote installation and calibration training services, delivered via secure video link from Meridian’s Cambridge, Massachusetts facility, with no travel to Syria or any intermediary country.</w:t>
      </w:r>
    </w:p>
    <w:p>
      <w:pPr>
        <w:pStyle w:val="FirstParagraph"/>
      </w:pPr>
      <w:r>
        <w:t xml:space="preserve">The total aggregate transaction value is $1,280,000. Meridian requests that the license be effective September 1, 2024 through February 28, 2026.</w:t>
      </w:r>
    </w:p>
    <w:bookmarkEnd w:id="26"/>
    <w:bookmarkStart w:id="27" w:name="Xd92e148586288463b15d5447e0fca1d406f9496"/>
    <w:p>
      <w:pPr>
        <w:pStyle w:val="Heading2"/>
      </w:pPr>
      <w:r>
        <w:t xml:space="preserve">Part IV. Description of the Proposed Transaction</w:t>
      </w:r>
    </w:p>
    <w:p>
      <w:pPr>
        <w:pStyle w:val="FirstParagraph"/>
      </w:pPr>
      <w:r>
        <w:t xml:space="preserve">Meridian proposes to export cancer diagnostic supplies and provide related remote training services to DCUH, the largest remaining oncology referral center in Syria. DCUH operates a 140-bed oncology ward and processes approximately 3,800 tissue biopsies per year, constituting the substantial majority of Syria’s cancer diagnostic workload. The proposed transaction comprises three line items, as set forth in DCUH Purchase Order No. PO-DCUH-2024-0743, dated June 17, 2024 (Exhibit 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Quantity</w:t>
            </w:r>
          </w:p>
        </w:tc>
        <w:tc>
          <w:tcPr/>
          <w:p>
            <w:pPr>
              <w:pStyle w:val="Compact"/>
              <w:jc w:val="left"/>
            </w:pPr>
            <w:r>
              <w:t xml:space="preserve">Unit Price (USD)</w:t>
            </w:r>
          </w:p>
        </w:tc>
        <w:tc>
          <w:tcPr/>
          <w:p>
            <w:pPr>
              <w:pStyle w:val="Compact"/>
              <w:jc w:val="left"/>
            </w:pPr>
            <w:r>
              <w:t xml:space="preserve">Total (USD)</w:t>
            </w:r>
          </w:p>
        </w:tc>
      </w:tr>
      <w:tr>
        <w:tc>
          <w:tcPr/>
          <w:p>
            <w:pPr>
              <w:pStyle w:val="Compact"/>
              <w:jc w:val="left"/>
            </w:pPr>
            <w:r>
              <w:t xml:space="preserve">1</w:t>
            </w:r>
          </w:p>
        </w:tc>
        <w:tc>
          <w:tcPr/>
          <w:p>
            <w:pPr>
              <w:pStyle w:val="Compact"/>
              <w:jc w:val="left"/>
            </w:pPr>
            <w:r>
              <w:t xml:space="preserve">CancerDetect RX-700 Reagent Kit — IHC reagent kit for HER2, ER, and PR breast cancer biomarker staining of FFPE tissue biopsies</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r>
      <w:tr>
        <w:tc>
          <w:tcPr/>
          <w:p>
            <w:pPr>
              <w:pStyle w:val="Compact"/>
              <w:jc w:val="left"/>
            </w:pPr>
            <w:r>
              <w:t xml:space="preserve">2</w:t>
            </w:r>
          </w:p>
        </w:tc>
        <w:tc>
          <w:tcPr/>
          <w:p>
            <w:pPr>
              <w:pStyle w:val="Compact"/>
              <w:jc w:val="left"/>
            </w:pPr>
            <w:r>
              <w:t xml:space="preserve">CalibPro 3100 Calibration Unit — benchtop calibration instrument for validation of reagent kits prior to clinical use</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r>
      <w:tr>
        <w:tc>
          <w:tcPr/>
          <w:p>
            <w:pPr>
              <w:pStyle w:val="Compact"/>
              <w:jc w:val="left"/>
            </w:pPr>
            <w:r>
              <w:t xml:space="preserve">3</w:t>
            </w:r>
          </w:p>
        </w:tc>
        <w:tc>
          <w:tcPr/>
          <w:p>
            <w:pPr>
              <w:pStyle w:val="Compact"/>
              <w:jc w:val="left"/>
            </w:pPr>
            <w:r>
              <w:t xml:space="preserve">Installation and Calibration Training Services — remote training via secure video link, 40 hours over 8 weeks</w:t>
            </w:r>
          </w:p>
        </w:tc>
        <w:tc>
          <w:tcPr/>
          <w:p>
            <w:pPr>
              <w:pStyle w:val="Compact"/>
              <w:jc w:val="left"/>
            </w:pPr>
            <w:r>
              <w:t xml:space="preserve">1 (lump sum)</w:t>
            </w:r>
          </w:p>
        </w:tc>
        <w:tc>
          <w:tcPr/>
          <w:p>
            <w:pPr>
              <w:pStyle w:val="Compact"/>
              <w:jc w:val="left"/>
            </w:pPr>
            <w:r>
              <w:t xml:space="preserve">$35,000.00</w:t>
            </w:r>
          </w:p>
        </w:tc>
        <w:tc>
          <w:tcPr/>
          <w:p>
            <w:pPr>
              <w:pStyle w:val="Compact"/>
              <w:jc w:val="left"/>
            </w:pPr>
            <w:r>
              <w:t xml:space="preserve">$35,000.00</w:t>
            </w:r>
          </w:p>
        </w:tc>
      </w:tr>
      <w:tr>
        <w:tc>
          <w:tcPr/>
          <w:p>
            <w:pPr>
              <w:pStyle w:val="Compact"/>
            </w:pPr>
          </w:p>
        </w:tc>
        <w:tc>
          <w:tcPr/>
          <w:p>
            <w:pPr>
              <w:pStyle w:val="Compact"/>
              <w:jc w:val="left"/>
            </w:pPr>
            <w:r>
              <w:rPr>
                <w:b/>
                <w:bCs/>
              </w:rPr>
              <w:t xml:space="preserve">Grand Total</w:t>
            </w:r>
          </w:p>
        </w:tc>
        <w:tc>
          <w:tcPr/>
          <w:p>
            <w:pPr>
              <w:pStyle w:val="Compact"/>
            </w:pPr>
          </w:p>
        </w:tc>
        <w:tc>
          <w:tcPr/>
          <w:p>
            <w:pPr>
              <w:pStyle w:val="Compact"/>
            </w:pPr>
          </w:p>
        </w:tc>
        <w:tc>
          <w:tcPr/>
          <w:p>
            <w:pPr>
              <w:pStyle w:val="Compact"/>
              <w:jc w:val="left"/>
            </w:pPr>
            <w:r>
              <w:rPr>
                <w:b/>
                <w:bCs/>
              </w:rPr>
              <w:t xml:space="preserve">$1,280,000.00</w:t>
            </w:r>
          </w:p>
        </w:tc>
      </w:tr>
    </w:tbl>
    <w:p>
      <w:pPr>
        <w:pStyle w:val="BodyText"/>
      </w:pPr>
      <w:r>
        <w:t xml:space="preserve">The 500 reagent kits are anticipated to meet DCUH’s diagnostic needs for approximately fifteen (15) months, based on DCUH’s reported annual biopsy volume. The four calibration units are required to validate each new lot of reagents before clinical deployment and to replace DCUH’s existing calibration equipment, which has been reported as non-functional or beyond serviceable life. The remote training will enable DCUH laboratory personnel to install, calibrate, and operate the equipment in accordance with manufacturer specifications.</w:t>
      </w:r>
    </w:p>
    <w:bookmarkEnd w:id="27"/>
    <w:bookmarkStart w:id="31" w:name="part-v.-the-goods-and-services"/>
    <w:p>
      <w:pPr>
        <w:pStyle w:val="Heading2"/>
      </w:pPr>
      <w:r>
        <w:t xml:space="preserve">Part V. The Goods and Services</w:t>
      </w:r>
    </w:p>
    <w:bookmarkStart w:id="28" w:name="a.-cancerdetect-rx-700-reagent-kit"/>
    <w:p>
      <w:pPr>
        <w:pStyle w:val="Heading3"/>
      </w:pPr>
      <w:r>
        <w:t xml:space="preserve">A. CancerDetect RX-700 Reagent Kit</w:t>
      </w:r>
    </w:p>
    <w:p>
      <w:pPr>
        <w:pStyle w:val="FirstParagraph"/>
      </w:pPr>
      <w:r>
        <w:t xml:space="preserve">The CancerDetect RX-700 is an in vitro diagnostic reagent kit for the immunohistochemical (</w:t>
      </w:r>
      <w:r>
        <w:t xml:space="preserve">“</w:t>
      </w:r>
      <w:r>
        <w:t xml:space="preserve">IHC</w:t>
      </w:r>
      <w:r>
        <w:t xml:space="preserve">”</w:t>
      </w:r>
      <w:r>
        <w:t xml:space="preserve">) staining of formalin-fixed, paraffin-embedded tissue biopsies. It is designed for the identification and semi-quantitative assessment of breast cancer biomarkers — HER2 (human epidermal growth factor receptor 2), ER (estrogen receptor), and PR (progesterone receptor) — the determination of which directly governs eligibility for targeted therapies and adjuvant treatment selection. Each kit is configured to process approximately ten (10) tissue samples.</w:t>
      </w:r>
    </w:p>
    <w:p>
      <w:pPr>
        <w:pStyle w:val="BodyText"/>
      </w:pPr>
      <w:r>
        <w:t xml:space="preserve">The CancerDetect RX-700 is the only FDA-cleared reagent kit (510(k) clearance No. K213847) validated for use with the Ventana BenchMark XT automated staining system, which is the specific platform already installed at DCUH. There is no substitute product validated for that platform. The kits are manufactured at Meridian’s Cambridge, MA facility under ISO 13485-certified quality management systems. Each kit measures approximately 30 cm × 20 cm × 15 cm, weighs approximately 1.8 kg, and has an 18-month shelf life when stored at 2–8°C. The kits require uninterrupted cold-chain logistics (2–8°C) throughout transport and storage.</w:t>
      </w:r>
    </w:p>
    <w:bookmarkEnd w:id="28"/>
    <w:bookmarkStart w:id="29" w:name="b.-calibpro-3100-calibration-unit"/>
    <w:p>
      <w:pPr>
        <w:pStyle w:val="Heading3"/>
      </w:pPr>
      <w:r>
        <w:t xml:space="preserve">B. CalibPro 3100 Calibration Unit</w:t>
      </w:r>
    </w:p>
    <w:p>
      <w:pPr>
        <w:pStyle w:val="FirstParagraph"/>
      </w:pPr>
      <w:r>
        <w:t xml:space="preserve">The CalibPro 3100 is a benchtop laboratory calibration instrument that performs automated calibration runs using control samples to verify that CancerDetect RX-700 reagent kits meet established performance specifications — including sensitivity, specificity, and staining uniformity — before clinical deployment. It is a required companion device. Each unit measures 45 cm × 38 cm × 30 cm, weighs 23 kg, and operates on a 220V / 50 Hz AC power supply compatible with the Syrian electrical grid. The unit contains a 7-inch touchscreen interface, a USB 2.0 port for data export, and no wireless or network connectivity. The expected operational lifespan is seven (7) years.</w:t>
      </w:r>
    </w:p>
    <w:p>
      <w:pPr>
        <w:pStyle w:val="BodyText"/>
      </w:pPr>
      <w:r>
        <w:t xml:space="preserve">The CalibPro 3100 contains factory-installed embedded firmware (version 4.2.1) residing on a dedicated microcontroller. The firmware is not user-modifiable; firmware updates can be applied only via a Meridian-supplied authenticated update package delivered on physical USB media. The firmware employs AES-128 encryption limited to internal data-integrity verification of calibration results; this functionality does not provide external communications security and does not exceed EAR de minimis thresholds for encryption items. No firmware updates, patches, or modifications beyond the factory-installed version 4.2.1 are requested under this application; any such update would constitute a separate transaction requiring independent authorization.</w:t>
      </w:r>
    </w:p>
    <w:bookmarkEnd w:id="29"/>
    <w:bookmarkStart w:id="30" w:name="Xa06cb82f3f2f17d80a12b10b033ff3f05aa0f07"/>
    <w:p>
      <w:pPr>
        <w:pStyle w:val="Heading3"/>
      </w:pPr>
      <w:r>
        <w:t xml:space="preserve">C. Remote Installation and Calibration Training Services</w:t>
      </w:r>
    </w:p>
    <w:p>
      <w:pPr>
        <w:pStyle w:val="FirstParagraph"/>
      </w:pPr>
      <w:r>
        <w:t xml:space="preserve">Meridian will provide approximately forty (40) hours of live remote instruction over eight (8) weeks (approximately five hours per week), delivered via secure video conferencing link from Meridian’s Field Applications Science team at its Cambridge, MA headquarters. No Meridian personnel will travel to Syria or any intermediary country. The flat fee for the complete training curriculum is $35,000.</w:t>
      </w:r>
    </w:p>
    <w:p>
      <w:pPr>
        <w:pStyle w:val="BodyText"/>
      </w:pPr>
      <w:r>
        <w:t xml:space="preserve">The curriculum comprises six modules: (1) system unpacking and physical setup; (2) instrument schematics review; (3) software diagnostic interface training; (4) reagent kit calibration protocol; (5) clinical workflow integration; and (6) ongoing maintenance and troubleshooting. Training is delivered in English, with Arabic-language summary handouts provided for each module. A minimum of two and maximum of six DCUH laboratory personnel will participate. Upon successful completion, participants receive a Meridian Certified Operator credential valid for two years.</w:t>
      </w:r>
    </w:p>
    <w:bookmarkEnd w:id="30"/>
    <w:bookmarkEnd w:id="31"/>
    <w:bookmarkStart w:id="32" w:name="part-vi.-export-classification"/>
    <w:p>
      <w:pPr>
        <w:pStyle w:val="Heading2"/>
      </w:pPr>
      <w:r>
        <w:t xml:space="preserve">Part VI. Export 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ECCN</w:t>
            </w:r>
          </w:p>
        </w:tc>
        <w:tc>
          <w:tcPr/>
          <w:p>
            <w:pPr>
              <w:pStyle w:val="Compact"/>
              <w:jc w:val="left"/>
            </w:pPr>
            <w:r>
              <w:t xml:space="preserve">HTS Code</w:t>
            </w:r>
          </w:p>
        </w:tc>
        <w:tc>
          <w:tcPr/>
          <w:p>
            <w:pPr>
              <w:pStyle w:val="Compact"/>
              <w:jc w:val="left"/>
            </w:pPr>
            <w:r>
              <w:t xml:space="preserve">Notes</w:t>
            </w:r>
          </w:p>
        </w:tc>
      </w:tr>
      <w:tr>
        <w:tc>
          <w:tcPr/>
          <w:p>
            <w:pPr>
              <w:pStyle w:val="Compact"/>
              <w:jc w:val="left"/>
            </w:pPr>
            <w:r>
              <w:t xml:space="preserve">CancerDetect RX-700 Reagent Kit</w:t>
            </w:r>
          </w:p>
        </w:tc>
        <w:tc>
          <w:tcPr/>
          <w:p>
            <w:pPr>
              <w:pStyle w:val="Compact"/>
              <w:jc w:val="left"/>
            </w:pPr>
            <w:r>
              <w:t xml:space="preserve">EAR99</w:t>
            </w:r>
          </w:p>
        </w:tc>
        <w:tc>
          <w:tcPr/>
          <w:p>
            <w:pPr>
              <w:pStyle w:val="Compact"/>
              <w:jc w:val="left"/>
            </w:pPr>
            <w:r>
              <w:t xml:space="preserve">3822.19.5000</w:t>
            </w:r>
          </w:p>
        </w:tc>
        <w:tc>
          <w:tcPr/>
          <w:p>
            <w:pPr>
              <w:pStyle w:val="Compact"/>
              <w:jc w:val="left"/>
            </w:pPr>
            <w:r>
              <w:t xml:space="preserve">No controlled technology or components; no dual-use concerns</w:t>
            </w:r>
          </w:p>
        </w:tc>
      </w:tr>
      <w:tr>
        <w:tc>
          <w:tcPr/>
          <w:p>
            <w:pPr>
              <w:pStyle w:val="Compact"/>
              <w:jc w:val="left"/>
            </w:pPr>
            <w:r>
              <w:t xml:space="preserve">CalibPro 3100 Calibration Unit</w:t>
            </w:r>
          </w:p>
        </w:tc>
        <w:tc>
          <w:tcPr/>
          <w:p>
            <w:pPr>
              <w:pStyle w:val="Compact"/>
              <w:jc w:val="left"/>
            </w:pPr>
            <w:r>
              <w:t xml:space="preserve">EAR99</w:t>
            </w:r>
          </w:p>
        </w:tc>
        <w:tc>
          <w:tcPr/>
          <w:p>
            <w:pPr>
              <w:pStyle w:val="Compact"/>
              <w:jc w:val="left"/>
            </w:pPr>
            <w:r>
              <w:t xml:space="preserve">9027.80.4530</w:t>
            </w:r>
          </w:p>
        </w:tc>
        <w:tc>
          <w:tcPr/>
          <w:p>
            <w:pPr>
              <w:pStyle w:val="Compact"/>
              <w:jc w:val="left"/>
            </w:pPr>
            <w:r>
              <w:t xml:space="preserve">Embedded firmware v4.2.1; AES-128 encryption below EAR de minimis thresholds; no wireless/network connectivity</w:t>
            </w:r>
          </w:p>
        </w:tc>
      </w:tr>
      <w:tr>
        <w:tc>
          <w:tcPr/>
          <w:p>
            <w:pPr>
              <w:pStyle w:val="Compact"/>
              <w:jc w:val="left"/>
            </w:pPr>
            <w:r>
              <w:t xml:space="preserve">Remote training services</w:t>
            </w:r>
          </w:p>
        </w:tc>
        <w:tc>
          <w:tcPr/>
          <w:p>
            <w:pPr>
              <w:pStyle w:val="Compact"/>
              <w:jc w:val="left"/>
            </w:pPr>
            <w:r>
              <w:t xml:space="preserve">N/A (services)</w:t>
            </w:r>
          </w:p>
        </w:tc>
        <w:tc>
          <w:tcPr/>
          <w:p>
            <w:pPr>
              <w:pStyle w:val="Compact"/>
              <w:jc w:val="left"/>
            </w:pPr>
            <w:r>
              <w:t xml:space="preserve">N/A</w:t>
            </w:r>
          </w:p>
        </w:tc>
        <w:tc>
          <w:tcPr/>
          <w:p>
            <w:pPr>
              <w:pStyle w:val="Compact"/>
              <w:jc w:val="left"/>
            </w:pPr>
            <w:r>
              <w:t xml:space="preserve">Delivered remotely from the United States; no travel to Syria</w:t>
            </w:r>
          </w:p>
        </w:tc>
      </w:tr>
    </w:tbl>
    <w:p>
      <w:pPr>
        <w:pStyle w:val="BodyText"/>
      </w:pPr>
      <w:r>
        <w:t xml:space="preserve">Both physical products are classified EAR99 under the Commerce Control List maintained by BIS. Meridian acknowledges that EAR99 classification does not exempt the products from the sanctions restrictions of 31 C.F.R. Part 542, and that OFAC authorization is required for the export of these items to Syria. This application does not request relief from any obligation under the Export Administration Regulations (</w:t>
      </w:r>
      <w:r>
        <w:t xml:space="preserve">“</w:t>
      </w:r>
      <w:r>
        <w:t xml:space="preserve">EAR</w:t>
      </w:r>
      <w:r>
        <w:t xml:space="preserve">”</w:t>
      </w:r>
      <w:r>
        <w:t xml:space="preserve">), 15 C.F.R. Parts 730–774, and the requested license will not relieve Meridian of any EAR obligations.</w:t>
      </w:r>
    </w:p>
    <w:bookmarkEnd w:id="32"/>
    <w:bookmarkStart w:id="35" w:name="part-vii.-end-user-and-end-use"/>
    <w:p>
      <w:pPr>
        <w:pStyle w:val="Heading2"/>
      </w:pPr>
      <w:r>
        <w:t xml:space="preserve">Part VII. End-User and End-Use</w:t>
      </w:r>
    </w:p>
    <w:bookmarkStart w:id="33" w:name="a.-end-user"/>
    <w:p>
      <w:pPr>
        <w:pStyle w:val="Heading3"/>
      </w:pPr>
      <w:r>
        <w:t xml:space="preserve">A. End-User</w:t>
      </w:r>
    </w:p>
    <w:p>
      <w:pPr>
        <w:pStyle w:val="FirstParagraph"/>
      </w:pPr>
      <w:r>
        <w:t xml:space="preserve">The end-user is Damascus Central University Hospital (</w:t>
      </w:r>
      <w:r>
        <w:t xml:space="preserve">“</w:t>
      </w:r>
      <w:r>
        <w:t xml:space="preserve">DCUH</w:t>
      </w:r>
      <w:r>
        <w:t xml:space="preserve">”</w:t>
      </w:r>
      <w:r>
        <w:t xml:space="preserve">), Al-Mazzeh Highway, Building 7, Damascus, Syrian Arab Republic, Attention: Dr. Faisal Kareem Al-Masri, Hospital Director. DCUH is a public teaching hospital affiliated with the University of Damascus, Faculty of Medicine, and operates under the administrative authority and budgetary oversight of the Syrian Ministry of Health. DCUH is not independently listed on the SDN List or any other restricted-party list screened by Meridian’s Compliance Department. As a public hospital, DCUH is an instrumentality of the Government of Syria, which is comprehensively sanctioned under Executive Order 13582 and 31 C.F.R. Part 542. Specific OFAC authorization is accordingly required for this transaction.</w:t>
      </w:r>
    </w:p>
    <w:bookmarkEnd w:id="33"/>
    <w:bookmarkStart w:id="34" w:name="b.-end-use"/>
    <w:p>
      <w:pPr>
        <w:pStyle w:val="Heading3"/>
      </w:pPr>
      <w:r>
        <w:t xml:space="preserve">B. End-Use</w:t>
      </w:r>
    </w:p>
    <w:p>
      <w:pPr>
        <w:pStyle w:val="FirstParagraph"/>
      </w:pPr>
      <w:r>
        <w:t xml:space="preserve">The goods and services are intended exclusively for clinical diagnostic use within the Oncology Department of DCUH. The CancerDetect RX-700 kits will be used for IHC staining of tissue biopsy samples to identify breast cancer biomarkers (HER2, ER, PR) in patients referred to DCUH for oncological diagnosis. The CalibPro 3100 units will validate and calibrate the reagent kits for use with the Ventana BenchMark XT equipment installed at the DCUH Oncology Laboratory. The training services will enable DCUH personnel to install, calibrate, and operate the equipment.</w:t>
      </w:r>
    </w:p>
    <w:p>
      <w:pPr>
        <w:pStyle w:val="BodyText"/>
      </w:pPr>
      <w:r>
        <w:t xml:space="preserve">DCUH has confirmed, in its purchase order, that the goods will not be re-exported, diverted, or transferred to any third party without the prior written consent of Meridian and in compliance with all applicable laws, and that the goods shall remain at all times within the custody and control of DCUH and be used solely for the clinical diagnostic purposes described above. Meridian will implement an end-use monitoring plan, described in Part XV, to verify delivery and continued authorized use.</w:t>
      </w:r>
    </w:p>
    <w:bookmarkEnd w:id="34"/>
    <w:bookmarkEnd w:id="35"/>
    <w:bookmarkStart w:id="36" w:name="part-viii.-transaction-parties-and-roles"/>
    <w:p>
      <w:pPr>
        <w:pStyle w:val="Heading2"/>
      </w:pPr>
      <w:r>
        <w:t xml:space="preserve">Part VIII. Transaction Parties and Roles</w:t>
      </w:r>
    </w:p>
    <w:p>
      <w:pPr>
        <w:pStyle w:val="FirstParagraph"/>
      </w:pPr>
      <w:r>
        <w:t xml:space="preserve">The following parties are involved in the proposed transaction. All parties (and, where available, their directors, officers, and beneficial owners) have been screened by Meridian’s Compliance Department against the SDN List, the OFAC Consolidated Sanctions List, the Sectoral Sanctions Identifications List, the BIS Entity List, the BIS Denied Persons List, the BIS Unverified List, and the UN Consolidated Sanctions List. Screening was completed on June 3,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Address</w:t>
            </w:r>
          </w:p>
        </w:tc>
        <w:tc>
          <w:tcPr/>
          <w:p>
            <w:pPr>
              <w:pStyle w:val="Compact"/>
              <w:jc w:val="left"/>
            </w:pPr>
            <w:r>
              <w:t xml:space="preserve">Principal(s)</w:t>
            </w:r>
          </w:p>
        </w:tc>
        <w:tc>
          <w:tcPr/>
          <w:p>
            <w:pPr>
              <w:pStyle w:val="Compact"/>
              <w:jc w:val="left"/>
            </w:pPr>
            <w:r>
              <w:t xml:space="preserve">Screening Result</w:t>
            </w:r>
          </w:p>
        </w:tc>
      </w:tr>
      <w:tr>
        <w:tc>
          <w:tcPr/>
          <w:p>
            <w:pPr>
              <w:pStyle w:val="Compact"/>
              <w:jc w:val="left"/>
            </w:pPr>
            <w:r>
              <w:t xml:space="preserve">Meridian Biotech Solutions, Inc.</w:t>
            </w:r>
          </w:p>
        </w:tc>
        <w:tc>
          <w:tcPr/>
          <w:p>
            <w:pPr>
              <w:pStyle w:val="Compact"/>
              <w:jc w:val="left"/>
            </w:pPr>
            <w:r>
              <w:t xml:space="preserve">Applicant / Exporter</w:t>
            </w:r>
          </w:p>
        </w:tc>
        <w:tc>
          <w:tcPr/>
          <w:p>
            <w:pPr>
              <w:pStyle w:val="Compact"/>
              <w:jc w:val="left"/>
            </w:pPr>
            <w:r>
              <w:t xml:space="preserve">4200 Lakeshore Boulevard, Suite 800, Cambridge, MA 02142</w:t>
            </w:r>
          </w:p>
        </w:tc>
        <w:tc>
          <w:tcPr/>
          <w:p>
            <w:pPr>
              <w:pStyle w:val="Compact"/>
              <w:jc w:val="left"/>
            </w:pPr>
            <w:r>
              <w:t xml:space="preserve">Dr. Priya Ramaswamy (CEO); Jonathan D. Halsted (GC); Margaret Dunleavy (CCO)</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End-User</w:t>
            </w:r>
          </w:p>
        </w:tc>
        <w:tc>
          <w:tcPr/>
          <w:p>
            <w:pPr>
              <w:pStyle w:val="Compact"/>
              <w:jc w:val="left"/>
            </w:pPr>
            <w:r>
              <w:t xml:space="preserve">Al-Mazzeh Highway, Building 7, Damascus, Syria</w:t>
            </w:r>
          </w:p>
        </w:tc>
        <w:tc>
          <w:tcPr/>
          <w:p>
            <w:pPr>
              <w:pStyle w:val="Compact"/>
              <w:jc w:val="left"/>
            </w:pPr>
            <w:r>
              <w:t xml:space="preserve">Dr. Faisal Kareem Al-Masri (Hospital Director)</w:t>
            </w:r>
          </w:p>
        </w:tc>
        <w:tc>
          <w:tcPr/>
          <w:p>
            <w:pPr>
              <w:pStyle w:val="Compact"/>
              <w:jc w:val="left"/>
            </w:pPr>
            <w:r>
              <w:t xml:space="preserve">No Match (governmental instrumentality; see Part VII)</w:t>
            </w:r>
          </w:p>
        </w:tc>
      </w:tr>
      <w:tr>
        <w:tc>
          <w:tcPr/>
          <w:p>
            <w:pPr>
              <w:pStyle w:val="Compact"/>
              <w:jc w:val="left"/>
            </w:pPr>
            <w:r>
              <w:t xml:space="preserve">Ankara Medical Transit Warehouse LLC (AMTW)</w:t>
            </w:r>
          </w:p>
        </w:tc>
        <w:tc>
          <w:tcPr/>
          <w:p>
            <w:pPr>
              <w:pStyle w:val="Compact"/>
              <w:jc w:val="left"/>
            </w:pPr>
            <w:r>
              <w:t xml:space="preserve">Turkish intermediary warehouse / re-export logistics</w:t>
            </w:r>
          </w:p>
        </w:tc>
        <w:tc>
          <w:tcPr/>
          <w:p>
            <w:pPr>
              <w:pStyle w:val="Compact"/>
              <w:jc w:val="left"/>
            </w:pPr>
            <w:r>
              <w:t xml:space="preserve">Organize Sanayi Bölgesi, No. 42, Ankara, Turkey</w:t>
            </w:r>
          </w:p>
        </w:tc>
        <w:tc>
          <w:tcPr/>
          <w:p>
            <w:pPr>
              <w:pStyle w:val="Compact"/>
              <w:jc w:val="left"/>
            </w:pPr>
            <w:r>
              <w:t xml:space="preserve">Elif Yılmaz (Managing Director)</w:t>
            </w:r>
          </w:p>
        </w:tc>
        <w:tc>
          <w:tcPr/>
          <w:p>
            <w:pPr>
              <w:pStyle w:val="Compact"/>
              <w:jc w:val="left"/>
            </w:pPr>
            <w:r>
              <w:t xml:space="preserve">No Match</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9100 Port Commerce Drive, Newark, NJ 07114</w:t>
            </w:r>
          </w:p>
        </w:tc>
        <w:tc>
          <w:tcPr/>
          <w:p>
            <w:pPr>
              <w:pStyle w:val="Compact"/>
              <w:jc w:val="left"/>
            </w:pPr>
            <w:r>
              <w:t xml:space="preserve">Lisa Marchetti (VP International Logistics)</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Meridian’s U.S. receiving bank</w:t>
            </w:r>
          </w:p>
        </w:tc>
        <w:tc>
          <w:tcPr/>
          <w:p>
            <w:pPr>
              <w:pStyle w:val="Compact"/>
              <w:jc w:val="left"/>
            </w:pPr>
            <w:r>
              <w:t xml:space="preserve">Boston, MA</w:t>
            </w:r>
          </w:p>
        </w:tc>
        <w:tc>
          <w:tcPr/>
          <w:p>
            <w:pPr>
              <w:pStyle w:val="Compact"/>
              <w:jc w:val="left"/>
            </w:pPr>
            <w:r>
              <w:t xml:space="preserve">N/A</w:t>
            </w:r>
          </w:p>
        </w:tc>
        <w:tc>
          <w:tcPr/>
          <w:p>
            <w:pPr>
              <w:pStyle w:val="Compact"/>
              <w:jc w:val="left"/>
            </w:pPr>
            <w:r>
              <w:t xml:space="preserve">No Match</w:t>
            </w:r>
          </w:p>
        </w:tc>
      </w:tr>
      <w:tr>
        <w:tc>
          <w:tcPr/>
          <w:p>
            <w:pPr>
              <w:pStyle w:val="Compact"/>
              <w:jc w:val="left"/>
            </w:pPr>
            <w:r>
              <w:t xml:space="preserve">Syrian commercial bank (to be designated)</w:t>
            </w:r>
          </w:p>
        </w:tc>
        <w:tc>
          <w:tcPr/>
          <w:p>
            <w:pPr>
              <w:pStyle w:val="Compact"/>
              <w:jc w:val="left"/>
            </w:pPr>
            <w:r>
              <w:t xml:space="preserve">Remitting bank (restructured; see Part X)</w:t>
            </w:r>
          </w:p>
        </w:tc>
        <w:tc>
          <w:tcPr/>
          <w:p>
            <w:pPr>
              <w:pStyle w:val="Compact"/>
              <w:jc w:val="left"/>
            </w:pPr>
            <w:r>
              <w:t xml:space="preserve">Damascus, Syria</w:t>
            </w:r>
          </w:p>
        </w:tc>
        <w:tc>
          <w:tcPr/>
          <w:p>
            <w:pPr>
              <w:pStyle w:val="Compact"/>
              <w:jc w:val="left"/>
            </w:pPr>
            <w:r>
              <w:t xml:space="preserve">To be screened</w:t>
            </w:r>
          </w:p>
        </w:tc>
        <w:tc>
          <w:tcPr/>
          <w:p>
            <w:pPr>
              <w:pStyle w:val="Compact"/>
              <w:jc w:val="left"/>
            </w:pPr>
            <w:r>
              <w:t xml:space="preserve">To be screened prior to designation</w:t>
            </w:r>
          </w:p>
        </w:tc>
      </w:tr>
      <w:tr>
        <w:tc>
          <w:tcPr/>
          <w:p>
            <w:pPr>
              <w:pStyle w:val="Compact"/>
              <w:jc w:val="left"/>
            </w:pPr>
            <w:r>
              <w:t xml:space="preserve">Syrian customs clearance agent (to be designated)</w:t>
            </w:r>
          </w:p>
        </w:tc>
        <w:tc>
          <w:tcPr/>
          <w:p>
            <w:pPr>
              <w:pStyle w:val="Compact"/>
              <w:jc w:val="left"/>
            </w:pPr>
            <w:r>
              <w:t xml:space="preserve">Customs clearance / in-country delivery (restructured; see Part XIV)</w:t>
            </w:r>
          </w:p>
        </w:tc>
        <w:tc>
          <w:tcPr/>
          <w:p>
            <w:pPr>
              <w:pStyle w:val="Compact"/>
              <w:jc w:val="left"/>
            </w:pPr>
            <w:r>
              <w:t xml:space="preserve">Damascus, Syria</w:t>
            </w:r>
          </w:p>
        </w:tc>
        <w:tc>
          <w:tcPr/>
          <w:p>
            <w:pPr>
              <w:pStyle w:val="Compact"/>
              <w:jc w:val="left"/>
            </w:pPr>
            <w:r>
              <w:t xml:space="preserve">To be screened</w:t>
            </w:r>
          </w:p>
        </w:tc>
        <w:tc>
          <w:tcPr/>
          <w:p>
            <w:pPr>
              <w:pStyle w:val="Compact"/>
              <w:jc w:val="left"/>
            </w:pPr>
            <w:r>
              <w:t xml:space="preserve">To be screened prior to designation</w:t>
            </w:r>
          </w:p>
        </w:tc>
      </w:tr>
    </w:tbl>
    <w:p>
      <w:pPr>
        <w:pStyle w:val="BodyText"/>
      </w:pPr>
      <w:r>
        <w:t xml:space="preserve">Two parties originally identified in DCUH’s purchase order — Al-Rashid Medical Procurement Company (</w:t>
      </w:r>
      <w:r>
        <w:t xml:space="preserve">“</w:t>
      </w:r>
      <w:r>
        <w:t xml:space="preserve">ARMPC</w:t>
      </w:r>
      <w:r>
        <w:t xml:space="preserve">”</w:t>
      </w:r>
      <w:r>
        <w:t xml:space="preserve">) and the Central Bank of Calverley (</w:t>
      </w:r>
      <w:r>
        <w:t xml:space="preserve">“</w:t>
      </w:r>
      <w:r>
        <w:t xml:space="preserve">CBS</w:t>
      </w:r>
      <w:r>
        <w:t xml:space="preserve">”</w:t>
      </w:r>
      <w:r>
        <w:t xml:space="preserve">) — have been removed from the transaction structure as a result of Meridian’s pre-transaction screening. The reasons for, and details of, these removals are set forth in Part XIV. No SDN-listed person, and no entity in which one or more SDN-listed persons hold, individually or in the aggregate, a 50% or greater ownership interest, will participate in the authorized transaction.</w:t>
      </w:r>
    </w:p>
    <w:bookmarkEnd w:id="36"/>
    <w:bookmarkStart w:id="37" w:name="part-ix.-shipping-route-and-logistics"/>
    <w:p>
      <w:pPr>
        <w:pStyle w:val="Heading2"/>
      </w:pPr>
      <w:r>
        <w:t xml:space="preserve">Part IX. Shipping Route and Logistics</w:t>
      </w:r>
    </w:p>
    <w:p>
      <w:pPr>
        <w:pStyle w:val="FirstParagraph"/>
      </w:pPr>
      <w:r>
        <w:t xml:space="preserve">All goods are manufactured at Meridian’s Cambridge, MA facility. Pinnacle Freight International, Inc. (</w:t>
      </w:r>
      <w:r>
        <w:t xml:space="preserve">“</w:t>
      </w:r>
      <w:r>
        <w:t xml:space="preserve">Pinnacle</w:t>
      </w:r>
      <w:r>
        <w:t xml:space="preserve">”</w:t>
      </w:r>
      <w:r>
        <w:t xml:space="preserve">) will coordinate freight forwarding. The proposed five-leg route is as follows (Exhibit 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Leg</w:t>
            </w:r>
          </w:p>
        </w:tc>
        <w:tc>
          <w:tcPr/>
          <w:p>
            <w:pPr>
              <w:pStyle w:val="Compact"/>
              <w:jc w:val="left"/>
            </w:pPr>
            <w:r>
              <w:t xml:space="preserve">Route Segment</w:t>
            </w:r>
          </w:p>
        </w:tc>
        <w:tc>
          <w:tcPr/>
          <w:p>
            <w:pPr>
              <w:pStyle w:val="Compact"/>
              <w:jc w:val="left"/>
            </w:pPr>
            <w:r>
              <w:t xml:space="preserve">Estimated Duration</w:t>
            </w:r>
          </w:p>
        </w:tc>
      </w:tr>
      <w:tr>
        <w:tc>
          <w:tcPr/>
          <w:p>
            <w:pPr>
              <w:pStyle w:val="Compact"/>
              <w:jc w:val="left"/>
            </w:pPr>
            <w:r>
              <w:t xml:space="preserve">1</w:t>
            </w:r>
          </w:p>
        </w:tc>
        <w:tc>
          <w:tcPr/>
          <w:p>
            <w:pPr>
              <w:pStyle w:val="Compact"/>
              <w:jc w:val="left"/>
            </w:pPr>
            <w:r>
              <w:t xml:space="preserve">Cambridge, MA → Port Newark, NJ (domestic ground, refrigerated)</w:t>
            </w:r>
          </w:p>
        </w:tc>
        <w:tc>
          <w:tcPr/>
          <w:p>
            <w:pPr>
              <w:pStyle w:val="Compact"/>
              <w:jc w:val="left"/>
            </w:pPr>
            <w:r>
              <w:t xml:space="preserve">1–2 days</w:t>
            </w:r>
          </w:p>
        </w:tc>
      </w:tr>
      <w:tr>
        <w:tc>
          <w:tcPr/>
          <w:p>
            <w:pPr>
              <w:pStyle w:val="Compact"/>
              <w:jc w:val="left"/>
            </w:pPr>
            <w:r>
              <w:t xml:space="preserve">2</w:t>
            </w:r>
          </w:p>
        </w:tc>
        <w:tc>
          <w:tcPr/>
          <w:p>
            <w:pPr>
              <w:pStyle w:val="Compact"/>
              <w:jc w:val="left"/>
            </w:pPr>
            <w:r>
              <w:t xml:space="preserve">Port Newark, NJ → Mersin Port, Turkey (ocean freight, reefer container)</w:t>
            </w:r>
          </w:p>
        </w:tc>
        <w:tc>
          <w:tcPr/>
          <w:p>
            <w:pPr>
              <w:pStyle w:val="Compact"/>
              <w:jc w:val="left"/>
            </w:pPr>
            <w:r>
              <w:t xml:space="preserve">18–22 days</w:t>
            </w:r>
          </w:p>
        </w:tc>
      </w:tr>
      <w:tr>
        <w:tc>
          <w:tcPr/>
          <w:p>
            <w:pPr>
              <w:pStyle w:val="Compact"/>
              <w:jc w:val="left"/>
            </w:pPr>
            <w:r>
              <w:t xml:space="preserve">3</w:t>
            </w:r>
          </w:p>
        </w:tc>
        <w:tc>
          <w:tcPr/>
          <w:p>
            <w:pPr>
              <w:pStyle w:val="Compact"/>
              <w:jc w:val="left"/>
            </w:pPr>
            <w:r>
              <w:t xml:space="preserve">Mersin Port → Ankara, Turkey (overland to AMTW; warehousing 5–10 days)</w:t>
            </w:r>
          </w:p>
        </w:tc>
        <w:tc>
          <w:tcPr/>
          <w:p>
            <w:pPr>
              <w:pStyle w:val="Compact"/>
              <w:jc w:val="left"/>
            </w:pPr>
            <w:r>
              <w:t xml:space="preserve">7–12 days</w:t>
            </w:r>
          </w:p>
        </w:tc>
      </w:tr>
      <w:tr>
        <w:tc>
          <w:tcPr/>
          <w:p>
            <w:pPr>
              <w:pStyle w:val="Compact"/>
              <w:jc w:val="left"/>
            </w:pPr>
            <w:r>
              <w:t xml:space="preserve">4</w:t>
            </w:r>
          </w:p>
        </w:tc>
        <w:tc>
          <w:tcPr/>
          <w:p>
            <w:pPr>
              <w:pStyle w:val="Compact"/>
              <w:jc w:val="left"/>
            </w:pPr>
            <w:r>
              <w:t xml:space="preserve">Ankara → Bab al-Hawa border crossing (overland, refrigerated)</w:t>
            </w:r>
          </w:p>
        </w:tc>
        <w:tc>
          <w:tcPr/>
          <w:p>
            <w:pPr>
              <w:pStyle w:val="Compact"/>
              <w:jc w:val="left"/>
            </w:pPr>
            <w:r>
              <w:t xml:space="preserve">2–3 days</w:t>
            </w:r>
          </w:p>
        </w:tc>
      </w:tr>
      <w:tr>
        <w:tc>
          <w:tcPr/>
          <w:p>
            <w:pPr>
              <w:pStyle w:val="Compact"/>
              <w:jc w:val="left"/>
            </w:pPr>
            <w:r>
              <w:t xml:space="preserve">5</w:t>
            </w:r>
          </w:p>
        </w:tc>
        <w:tc>
          <w:tcPr/>
          <w:p>
            <w:pPr>
              <w:pStyle w:val="Compact"/>
              <w:jc w:val="left"/>
            </w:pPr>
            <w:r>
              <w:t xml:space="preserve">Bab al-Hawa → Damascus, Syria (overland to DCUH)</w:t>
            </w:r>
          </w:p>
        </w:tc>
        <w:tc>
          <w:tcPr/>
          <w:p>
            <w:pPr>
              <w:pStyle w:val="Compact"/>
              <w:jc w:val="left"/>
            </w:pPr>
            <w:r>
              <w:t xml:space="preserve">2–3 days</w:t>
            </w:r>
          </w:p>
        </w:tc>
      </w:tr>
      <w:tr>
        <w:tc>
          <w:tcPr/>
          <w:p>
            <w:pPr>
              <w:pStyle w:val="Compact"/>
            </w:pPr>
          </w:p>
        </w:tc>
        <w:tc>
          <w:tcPr/>
          <w:p>
            <w:pPr>
              <w:pStyle w:val="Compact"/>
              <w:jc w:val="left"/>
            </w:pPr>
            <w:r>
              <w:rPr>
                <w:b/>
                <w:bCs/>
              </w:rPr>
              <w:t xml:space="preserve">Total estimated transit</w:t>
            </w:r>
          </w:p>
        </w:tc>
        <w:tc>
          <w:tcPr/>
          <w:p>
            <w:pPr>
              <w:pStyle w:val="Compact"/>
              <w:jc w:val="left"/>
            </w:pPr>
            <w:r>
              <w:rPr>
                <w:b/>
                <w:bCs/>
              </w:rPr>
              <w:t xml:space="preserve">30–42 days (~4–6 weeks); plan for 6–8 weeks</w:t>
            </w:r>
          </w:p>
        </w:tc>
      </w:tr>
    </w:tbl>
    <w:p>
      <w:pPr>
        <w:pStyle w:val="BodyText"/>
      </w:pPr>
      <w:r>
        <w:t xml:space="preserve">The CancerDetect RX-700 kits will be shipped in validated insulated containers with calibrated digital temperature data loggers recording at 15-minute intervals, within a reefer container set to 4°C ± 2°C for the ocean leg. The AMTW facility in Ankara maintains dedicated cold-storage capacity rated for pharmaceutical products. The CalibPro 3100 units will be palletized and shipped as standard freight alongside the refrigerated containers. Upon delivery at DCUH, all temperature data logs will be compiled and provided to Meridian for quality assurance and end-use documentation. The remote training services are not within the scope of physical logistics and will be delivered from the United States.</w:t>
      </w:r>
    </w:p>
    <w:bookmarkEnd w:id="37"/>
    <w:bookmarkStart w:id="38" w:name="part-x.-payment-terms-restructured"/>
    <w:p>
      <w:pPr>
        <w:pStyle w:val="Heading2"/>
      </w:pPr>
      <w:r>
        <w:t xml:space="preserve">Part X. Payment Terms (Restructured)</w:t>
      </w:r>
    </w:p>
    <w:p>
      <w:pPr>
        <w:pStyle w:val="FirstParagraph"/>
      </w:pPr>
      <w:r>
        <w:t xml:space="preserve">The total amount due is $1,280,000. Payment will be made by 100% advance international wire transfer, in U.S. dollars, remitted no later than fifteen (15) business days prior to the scheduled shipment date.</w:t>
      </w:r>
    </w:p>
    <w:p>
      <w:pPr>
        <w:pStyle w:val="BodyText"/>
      </w:pPr>
      <w:r>
        <w:rPr>
          <w:b/>
          <w:bCs/>
        </w:rPr>
        <w:t xml:space="preserve">Restructured payment mechanism.</w:t>
      </w:r>
      <w:r>
        <w:t xml:space="preserve"> </w:t>
      </w:r>
      <w:r>
        <w:t xml:space="preserve">DCUH’s purchase order originally designated the Central Bank of Calverley (</w:t>
      </w:r>
      <w:r>
        <w:t xml:space="preserve">“</w:t>
      </w:r>
      <w:r>
        <w:t xml:space="preserve">CBS</w:t>
      </w:r>
      <w:r>
        <w:t xml:space="preserve">”</w:t>
      </w:r>
      <w:r>
        <w:t xml:space="preserve">) as the remitting bank. CBS is listed on the SDN List (added August 10, 2011, pursuant to Executive Order 13582). Payment routed through CBS would constitute a prohibited transaction with a blocked person under 31 C.F.R. Part 542, and any such funds received by a U.S. financial institution would be subject to blocking. Meridian has accordingly restructured the payment mechanism.</w:t>
      </w:r>
    </w:p>
    <w:p>
      <w:pPr>
        <w:pStyle w:val="BodyText"/>
      </w:pPr>
      <w:r>
        <w:t xml:space="preserve">Under the restructured terms, payment will be remitted from DCUH’s account at a</w:t>
      </w:r>
      <w:r>
        <w:t xml:space="preserve"> </w:t>
      </w:r>
      <w:r>
        <w:rPr>
          <w:b/>
          <w:bCs/>
        </w:rPr>
        <w:t xml:space="preserve">non-SDN-listed Syrian commercial bank</w:t>
      </w:r>
      <w:r>
        <w:t xml:space="preserve"> </w:t>
      </w:r>
      <w:r>
        <w:t xml:space="preserve">(to be designated and screened by Meridian’s Compliance Department prior to designation) to Meridian’s account at Harborview National Bank, Boston, Massachusetts (Account No. 7821-4490-3361). No funds will be routed through CBS or through any financial institution appearing on the SDN List or any other OFAC restricted-party list. This restructured mechanism is consistent with the payment terms authorized under Meridian’s prior specific license (SYR-2021-384712), which expressly authorized payment via a non-SDN-listed Syrian commercial bank and prohibited routing through CBS or any SDN-listed institution.</w:t>
      </w:r>
    </w:p>
    <w:p>
      <w:pPr>
        <w:pStyle w:val="BodyText"/>
      </w:pPr>
      <w:r>
        <w:t xml:space="preserve">Meridian requests that the license, if issued, include a condition prohibiting the routing of any payment through CBS or any SDN-listed financial institution, and requiring that the remitting bank be a non-SDN-listed institution verified by Meridian’s Compliance Department prior to the initiation of any wire transfer.</w:t>
      </w:r>
    </w:p>
    <w:bookmarkEnd w:id="38"/>
    <w:bookmarkStart w:id="39" w:name="part-xi.-humanitarian-justification"/>
    <w:p>
      <w:pPr>
        <w:pStyle w:val="Heading2"/>
      </w:pPr>
      <w:r>
        <w:t xml:space="preserve">Part XI. Humanitarian Justification</w:t>
      </w:r>
    </w:p>
    <w:p>
      <w:pPr>
        <w:pStyle w:val="FirstParagraph"/>
      </w:pPr>
      <w:r>
        <w:t xml:space="preserve">The proposed transaction addresses a critical humanitarian need identified by the WHO. The WHO Syria Country Office, in its January 2024 Comprehensive Health Needs Assessment: Syrian Arab Republic — 2024 Update (Exhibit G), Section 4.7, makes the following findings directly relevant to this application:</w:t>
      </w:r>
    </w:p>
    <w:p>
      <w:pPr>
        <w:pStyle w:val="Compact"/>
        <w:numPr>
          <w:ilvl w:val="0"/>
          <w:numId w:val="1002"/>
        </w:numPr>
      </w:pPr>
      <w:r>
        <w:rPr>
          <w:b/>
          <w:bCs/>
        </w:rPr>
        <w:t xml:space="preserve">Cancer diagnostics capacity is a critical gap.</w:t>
      </w:r>
      <w:r>
        <w:t xml:space="preserve"> </w:t>
      </w:r>
      <w:r>
        <w:t xml:space="preserve">The protracted conflict has severely degraded Syria’s cancer diagnostic infrastructure. Of approximately 14 functioning immunohistochemistry laboratories prior to 2011, only three remain partially operational as of January 2024, and none functions at full pre-conflict capacity.</w:t>
      </w:r>
    </w:p>
    <w:p>
      <w:pPr>
        <w:pStyle w:val="Compact"/>
        <w:numPr>
          <w:ilvl w:val="0"/>
          <w:numId w:val="1002"/>
        </w:numPr>
      </w:pPr>
      <w:r>
        <w:rPr>
          <w:b/>
          <w:bCs/>
        </w:rPr>
        <w:t xml:space="preserve">DCUH is the largest and most important remaining oncology referral center.</w:t>
      </w:r>
      <w:r>
        <w:t xml:space="preserve"> </w:t>
      </w:r>
      <w:r>
        <w:t xml:space="preserve">DCUH operates a 140-bed oncology ward and processes approximately 3,800 tissue biopsies per year, constituting the substantial majority of the country’s cancer diagnostic workload. The WHO assessment names DCUH specifically.</w:t>
      </w:r>
    </w:p>
    <w:p>
      <w:pPr>
        <w:pStyle w:val="Compact"/>
        <w:numPr>
          <w:ilvl w:val="0"/>
          <w:numId w:val="1002"/>
        </w:numPr>
      </w:pPr>
      <w:r>
        <w:rPr>
          <w:b/>
          <w:bCs/>
        </w:rPr>
        <w:t xml:space="preserve">Breast cancer is the most prevalent malignancy among Syrian women</w:t>
      </w:r>
      <w:r>
        <w:t xml:space="preserve">, accounting for approximately 33% of all female cancer diagnoses. Biomarker testing (HER2, ER, PR) directly determines eligibility for targeted therapies and guides treatment selection.</w:t>
      </w:r>
    </w:p>
    <w:p>
      <w:pPr>
        <w:pStyle w:val="Compact"/>
        <w:numPr>
          <w:ilvl w:val="0"/>
          <w:numId w:val="1002"/>
        </w:numPr>
      </w:pPr>
      <w:r>
        <w:rPr>
          <w:b/>
          <w:bCs/>
        </w:rPr>
        <w:t xml:space="preserve">A severe shortage of IHC reagent kits and calibration equipment is the primary bottleneck.</w:t>
      </w:r>
      <w:r>
        <w:t xml:space="preserve"> </w:t>
      </w:r>
      <w:r>
        <w:t xml:space="preserve">DCUH’s Ventana BenchMark XT platform requires validated, compatible reagent kits, and the limited number of internationally manufactured kits validated for that platform further constrains procurement. DCUH’s existing calibration equipment is non-functional or beyond serviceable life.</w:t>
      </w:r>
    </w:p>
    <w:p>
      <w:pPr>
        <w:pStyle w:val="Compact"/>
        <w:numPr>
          <w:ilvl w:val="0"/>
          <w:numId w:val="1002"/>
        </w:numPr>
      </w:pPr>
      <w:r>
        <w:rPr>
          <w:b/>
          <w:bCs/>
        </w:rPr>
        <w:t xml:space="preserve">The diagnostic backlog exceeds 14 months</w:t>
      </w:r>
      <w:r>
        <w:t xml:space="preserve">, forcing oncologists to initiate empiric chemotherapy without biomarker confirmation, resulting in suboptimal regimens, avoidable drug toxicity, and inefficient use of scarce resources.</w:t>
      </w:r>
    </w:p>
    <w:p>
      <w:pPr>
        <w:pStyle w:val="Compact"/>
        <w:numPr>
          <w:ilvl w:val="0"/>
          <w:numId w:val="1002"/>
        </w:numPr>
      </w:pPr>
      <w:r>
        <w:rPr>
          <w:b/>
          <w:bCs/>
        </w:rPr>
        <w:t xml:space="preserve">Patient outcomes have deteriorated.</w:t>
      </w:r>
      <w:r>
        <w:t xml:space="preserve"> </w:t>
      </w:r>
      <w:r>
        <w:t xml:space="preserve">The estimated five-year breast cancer survival rate in Syria has declined from approximately 62% prior to 2011 to approximately 38% at present, attributable in significant part to prolonged diagnostic delays and the inability to perform biomarker-guided treatment selection.</w:t>
      </w:r>
    </w:p>
    <w:p>
      <w:pPr>
        <w:pStyle w:val="FirstParagraph"/>
      </w:pPr>
      <w:r>
        <w:t xml:space="preserve">The WHO assessment expressly recommends (i) urgent procurement of validated IHC reagent kits compatible with existing equipment at DCUH, with priority for breast cancer biomarker panels; (ii) replacement and provision of laboratory calibration instruments; (iii) technical training support for laboratory personnel, including remote training modalities; and (iv) international coordination to facilitate humanitarian exemptions and licensing for the import of essential medical diagnostic supplies, ensuring that sanctions frameworks do not impede delivery to the Syrian population.</w:t>
      </w:r>
    </w:p>
    <w:p>
      <w:pPr>
        <w:pStyle w:val="BodyText"/>
      </w:pPr>
      <w:r>
        <w:t xml:space="preserve">The proposed transaction directly implements each of these recommendations. The CancerDetect RX-700 is the only FDA-cleared kit validated for DCUH’s installed platform, meaning there is no substitute product that would satisfy the diagnostic need. The CalibPro 3100 units restore the quality-assurance capacity without which diagnostic results cannot be relied upon. The remote training builds local capacity without any travel to Syria. The transaction is exclusively humanitarian in purpose and will benefit civilian patients across government-controlled Syria who are referred to DCUH for oncological diagnosis.</w:t>
      </w:r>
    </w:p>
    <w:bookmarkEnd w:id="39"/>
    <w:bookmarkStart w:id="40" w:name="part-xii.-prior-ofac-license-history"/>
    <w:p>
      <w:pPr>
        <w:pStyle w:val="Heading2"/>
      </w:pPr>
      <w:r>
        <w:t xml:space="preserve">Part XII. Prior OFAC License History</w:t>
      </w:r>
    </w:p>
    <w:p>
      <w:pPr>
        <w:pStyle w:val="FirstParagraph"/>
      </w:pPr>
      <w:r>
        <w:t xml:space="preserve">Meridian previously held OFAC Specific License No. SYR-2021-384712, issued September 14, 2021, under the Syrian Sanctions Regulations and Executive Order 13582 (Exhibit H). That license authorized the export of two hundred (200) TBDetect Pro-200 tuberculosis diagnostic reagent kits (total value $340,000; EAR99; HTS 3822.19.5000) to Al-Mujtahid Hospital, a public hospital affiliated with the Syrian Ministry of Health in Damascus, for humanitarian medical use. The license was effective September 14, 2021 and expired March 31, 2023.</w:t>
      </w:r>
    </w:p>
    <w:p>
      <w:pPr>
        <w:pStyle w:val="BodyText"/>
      </w:pPr>
      <w:r>
        <w:t xml:space="preserve">Meridian completed all authorized shipments under that license by January 2023 and satisfied all reporting conditions in a timely manner, including the submission of written reports to OFAC within thirty (30) days of each shipment with proof of delivery, shipping documents, and confirmation of end-user receipt. There were no violations, late filings, or deviations from license terms. Notably, that license authorized payment via a non-SDN-listed Syrian commercial bank and expressly prohibited routing of payment through CBS or any SDN-listed institution — the same payment structure Meridian has adopted for the present application.</w:t>
      </w:r>
    </w:p>
    <w:p>
      <w:pPr>
        <w:pStyle w:val="BodyText"/>
      </w:pPr>
      <w:r>
        <w:t xml:space="preserve">Meridian’s prior license history demonstrates its capacity to administer OFAC-licensed transactions in comprehensively sanctioned jurisdictions in full compliance with license conditions and reporting requirements.</w:t>
      </w:r>
    </w:p>
    <w:bookmarkEnd w:id="40"/>
    <w:bookmarkStart w:id="41" w:name="Xd0a728b844b6a265acc2353bbd1ddd3c7744713"/>
    <w:p>
      <w:pPr>
        <w:pStyle w:val="Heading2"/>
      </w:pPr>
      <w:r>
        <w:t xml:space="preserve">Part XIII. Applicant’s OFAC Compliance Program</w:t>
      </w:r>
    </w:p>
    <w:p>
      <w:pPr>
        <w:pStyle w:val="FirstParagraph"/>
      </w:pPr>
      <w:r>
        <w:t xml:space="preserve">Meridian maintains an OFAC sanctions compliance program that has been in place since 2015. The program was most recently independently audited by Graystone Compliance Partners LLC (</w:t>
      </w:r>
      <w:r>
        <w:t xml:space="preserve">“</w:t>
      </w:r>
      <w:r>
        <w:t xml:space="preserve">Graystone</w:t>
      </w:r>
      <w:r>
        <w:t xml:space="preserve">”</w:t>
      </w:r>
      <w:r>
        <w:t xml:space="preserve">) in September 2023, which assigned an overall rating of</w:t>
      </w:r>
      <w:r>
        <w:t xml:space="preserve"> </w:t>
      </w:r>
      <w:r>
        <w:t xml:space="preserve">“</w:t>
      </w:r>
      <w:r>
        <w:t xml:space="preserve">Satisfactory with Recommendations</w:t>
      </w:r>
      <w:r>
        <w:t xml:space="preserve">”</w:t>
      </w:r>
      <w:r>
        <w:t xml:space="preserve"> </w:t>
      </w:r>
      <w:r>
        <w:t xml:space="preserve">— indicating that the program meets core OFAC compliance expectations as outlined in OFAC’s</w:t>
      </w:r>
      <w:r>
        <w:t xml:space="preserve"> </w:t>
      </w:r>
      <w:r>
        <w:t xml:space="preserve">“</w:t>
      </w:r>
      <w:r>
        <w:t xml:space="preserve">A Framework for OFAC Compliance Commitments</w:t>
      </w:r>
      <w:r>
        <w:t xml:space="preserve">”</w:t>
      </w:r>
      <w:r>
        <w:t xml:space="preserve"> </w:t>
      </w:r>
      <w:r>
        <w:t xml:space="preserve">(May 2019) (Exhibit I). Key program features include:</w:t>
      </w:r>
    </w:p>
    <w:p>
      <w:pPr>
        <w:pStyle w:val="Compact"/>
        <w:numPr>
          <w:ilvl w:val="0"/>
          <w:numId w:val="1003"/>
        </w:numPr>
      </w:pPr>
      <w:r>
        <w:rPr>
          <w:b/>
          <w:bCs/>
        </w:rPr>
        <w:t xml:space="preserve">Management commitment.</w:t>
      </w:r>
      <w:r>
        <w:t xml:space="preserve"> </w:t>
      </w:r>
      <w:r>
        <w:t xml:space="preserve">The Chief Compliance Officer reports directly to the General Counsel and maintains a standing quarterly briefing to the Board of Directors’ Audit Committee. The CEO and General Counsel provide visible executive support for the compliance function.</w:t>
      </w:r>
    </w:p>
    <w:p>
      <w:pPr>
        <w:pStyle w:val="Compact"/>
        <w:numPr>
          <w:ilvl w:val="0"/>
          <w:numId w:val="1003"/>
        </w:numPr>
      </w:pPr>
      <w:r>
        <w:rPr>
          <w:b/>
          <w:bCs/>
        </w:rPr>
        <w:t xml:space="preserve">Written policies and procedures.</w:t>
      </w:r>
      <w:r>
        <w:t xml:space="preserve"> </w:t>
      </w:r>
      <w:r>
        <w:t xml:space="preserve">Meridian maintains a comprehensive Sanctions Compliance Manual (last updated March 2023) covering OFAC, BIS/EAR, and anti-boycott requirements, including the export of physical goods and the provision of remote technical services, with clear escalation procedures.</w:t>
      </w:r>
    </w:p>
    <w:p>
      <w:pPr>
        <w:pStyle w:val="Compact"/>
        <w:numPr>
          <w:ilvl w:val="0"/>
          <w:numId w:val="1003"/>
        </w:numPr>
      </w:pPr>
      <w:r>
        <w:rPr>
          <w:b/>
          <w:bCs/>
        </w:rPr>
        <w:t xml:space="preserve">Screening protocols.</w:t>
      </w:r>
      <w:r>
        <w:t xml:space="preserve"> </w:t>
      </w:r>
      <w:r>
        <w:t xml:space="preserve">Automated screening of all counterparties, end-users, intermediaries, freight forwarders, and financial institutions against the SDN List, the Consolidated Screening List, EU sanctions lists, and UN sanctions lists, conducted at transaction initiation and at each material milestone (shipment and payment).</w:t>
      </w:r>
    </w:p>
    <w:p>
      <w:pPr>
        <w:pStyle w:val="Compact"/>
        <w:numPr>
          <w:ilvl w:val="0"/>
          <w:numId w:val="1003"/>
        </w:numPr>
      </w:pPr>
      <w:r>
        <w:rPr>
          <w:b/>
          <w:bCs/>
        </w:rPr>
        <w:t xml:space="preserve">Enhanced beneficial ownership screening.</w:t>
      </w:r>
      <w:r>
        <w:t xml:space="preserve"> </w:t>
      </w:r>
      <w:r>
        <w:t xml:space="preserve">Pursuant to Graystone’s high-priority recommendation, Meridian implemented real-time beneficial ownership screening in January 2024, integrating corporate registry and commercial ownership data feeds. It was this enhanced screening that identified the SDN-listed 30% shareholder of the original customs agent, as described in Part XIV.</w:t>
      </w:r>
    </w:p>
    <w:p>
      <w:pPr>
        <w:pStyle w:val="Compact"/>
        <w:numPr>
          <w:ilvl w:val="0"/>
          <w:numId w:val="1003"/>
        </w:numPr>
      </w:pPr>
      <w:r>
        <w:rPr>
          <w:b/>
          <w:bCs/>
        </w:rPr>
        <w:t xml:space="preserve">Training.</w:t>
      </w:r>
      <w:r>
        <w:t xml:space="preserve"> </w:t>
      </w:r>
      <w:r>
        <w:t xml:space="preserve">Annual OFAC and sanctions compliance training was completed by 97% of relevant personnel in FY2023, with targeted supplemental training for international sales, logistics, and finance teams.</w:t>
      </w:r>
    </w:p>
    <w:p>
      <w:pPr>
        <w:pStyle w:val="Compact"/>
        <w:numPr>
          <w:ilvl w:val="0"/>
          <w:numId w:val="1003"/>
        </w:numPr>
      </w:pPr>
      <w:r>
        <w:rPr>
          <w:b/>
          <w:bCs/>
        </w:rPr>
        <w:t xml:space="preserve">Recordkeeping.</w:t>
      </w:r>
      <w:r>
        <w:t xml:space="preserve"> </w:t>
      </w:r>
      <w:r>
        <w:t xml:space="preserve">Transaction files maintained for a minimum of five years in accordance with 31 C.F.R. § 501.601, with electronic backup and indexing for rapid retrieval.</w:t>
      </w:r>
    </w:p>
    <w:p>
      <w:pPr>
        <w:pStyle w:val="Compact"/>
        <w:numPr>
          <w:ilvl w:val="0"/>
          <w:numId w:val="1003"/>
        </w:numPr>
      </w:pPr>
      <w:r>
        <w:rPr>
          <w:b/>
          <w:bCs/>
        </w:rPr>
        <w:t xml:space="preserve">No enforcement history.</w:t>
      </w:r>
      <w:r>
        <w:t xml:space="preserve"> </w:t>
      </w:r>
      <w:r>
        <w:t xml:space="preserve">Meridian has no record of OFAC violations, civil monetary penalties, cautionary or warning letters, findings of violation, or voluntary self-disclosures.</w:t>
      </w:r>
    </w:p>
    <w:p>
      <w:pPr>
        <w:pStyle w:val="FirstParagraph"/>
      </w:pPr>
      <w:r>
        <w:t xml:space="preserve">Meridian is committed to administering any license issued in connection with this application with the same rigor applied to its prior license, including the enhanced end-use monitoring plan described in Part XV.</w:t>
      </w:r>
    </w:p>
    <w:bookmarkEnd w:id="41"/>
    <w:bookmarkStart w:id="45" w:name="Xcfcb2b9adac28f291fe61e2835f3691ff74a5c7"/>
    <w:p>
      <w:pPr>
        <w:pStyle w:val="Heading2"/>
      </w:pPr>
      <w:r>
        <w:t xml:space="preserve">Part XIV. Disclosure of SDN-Related Screening Findings and Proposed Mitigation</w:t>
      </w:r>
    </w:p>
    <w:p>
      <w:pPr>
        <w:pStyle w:val="FirstParagraph"/>
      </w:pPr>
      <w:r>
        <w:t xml:space="preserve">In keeping with its obligation of full and candid disclosure to OFAC, Meridian reports the following two screening findings identified during pre-transaction screening, together with the mitigation measures Meridian has implemented before submitting this application.</w:t>
      </w:r>
    </w:p>
    <w:bookmarkStart w:id="42" w:name="Xb099c3aaae92359508bb876874465f1c9a04e1d"/>
    <w:p>
      <w:pPr>
        <w:pStyle w:val="Heading3"/>
      </w:pPr>
      <w:r>
        <w:t xml:space="preserve">A. SDN-Listed Shareholder of the Original Customs Clearance Agent (ARMPC / Samir Daoud Khoury)</w:t>
      </w:r>
    </w:p>
    <w:p>
      <w:pPr>
        <w:pStyle w:val="FirstParagraph"/>
      </w:pPr>
      <w:r>
        <w:rPr>
          <w:b/>
          <w:bCs/>
        </w:rPr>
        <w:t xml:space="preserve">Finding.</w:t>
      </w:r>
      <w:r>
        <w:t xml:space="preserve"> </w:t>
      </w:r>
      <w:r>
        <w:t xml:space="preserve">DCUH’s purchase order originally designated Al-Rashid Medical Procurement Company (</w:t>
      </w:r>
      <w:r>
        <w:t xml:space="preserve">“</w:t>
      </w:r>
      <w:r>
        <w:t xml:space="preserve">ARMPC</w:t>
      </w:r>
      <w:r>
        <w:t xml:space="preserve">”</w:t>
      </w:r>
      <w:r>
        <w:t xml:space="preserve">), 18 Barada Street, Floor 3, Damascus, Syria (Managing Director: Tariq Nabil Hammoud), as the customs clearance and import logistics agent. ARMPC is not itself listed on the SDN List or any other restricted-party list, and Mr. Hammoud returned no matches. However, through Meridian’s enhanced beneficial ownership screening platform, Meridian identified that</w:t>
      </w:r>
      <w:r>
        <w:t xml:space="preserve"> </w:t>
      </w:r>
      <w:r>
        <w:rPr>
          <w:b/>
          <w:bCs/>
        </w:rPr>
        <w:t xml:space="preserve">Samir Daoud Khoury</w:t>
      </w:r>
      <w:r>
        <w:t xml:space="preserve"> </w:t>
      </w:r>
      <w:r>
        <w:t xml:space="preserve">holds a 30% ownership interest in ARMPC. Mr. Khoury is designated on the SDN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Name</w:t>
            </w:r>
          </w:p>
        </w:tc>
        <w:tc>
          <w:tcPr/>
          <w:p>
            <w:pPr>
              <w:pStyle w:val="Compact"/>
              <w:jc w:val="left"/>
            </w:pPr>
            <w:r>
              <w:t xml:space="preserve">KHOURY, Samir Daoud</w:t>
            </w:r>
          </w:p>
        </w:tc>
      </w:tr>
      <w:tr>
        <w:tc>
          <w:tcPr/>
          <w:p>
            <w:pPr>
              <w:pStyle w:val="Compact"/>
              <w:jc w:val="left"/>
            </w:pPr>
            <w:r>
              <w:t xml:space="preserve">Date of birth</w:t>
            </w:r>
          </w:p>
        </w:tc>
        <w:tc>
          <w:tcPr/>
          <w:p>
            <w:pPr>
              <w:pStyle w:val="Compact"/>
              <w:jc w:val="left"/>
            </w:pPr>
            <w:r>
              <w:t xml:space="preserve">March 12, 1971</w:t>
            </w:r>
          </w:p>
        </w:tc>
      </w:tr>
      <w:tr>
        <w:tc>
          <w:tcPr/>
          <w:p>
            <w:pPr>
              <w:pStyle w:val="Compact"/>
              <w:jc w:val="left"/>
            </w:pPr>
            <w:r>
              <w:t xml:space="preserve">Nationality</w:t>
            </w:r>
          </w:p>
        </w:tc>
        <w:tc>
          <w:tcPr/>
          <w:p>
            <w:pPr>
              <w:pStyle w:val="Compact"/>
              <w:jc w:val="left"/>
            </w:pPr>
            <w:r>
              <w:t xml:space="preserve">Syria</w:t>
            </w:r>
          </w:p>
        </w:tc>
      </w:tr>
      <w:tr>
        <w:tc>
          <w:tcPr/>
          <w:p>
            <w:pPr>
              <w:pStyle w:val="Compact"/>
              <w:jc w:val="left"/>
            </w:pPr>
            <w:r>
              <w:t xml:space="preserve">Passport No.</w:t>
            </w:r>
          </w:p>
        </w:tc>
        <w:tc>
          <w:tcPr/>
          <w:p>
            <w:pPr>
              <w:pStyle w:val="Compact"/>
              <w:jc w:val="left"/>
            </w:pPr>
            <w:r>
              <w:t xml:space="preserve">S-0048712</w:t>
            </w:r>
          </w:p>
        </w:tc>
      </w:tr>
      <w:tr>
        <w:tc>
          <w:tcPr/>
          <w:p>
            <w:pPr>
              <w:pStyle w:val="Compact"/>
              <w:jc w:val="left"/>
            </w:pPr>
            <w:r>
              <w:t xml:space="preserve">SDN List addition date</w:t>
            </w:r>
          </w:p>
        </w:tc>
        <w:tc>
          <w:tcPr/>
          <w:p>
            <w:pPr>
              <w:pStyle w:val="Compact"/>
              <w:jc w:val="left"/>
            </w:pPr>
            <w:r>
              <w:t xml:space="preserve">April 15, 2024</w:t>
            </w:r>
          </w:p>
        </w:tc>
      </w:tr>
      <w:tr>
        <w:tc>
          <w:tcPr/>
          <w:p>
            <w:pPr>
              <w:pStyle w:val="Compact"/>
              <w:jc w:val="left"/>
            </w:pPr>
            <w:r>
              <w:t xml:space="preserve">Basis for designation</w:t>
            </w:r>
          </w:p>
        </w:tc>
        <w:tc>
          <w:tcPr/>
          <w:p>
            <w:pPr>
              <w:pStyle w:val="Compact"/>
              <w:jc w:val="left"/>
            </w:pPr>
            <w:r>
              <w:t xml:space="preserve">Acting on behalf of a sanctioned Syrian military procurement network</w:t>
            </w:r>
          </w:p>
        </w:tc>
      </w:tr>
    </w:tbl>
    <w:p>
      <w:pPr>
        <w:pStyle w:val="BodyText"/>
      </w:pPr>
      <w:r>
        <w:rPr>
          <w:b/>
          <w:bCs/>
        </w:rPr>
        <w:t xml:space="preserve">50 Percent Rule analysis.</w:t>
      </w:r>
      <w:r>
        <w:t xml:space="preserve"> </w:t>
      </w:r>
      <w:r>
        <w:t xml:space="preserve">Under OFAC’s 50 Percent Rule, an entity is considered blocked only where SDN-listed persons own, individually or in the aggregate, 50% or more of the entity. Mr. Khoury’s 30% ownership stake falls below this threshold, and ARMPC is therefore not automatically a blocked entity under the Rule. Nonetheless, the involvement of an SDN-listed individual in the ownership structure of a transaction counterparty presents material compliance risk, and Meridian has concluded that ARMPC should not participate in the authorized transaction.</w:t>
      </w:r>
    </w:p>
    <w:p>
      <w:pPr>
        <w:pStyle w:val="BodyText"/>
      </w:pPr>
      <w:r>
        <w:rPr>
          <w:b/>
          <w:bCs/>
        </w:rPr>
        <w:t xml:space="preserve">Mitigation.</w:t>
      </w:r>
      <w:r>
        <w:t xml:space="preserve"> </w:t>
      </w:r>
      <w:r>
        <w:t xml:space="preserve">Meridian has removed ARMPC from the transaction structure. DCUH will designate an alternative Syrian customs clearance and in-country delivery agent with no SDN-listed beneficial owners. The alternative agent will be screened by Meridian’s Compliance Department against all applicable sanctions and restricted-party lists — including beneficial ownership screening — prior to designation, and its identity will be disclosed to OFAC before any shipment occurs. No funds will be paid to, and no benefit will accrue to, ARMPC, Mr. Khoury, or any SDN-listed person in connection with the authorized transaction. Meridian requests that the license, if issued, include a condition prohibiting the involvement of ARMPC, Mr. Khoury, or any SDN-listed person, and requiring that any Syrian customs clearance agent be a non-SDN party verified by Meridian’s Compliance Department and disclosed to OFAC prior to shipment.</w:t>
      </w:r>
    </w:p>
    <w:bookmarkEnd w:id="42"/>
    <w:bookmarkStart w:id="43" w:name="X4d7a161905659754bb036baeef14343ce737e29"/>
    <w:p>
      <w:pPr>
        <w:pStyle w:val="Heading3"/>
      </w:pPr>
      <w:r>
        <w:t xml:space="preserve">B. SDN-Listed Remitting Bank (Central Bank of Calverley)</w:t>
      </w:r>
    </w:p>
    <w:p>
      <w:pPr>
        <w:pStyle w:val="FirstParagraph"/>
      </w:pPr>
      <w:r>
        <w:rPr>
          <w:b/>
          <w:bCs/>
        </w:rPr>
        <w:t xml:space="preserve">Finding.</w:t>
      </w:r>
      <w:r>
        <w:t xml:space="preserve"> </w:t>
      </w:r>
      <w:r>
        <w:t xml:space="preserve">DCUH’s purchase order originally designated the Central Bank of Calverley (</w:t>
      </w:r>
      <w:r>
        <w:t xml:space="preserve">“</w:t>
      </w:r>
      <w:r>
        <w:t xml:space="preserve">CBS</w:t>
      </w:r>
      <w:r>
        <w:t xml:space="preserve">”</w:t>
      </w:r>
      <w:r>
        <w:t xml:space="preserve">) as the remitting bank. CBS is listed on the SDN List (added August 10, 2011, pursuant to Executive Order 13582). Payment routed through CBS would constitute a prohibited transaction with a blocked person under 31 C.F.R. Part 542, and any such funds received by a U.S. financial institution would be subject to blocking.</w:t>
      </w:r>
    </w:p>
    <w:p>
      <w:pPr>
        <w:pStyle w:val="BodyText"/>
      </w:pPr>
      <w:r>
        <w:rPr>
          <w:b/>
          <w:bCs/>
        </w:rPr>
        <w:t xml:space="preserve">Mitigation.</w:t>
      </w:r>
      <w:r>
        <w:t xml:space="preserve"> </w:t>
      </w:r>
      <w:r>
        <w:t xml:space="preserve">Meridian has restructured the payment mechanism to route payment through a non-SDN-listed Syrian commercial bank, as described in Part X. No funds will be routed through CBS or any SDN-listed institution. This structure is consistent with the payment terms of Meridian’s prior specific license. Meridian requests that the license include a condition prohibiting routing of any payment through CBS or any SDN-listed financial institution.</w:t>
      </w:r>
    </w:p>
    <w:bookmarkEnd w:id="43"/>
    <w:bookmarkStart w:id="44" w:name="c.-governmental-end-user"/>
    <w:p>
      <w:pPr>
        <w:pStyle w:val="Heading3"/>
      </w:pPr>
      <w:r>
        <w:t xml:space="preserve">C. Governmental End-User</w:t>
      </w:r>
    </w:p>
    <w:p>
      <w:pPr>
        <w:pStyle w:val="FirstParagraph"/>
      </w:pPr>
      <w:r>
        <w:t xml:space="preserve">DCUH is an instrumentality of the Government of Syria, which is comprehensively sanctioned under Executive Order 13582 and 31 C.F.R. Part 542. The proposed transaction accordingly requires specific OFAC authorization, which is the subject of this application. The transaction is humanitarian in nature, involves medical diagnostic goods and services, and is supported by the WHO needs assessment. Meridian is not aware of any basis to conclude that the transaction would benefit any SDN-listed person or any military or intelligence end-use; the goods are medical diagnostics for a civilian hospital, and the end-use monitoring plan (Part XV) is designed to confirm delivery to and continued use by DCUH.</w:t>
      </w:r>
    </w:p>
    <w:bookmarkEnd w:id="44"/>
    <w:bookmarkEnd w:id="45"/>
    <w:bookmarkStart w:id="46" w:name="Xba6d697b6c844cd4ca1c68c60b6d8360d64b71d"/>
    <w:p>
      <w:pPr>
        <w:pStyle w:val="Heading2"/>
      </w:pPr>
      <w:r>
        <w:t xml:space="preserve">Part XV. Requested License Terms and Conditions</w:t>
      </w:r>
    </w:p>
    <w:p>
      <w:pPr>
        <w:pStyle w:val="FirstParagraph"/>
      </w:pPr>
      <w:r>
        <w:t xml:space="preserve">Meridian respectfully requests that the specific license, if issued, be subject to the following terms and conditions, and Meridian commits to comply with each:</w:t>
      </w:r>
    </w:p>
    <w:p>
      <w:pPr>
        <w:numPr>
          <w:ilvl w:val="0"/>
          <w:numId w:val="1004"/>
        </w:numPr>
      </w:pPr>
      <w:r>
        <w:rPr>
          <w:b/>
          <w:bCs/>
        </w:rPr>
        <w:t xml:space="preserve">Scope.</w:t>
      </w:r>
      <w:r>
        <w:t xml:space="preserve"> </w:t>
      </w:r>
      <w:r>
        <w:t xml:space="preserve">The license authorizes only the specific transaction described in this application: the export of 500 CancerDetect RX-700 Reagent Kits, 4 CalibPro 3100 Calibration Units, and approximately 40 hours of remote training services to DCUH. No other transactions with Syria or the Government of Syria are authorized.</w:t>
      </w:r>
    </w:p>
    <w:p>
      <w:pPr>
        <w:numPr>
          <w:ilvl w:val="0"/>
          <w:numId w:val="1004"/>
        </w:numPr>
      </w:pPr>
      <w:r>
        <w:rPr>
          <w:b/>
          <w:bCs/>
        </w:rPr>
        <w:t xml:space="preserve">End-user and non-diversion.</w:t>
      </w:r>
      <w:r>
        <w:t xml:space="preserve"> </w:t>
      </w:r>
      <w:r>
        <w:t xml:space="preserve">The goods shall be delivered solely to DCUH and shall not be diverted, re-exported, or transferred to any other party or end-user within Syria or any other country without prior written authorization from OFAC. The goods shall remain within the custody and control of DCUH and be used solely for the clinical diagnostic purposes described in this application.</w:t>
      </w:r>
    </w:p>
    <w:p>
      <w:pPr>
        <w:numPr>
          <w:ilvl w:val="0"/>
          <w:numId w:val="1004"/>
        </w:numPr>
      </w:pPr>
      <w:r>
        <w:rPr>
          <w:b/>
          <w:bCs/>
        </w:rPr>
        <w:t xml:space="preserve">No SDN involvement.</w:t>
      </w:r>
      <w:r>
        <w:t xml:space="preserve"> </w:t>
      </w:r>
      <w:r>
        <w:t xml:space="preserve">The license does not authorize any transaction involving any person on the SDN List, or any entity in which one or more SDN-listed persons hold, individually or in the aggregate, a 50% or greater ownership interest. No payment shall be routed through CBS or any SDN-listed financial institution. ARMPC, Samir Daoud Khoury, and any SDN-listed person are prohibited from participating in the authorized transaction.</w:t>
      </w:r>
    </w:p>
    <w:p>
      <w:pPr>
        <w:numPr>
          <w:ilvl w:val="0"/>
          <w:numId w:val="1004"/>
        </w:numPr>
      </w:pPr>
      <w:r>
        <w:rPr>
          <w:b/>
          <w:bCs/>
        </w:rPr>
        <w:t xml:space="preserve">Payment.</w:t>
      </w:r>
      <w:r>
        <w:t xml:space="preserve"> </w:t>
      </w:r>
      <w:r>
        <w:t xml:space="preserve">Payment shall be made by wire transfer in U.S. dollars from DCUH’s account at a non-SDN-listed Syrian commercial bank to Meridian’s account at Harborview National Bank, Boston, MA. The remitting bank shall be verified by Meridian’s Compliance Department against all applicable sanctions lists prior to the initiation of any wire transfer.</w:t>
      </w:r>
    </w:p>
    <w:p>
      <w:pPr>
        <w:numPr>
          <w:ilvl w:val="0"/>
          <w:numId w:val="1004"/>
        </w:numPr>
      </w:pPr>
      <w:r>
        <w:rPr>
          <w:b/>
          <w:bCs/>
        </w:rPr>
        <w:t xml:space="preserve">Customs clearance agent.</w:t>
      </w:r>
      <w:r>
        <w:t xml:space="preserve"> </w:t>
      </w:r>
      <w:r>
        <w:t xml:space="preserve">Any Syrian customs clearance and in-country delivery agent shall be a non-SDN party with no SDN-listed beneficial owners, shall be screened and verified by Meridian’s Compliance Department, and shall be disclosed to OFAC prior to shipment.</w:t>
      </w:r>
    </w:p>
    <w:p>
      <w:pPr>
        <w:numPr>
          <w:ilvl w:val="0"/>
          <w:numId w:val="1004"/>
        </w:numPr>
      </w:pPr>
      <w:r>
        <w:rPr>
          <w:b/>
          <w:bCs/>
        </w:rPr>
        <w:t xml:space="preserve">Technology controls.</w:t>
      </w:r>
      <w:r>
        <w:t xml:space="preserve"> </w:t>
      </w:r>
      <w:r>
        <w:t xml:space="preserve">Only the factory-installed CalibPro 3100 firmware (version 4.2.1) is authorized. No firmware updates, patches, modifications, or transfers of additional technical data, software, or proprietary information beyond the training curriculum described in this application shall be provided without independent OFAC authorization. No Meridian personnel shall travel to Syria or any intermediary country in connection with the authorized transaction.</w:t>
      </w:r>
    </w:p>
    <w:p>
      <w:pPr>
        <w:numPr>
          <w:ilvl w:val="0"/>
          <w:numId w:val="1004"/>
        </w:numPr>
      </w:pPr>
      <w:r>
        <w:rPr>
          <w:b/>
          <w:bCs/>
        </w:rPr>
        <w:t xml:space="preserve">Recordkeeping.</w:t>
      </w:r>
      <w:r>
        <w:t xml:space="preserve"> </w:t>
      </w:r>
      <w:r>
        <w:t xml:space="preserve">Meridian shall maintain complete records of all transactions conducted pursuant to the license for not less than five (5) years from the date of the last transaction, in accordance with 31 C.F.R. § 501.601.</w:t>
      </w:r>
    </w:p>
    <w:p>
      <w:pPr>
        <w:numPr>
          <w:ilvl w:val="0"/>
          <w:numId w:val="1004"/>
        </w:numPr>
      </w:pPr>
      <w:r>
        <w:rPr>
          <w:b/>
          <w:bCs/>
        </w:rPr>
        <w:t xml:space="preserve">Shipment reporting.</w:t>
      </w:r>
      <w:r>
        <w:t xml:space="preserve"> </w:t>
      </w:r>
      <w:r>
        <w:t xml:space="preserve">Meridian shall submit a written report to OFAC within thirty (30) days of the completion of each shipment, including proof of delivery, copies of shipping documents, temperature data logs, and confirmation of end-user receipt.</w:t>
      </w:r>
    </w:p>
    <w:p>
      <w:pPr>
        <w:numPr>
          <w:ilvl w:val="0"/>
          <w:numId w:val="1004"/>
        </w:numPr>
      </w:pPr>
      <w:r>
        <w:rPr>
          <w:b/>
          <w:bCs/>
        </w:rPr>
        <w:t xml:space="preserve">End-use monitoring.</w:t>
      </w:r>
      <w:r>
        <w:t xml:space="preserve"> </w:t>
      </w:r>
      <w:r>
        <w:t xml:space="preserve">Meridian shall implement a written end-use monitoring plan that includes: (a) delivery confirmation with documentary and photographic evidence; (b) an end-user certificate or non-diversion commitment executed by DCUH; (c) periodic usage reporting at no less than annual intervals during the license period; and (d) a mechanism for site verification, remote or in-person, as feasible. Meridian shall report any indication of diversion or unauthorized end-use to OFAC promptly.</w:t>
      </w:r>
    </w:p>
    <w:p>
      <w:pPr>
        <w:numPr>
          <w:ilvl w:val="0"/>
          <w:numId w:val="1004"/>
        </w:numPr>
      </w:pPr>
      <w:r>
        <w:rPr>
          <w:b/>
          <w:bCs/>
        </w:rPr>
        <w:t xml:space="preserve">Re-screening.</w:t>
      </w:r>
      <w:r>
        <w:t xml:space="preserve"> </w:t>
      </w:r>
      <w:r>
        <w:t xml:space="preserve">Meridian shall re-screen all transaction parties against all applicable sanctions and restricted-party lists immediately prior to each shipment and shall report any new match to OFAC before proceeding.</w:t>
      </w:r>
    </w:p>
    <w:p>
      <w:pPr>
        <w:numPr>
          <w:ilvl w:val="0"/>
          <w:numId w:val="1004"/>
        </w:numPr>
      </w:pPr>
      <w:r>
        <w:rPr>
          <w:b/>
          <w:bCs/>
        </w:rPr>
        <w:t xml:space="preserve">Material change reporting.</w:t>
      </w:r>
      <w:r>
        <w:t xml:space="preserve"> </w:t>
      </w:r>
      <w:r>
        <w:t xml:space="preserve">Any material change in the facts or circumstances described in this application shall be reported to OFAC promptly and may require amendment or reissuance of the license.</w:t>
      </w:r>
    </w:p>
    <w:p>
      <w:pPr>
        <w:numPr>
          <w:ilvl w:val="0"/>
          <w:numId w:val="1004"/>
        </w:numPr>
      </w:pPr>
      <w:r>
        <w:rPr>
          <w:b/>
          <w:bCs/>
        </w:rPr>
        <w:t xml:space="preserve">EAR obligations.</w:t>
      </w:r>
      <w:r>
        <w:t xml:space="preserve"> </w:t>
      </w:r>
      <w:r>
        <w:t xml:space="preserve">The license does not relieve Meridian of any obligation under the EAR, 15 C.F.R. Parts 730–774.</w:t>
      </w:r>
    </w:p>
    <w:p>
      <w:pPr>
        <w:numPr>
          <w:ilvl w:val="0"/>
          <w:numId w:val="1004"/>
        </w:numPr>
      </w:pPr>
      <w:r>
        <w:rPr>
          <w:b/>
          <w:bCs/>
        </w:rPr>
        <w:t xml:space="preserve">Effective dates.</w:t>
      </w:r>
      <w:r>
        <w:t xml:space="preserve"> </w:t>
      </w:r>
      <w:r>
        <w:t xml:space="preserve">The license shall be effective September 1, 2024 and shall expire February 28, 2026. All authorized transactions must be completed on or before the expiration date.</w:t>
      </w:r>
    </w:p>
    <w:bookmarkEnd w:id="46"/>
    <w:bookmarkStart w:id="47" w:name="part-xvi.-certifications"/>
    <w:p>
      <w:pPr>
        <w:pStyle w:val="Heading2"/>
      </w:pPr>
      <w:r>
        <w:t xml:space="preserve">Part XVI. Certifications</w:t>
      </w:r>
    </w:p>
    <w:p>
      <w:pPr>
        <w:pStyle w:val="FirstParagraph"/>
      </w:pPr>
      <w:r>
        <w:t xml:space="preserve">Meridian Biotech Solutions, Inc. certifies, to the best of its knowledge and belief, that:</w:t>
      </w:r>
    </w:p>
    <w:p>
      <w:pPr>
        <w:pStyle w:val="Compact"/>
        <w:numPr>
          <w:ilvl w:val="0"/>
          <w:numId w:val="1005"/>
        </w:numPr>
      </w:pPr>
      <w:r>
        <w:t xml:space="preserve">The information set forth in this application and the accompanying exhibits is true, accurate, and complete.</w:t>
      </w:r>
    </w:p>
    <w:p>
      <w:pPr>
        <w:pStyle w:val="Compact"/>
        <w:numPr>
          <w:ilvl w:val="0"/>
          <w:numId w:val="1005"/>
        </w:numPr>
      </w:pPr>
      <w:r>
        <w:t xml:space="preserve">Meridian has disclosed all known sanctions screening findings relevant to the proposed transaction, including the SDN-listed shareholder of the original customs agent and the SDN-listed remitting bank, and has restructured the transaction to address each finding.</w:t>
      </w:r>
    </w:p>
    <w:p>
      <w:pPr>
        <w:pStyle w:val="Compact"/>
        <w:numPr>
          <w:ilvl w:val="0"/>
          <w:numId w:val="1005"/>
        </w:numPr>
      </w:pPr>
      <w:r>
        <w:t xml:space="preserve">No SDN-listed person, and no entity 50% or more owned by one or more SDN-listed persons, will participate in the authorized transaction.</w:t>
      </w:r>
    </w:p>
    <w:p>
      <w:pPr>
        <w:pStyle w:val="Compact"/>
        <w:numPr>
          <w:ilvl w:val="0"/>
          <w:numId w:val="1005"/>
        </w:numPr>
      </w:pPr>
      <w:r>
        <w:t xml:space="preserve">The goods and services are intended exclusively for humanitarian clinical diagnostic use by DCUH and will not be diverted, re-exported, or transferred to any unauthorized end-user.</w:t>
      </w:r>
    </w:p>
    <w:p>
      <w:pPr>
        <w:pStyle w:val="Compact"/>
        <w:numPr>
          <w:ilvl w:val="0"/>
          <w:numId w:val="1005"/>
        </w:numPr>
      </w:pPr>
      <w:r>
        <w:t xml:space="preserve">Meridian will comply with all terms and conditions of any license issued in connection with this application, including the recordkeeping, reporting, end-use monitoring, and re-screening conditions set forth in Part XV.</w:t>
      </w:r>
    </w:p>
    <w:p>
      <w:pPr>
        <w:pStyle w:val="Compact"/>
        <w:numPr>
          <w:ilvl w:val="0"/>
          <w:numId w:val="1005"/>
        </w:numPr>
      </w:pPr>
      <w:r>
        <w:t xml:space="preserve">Meridian will maintain records of all transactions conducted pursuant to the license for not less than five (5) years, in accordance with 31 C.F.R. § 501.601.</w:t>
      </w:r>
    </w:p>
    <w:bookmarkEnd w:id="47"/>
    <w:bookmarkStart w:id="48" w:name="X32018318d791a489a2209095a701417670ecf06"/>
    <w:p>
      <w:pPr>
        <w:pStyle w:val="Heading2"/>
      </w:pPr>
      <w:r>
        <w:t xml:space="preserve">Part XVII. Exhibits and Supporting Documentation</w:t>
      </w:r>
    </w:p>
    <w:p>
      <w:pPr>
        <w:pStyle w:val="FirstParagraph"/>
      </w:pPr>
      <w:r>
        <w:t xml:space="preserve">The following exhibits accompany and are incorporated into this application: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Client transaction summary email</w:t>
            </w:r>
          </w:p>
        </w:tc>
        <w:tc>
          <w:tcPr/>
          <w:p>
            <w:pPr>
              <w:pStyle w:val="Compact"/>
              <w:jc w:val="left"/>
            </w:pPr>
            <w:r>
              <w:t xml:space="preserve">Email from Jonathan D. Halsted, General Counsel, Meridian, to Ashford &amp; Whitmore LLP, dated June 24, 2024</w:t>
            </w:r>
          </w:p>
        </w:tc>
      </w:tr>
      <w:tr>
        <w:tc>
          <w:tcPr/>
          <w:p>
            <w:pPr>
              <w:pStyle w:val="Compact"/>
              <w:jc w:val="left"/>
            </w:pPr>
            <w:r>
              <w:t xml:space="preserve">B</w:t>
            </w:r>
          </w:p>
        </w:tc>
        <w:tc>
          <w:tcPr/>
          <w:p>
            <w:pPr>
              <w:pStyle w:val="Compact"/>
              <w:jc w:val="left"/>
            </w:pPr>
            <w:r>
              <w:t xml:space="preserve">Compliance screening memorandum</w:t>
            </w:r>
          </w:p>
        </w:tc>
        <w:tc>
          <w:tcPr/>
          <w:p>
            <w:pPr>
              <w:pStyle w:val="Compact"/>
              <w:jc w:val="left"/>
            </w:pPr>
            <w:r>
              <w:t xml:space="preserve">Memorandum from Margaret</w:t>
            </w:r>
            <w:r>
              <w:t xml:space="preserve"> </w:t>
            </w:r>
            <w:r>
              <w:t xml:space="preserve">“</w:t>
            </w:r>
            <w:r>
              <w:t xml:space="preserve">Peggy</w:t>
            </w:r>
            <w:r>
              <w:t xml:space="preserve">”</w:t>
            </w:r>
            <w:r>
              <w:t xml:space="preserve"> </w:t>
            </w:r>
            <w:r>
              <w:t xml:space="preserve">Dunleavy, CCO, dated June 10, 2024 (screening completed June 3, 2024)</w:t>
            </w:r>
          </w:p>
        </w:tc>
      </w:tr>
      <w:tr>
        <w:tc>
          <w:tcPr/>
          <w:p>
            <w:pPr>
              <w:pStyle w:val="Compact"/>
              <w:jc w:val="left"/>
            </w:pPr>
            <w:r>
              <w:t xml:space="preserve">C</w:t>
            </w:r>
          </w:p>
        </w:tc>
        <w:tc>
          <w:tcPr/>
          <w:p>
            <w:pPr>
              <w:pStyle w:val="Compact"/>
              <w:jc w:val="left"/>
            </w:pPr>
            <w:r>
              <w:t xml:space="preserve">DCUH Purchase Order No. PO-DCUH-2024-0743</w:t>
            </w:r>
          </w:p>
        </w:tc>
        <w:tc>
          <w:tcPr/>
          <w:p>
            <w:pPr>
              <w:pStyle w:val="Compact"/>
              <w:jc w:val="left"/>
            </w:pPr>
            <w:r>
              <w:t xml:space="preserve">Dated June 17, 2024 (certified English translation)</w:t>
            </w:r>
          </w:p>
        </w:tc>
      </w:tr>
      <w:tr>
        <w:tc>
          <w:tcPr/>
          <w:p>
            <w:pPr>
              <w:pStyle w:val="Compact"/>
              <w:jc w:val="left"/>
            </w:pPr>
            <w:r>
              <w:t xml:space="preserve">D</w:t>
            </w:r>
          </w:p>
        </w:tc>
        <w:tc>
          <w:tcPr/>
          <w:p>
            <w:pPr>
              <w:pStyle w:val="Compact"/>
              <w:jc w:val="left"/>
            </w:pPr>
            <w:r>
              <w:t xml:space="preserve">Product technical data sheets</w:t>
            </w:r>
          </w:p>
        </w:tc>
        <w:tc>
          <w:tcPr/>
          <w:p>
            <w:pPr>
              <w:pStyle w:val="Compact"/>
              <w:jc w:val="left"/>
            </w:pPr>
            <w:r>
              <w:t xml:space="preserve">Combined Technical Data Sheet TDS-2024-0347, Rev. 03/2024 (CancerDetect RX-700, CalibPro 3100, and training curriculum)</w:t>
            </w:r>
          </w:p>
        </w:tc>
      </w:tr>
      <w:tr>
        <w:tc>
          <w:tcPr/>
          <w:p>
            <w:pPr>
              <w:pStyle w:val="Compact"/>
              <w:jc w:val="left"/>
            </w:pPr>
            <w:r>
              <w:t xml:space="preserve">E</w:t>
            </w:r>
          </w:p>
        </w:tc>
        <w:tc>
          <w:tcPr/>
          <w:p>
            <w:pPr>
              <w:pStyle w:val="Compact"/>
              <w:jc w:val="left"/>
            </w:pPr>
            <w:r>
              <w:t xml:space="preserve">FDA 510(k) clearance</w:t>
            </w:r>
          </w:p>
        </w:tc>
        <w:tc>
          <w:tcPr/>
          <w:p>
            <w:pPr>
              <w:pStyle w:val="Compact"/>
              <w:jc w:val="left"/>
            </w:pPr>
            <w:r>
              <w:t xml:space="preserve">CancerDetect RX-700, 510(k) No. K213847</w:t>
            </w:r>
          </w:p>
        </w:tc>
      </w:tr>
      <w:tr>
        <w:tc>
          <w:tcPr/>
          <w:p>
            <w:pPr>
              <w:pStyle w:val="Compact"/>
              <w:jc w:val="left"/>
            </w:pPr>
            <w:r>
              <w:t xml:space="preserve">F</w:t>
            </w:r>
          </w:p>
        </w:tc>
        <w:tc>
          <w:tcPr/>
          <w:p>
            <w:pPr>
              <w:pStyle w:val="Compact"/>
              <w:jc w:val="left"/>
            </w:pPr>
            <w:r>
              <w:t xml:space="preserve">Shipping and logistics plan</w:t>
            </w:r>
          </w:p>
        </w:tc>
        <w:tc>
          <w:tcPr/>
          <w:p>
            <w:pPr>
              <w:pStyle w:val="Compact"/>
              <w:jc w:val="left"/>
            </w:pPr>
            <w:r>
              <w:t xml:space="preserve">Prepared by Pinnacle Freight International, Inc., dated June 25, 2024</w:t>
            </w:r>
          </w:p>
        </w:tc>
      </w:tr>
      <w:tr>
        <w:tc>
          <w:tcPr/>
          <w:p>
            <w:pPr>
              <w:pStyle w:val="Compact"/>
              <w:jc w:val="left"/>
            </w:pPr>
            <w:r>
              <w:t xml:space="preserve">G</w:t>
            </w:r>
          </w:p>
        </w:tc>
        <w:tc>
          <w:tcPr/>
          <w:p>
            <w:pPr>
              <w:pStyle w:val="Compact"/>
              <w:jc w:val="left"/>
            </w:pPr>
            <w:r>
              <w:t xml:space="preserve">WHO Syria needs assessment</w:t>
            </w:r>
          </w:p>
        </w:tc>
        <w:tc>
          <w:tcPr/>
          <w:p>
            <w:pPr>
              <w:pStyle w:val="Compact"/>
              <w:jc w:val="left"/>
            </w:pPr>
            <w:r>
              <w:t xml:space="preserve">WHO Syria Country Office, Comprehensive Health Needs Assessment: Syrian Arab Republic — 2024 Update, January 2024, Section 4.7</w:t>
            </w:r>
          </w:p>
        </w:tc>
      </w:tr>
      <w:tr>
        <w:tc>
          <w:tcPr/>
          <w:p>
            <w:pPr>
              <w:pStyle w:val="Compact"/>
              <w:jc w:val="left"/>
            </w:pPr>
            <w:r>
              <w:t xml:space="preserve">H</w:t>
            </w:r>
          </w:p>
        </w:tc>
        <w:tc>
          <w:tcPr/>
          <w:p>
            <w:pPr>
              <w:pStyle w:val="Compact"/>
              <w:jc w:val="left"/>
            </w:pPr>
            <w:r>
              <w:t xml:space="preserve">Prior OFAC specific license</w:t>
            </w:r>
          </w:p>
        </w:tc>
        <w:tc>
          <w:tcPr/>
          <w:p>
            <w:pPr>
              <w:pStyle w:val="Compact"/>
              <w:jc w:val="left"/>
            </w:pPr>
            <w:r>
              <w:t xml:space="preserve">Specific License No. SYR-2021-384712, issued September 14, 2021</w:t>
            </w:r>
          </w:p>
        </w:tc>
      </w:tr>
      <w:tr>
        <w:tc>
          <w:tcPr/>
          <w:p>
            <w:pPr>
              <w:pStyle w:val="Compact"/>
              <w:jc w:val="left"/>
            </w:pPr>
            <w:r>
              <w:t xml:space="preserve">I</w:t>
            </w:r>
          </w:p>
        </w:tc>
        <w:tc>
          <w:tcPr/>
          <w:p>
            <w:pPr>
              <w:pStyle w:val="Compact"/>
              <w:jc w:val="left"/>
            </w:pPr>
            <w:r>
              <w:t xml:space="preserve">Graystone compliance audit summary</w:t>
            </w:r>
          </w:p>
        </w:tc>
        <w:tc>
          <w:tcPr/>
          <w:p>
            <w:pPr>
              <w:pStyle w:val="Compact"/>
              <w:jc w:val="left"/>
            </w:pPr>
            <w:r>
              <w:t xml:space="preserve">Graystone Compliance Partners LLC, OFAC Sanctions Compliance Program Audit, September 29, 2023</w:t>
            </w:r>
          </w:p>
        </w:tc>
      </w:tr>
    </w:tbl>
    <w:p>
      <w:r>
        <w:pict>
          <v:rect style="width:0;height:1.5pt" o:hralign="center" o:hrstd="t" o:hr="t"/>
        </w:pict>
      </w:r>
    </w:p>
    <w:p>
      <w:pPr>
        <w:pStyle w:val="FirstParagraph"/>
      </w:pPr>
      <w:r>
        <w:rPr>
          <w:b/>
          <w:bCs/>
        </w:rPr>
        <w:t xml:space="preserve">Respectfully submitted,</w:t>
      </w:r>
    </w:p>
    <w:p>
      <w:pPr>
        <w:pStyle w:val="BodyText"/>
      </w:pPr>
      <w:r>
        <w:rPr>
          <w:b/>
          <w:bCs/>
        </w:rPr>
        <w:t xml:space="preserve">MERIDIAN BIOTECH SOLUTIONS, INC.</w:t>
      </w:r>
    </w:p>
    <w:p>
      <w:pPr>
        <w:pStyle w:val="BodyText"/>
      </w:pPr>
      <w:r>
        <w:t xml:space="preserve">By: _______________________________</w:t>
      </w:r>
    </w:p>
    <w:p>
      <w:pPr>
        <w:pStyle w:val="BodyText"/>
      </w:pPr>
      <w:r>
        <w:t xml:space="preserve">Name: Jonathan D. Halsted</w:t>
      </w:r>
    </w:p>
    <w:p>
      <w:pPr>
        <w:pStyle w:val="BodyText"/>
      </w:pPr>
      <w:r>
        <w:t xml:space="preserve">Title: General Counsel</w:t>
      </w:r>
    </w:p>
    <w:p>
      <w:pPr>
        <w:pStyle w:val="BodyText"/>
      </w:pPr>
      <w:r>
        <w:t xml:space="preserve">Date: July 8, 2024</w:t>
      </w:r>
    </w:p>
    <w:p>
      <w:pPr>
        <w:pStyle w:val="BodyText"/>
      </w:pPr>
      <w:r>
        <w:rPr>
          <w:b/>
          <w:bCs/>
        </w:rPr>
        <w:t xml:space="preserve">By its outside counsel, ASHFORD &amp; WHITMORE LLP:</w:t>
      </w:r>
    </w:p>
    <w:p>
      <w:pPr>
        <w:pStyle w:val="BodyText"/>
      </w:pPr>
      <w:r>
        <w:t xml:space="preserve">Catherine R. Bellingham, Partner</w:t>
      </w:r>
    </w:p>
    <w:p>
      <w:pPr>
        <w:pStyle w:val="BodyText"/>
      </w:pPr>
      <w:r>
        <w:t xml:space="preserve">David Osei-Mensah, Senior Associate</w:t>
      </w:r>
    </w:p>
    <w:p>
      <w:pPr>
        <w:pStyle w:val="BodyText"/>
      </w:pPr>
      <w:r>
        <w:t xml:space="preserve">July 8, 2024</w:t>
      </w:r>
    </w:p>
    <w:bookmarkEnd w:id="48"/>
    <w:bookmarkEnd w:id="49"/>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cs="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Times New Roman" w:asciiTheme="majorHAnsi" w:cs="Times New Roman" w:cstheme="majorBidi" w:eastAsiaTheme="majorEastAsia" w:hAnsi="Times New Roman" w:hAnsiTheme="majorHAnsi"/>
      <w:b/>
      <w:bCs/>
      <w:color w:val="1F3764"/>
      <w:sz w:val="26"/>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imes New Roman" w:cstheme="majorBidi" w:eastAsiaTheme="majorEastAsia" w:hAnsi="Times New Roman" w:hAnsiTheme="majorHAnsi"/>
      <w:b/>
      <w:bCs/>
      <w:color w:val="1F3764"/>
      <w:sz w:val="24"/>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Times New Roman" w:asciiTheme="majorHAnsi" w:cs="Times New Roman" w:cstheme="majorBidi" w:eastAsiaTheme="majorEastAsia" w:hAnsi="Times New Roman" w:hAnsiTheme="majorHAnsi"/>
      <w:b/>
      <w:bCs/>
      <w:color w:val="2E446B"/>
      <w:sz w:val="22"/>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Times New Roman" w:asciiTheme="majorHAnsi" w:cs="Times New Roman" w:cstheme="majorBidi" w:eastAsiaTheme="majorEastAsia" w:hAnsi="Times New Roman" w:hAnsiTheme="majorHAnsi"/>
      <w:b/>
      <w:bCs/>
      <w:i/>
      <w:iCs/>
      <w:color w:val="2E446B"/>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Times New Roman" w:asciiTheme="majorHAnsi" w:cs="Times New Roman" w:cstheme="majorBidi" w:eastAsiaTheme="majorEastAsia" w:hAnsi="Times New Roman" w:hAnsiTheme="majorHAnsi"/>
      <w:b/>
      <w:color w:val="1F3764"/>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heme="majorBidi" w:eastAsiaTheme="majorEastAsia" w:hAnsi="Times New Roman" w:hAnsiTheme="majorHAnsi"/>
      <w:i/>
      <w:iCs/>
      <w:color w:val="40404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2026-06-23T05:44:04Z</dcterms:created>
  <dcterms:modified xsi:type="dcterms:W3CDTF">2026-06-23T05:44:04Z</dcterms:modified>
</cp:coreProperties>
</file>

<file path=docProps/custom.xml><?xml version="1.0" encoding="utf-8"?>
<Properties xmlns="http://schemas.openxmlformats.org/officeDocument/2006/custom-properties" xmlns:vt="http://schemas.openxmlformats.org/officeDocument/2006/docPropsVTypes"/>
</file>