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00a8ce9f01252ee933d31ffed2c10f1672bce1"/>
    <w:p>
      <w:pPr>
        <w:pStyle w:val="Heading1"/>
      </w:pPr>
      <w:r>
        <w:t xml:space="preserve">PRIVILEGED &amp; CONFIDENTIAL — ATTORNEY-CLIENT COMMUNICATION / ATTORNEY WORK PRODUCT</w:t>
      </w:r>
    </w:p>
    <w:bookmarkEnd w:id="20"/>
    <w:bookmarkStart w:id="36" w:name="issues-memorandum"/>
    <w:p>
      <w:pPr>
        <w:pStyle w:val="Heading1"/>
      </w:pPr>
      <w:r>
        <w:t xml:space="preserve">ISSUES MEMORANDUM</w:t>
      </w:r>
    </w:p>
    <w:p>
      <w:pPr>
        <w:pStyle w:val="FirstParagraph"/>
      </w:pPr>
      <w:r>
        <w:rPr>
          <w:b/>
          <w:bCs/>
        </w:rPr>
        <w:t xml:space="preserve">TO:</w:t>
      </w:r>
      <w:r>
        <w:t xml:space="preserve"> </w:t>
      </w:r>
      <w:r>
        <w:t xml:space="preserve">Catherine R. Bellingham, Partner; File No. AW-MER-2024-014 (Meridian Biotech Solutions, Inc.)</w:t>
      </w:r>
    </w:p>
    <w:p>
      <w:pPr>
        <w:pStyle w:val="BodyText"/>
      </w:pPr>
      <w:r>
        <w:rPr>
          <w:b/>
          <w:bCs/>
        </w:rPr>
        <w:t xml:space="preserve">FROM:</w:t>
      </w:r>
      <w:r>
        <w:t xml:space="preserve"> </w:t>
      </w:r>
      <w:r>
        <w:t xml:space="preserve">David Osei-Mensah, Senior Associate — Ashford &amp; Whitmore LLP</w:t>
      </w:r>
    </w:p>
    <w:p>
      <w:pPr>
        <w:pStyle w:val="BodyText"/>
      </w:pPr>
      <w:r>
        <w:rPr>
          <w:b/>
          <w:bCs/>
        </w:rPr>
        <w:t xml:space="preserve">CC:</w:t>
      </w:r>
      <w:r>
        <w:t xml:space="preserve"> </w:t>
      </w:r>
      <w:r>
        <w:t xml:space="preserve">Jonathan D. Halsted, General Counsel, Meridian Biotech Solutions, Inc.</w:t>
      </w:r>
    </w:p>
    <w:p>
      <w:pPr>
        <w:pStyle w:val="BodyText"/>
      </w:pPr>
      <w:r>
        <w:rPr>
          <w:b/>
          <w:bCs/>
        </w:rPr>
        <w:t xml:space="preserve">DATE:</w:t>
      </w:r>
      <w:r>
        <w:t xml:space="preserve"> </w:t>
      </w:r>
      <w:r>
        <w:t xml:space="preserve">July 8, 2024</w:t>
      </w:r>
    </w:p>
    <w:p>
      <w:pPr>
        <w:pStyle w:val="BodyText"/>
      </w:pPr>
      <w:r>
        <w:rPr>
          <w:b/>
          <w:bCs/>
        </w:rPr>
        <w:t xml:space="preserve">RE:</w:t>
      </w:r>
      <w:r>
        <w:t xml:space="preserve"> </w:t>
      </w:r>
      <w:r>
        <w:t xml:space="preserve">Legal Issues and Recommended Strategy — OFAC Specific License Application for the Proposed Export of CancerDetect RX-700 Reagent Kits, CalibPro 3100 Calibration Units, and Related Remote Training Services to Damascus Central University Hospital, Damascus, Syria</w:t>
      </w:r>
    </w:p>
    <w:p>
      <w:r>
        <w:pict>
          <v:rect style="width:0;height:1.5pt" o:hralign="center" o:hrstd="t" o:hr="t"/>
        </w:pict>
      </w:r>
    </w:p>
    <w:bookmarkStart w:id="21" w:name="i.-introduction-and-executive-summary"/>
    <w:p>
      <w:pPr>
        <w:pStyle w:val="Heading2"/>
      </w:pPr>
      <w:r>
        <w:t xml:space="preserve">I. Introduction and Executive Summary</w:t>
      </w:r>
    </w:p>
    <w:p>
      <w:pPr>
        <w:pStyle w:val="FirstParagraph"/>
      </w:pPr>
      <w:r>
        <w:t xml:space="preserve">1.1</w:t>
      </w:r>
      <w:r>
        <w:t xml:space="preserve"> </w:t>
      </w:r>
      <w:r>
        <w:rPr>
          <w:b/>
          <w:bCs/>
        </w:rPr>
        <w:t xml:space="preserve">Purpose.</w:t>
      </w:r>
      <w:r>
        <w:t xml:space="preserve"> </w:t>
      </w:r>
      <w:r>
        <w:t xml:space="preserve">This memorandum analyzes the principal legal issues presented by Meridian Biotech Solutions, Inc.’s (</w:t>
      </w:r>
      <w:r>
        <w:t xml:space="preserve">“</w:t>
      </w:r>
      <w:r>
        <w:t xml:space="preserve">Meridian</w:t>
      </w:r>
      <w:r>
        <w:t xml:space="preserve">”</w:t>
      </w:r>
      <w:r>
        <w:t xml:space="preserve"> </w:t>
      </w:r>
      <w:r>
        <w:t xml:space="preserve">or the</w:t>
      </w:r>
      <w:r>
        <w:t xml:space="preserve"> </w:t>
      </w:r>
      <w:r>
        <w:t xml:space="preserve">“</w:t>
      </w:r>
      <w:r>
        <w:t xml:space="preserve">Client</w:t>
      </w:r>
      <w:r>
        <w:t xml:space="preserve">”</w:t>
      </w:r>
      <w:r>
        <w:t xml:space="preserve">) proposed export of cancer diagnostic reagent kits, laboratory calibration instruments, and remote training services to Damascus Central University Hospital (</w:t>
      </w:r>
      <w:r>
        <w:t xml:space="preserve">“</w:t>
      </w:r>
      <w:r>
        <w:t xml:space="preserve">DCUH</w:t>
      </w:r>
      <w:r>
        <w:t xml:space="preserve">”</w:t>
      </w:r>
      <w:r>
        <w:t xml:space="preserve">) in Damascus, Syria, and recommends the strategy for the specific license application we are filing with the Office of Foreign Assets Control (</w:t>
      </w:r>
      <w:r>
        <w:t xml:space="preserve">“</w:t>
      </w:r>
      <w:r>
        <w:t xml:space="preserve">OFAC</w:t>
      </w:r>
      <w:r>
        <w:t xml:space="preserve">”</w:t>
      </w:r>
      <w:r>
        <w:t xml:space="preserve">) on Meridian’s behalf. The application is submitted contemporaneously with this memorandum.</w:t>
      </w:r>
    </w:p>
    <w:p>
      <w:pPr>
        <w:pStyle w:val="BodyText"/>
      </w:pPr>
      <w:r>
        <w:t xml:space="preserve">1.2</w:t>
      </w:r>
      <w:r>
        <w:t xml:space="preserve"> </w:t>
      </w:r>
      <w:r>
        <w:rPr>
          <w:b/>
          <w:bCs/>
        </w:rPr>
        <w:t xml:space="preserve">Bottom line.</w:t>
      </w:r>
      <w:r>
        <w:t xml:space="preserve"> </w:t>
      </w:r>
      <w:r>
        <w:t xml:space="preserve">The transaction is a strong candidate for a specific license: it is a purely humanitarian medical export that directly responds to needs independently identified by the World Health Organization (</w:t>
      </w:r>
      <w:r>
        <w:t xml:space="preserve">“</w:t>
      </w:r>
      <w:r>
        <w:t xml:space="preserve">WHO</w:t>
      </w:r>
      <w:r>
        <w:t xml:space="preserve">”</w:t>
      </w:r>
      <w:r>
        <w:t xml:space="preserve">); the goods are EAR99 with no dual-use character; the end-user is a civilian public hospital; and Meridian has a clean compliance record and a successful prior OFAC specific license (SYR-2021-384712) for an analogous transaction.</w:t>
      </w:r>
      <w:r>
        <w:t xml:space="preserve"> </w:t>
      </w:r>
      <w:r>
        <w:rPr>
          <w:b/>
          <w:bCs/>
        </w:rPr>
        <w:t xml:space="preserve">Two sanctions-sensitive elements, however, must be carefully managed:</w:t>
      </w:r>
      <w:r>
        <w:t xml:space="preserve"> </w:t>
      </w:r>
      <w:r>
        <w:t xml:space="preserve">(a) the end-user’s designated customs clearance agent has a 30% shareholder who is SDN-designated; and (b) the purchase order specifies an SDN-listed remitting bank. Both are resolvable through transaction structuring and full disclosure, and we have structured the application accordingly. Our recommendation is to</w:t>
      </w:r>
      <w:r>
        <w:t xml:space="preserve"> </w:t>
      </w:r>
      <w:r>
        <w:rPr>
          <w:b/>
          <w:bCs/>
        </w:rPr>
        <w:t xml:space="preserve">file the application now</w:t>
      </w:r>
      <w:r>
        <w:t xml:space="preserve">, on the structuring approach described in Part V, while we work with the Client to finalize the substitute payment bank and customs clearance agent.</w:t>
      </w:r>
    </w:p>
    <w:p>
      <w:pPr>
        <w:pStyle w:val="BodyText"/>
      </w:pPr>
      <w:r>
        <w:t xml:space="preserve">1.3</w:t>
      </w:r>
      <w:r>
        <w:t xml:space="preserve"> </w:t>
      </w:r>
      <w:r>
        <w:rPr>
          <w:b/>
          <w:bCs/>
        </w:rPr>
        <w:t xml:space="preserve">Recommended license term.</w:t>
      </w:r>
      <w:r>
        <w:t xml:space="preserve"> </w:t>
      </w:r>
      <w:r>
        <w:t xml:space="preserve">September 1, 2024 through February 28, 2026 (eighteen months), as requested by the Client. Given OFAC processing times of roughly 90–180 days, filing in early July 2024 gives a reasonable prospect of issuance on or about the Client’s target effective date.</w:t>
      </w:r>
    </w:p>
    <w:p>
      <w:pPr>
        <w:pStyle w:val="BodyText"/>
      </w:pPr>
      <w:r>
        <w:t xml:space="preserve">1.4</w:t>
      </w:r>
      <w:r>
        <w:t xml:space="preserve"> </w:t>
      </w:r>
      <w:r>
        <w:rPr>
          <w:b/>
          <w:bCs/>
        </w:rPr>
        <w:t xml:space="preserve">Overall risk assessment.</w:t>
      </w:r>
      <w:r>
        <w:t xml:space="preserve"> </w:t>
      </w:r>
      <w:r>
        <w:t xml:space="preserve">We assess the likelihood of license issuance as</w:t>
      </w:r>
      <w:r>
        <w:t xml:space="preserve"> </w:t>
      </w:r>
      <w:r>
        <w:rPr>
          <w:b/>
          <w:bCs/>
        </w:rPr>
        <w:t xml:space="preserve">moderate-to-favorable</w:t>
      </w:r>
      <w:r>
        <w:t xml:space="preserve">, contingent on (i) substituting a non-SDN remitting bank for the Central Bank of Calverley; (ii) substituting a screened, non-SDN customs clearance agent for ARMPC (or, in the alternative, obtaining specific authorization for ARMPC’s ministerial role); and (iii) full and candid disclosure of both SDN-related matters. The humanitarian character of the goods and Meridian’s track record are the principal favorable factors.</w:t>
      </w:r>
    </w:p>
    <w:bookmarkEnd w:id="21"/>
    <w:bookmarkStart w:id="22" w:name="ii.-factual-background"/>
    <w:p>
      <w:pPr>
        <w:pStyle w:val="Heading2"/>
      </w:pPr>
      <w:r>
        <w:t xml:space="preserve">II. Factual Background</w:t>
      </w:r>
    </w:p>
    <w:p>
      <w:pPr>
        <w:pStyle w:val="FirstParagraph"/>
      </w:pPr>
      <w:r>
        <w:t xml:space="preserve">2.1</w:t>
      </w:r>
      <w:r>
        <w:t xml:space="preserve"> </w:t>
      </w:r>
      <w:r>
        <w:rPr>
          <w:b/>
          <w:bCs/>
        </w:rPr>
        <w:t xml:space="preserve">The Client.</w:t>
      </w:r>
      <w:r>
        <w:t xml:space="preserve"> </w:t>
      </w:r>
      <w:r>
        <w:t xml:space="preserve">Meridian is a Delaware C-Corporation headquartered at 4200 Lakeshore Boulevard, Suite 800, Cambridge, MA 02142 (EIN 47-3928104; DUNS 08-471-3920). It is a U.S. manufacturer of in vitro diagnostic reagent kits, laboratory calibration instruments, and point-of-care testing platforms, with projected FY2024 revenue of approximately $482 million. Meridian’s OFAC compliance program has been in place since 2015. We were retained under an engagement letter dated May 20, 2024.</w:t>
      </w:r>
    </w:p>
    <w:p>
      <w:pPr>
        <w:pStyle w:val="BodyText"/>
      </w:pPr>
      <w:r>
        <w:t xml:space="preserve">2.2</w:t>
      </w:r>
      <w:r>
        <w:t xml:space="preserve"> </w:t>
      </w:r>
      <w:r>
        <w:rPr>
          <w:b/>
          <w:bCs/>
        </w:rPr>
        <w:t xml:space="preserve">The transaction.</w:t>
      </w:r>
      <w:r>
        <w:t xml:space="preserve"> </w:t>
      </w:r>
      <w:r>
        <w:t xml:space="preserve">Meridian proposes to sell and export to DCUH, for a total of</w:t>
      </w:r>
      <w:r>
        <w:t xml:space="preserve"> </w:t>
      </w:r>
      <w:r>
        <w:rPr>
          <w:b/>
          <w:bCs/>
        </w:rPr>
        <w:t xml:space="preserve">$1,280,000</w:t>
      </w:r>
      <w:r>
        <w:t xml:space="preserve">: (i) 500 CancerDetect RX-700 Reagent Kits ($1,170,000); (ii) 4 CalibPro 3100 Calibration Units ($75,000); and (iii) 40 hours of remote installation and calibration training ($35,000). Both physical products are classified EAR99. The transaction is documented in DCUH Purchase Order No. PO-DCUH-2024-0743, dated June 17, 2024.</w:t>
      </w:r>
    </w:p>
    <w:p>
      <w:pPr>
        <w:pStyle w:val="BodyText"/>
      </w:pPr>
      <w:r>
        <w:t xml:space="preserve">2.3</w:t>
      </w:r>
      <w:r>
        <w:t xml:space="preserve"> </w:t>
      </w:r>
      <w:r>
        <w:rPr>
          <w:b/>
          <w:bCs/>
        </w:rPr>
        <w:t xml:space="preserve">The end-user.</w:t>
      </w:r>
      <w:r>
        <w:t xml:space="preserve"> </w:t>
      </w:r>
      <w:r>
        <w:t xml:space="preserve">DCUH is a public teaching hospital in Damascus, affiliated with the University of Damascus Faculty of Medicine and operating under the administrative authority and budgetary oversight of the Syrian Ministry of Health. It is the largest remaining oncology referral center in Syria (140-bed oncology ward; ~3,800 tissue biopsies per year) and has a Ventana BenchMark XT staining platform already installed. The Hospital Director is Dr. Faisal Kareem Al-Masri.</w:t>
      </w:r>
    </w:p>
    <w:p>
      <w:pPr>
        <w:pStyle w:val="BodyText"/>
      </w:pPr>
      <w:r>
        <w:t xml:space="preserve">2.4</w:t>
      </w:r>
      <w:r>
        <w:t xml:space="preserve"> </w:t>
      </w:r>
      <w:r>
        <w:rPr>
          <w:b/>
          <w:bCs/>
        </w:rPr>
        <w:t xml:space="preserve">Logistics.</w:t>
      </w:r>
      <w:r>
        <w:t xml:space="preserve"> </w:t>
      </w:r>
      <w:r>
        <w:t xml:space="preserve">Goods ship from Cambridge, MA via Port Newark, NJ to Mersin Port, Turkey; overland to the Ankara Medical Transit Warehouse LLC (</w:t>
      </w:r>
      <w:r>
        <w:t xml:space="preserve">“</w:t>
      </w:r>
      <w:r>
        <w:t xml:space="preserve">AMTW</w:t>
      </w:r>
      <w:r>
        <w:t xml:space="preserve">”</w:t>
      </w:r>
      <w:r>
        <w:t xml:space="preserve">) in Ankara for temporary consolidation; then re-exported overland through the Bab al-Hawa border crossing into Syria for final delivery to DCUH in Damascus. Estimated total transit 30–42 days (planning window 6–8 weeks). Incoterms DAP Damascus (2020). The U.S. freight forwarder is Pinnacle Freight International, Inc. (clean). The Turkish transit warehouse AMTW (clean) is managed by Elif Yılmaz.</w:t>
      </w:r>
    </w:p>
    <w:p>
      <w:pPr>
        <w:pStyle w:val="BodyText"/>
      </w:pPr>
      <w:r>
        <w:t xml:space="preserve">2.5</w:t>
      </w:r>
      <w:r>
        <w:t xml:space="preserve"> </w:t>
      </w:r>
      <w:r>
        <w:rPr>
          <w:b/>
          <w:bCs/>
        </w:rPr>
        <w:t xml:space="preserve">The two SDN-related findings.</w:t>
      </w:r>
      <w:r>
        <w:t xml:space="preserve"> </w:t>
      </w:r>
      <w:r>
        <w:t xml:space="preserve">Meridian’s Chief Compliance Officer, Margaret</w:t>
      </w:r>
      <w:r>
        <w:t xml:space="preserve"> </w:t>
      </w:r>
      <w:r>
        <w:t xml:space="preserve">“</w:t>
      </w:r>
      <w:r>
        <w:t xml:space="preserve">Peggy</w:t>
      </w:r>
      <w:r>
        <w:t xml:space="preserve">”</w:t>
      </w:r>
      <w:r>
        <w:t xml:space="preserve"> </w:t>
      </w:r>
      <w:r>
        <w:t xml:space="preserve">Dunleavy, completed a comprehensive sanctions and restricted-party screening on June 3, 2024 (memorandum dated June 10, 2024). Two positive SDN matches emerged:</w:t>
      </w:r>
    </w:p>
    <w:p>
      <w:pPr>
        <w:pStyle w:val="Compact"/>
        <w:numPr>
          <w:ilvl w:val="0"/>
          <w:numId w:val="1001"/>
        </w:numPr>
      </w:pPr>
      <w:r>
        <w:rPr>
          <w:b/>
          <w:bCs/>
        </w:rPr>
        <w:t xml:space="preserve">Samir Daoud Khoury</w:t>
      </w:r>
      <w:r>
        <w:t xml:space="preserve"> </w:t>
      </w:r>
      <w:r>
        <w:t xml:space="preserve">— a 30% shareholder of Al-Rashid Medical Procurement Company (</w:t>
      </w:r>
      <w:r>
        <w:t xml:space="preserve">“</w:t>
      </w:r>
      <w:r>
        <w:t xml:space="preserve">ARMPC</w:t>
      </w:r>
      <w:r>
        <w:t xml:space="preserve">”</w:t>
      </w:r>
      <w:r>
        <w:t xml:space="preserve">), the customs clearance and import logistics agent designated in DCUH’s purchase order. Mr. Khoury was added to the SDN List on April 15, 2024 (DOB March 12, 1971; Syrian; Passport S-0048712; basis: acting on behalf of a sanctioned Syrian military procurement network). ARMPC itself is not listed, and its Managing Director, Tariq Nabil Hammoud, screened clean.</w:t>
      </w:r>
    </w:p>
    <w:p>
      <w:pPr>
        <w:pStyle w:val="Compact"/>
        <w:numPr>
          <w:ilvl w:val="0"/>
          <w:numId w:val="1001"/>
        </w:numPr>
      </w:pPr>
      <w:r>
        <w:rPr>
          <w:b/>
          <w:bCs/>
        </w:rPr>
        <w:t xml:space="preserve">Central Bank of Calverley (</w:t>
      </w:r>
      <w:r>
        <w:rPr>
          <w:b/>
          <w:bCs/>
        </w:rPr>
        <w:t xml:space="preserve">“</w:t>
      </w:r>
      <w:r>
        <w:rPr>
          <w:b/>
          <w:bCs/>
        </w:rPr>
        <w:t xml:space="preserve">CBS</w:t>
      </w:r>
      <w:r>
        <w:rPr>
          <w:b/>
          <w:bCs/>
        </w:rPr>
        <w:t xml:space="preserve">”</w:t>
      </w:r>
      <w:r>
        <w:rPr>
          <w:b/>
          <w:bCs/>
        </w:rPr>
        <w:t xml:space="preserve">)</w:t>
      </w:r>
      <w:r>
        <w:t xml:space="preserve"> </w:t>
      </w:r>
      <w:r>
        <w:t xml:space="preserve">— the remitting bank specified in DCUH’s purchase order. CBS has been on the SDN List since August 10, 2011 (pursuant to E.O. 13582).</w:t>
      </w:r>
    </w:p>
    <w:p>
      <w:pPr>
        <w:pStyle w:val="FirstParagraph"/>
      </w:pPr>
      <w:r>
        <w:t xml:space="preserve">2.6</w:t>
      </w:r>
      <w:r>
        <w:t xml:space="preserve"> </w:t>
      </w:r>
      <w:r>
        <w:rPr>
          <w:b/>
          <w:bCs/>
        </w:rPr>
        <w:t xml:space="preserve">Prior license.</w:t>
      </w:r>
      <w:r>
        <w:t xml:space="preserve"> </w:t>
      </w:r>
      <w:r>
        <w:t xml:space="preserve">Meridian held OFAC Specific License No. SYR-2021-384712 (issued September 14, 2021; expired March 31, 2023), which authorized the export of $340,000 of tuberculosis diagnostic kits to Al-Mujtahid Hospital, Damascus. All shipments were completed by January 2023 with no violations, late filings, or deviations. Notably, that license was expressly conditioned to prohibit routing payment through CBS or any SDN-listed institution — a directly relevant precedent.</w:t>
      </w:r>
    </w:p>
    <w:p>
      <w:pPr>
        <w:pStyle w:val="BodyText"/>
      </w:pPr>
      <w:r>
        <w:t xml:space="preserve">2.7</w:t>
      </w:r>
      <w:r>
        <w:t xml:space="preserve"> </w:t>
      </w:r>
      <w:r>
        <w:rPr>
          <w:b/>
          <w:bCs/>
        </w:rPr>
        <w:t xml:space="preserve">Compliance posture.</w:t>
      </w:r>
      <w:r>
        <w:t xml:space="preserve"> </w:t>
      </w:r>
      <w:r>
        <w:t xml:space="preserve">Meridian’s program was independently audited by Graystone Compliance Partners LLC in September 2023 and rated</w:t>
      </w:r>
      <w:r>
        <w:t xml:space="preserve"> </w:t>
      </w:r>
      <w:r>
        <w:t xml:space="preserve">“</w:t>
      </w:r>
      <w:r>
        <w:t xml:space="preserve">Satisfactory with Recommendations.</w:t>
      </w:r>
      <w:r>
        <w:t xml:space="preserve">”</w:t>
      </w:r>
      <w:r>
        <w:t xml:space="preserve"> </w:t>
      </w:r>
      <w:r>
        <w:t xml:space="preserve">The high-priority recommendation — real-time beneficial ownership screening — was implemented in January 2024, and it was precisely that enhancement that detected Mr. Khoury’s SDN designation. Meridian has no enforcement history of any kind.</w:t>
      </w:r>
    </w:p>
    <w:bookmarkEnd w:id="22"/>
    <w:bookmarkStart w:id="23" w:name="iii.-legal-framework"/>
    <w:p>
      <w:pPr>
        <w:pStyle w:val="Heading2"/>
      </w:pPr>
      <w:r>
        <w:t xml:space="preserve">III. Legal Framework</w:t>
      </w:r>
    </w:p>
    <w:p>
      <w:pPr>
        <w:pStyle w:val="FirstParagraph"/>
      </w:pPr>
      <w:r>
        <w:t xml:space="preserve">3.1</w:t>
      </w:r>
      <w:r>
        <w:t xml:space="preserve"> </w:t>
      </w:r>
      <w:r>
        <w:rPr>
          <w:b/>
          <w:bCs/>
        </w:rPr>
        <w:t xml:space="preserve">Syrian Sanctions Regulations.</w:t>
      </w:r>
      <w:r>
        <w:t xml:space="preserve"> </w:t>
      </w:r>
      <w:r>
        <w:t xml:space="preserve">The Syrian Arab Republic is subject to a comprehensive U.S. sanctions program administered by OFAC under the Syrian Sanctions Regulations, 31 C.F.R. Part 542 (the</w:t>
      </w:r>
      <w:r>
        <w:t xml:space="preserve"> </w:t>
      </w:r>
      <w:r>
        <w:t xml:space="preserve">“</w:t>
      </w:r>
      <w:r>
        <w:t xml:space="preserve">SSR</w:t>
      </w:r>
      <w:r>
        <w:t xml:space="preserve">”</w:t>
      </w:r>
      <w:r>
        <w:t xml:space="preserve">), promulgated pursuant to the International Emergency Economic Powers Act (</w:t>
      </w:r>
      <w:r>
        <w:t xml:space="preserve">“</w:t>
      </w:r>
      <w:r>
        <w:t xml:space="preserve">IEEPA</w:t>
      </w:r>
      <w:r>
        <w:t xml:space="preserve">”</w:t>
      </w:r>
      <w:r>
        <w:t xml:space="preserve">), 50 U.S.C. §§ 1701–1706, and a series of executive orders.</w:t>
      </w:r>
    </w:p>
    <w:p>
      <w:pPr>
        <w:pStyle w:val="BodyText"/>
      </w:pPr>
      <w:r>
        <w:t xml:space="preserve">3.2</w:t>
      </w:r>
      <w:r>
        <w:t xml:space="preserve"> </w:t>
      </w:r>
      <w:r>
        <w:rPr>
          <w:b/>
          <w:bCs/>
        </w:rPr>
        <w:t xml:space="preserve">Executive Order 13582.</w:t>
      </w:r>
      <w:r>
        <w:t xml:space="preserve"> </w:t>
      </w:r>
      <w:r>
        <w:t xml:space="preserve">E.O. 13582 (August 17, 2011) blocks all property and interests in property of the Government of Syria and any entity owned, controlled, or acting for or on behalf of the Government of Syria, and broadly prohibits U.S. persons from engaging in transactions with the Government of Syria and its instrumentalities. Because DCUH is a public hospital under the Syrian Ministry of Health, it is an instrumentality of the Government of Syria and is within the scope of E.O. 13582 even though it is not separately listed on the SDN List. The Syrian Ministry of Health is likewise a Government of Syria instrumentality within the scope of E.O. 13582.</w:t>
      </w:r>
    </w:p>
    <w:p>
      <w:pPr>
        <w:pStyle w:val="BodyText"/>
      </w:pPr>
      <w:r>
        <w:t xml:space="preserve">3.3</w:t>
      </w:r>
      <w:r>
        <w:t xml:space="preserve"> </w:t>
      </w:r>
      <w:r>
        <w:rPr>
          <w:b/>
          <w:bCs/>
        </w:rPr>
        <w:t xml:space="preserve">SDN List and the 50 Percent Rule.</w:t>
      </w:r>
      <w:r>
        <w:t xml:space="preserve"> </w:t>
      </w:r>
      <w:r>
        <w:t xml:space="preserve">Persons designated on the SDN List are blocked, and U.S. persons are generally prohibited from dealing with them. Under OFAC’s 50 Percent Rule (see 31 C.F.R. § 501.505 and OFAC’s guidance), an entity is treated as blocked — and thus on the SDN List by operation of law — where one or more SDN-listed persons own, individually or in the aggregate, 50% or more of the entity. Below the 50% threshold, the entity is not automatically blocked, but OFAC guidance cautions that transactions with entities in which SDN-listed persons hold significant minority ownership may present elevated risk and may, depending on the circumstances, constitute prohibited dealings with an SDN-listed person (e.g., where the transaction benefits the SDN).</w:t>
      </w:r>
    </w:p>
    <w:p>
      <w:pPr>
        <w:pStyle w:val="BodyText"/>
      </w:pPr>
      <w:r>
        <w:t xml:space="preserve">3.4</w:t>
      </w:r>
      <w:r>
        <w:t xml:space="preserve"> </w:t>
      </w:r>
      <w:r>
        <w:rPr>
          <w:b/>
          <w:bCs/>
        </w:rPr>
        <w:t xml:space="preserve">General vs. specific licenses.</w:t>
      </w:r>
      <w:r>
        <w:t xml:space="preserve"> </w:t>
      </w:r>
      <w:r>
        <w:t xml:space="preserve">OFAC may authorize otherwise-prohibited transactions by general license (self-executing authorization set forth in the regulations) or by specific license (issued to a named person upon application). The SSR contain general licenses authorizing certain humanitarian transactions — including, in particular, the donation of food, medicine, and medical devices to Syria (31 C.F.R. § 542.510). Counsel should confirm the current scope of all applicable general licenses, but for the reasons discussed in Issue 1 below,</w:t>
      </w:r>
      <w:r>
        <w:t xml:space="preserve"> </w:t>
      </w:r>
      <w:r>
        <w:rPr>
          <w:b/>
          <w:bCs/>
        </w:rPr>
        <w:t xml:space="preserve">a specific license is required here</w:t>
      </w:r>
      <w:r>
        <w:t xml:space="preserve"> </w:t>
      </w:r>
      <w:r>
        <w:t xml:space="preserve">regardless of the availability of any general license, because (a) this is a commercial sale rather than a donation; (b) the end-user is a blocked Government of Syria instrumentality; and (c) the transaction as originally structured involves SDN-listed persons (CBS) and an SDN-adjacent party (ARMPC/Khoury).</w:t>
      </w:r>
    </w:p>
    <w:p>
      <w:pPr>
        <w:pStyle w:val="BodyText"/>
      </w:pPr>
      <w:r>
        <w:t xml:space="preserve">3.5</w:t>
      </w:r>
      <w:r>
        <w:t xml:space="preserve"> </w:t>
      </w:r>
      <w:r>
        <w:rPr>
          <w:b/>
          <w:bCs/>
        </w:rPr>
        <w:t xml:space="preserve">Recordkeeping and reporting.</w:t>
      </w:r>
      <w:r>
        <w:t xml:space="preserve"> </w:t>
      </w:r>
      <w:r>
        <w:t xml:space="preserve">31 C.F.R. § 501.601 requires licensees to maintain records of transactions conducted pursuant to OFAC licenses for a minimum of five years. OFAC specific licenses customarily impose additional reporting conditions (e.g., post-shipment reports within 30 days).</w:t>
      </w:r>
    </w:p>
    <w:p>
      <w:pPr>
        <w:pStyle w:val="BodyText"/>
      </w:pPr>
      <w:r>
        <w:t xml:space="preserve">3.6</w:t>
      </w:r>
      <w:r>
        <w:t xml:space="preserve"> </w:t>
      </w:r>
      <w:r>
        <w:rPr>
          <w:b/>
          <w:bCs/>
        </w:rPr>
        <w:t xml:space="preserve">Export Administration Regulations.</w:t>
      </w:r>
      <w:r>
        <w:t xml:space="preserve"> </w:t>
      </w:r>
      <w:r>
        <w:t xml:space="preserve">The Export Administration Regulations (</w:t>
      </w:r>
      <w:r>
        <w:t xml:space="preserve">“</w:t>
      </w:r>
      <w:r>
        <w:t xml:space="preserve">EAR</w:t>
      </w:r>
      <w:r>
        <w:t xml:space="preserve">”</w:t>
      </w:r>
      <w:r>
        <w:t xml:space="preserve">), 15 C.F.R. Parts 730–774, administered by the Bureau of Industry and Security (</w:t>
      </w:r>
      <w:r>
        <w:t xml:space="preserve">“</w:t>
      </w:r>
      <w:r>
        <w:t xml:space="preserve">BIS</w:t>
      </w:r>
      <w:r>
        <w:t xml:space="preserve">”</w:t>
      </w:r>
      <w:r>
        <w:t xml:space="preserve">), apply independently of OFAC sanctions. Syria is listed in Country Group E:1 (state sponsor of terrorism) for EAR purposes. Although the products here are classified EAR99, the EAR nevertheless applies to the export of the items and to any technology transfer (including the remote training), and an OFAC license does not relieve Meridian of any EAR obligations. The embedded firmware in the CalibPro 3100 (version 4.2.1) uses AES-128 encryption limited to internal data-integrity authentication; Meridian’s engineering and regulatory teams have determined that this functionality does not bring the unit within ECCN Category 5, Part 2 and does not alter the EAR99 classification. That analysis should be documented (see Issue 4).</w:t>
      </w:r>
    </w:p>
    <w:p>
      <w:pPr>
        <w:pStyle w:val="BodyText"/>
      </w:pPr>
      <w:r>
        <w:t xml:space="preserve">3.7</w:t>
      </w:r>
      <w:r>
        <w:t xml:space="preserve"> </w:t>
      </w:r>
      <w:r>
        <w:rPr>
          <w:b/>
          <w:bCs/>
        </w:rPr>
        <w:t xml:space="preserve">OFAC Compliance Commitments framework.</w:t>
      </w:r>
      <w:r>
        <w:t xml:space="preserve"> </w:t>
      </w:r>
      <w:r>
        <w:t xml:space="preserve">OFAC’s</w:t>
      </w:r>
      <w:r>
        <w:t xml:space="preserve"> </w:t>
      </w:r>
      <w:r>
        <w:t xml:space="preserve">“</w:t>
      </w:r>
      <w:r>
        <w:t xml:space="preserve">A Framework for OFAC Compliance Commitments</w:t>
      </w:r>
      <w:r>
        <w:t xml:space="preserve">”</w:t>
      </w:r>
      <w:r>
        <w:t xml:space="preserve"> </w:t>
      </w:r>
      <w:r>
        <w:t xml:space="preserve">(May 2019) sets forth the five pillars (management commitment; risk assessment; internal controls; testing and audit; training) that OFAC expects of a robust compliance program. Meridian’s program maps to all five and was independently assessed against them by Graystone.</w:t>
      </w:r>
    </w:p>
    <w:bookmarkEnd w:id="23"/>
    <w:bookmarkStart w:id="31" w:name="iv.-issue-analysis"/>
    <w:p>
      <w:pPr>
        <w:pStyle w:val="Heading2"/>
      </w:pPr>
      <w:r>
        <w:t xml:space="preserve">IV. Issue Analysis</w:t>
      </w:r>
    </w:p>
    <w:bookmarkStart w:id="24" w:name="X28af46d5181cc6a21c28a7419dd6d36f827f41c"/>
    <w:p>
      <w:pPr>
        <w:pStyle w:val="Heading3"/>
      </w:pPr>
      <w:r>
        <w:t xml:space="preserve">Issue 1 — Governmental End-User (DCUH and the Syrian Ministry of Health)</w:t>
      </w:r>
    </w:p>
    <w:p>
      <w:pPr>
        <w:pStyle w:val="FirstParagraph"/>
      </w:pPr>
      <w:r>
        <w:t xml:space="preserve">4.1</w:t>
      </w:r>
      <w:r>
        <w:t xml:space="preserve"> </w:t>
      </w:r>
      <w:r>
        <w:rPr>
          <w:b/>
          <w:bCs/>
        </w:rPr>
        <w:t xml:space="preserve">The issue.</w:t>
      </w:r>
      <w:r>
        <w:t xml:space="preserve"> </w:t>
      </w:r>
      <w:r>
        <w:t xml:space="preserve">DCUH is an instrumentality of the Government of Syria and therefore blocked under E.O. 13582, even though it is not separately SDN-listed. The Syrian Ministry of Health, which exercises administrative authority and budgetary oversight over DCUH, is likewise a Government of Syria instrumentality. Any export to, or transaction involving, DCUH is prohibited absent OFAC authorization.</w:t>
      </w:r>
    </w:p>
    <w:p>
      <w:pPr>
        <w:pStyle w:val="BodyText"/>
      </w:pPr>
      <w:r>
        <w:t xml:space="preserve">4.2</w:t>
      </w:r>
      <w:r>
        <w:t xml:space="preserve"> </w:t>
      </w:r>
      <w:r>
        <w:rPr>
          <w:b/>
          <w:bCs/>
        </w:rPr>
        <w:t xml:space="preserve">General license availability.</w:t>
      </w:r>
      <w:r>
        <w:t xml:space="preserve"> </w:t>
      </w:r>
      <w:r>
        <w:t xml:space="preserve">The principal humanitarian general license in the SSR — 31 C.F.R. § 542.510, authorizing the donation of food, medicine, and medical devices to Syria — does not avail Meridian here, because (a) this is a</w:t>
      </w:r>
      <w:r>
        <w:t xml:space="preserve"> </w:t>
      </w:r>
      <w:r>
        <w:rPr>
          <w:b/>
          <w:bCs/>
        </w:rPr>
        <w:t xml:space="preserve">commercial sale</w:t>
      </w:r>
      <w:r>
        <w:t xml:space="preserve"> </w:t>
      </w:r>
      <w:r>
        <w:t xml:space="preserve">(DCUH pays $1,280,000), not a donation, and (b) the end-user is a</w:t>
      </w:r>
      <w:r>
        <w:t xml:space="preserve"> </w:t>
      </w:r>
      <w:r>
        <w:rPr>
          <w:b/>
          <w:bCs/>
        </w:rPr>
        <w:t xml:space="preserve">blocked governmental instrumentality</w:t>
      </w:r>
      <w:r>
        <w:t xml:space="preserve">, which the donation general license does not authorize U.S. persons to deal with directly. Even if a general license for commercial sales of medical devices to Syria were available in some form, the involvement of a blocked governmental end-user and the SDN-related elements discussed in Issues 2 and 3 would take the transaction outside any general license and require specific authorization. We have therefore proceeded on a specific-license basis.</w:t>
      </w:r>
    </w:p>
    <w:p>
      <w:pPr>
        <w:pStyle w:val="BodyText"/>
      </w:pPr>
      <w:r>
        <w:t xml:space="preserve">4.3</w:t>
      </w:r>
      <w:r>
        <w:t xml:space="preserve"> </w:t>
      </w:r>
      <w:r>
        <w:rPr>
          <w:b/>
          <w:bCs/>
        </w:rPr>
        <w:t xml:space="preserve">Analysis and recommendation.</w:t>
      </w:r>
      <w:r>
        <w:t xml:space="preserve"> </w:t>
      </w:r>
      <w:r>
        <w:t xml:space="preserve">The governmental status of the end-user is not disqualifying. OFAC has historically been willing to license humanitarian medical transactions involving governmental end-users in Syria under specific licenses, as evidenced by Meridian’s own prior license (SYR-2021-384712, which authorized exports to Al-Mujtahid Hospital — likewise a public hospital under the Ministry of Health). The application should (a) expressly disclose DCUH’s governmental status and request authorization notwithstanding that status; (b) request authorization notwithstanding the involvement of the Ministry of Health in DCUH’s administration and budget; (c) represent that the goods will be used exclusively for civilian clinical diagnostic purposes; and (d) commit to end-use monitoring and non-diversion controls. This is reflected in Sections VI and XIII of the application.</w:t>
      </w:r>
    </w:p>
    <w:bookmarkEnd w:id="24"/>
    <w:bookmarkStart w:id="25" w:name="Xe0300efbaf350191f2bde5b3a7e559571083060"/>
    <w:p>
      <w:pPr>
        <w:pStyle w:val="Heading3"/>
      </w:pPr>
      <w:r>
        <w:t xml:space="preserve">Issue 2 — ARMPC and the SDN-Listed 30% Shareholder (Samir Daoud Khoury)</w:t>
      </w:r>
    </w:p>
    <w:p>
      <w:pPr>
        <w:pStyle w:val="FirstParagraph"/>
      </w:pPr>
      <w:r>
        <w:t xml:space="preserve">4.4</w:t>
      </w:r>
      <w:r>
        <w:t xml:space="preserve"> </w:t>
      </w:r>
      <w:r>
        <w:rPr>
          <w:b/>
          <w:bCs/>
        </w:rPr>
        <w:t xml:space="preserve">The issue.</w:t>
      </w:r>
      <w:r>
        <w:t xml:space="preserve"> </w:t>
      </w:r>
      <w:r>
        <w:t xml:space="preserve">ARMPC, the customs clearance agent designated in DCUH’s purchase order, is not itself SDN-listed, and its Managing Director screened clean. However, a 30% shareholder of ARMPC — Samir Daoud Khoury — was added to the SDN List on April 15, 2024, on the basis of acting on behalf of a sanctioned Syrian military procurement network.</w:t>
      </w:r>
    </w:p>
    <w:p>
      <w:pPr>
        <w:pStyle w:val="BodyText"/>
      </w:pPr>
      <w:r>
        <w:t xml:space="preserve">4.5</w:t>
      </w:r>
      <w:r>
        <w:t xml:space="preserve"> </w:t>
      </w:r>
      <w:r>
        <w:rPr>
          <w:b/>
          <w:bCs/>
        </w:rPr>
        <w:t xml:space="preserve">50 Percent Rule analysis.</w:t>
      </w:r>
      <w:r>
        <w:t xml:space="preserve"> </w:t>
      </w:r>
      <w:r>
        <w:t xml:space="preserve">Because Mr. Khoury owns only 30% of ARMPC, and we have identified no other SDN-listed shareholder, ARMPC is</w:t>
      </w:r>
      <w:r>
        <w:t xml:space="preserve"> </w:t>
      </w:r>
      <w:r>
        <w:rPr>
          <w:b/>
          <w:bCs/>
        </w:rPr>
        <w:t xml:space="preserve">not automatically blocked</w:t>
      </w:r>
      <w:r>
        <w:t xml:space="preserve"> </w:t>
      </w:r>
      <w:r>
        <w:t xml:space="preserve">under the 50 Percent Rule. Technically, therefore, dealing with ARMPC is not prohibited by operation of the 50 Percent Rule alone. The difficulty is that OFAC guidance warns that transactions with entities in which SDN-listed persons hold significant minority interests may, depending on the circumstances, constitute prohibited dealings with an SDN — particularly where the transaction would benefit the SDN. As a 30% equity holder, Mr. Khoury would, in the ordinary course, derive an economic benefit from ARMPC’s profits on this engagement. That is a real and difficult-to-mitigate nexus. Moreover, the basis for Mr. Khoury’s designation — involvement with a sanctioned Syrian</w:t>
      </w:r>
      <w:r>
        <w:t xml:space="preserve"> </w:t>
      </w:r>
      <w:r>
        <w:rPr>
          <w:b/>
          <w:bCs/>
        </w:rPr>
        <w:t xml:space="preserve">military procurement network</w:t>
      </w:r>
      <w:r>
        <w:t xml:space="preserve"> </w:t>
      </w:r>
      <w:r>
        <w:t xml:space="preserve">— is a particularly sensitive nexus for a transaction involving a Syrian customs clearance agent, and OFAC is likely to view it with concern.</w:t>
      </w:r>
    </w:p>
    <w:p>
      <w:pPr>
        <w:pStyle w:val="BodyText"/>
      </w:pPr>
      <w:r>
        <w:t xml:space="preserve">4.6</w:t>
      </w:r>
      <w:r>
        <w:t xml:space="preserve"> </w:t>
      </w:r>
      <w:r>
        <w:rPr>
          <w:b/>
          <w:bCs/>
        </w:rPr>
        <w:t xml:space="preserve">Disclosure obligation.</w:t>
      </w:r>
      <w:r>
        <w:t xml:space="preserve"> </w:t>
      </w:r>
      <w:r>
        <w:t xml:space="preserve">Regardless of the 50 Percent Rule analysis, the SDN-adjacent ownership</w:t>
      </w:r>
      <w:r>
        <w:t xml:space="preserve"> </w:t>
      </w:r>
      <w:r>
        <w:rPr>
          <w:b/>
          <w:bCs/>
        </w:rPr>
        <w:t xml:space="preserve">must be fully disclosed</w:t>
      </w:r>
      <w:r>
        <w:t xml:space="preserve"> </w:t>
      </w:r>
      <w:r>
        <w:t xml:space="preserve">in the application. Failure to disclose a known SDN nexus would itself create substantial compliance and enforcement risk and would likely doom the application (and the Client’s credibility with OFAC) if later discovered. The application discloses the matter in full in Section IX.</w:t>
      </w:r>
    </w:p>
    <w:p>
      <w:pPr>
        <w:pStyle w:val="BodyText"/>
      </w:pPr>
      <w:r>
        <w:t xml:space="preserve">4.7</w:t>
      </w:r>
      <w:r>
        <w:t xml:space="preserve"> </w:t>
      </w:r>
      <w:r>
        <w:rPr>
          <w:b/>
          <w:bCs/>
        </w:rPr>
        <w:t xml:space="preserve">Structuring options.</w:t>
      </w:r>
      <w:r>
        <w:t xml:space="preserve"> </w:t>
      </w:r>
      <w:r>
        <w:t xml:space="preserve">We have evaluated three options:</w:t>
      </w:r>
    </w:p>
    <w:p>
      <w:pPr>
        <w:pStyle w:val="Compact"/>
        <w:numPr>
          <w:ilvl w:val="0"/>
          <w:numId w:val="1002"/>
        </w:numPr>
      </w:pPr>
      <w:r>
        <w:rPr>
          <w:b/>
          <w:bCs/>
        </w:rPr>
        <w:t xml:space="preserve">(a) Remove ARMPC; substitute a clean customs clearance agent (preferred).</w:t>
      </w:r>
      <w:r>
        <w:t xml:space="preserve"> </w:t>
      </w:r>
      <w:r>
        <w:t xml:space="preserve">Meridian conditions its participation on DCUH designating a customs clearance agent that Meridian has screened and approved and that has no SDN nexus (or, alternatively, DCUH’s own personnel performing customs clearance directly). This eliminates the SDN-adjacent party from the transaction entirely. This is the lowest-risk and most approvable structure, and it is the approach we have taken in the application (§9.1.4). The license would authorize DCUH to designate a screened, non-SDN customs clearance agent, with Meridian to notify OFAC of the designated agent prior to shipment.</w:t>
      </w:r>
    </w:p>
    <w:p>
      <w:pPr>
        <w:pStyle w:val="Compact"/>
        <w:numPr>
          <w:ilvl w:val="0"/>
          <w:numId w:val="1002"/>
        </w:numPr>
      </w:pPr>
      <w:r>
        <w:rPr>
          <w:b/>
          <w:bCs/>
        </w:rPr>
        <w:t xml:space="preserve">(b) Seek specific authorization for ARMPC’s ministerial role.</w:t>
      </w:r>
      <w:r>
        <w:t xml:space="preserve"> </w:t>
      </w:r>
      <w:r>
        <w:t xml:space="preserve">Request that OFAC specifically authorize ARMPC to perform solely ministerial customs-clearance and last-mile delivery functions, subject to conditions (no benefit to Khoury; no operational role for Khoury; documented, reasonable fees; re-screening; prompt reporting of any change). This preserves the structure in the purchase order but asks OFAC to bless an SDN-adjacent arrangement — which OFAC may decline, particularly given the military-procurement basis of Khoury’s designation. We have included this as an</w:t>
      </w:r>
      <w:r>
        <w:t xml:space="preserve"> </w:t>
      </w:r>
      <w:r>
        <w:rPr>
          <w:b/>
          <w:bCs/>
        </w:rPr>
        <w:t xml:space="preserve">alternative request</w:t>
      </w:r>
      <w:r>
        <w:t xml:space="preserve"> </w:t>
      </w:r>
      <w:r>
        <w:t xml:space="preserve">in the application (§9.1.5) so that OFAC has the option, but we have framed the clean-agent substitution as the preferred course.</w:t>
      </w:r>
    </w:p>
    <w:p>
      <w:pPr>
        <w:pStyle w:val="Compact"/>
        <w:numPr>
          <w:ilvl w:val="0"/>
          <w:numId w:val="1002"/>
        </w:numPr>
      </w:pPr>
      <w:r>
        <w:rPr>
          <w:b/>
          <w:bCs/>
        </w:rPr>
        <w:t xml:space="preserve">(c) Proceed without disclosure / on the 50 Percent Rule alone.</w:t>
      </w:r>
      <w:r>
        <w:t xml:space="preserve"> </w:t>
      </w:r>
      <w:r>
        <w:t xml:space="preserve">Not recommended. This would create unacceptable enforcement risk and is inconsistent with the Client’s compliance posture and our professional obligations.</w:t>
      </w:r>
    </w:p>
    <w:p>
      <w:pPr>
        <w:pStyle w:val="FirstParagraph"/>
      </w:pPr>
      <w:r>
        <w:t xml:space="preserve">4.8</w:t>
      </w:r>
      <w:r>
        <w:t xml:space="preserve"> </w:t>
      </w:r>
      <w:r>
        <w:rPr>
          <w:b/>
          <w:bCs/>
        </w:rPr>
        <w:t xml:space="preserve">Recommendation.</w:t>
      </w:r>
      <w:r>
        <w:t xml:space="preserve"> </w:t>
      </w:r>
      <w:r>
        <w:t xml:space="preserve">Proceed on option (a) as the primary structure, with option (b) preserved as an alternative. We should press the Client to obtain DCUH’s agreement to a substitute customs clearance agent promptly, and to identify and screen a candidate, so that we can name a clean agent (or at least confirm one is lined up) during OFAC’s review. If DCUH cannot or will not substitute, we will need to rely on the alternative request and should set Client expectations that OFAC may decline or impose stringent conditions.</w:t>
      </w:r>
    </w:p>
    <w:bookmarkEnd w:id="25"/>
    <w:bookmarkStart w:id="26" w:name="Xbdc53a07fd07065be91550ecbef9b3611627bf1"/>
    <w:p>
      <w:pPr>
        <w:pStyle w:val="Heading3"/>
      </w:pPr>
      <w:r>
        <w:t xml:space="preserve">Issue 3 — SDN-Listed Remitting Bank (Central Bank of Calverley)</w:t>
      </w:r>
    </w:p>
    <w:p>
      <w:pPr>
        <w:pStyle w:val="FirstParagraph"/>
      </w:pPr>
      <w:r>
        <w:t xml:space="preserve">4.9</w:t>
      </w:r>
      <w:r>
        <w:t xml:space="preserve"> </w:t>
      </w:r>
      <w:r>
        <w:rPr>
          <w:b/>
          <w:bCs/>
        </w:rPr>
        <w:t xml:space="preserve">The issue.</w:t>
      </w:r>
      <w:r>
        <w:t xml:space="preserve"> </w:t>
      </w:r>
      <w:r>
        <w:t xml:space="preserve">DCUH’s purchase order specifies that payment will be remitted by wire transfer from DCUH’s account at the Central Bank of Calverley. CBS has been on the SDN List since August 10, 2011 (pursuant to E.O. 13582). Routing payment through CBS would constitute a prohibited transaction with a blocked person; any funds so received by a U.S. person would be subject to blocking; and no U.S. financial institution may process such a transfer absent specific OFAC authorization.</w:t>
      </w:r>
    </w:p>
    <w:p>
      <w:pPr>
        <w:pStyle w:val="BodyText"/>
      </w:pPr>
      <w:r>
        <w:t xml:space="preserve">4.10</w:t>
      </w:r>
      <w:r>
        <w:t xml:space="preserve"> </w:t>
      </w:r>
      <w:r>
        <w:rPr>
          <w:b/>
          <w:bCs/>
        </w:rPr>
        <w:t xml:space="preserve">Precedent.</w:t>
      </w:r>
      <w:r>
        <w:t xml:space="preserve"> </w:t>
      </w:r>
      <w:r>
        <w:t xml:space="preserve">Meridian’s prior license (SYR-2021-384712) was expressly conditioned to prohibit routing payment through CBS or any SDN-listed institution, and instead authorized payment via a non-SDN Syrian commercial bank. Meridian complied with that condition. This is directly on point and supplies both a workable structure and a credibility-enhancing precedent.</w:t>
      </w:r>
    </w:p>
    <w:p>
      <w:pPr>
        <w:pStyle w:val="BodyText"/>
      </w:pPr>
      <w:r>
        <w:t xml:space="preserve">4.11</w:t>
      </w:r>
      <w:r>
        <w:t xml:space="preserve"> </w:t>
      </w:r>
      <w:r>
        <w:rPr>
          <w:b/>
          <w:bCs/>
        </w:rPr>
        <w:t xml:space="preserve">Structuring options.</w:t>
      </w:r>
    </w:p>
    <w:p>
      <w:pPr>
        <w:pStyle w:val="Compact"/>
        <w:numPr>
          <w:ilvl w:val="0"/>
          <w:numId w:val="1003"/>
        </w:numPr>
      </w:pPr>
      <w:r>
        <w:rPr>
          <w:b/>
          <w:bCs/>
        </w:rPr>
        <w:t xml:space="preserve">(a) Non-SDN Syrian commercial bank (precedent-aligned).</w:t>
      </w:r>
      <w:r>
        <w:t xml:space="preserve"> </w:t>
      </w:r>
      <w:r>
        <w:t xml:space="preserve">DCUH remits from an account at a non-SDN-listed Syrian commercial bank to Meridian’s account at Harborview National Bank, Boston. Meridian screens the bank; the license prohibits routing through CBS or any SDN institution. This mirrors the prior license.</w:t>
      </w:r>
    </w:p>
    <w:p>
      <w:pPr>
        <w:pStyle w:val="Compact"/>
        <w:numPr>
          <w:ilvl w:val="0"/>
          <w:numId w:val="1003"/>
        </w:numPr>
      </w:pPr>
      <w:r>
        <w:rPr>
          <w:b/>
          <w:bCs/>
        </w:rPr>
        <w:t xml:space="preserve">(b) Third-country bank.</w:t>
      </w:r>
      <w:r>
        <w:t xml:space="preserve"> </w:t>
      </w:r>
      <w:r>
        <w:t xml:space="preserve">DCUH arranges payment through a financial institution outside Syria (e.g., in Turkey or another jurisdiction) to Meridian’s U.S. account. This may be easier for DCUH to effect given Syrian foreign-currency constraints and may reduce in-country banking risk, but requires screening the third-country bank and confirming it has no SDN nexus.</w:t>
      </w:r>
    </w:p>
    <w:p>
      <w:pPr>
        <w:pStyle w:val="Compact"/>
        <w:numPr>
          <w:ilvl w:val="0"/>
          <w:numId w:val="1003"/>
        </w:numPr>
      </w:pPr>
      <w:r>
        <w:rPr>
          <w:b/>
          <w:bCs/>
        </w:rPr>
        <w:t xml:space="preserve">(c) Humanitarian / UN channel.</w:t>
      </w:r>
      <w:r>
        <w:t xml:space="preserve"> </w:t>
      </w:r>
      <w:r>
        <w:t xml:space="preserve">If available, a UN or humanitarian financing channel could be used. This is more complex and slower and is not necessary given the availability of options (a) and (b).</w:t>
      </w:r>
    </w:p>
    <w:p>
      <w:pPr>
        <w:pStyle w:val="FirstParagraph"/>
      </w:pPr>
      <w:r>
        <w:t xml:space="preserve">4.12</w:t>
      </w:r>
      <w:r>
        <w:t xml:space="preserve"> </w:t>
      </w:r>
      <w:r>
        <w:rPr>
          <w:b/>
          <w:bCs/>
        </w:rPr>
        <w:t xml:space="preserve">Recommendation.</w:t>
      </w:r>
      <w:r>
        <w:t xml:space="preserve"> </w:t>
      </w:r>
      <w:r>
        <w:t xml:space="preserve">Request that the license authorize payment via a non-SDN-listed financial institution (either a non-SDN Syrian commercial bank or a third-country bank), with the license conditioned to prohibit routing through CBS or any SDN-listed person — mirroring the prior license. The application so provides (§8.3). We should ask the Client to confirm with DCUH which non-SDN bank can remit and to have Peggy’s team screen it before we finalize. We should</w:t>
      </w:r>
      <w:r>
        <w:t xml:space="preserve"> </w:t>
      </w:r>
      <w:r>
        <w:rPr>
          <w:b/>
          <w:bCs/>
        </w:rPr>
        <w:t xml:space="preserve">not</w:t>
      </w:r>
      <w:r>
        <w:t xml:space="preserve"> </w:t>
      </w:r>
      <w:r>
        <w:t xml:space="preserve">request authorization to use CBS; the cleaner course is to exclude it entirely.</w:t>
      </w:r>
    </w:p>
    <w:bookmarkEnd w:id="26"/>
    <w:bookmarkStart w:id="27" w:name="Xf0fac3c17f57604d8298c1fa13372fe87c0dd2e"/>
    <w:p>
      <w:pPr>
        <w:pStyle w:val="Heading3"/>
      </w:pPr>
      <w:r>
        <w:t xml:space="preserve">Issue 4 — Product Classification, Embedded Firmware/Encryption, and Technology Transfer</w:t>
      </w:r>
    </w:p>
    <w:p>
      <w:pPr>
        <w:pStyle w:val="FirstParagraph"/>
      </w:pPr>
      <w:r>
        <w:t xml:space="preserve">4.13</w:t>
      </w:r>
      <w:r>
        <w:t xml:space="preserve"> </w:t>
      </w:r>
      <w:r>
        <w:rPr>
          <w:b/>
          <w:bCs/>
        </w:rPr>
        <w:t xml:space="preserve">EAR99 classification.</w:t>
      </w:r>
      <w:r>
        <w:t xml:space="preserve"> </w:t>
      </w:r>
      <w:r>
        <w:t xml:space="preserve">Both the CancerDetect RX-700 (HTS 3822.19.5000) and the CalibPro 3100 (HTS 9027.80.4530) are classified EAR99. EAR99 classification does not exempt the items from the SSR — Syria is a comprehensively sanctioned destination — so the OFAC specific license remains the operative authorization. The EAR99 classification is, however, favorable: it means no separate BIS license is required for the export of the items on classification grounds (subject to the Country Group E:1 considerations noted below), and it simplifies the export-control side of the application.</w:t>
      </w:r>
    </w:p>
    <w:p>
      <w:pPr>
        <w:pStyle w:val="BodyText"/>
      </w:pPr>
      <w:r>
        <w:t xml:space="preserve">4.14</w:t>
      </w:r>
      <w:r>
        <w:t xml:space="preserve"> </w:t>
      </w:r>
      <w:r>
        <w:rPr>
          <w:b/>
          <w:bCs/>
        </w:rPr>
        <w:t xml:space="preserve">Embedded firmware and encryption.</w:t>
      </w:r>
      <w:r>
        <w:t xml:space="preserve"> </w:t>
      </w:r>
      <w:r>
        <w:t xml:space="preserve">The CalibPro 3100 contains embedded firmware (version 4.2.1) that uses AES-128 encryption for internal data-integrity authentication of calibration results. Meridian’s engineering and regulatory teams have determined that this functionality is limited to internal data authentication, does not provide external communications security, and does not bring the unit within ECCN Category 5, Part 2 (encryption items), such that the EAR99 classification is preserved. This analysis should be</w:t>
      </w:r>
      <w:r>
        <w:t xml:space="preserve"> </w:t>
      </w:r>
      <w:r>
        <w:rPr>
          <w:b/>
          <w:bCs/>
        </w:rPr>
        <w:t xml:space="preserve">documented</w:t>
      </w:r>
      <w:r>
        <w:t xml:space="preserve"> </w:t>
      </w:r>
      <w:r>
        <w:t xml:space="preserve">in writing — both because Graystone’s September 2023 audit (Finding 3) recommended that Meridian’s new-product risk-assessment template capture embedded software/firmware and encryption classification, and because OFAC or BIS may ask. The Product Technical Data Sheets (Exhibit C) already contain the relevant representations; we should confirm that a stand-alone encryption-classification memo exists in Meridian’s file and reference it if needed.</w:t>
      </w:r>
    </w:p>
    <w:p>
      <w:pPr>
        <w:pStyle w:val="BodyText"/>
      </w:pPr>
      <w:r>
        <w:t xml:space="preserve">4.15</w:t>
      </w:r>
      <w:r>
        <w:t xml:space="preserve"> </w:t>
      </w:r>
      <w:r>
        <w:rPr>
          <w:b/>
          <w:bCs/>
        </w:rPr>
        <w:t xml:space="preserve">Firmware updates are a separate transaction.</w:t>
      </w:r>
      <w:r>
        <w:t xml:space="preserve"> </w:t>
      </w:r>
      <w:r>
        <w:t xml:space="preserve">The data sheets expressly state that any firmware update, patch, or modification beyond the factory-installed version 4.2.1 constitutes a separate transaction that may require independent authorization, and that Meridian does not provide over-the-air updates (updates require physical USB media). The application accordingly represents that</w:t>
      </w:r>
      <w:r>
        <w:t xml:space="preserve"> </w:t>
      </w:r>
      <w:r>
        <w:rPr>
          <w:b/>
          <w:bCs/>
        </w:rPr>
        <w:t xml:space="preserve">no firmware updates are contemplated under this license</w:t>
      </w:r>
      <w:r>
        <w:t xml:space="preserve"> </w:t>
      </w:r>
      <w:r>
        <w:t xml:space="preserve">and that any update would be a separate transaction requiring independent authorization. This is the correct framing and forecloses a potential scope concern.</w:t>
      </w:r>
    </w:p>
    <w:p>
      <w:pPr>
        <w:pStyle w:val="BodyText"/>
      </w:pPr>
      <w:r>
        <w:t xml:space="preserve">4.16</w:t>
      </w:r>
      <w:r>
        <w:t xml:space="preserve"> </w:t>
      </w:r>
      <w:r>
        <w:rPr>
          <w:b/>
          <w:bCs/>
        </w:rPr>
        <w:t xml:space="preserve">Remote training as technology transfer.</w:t>
      </w:r>
      <w:r>
        <w:t xml:space="preserve"> </w:t>
      </w:r>
      <w:r>
        <w:t xml:space="preserve">The 40 hours of remote training involves the transfer of technical data and know-how (including proprietary instrument schematics, a software reference manual, and calibration algorithm parameters) to DCUH personnel in Syria. Even though the underlying products are EAR99, the provision of technical data to persons in Syria is an export of technology subject to the EAR and prohibited under the SSR absent authorization. The application therefore includes the training within the scope of the requested OFAC authorization and represents that no controlled technology above the EAR99 classification, and no source code or design-level technical data, will be transferred. Because Syria is in Country Group E:1, we should confirm with Meridian’s export-control counsel/regulatory team that no separate BIS authorization is required for the technology transfer; on the present facts (EAR99 technology, no 5D002/5E002 content), we do not expect a separate BIS license to be required, but this should be verified and documented.</w:t>
      </w:r>
    </w:p>
    <w:p>
      <w:pPr>
        <w:pStyle w:val="BodyText"/>
      </w:pPr>
      <w:r>
        <w:t xml:space="preserve">4.17</w:t>
      </w:r>
      <w:r>
        <w:t xml:space="preserve"> </w:t>
      </w:r>
      <w:r>
        <w:rPr>
          <w:b/>
          <w:bCs/>
        </w:rPr>
        <w:t xml:space="preserve">Deemed export.</w:t>
      </w:r>
      <w:r>
        <w:t xml:space="preserve"> </w:t>
      </w:r>
      <w:r>
        <w:t xml:space="preserve">Because the training is delivered remotely to personnel physically located in Syria (not to foreign nationals located in the United States), the</w:t>
      </w:r>
      <w:r>
        <w:t xml:space="preserve"> </w:t>
      </w:r>
      <w:r>
        <w:t xml:space="preserve">“</w:t>
      </w:r>
      <w:r>
        <w:t xml:space="preserve">deemed export</w:t>
      </w:r>
      <w:r>
        <w:t xml:space="preserve">”</w:t>
      </w:r>
      <w:r>
        <w:t xml:space="preserve"> </w:t>
      </w:r>
      <w:r>
        <w:t xml:space="preserve">rule (15 C.F.R. § 734.13) is not directly implicated. The relevant framework is the export of technology to Syria, addressed above.</w:t>
      </w:r>
    </w:p>
    <w:bookmarkEnd w:id="27"/>
    <w:bookmarkStart w:id="28" w:name="Xb66225858de07bf5cf98196e7a61fcf44d504f7"/>
    <w:p>
      <w:pPr>
        <w:pStyle w:val="Heading3"/>
      </w:pPr>
      <w:r>
        <w:t xml:space="preserve">Issue 5 — Transshipment, the Bab al-Hawa Route, and Custody/Control</w:t>
      </w:r>
    </w:p>
    <w:p>
      <w:pPr>
        <w:pStyle w:val="FirstParagraph"/>
      </w:pPr>
      <w:r>
        <w:t xml:space="preserve">4.18</w:t>
      </w:r>
      <w:r>
        <w:t xml:space="preserve"> </w:t>
      </w:r>
      <w:r>
        <w:rPr>
          <w:b/>
          <w:bCs/>
        </w:rPr>
        <w:t xml:space="preserve">Transshipment through Turkey.</w:t>
      </w:r>
      <w:r>
        <w:t xml:space="preserve"> </w:t>
      </w:r>
      <w:r>
        <w:t xml:space="preserve">Transshipment through a third country (Turkey) is permissible under an OFAC specific license provided the goods remain destined for the authorized end-user and are not sold, transferred, or disposed of in the transit country. AMTW (the Turkish transit warehouse) and its managing director screened clean, and Turkey is not a comprehensively sanctioned jurisdiction. The application represents that AMTW serves solely as a temporary consolidation and re-export facility and that no sale or transfer occurs in Turkey. This is consistent with the prior license, which authorized the same Mersin-Port-to-Damascus routing.</w:t>
      </w:r>
    </w:p>
    <w:p>
      <w:pPr>
        <w:pStyle w:val="BodyText"/>
      </w:pPr>
      <w:r>
        <w:t xml:space="preserve">4.19</w:t>
      </w:r>
      <w:r>
        <w:t xml:space="preserve"> </w:t>
      </w:r>
      <w:r>
        <w:rPr>
          <w:b/>
          <w:bCs/>
        </w:rPr>
        <w:t xml:space="preserve">Bab al-Hawa crossing — feasibility and authorization considerations.</w:t>
      </w:r>
      <w:r>
        <w:t xml:space="preserve"> </w:t>
      </w:r>
      <w:r>
        <w:t xml:space="preserve">The proposed route contemplates re-export from Ankara through the</w:t>
      </w:r>
      <w:r>
        <w:t xml:space="preserve"> </w:t>
      </w:r>
      <w:r>
        <w:rPr>
          <w:b/>
          <w:bCs/>
        </w:rPr>
        <w:t xml:space="preserve">Bab al-Hawa border crossing</w:t>
      </w:r>
      <w:r>
        <w:t xml:space="preserve"> </w:t>
      </w:r>
      <w:r>
        <w:t xml:space="preserve">into Syria and onward to Damascus. Two considerations warrant attention:</w:t>
      </w:r>
    </w:p>
    <w:p>
      <w:pPr>
        <w:pStyle w:val="Compact"/>
        <w:numPr>
          <w:ilvl w:val="0"/>
          <w:numId w:val="1004"/>
        </w:numPr>
      </w:pPr>
      <w:r>
        <w:rPr>
          <w:b/>
          <w:bCs/>
        </w:rPr>
        <w:t xml:space="preserve">(a) Feasibility/security.</w:t>
      </w:r>
      <w:r>
        <w:t xml:space="preserve"> </w:t>
      </w:r>
      <w:r>
        <w:t xml:space="preserve">The Bab al-Hawa crossing is the principal UN-authorized cross-border humanitarian crossing into northwest Syria and is controlled on the Syrian side by non-state actors. Routing commercial goods from Bab al-Hawa onward to government-controlled Damascus requires transit across active front lines and may not be practically or politically feasible. This is primarily a logistics and security question for Pinnacle and the Client, but it bears on whether the shipment can in fact be completed within the license term and on the risk of diversion en route. We should flag this to the Client and ask Pinnacle to confirm the feasibility of the Ankara → Bab al-Hawa → Damascus leg, and to identify an alternative crossing into government-controlled Syria (e.g., a crossing directly into Syrian government-controlled territory) if the Bab al-Hawa route is not viable. The license should not be tied to a single crossing; we have framed the application to authorize in-country delivery to DCUH without mandating a specific border crossing.</w:t>
      </w:r>
    </w:p>
    <w:p>
      <w:pPr>
        <w:pStyle w:val="Compact"/>
        <w:numPr>
          <w:ilvl w:val="0"/>
          <w:numId w:val="1004"/>
        </w:numPr>
      </w:pPr>
      <w:r>
        <w:rPr>
          <w:b/>
          <w:bCs/>
        </w:rPr>
        <w:t xml:space="preserve">(b) Authorization regime.</w:t>
      </w:r>
      <w:r>
        <w:t xml:space="preserve"> </w:t>
      </w:r>
      <w:r>
        <w:t xml:space="preserve">The Bab al-Hawa crossing operates under a UN cross-border humanitarian authorization regime. Use of that crossing for a commercial (non-UN) shipment could implicate considerations distinct from the OFAC license. We do not expect this to require a separate OFAC authorization beyond the specific license requested, but the Client should confirm with Pinnacle that the proposed routing does not conflict with the UN cross-border mechanism or with Turkish export requirements.</w:t>
      </w:r>
    </w:p>
    <w:p>
      <w:pPr>
        <w:pStyle w:val="FirstParagraph"/>
      </w:pPr>
      <w:r>
        <w:t xml:space="preserve">4.20</w:t>
      </w:r>
      <w:r>
        <w:t xml:space="preserve"> </w:t>
      </w:r>
      <w:r>
        <w:rPr>
          <w:b/>
          <w:bCs/>
        </w:rPr>
        <w:t xml:space="preserve">Cold-chain.</w:t>
      </w:r>
      <w:r>
        <w:t xml:space="preserve"> </w:t>
      </w:r>
      <w:r>
        <w:t xml:space="preserve">The reagent kits require continuous 2–8°C cold-chain maintenance. Pinnacle’s plan (reefer container, validated insulated containers with data loggers, AMTW pharmaceutical-grade cold storage, refrigerated trucks for the final legs) appears adequate. A cold-chain failure would not create a sanctions issue but would defeat the humanitarian purpose and waste the licensed shipment. We recommend the Client confirm ARMPC’s/DCUH’s cold-chain receiving capability at destination (Pinnacle’s plan notes this confirmation is pending).</w:t>
      </w:r>
    </w:p>
    <w:bookmarkEnd w:id="28"/>
    <w:bookmarkStart w:id="29" w:name="Xefc0e1d1520970aed1b275b3e6d081631f1deff"/>
    <w:p>
      <w:pPr>
        <w:pStyle w:val="Heading3"/>
      </w:pPr>
      <w:r>
        <w:t xml:space="preserve">Issue 6 — Compliance Program, Track Record, and End-Use Monitoring</w:t>
      </w:r>
    </w:p>
    <w:p>
      <w:pPr>
        <w:pStyle w:val="FirstParagraph"/>
      </w:pPr>
      <w:r>
        <w:t xml:space="preserve">4.21</w:t>
      </w:r>
      <w:r>
        <w:t xml:space="preserve"> </w:t>
      </w:r>
      <w:r>
        <w:rPr>
          <w:b/>
          <w:bCs/>
        </w:rPr>
        <w:t xml:space="preserve">Favorable factors.</w:t>
      </w:r>
      <w:r>
        <w:t xml:space="preserve"> </w:t>
      </w:r>
      <w:r>
        <w:t xml:space="preserve">Meridian’s compliance posture is a significant asset: a program in place since 2015; an independent audit rated</w:t>
      </w:r>
      <w:r>
        <w:t xml:space="preserve"> </w:t>
      </w:r>
      <w:r>
        <w:t xml:space="preserve">“</w:t>
      </w:r>
      <w:r>
        <w:t xml:space="preserve">Satisfactory with Recommendations</w:t>
      </w:r>
      <w:r>
        <w:t xml:space="preserve">”</w:t>
      </w:r>
      <w:r>
        <w:t xml:space="preserve">; real-time beneficial ownership screening implemented in January 2024 (which is what caught the Khoury designation — a fact that affirmatively demonstrates the program works); 97% training completion; five-year recordkeeping; and no enforcement history. The successful administration of the prior license, including timely post-shipment reporting and compliance with the CBS-payment prohibition, is directly relevant precedent. These factors should be featured prominently in the application (Sections XI–XII) and support a favorable view.</w:t>
      </w:r>
    </w:p>
    <w:p>
      <w:pPr>
        <w:pStyle w:val="BodyText"/>
      </w:pPr>
      <w:r>
        <w:t xml:space="preserve">4.22</w:t>
      </w:r>
      <w:r>
        <w:t xml:space="preserve"> </w:t>
      </w:r>
      <w:r>
        <w:rPr>
          <w:b/>
          <w:bCs/>
        </w:rPr>
        <w:t xml:space="preserve">End-use monitoring.</w:t>
      </w:r>
      <w:r>
        <w:t xml:space="preserve"> </w:t>
      </w:r>
      <w:r>
        <w:t xml:space="preserve">Graystone’s Finding 2 (medium priority) noted that post-delivery end-use monitoring under the prior license was limited to delivery confirmation, with no ongoing verification that goods remained with the end-user or were used for the stated purpose. OFAC expects licensees operating in comprehensively sanctioned jurisdictions to implement robust end-use monitoring. We have therefore built an enhanced end-use monitoring plan into the application (delivery confirmation with photographic/documentary evidence; an executed end-user non-diversion certificate; at least annual usage reporting; a site-verification mechanism as feasible). Meridian should finalize this written plan (Exhibit H) and be prepared to provide it to OFAC on request. Implementing it will both strengthen the application and close the Graystone finding.</w:t>
      </w:r>
    </w:p>
    <w:bookmarkEnd w:id="29"/>
    <w:bookmarkStart w:id="30" w:name="issue-7-timing-and-license-term"/>
    <w:p>
      <w:pPr>
        <w:pStyle w:val="Heading3"/>
      </w:pPr>
      <w:r>
        <w:t xml:space="preserve">Issue 7 — Timing and License Term</w:t>
      </w:r>
    </w:p>
    <w:p>
      <w:pPr>
        <w:pStyle w:val="FirstParagraph"/>
      </w:pPr>
      <w:r>
        <w:t xml:space="preserve">4.23</w:t>
      </w:r>
      <w:r>
        <w:t xml:space="preserve"> </w:t>
      </w:r>
      <w:r>
        <w:rPr>
          <w:b/>
          <w:bCs/>
        </w:rPr>
        <w:t xml:space="preserve">Processing time.</w:t>
      </w:r>
      <w:r>
        <w:t xml:space="preserve"> </w:t>
      </w:r>
      <w:r>
        <w:t xml:space="preserve">OFAC processing for Syria specific licenses commonly runs 90–180 days (and can be longer for matters involving SDN nexuses, which may require interagency consultation). Filing in early July 2024 gives a reasonable prospect of issuance on or about the Client’s target effective date of September 1, 2024, though we should set Client expectations that issuance could slip into the fourth quarter, particularly given the Khoury and CBS issues.</w:t>
      </w:r>
    </w:p>
    <w:p>
      <w:pPr>
        <w:pStyle w:val="BodyText"/>
      </w:pPr>
      <w:r>
        <w:t xml:space="preserve">4.24</w:t>
      </w:r>
      <w:r>
        <w:t xml:space="preserve"> </w:t>
      </w:r>
      <w:r>
        <w:rPr>
          <w:b/>
          <w:bCs/>
        </w:rPr>
        <w:t xml:space="preserve">Requested term.</w:t>
      </w:r>
      <w:r>
        <w:t xml:space="preserve"> </w:t>
      </w:r>
      <w:r>
        <w:t xml:space="preserve">The Client requests September 1, 2024 through February 28, 2026 (eighteen months). This is reasonable: it accommodates issuance slippage, the 6–8 week transit window, clinical deployment, and the 18-month shelf life of the reagent kits, while the 500 kits cover approximately 15 months of DCUH’s diagnostic workload. We have requested this term. We have not requested automatic renewal (consistent with the prior license), and we have represented that any transactions not completed by expiration will require a new application.</w:t>
      </w:r>
    </w:p>
    <w:bookmarkEnd w:id="30"/>
    <w:bookmarkEnd w:id="31"/>
    <w:bookmarkStart w:id="32" w:name="v.-recommended-application-strategy"/>
    <w:p>
      <w:pPr>
        <w:pStyle w:val="Heading2"/>
      </w:pPr>
      <w:r>
        <w:t xml:space="preserve">V. Recommended Application Strategy</w:t>
      </w:r>
    </w:p>
    <w:p>
      <w:pPr>
        <w:pStyle w:val="FirstParagraph"/>
      </w:pPr>
      <w:r>
        <w:t xml:space="preserve">5.1</w:t>
      </w:r>
      <w:r>
        <w:t xml:space="preserve"> </w:t>
      </w:r>
      <w:r>
        <w:rPr>
          <w:b/>
          <w:bCs/>
        </w:rPr>
        <w:t xml:space="preserve">File now on a structured, fully-disclosed basis.</w:t>
      </w:r>
      <w:r>
        <w:t xml:space="preserve"> </w:t>
      </w:r>
      <w:r>
        <w:t xml:space="preserve">We recommend filing the application contemporaneously with this memorandum, structured as follows:</w:t>
      </w:r>
    </w:p>
    <w:p>
      <w:pPr>
        <w:pStyle w:val="Compact"/>
        <w:numPr>
          <w:ilvl w:val="0"/>
          <w:numId w:val="1005"/>
        </w:numPr>
      </w:pPr>
      <w:r>
        <w:rPr>
          <w:b/>
          <w:bCs/>
        </w:rPr>
        <w:t xml:space="preserve">Request a specific license</w:t>
      </w:r>
      <w:r>
        <w:t xml:space="preserve"> </w:t>
      </w:r>
      <w:r>
        <w:t xml:space="preserve">(not rely on any general license) authorizing the export of the goods and training to DCUH, with all incidental transactions, for the period September 1, 2024 – February 28, 2026.</w:t>
      </w:r>
    </w:p>
    <w:p>
      <w:pPr>
        <w:pStyle w:val="Compact"/>
        <w:numPr>
          <w:ilvl w:val="0"/>
          <w:numId w:val="1005"/>
        </w:numPr>
      </w:pPr>
      <w:r>
        <w:rPr>
          <w:b/>
          <w:bCs/>
        </w:rPr>
        <w:t xml:space="preserve">Disclose DCUH’s governmental status</w:t>
      </w:r>
      <w:r>
        <w:t xml:space="preserve"> </w:t>
      </w:r>
      <w:r>
        <w:t xml:space="preserve">and request authorization notwithstanding DCUH’s and the Ministry of Health’s status as Government of Syria instrumentalities.</w:t>
      </w:r>
    </w:p>
    <w:p>
      <w:pPr>
        <w:pStyle w:val="Compact"/>
        <w:numPr>
          <w:ilvl w:val="0"/>
          <w:numId w:val="1005"/>
        </w:numPr>
      </w:pPr>
      <w:r>
        <w:rPr>
          <w:b/>
          <w:bCs/>
        </w:rPr>
        <w:t xml:space="preserve">Disclose the ARMPC/Khoury SDN nexus in full</w:t>
      </w:r>
      <w:r>
        <w:t xml:space="preserve"> </w:t>
      </w:r>
      <w:r>
        <w:t xml:space="preserve">and propose, as the primary structure, that ARMPC will</w:t>
      </w:r>
      <w:r>
        <w:t xml:space="preserve"> </w:t>
      </w:r>
      <w:r>
        <w:rPr>
          <w:b/>
          <w:bCs/>
        </w:rPr>
        <w:t xml:space="preserve">not</w:t>
      </w:r>
      <w:r>
        <w:t xml:space="preserve"> </w:t>
      </w:r>
      <w:r>
        <w:t xml:space="preserve">be used and that DCUH will designate a screened, non-SDN customs clearance agent (with Meridian to notify OFAC of the designated agent prior to shipment). Preserve, as an alternative, a request for specific authorization of ARMPC’s ministerial role subject to conditions.</w:t>
      </w:r>
    </w:p>
    <w:p>
      <w:pPr>
        <w:pStyle w:val="Compact"/>
        <w:numPr>
          <w:ilvl w:val="0"/>
          <w:numId w:val="1005"/>
        </w:numPr>
      </w:pPr>
      <w:r>
        <w:rPr>
          <w:b/>
          <w:bCs/>
        </w:rPr>
        <w:t xml:space="preserve">Disclose the CBS SDN status</w:t>
      </w:r>
      <w:r>
        <w:t xml:space="preserve"> </w:t>
      </w:r>
      <w:r>
        <w:t xml:space="preserve">and propose payment via a non-SDN-listed financial institution (non-SDN Syrian commercial bank or third-country bank), with the license conditioned to prohibit routing through CBS or any SDN-listed person — mirroring the prior license.</w:t>
      </w:r>
    </w:p>
    <w:p>
      <w:pPr>
        <w:pStyle w:val="Compact"/>
        <w:numPr>
          <w:ilvl w:val="0"/>
          <w:numId w:val="1005"/>
        </w:numPr>
      </w:pPr>
      <w:r>
        <w:rPr>
          <w:b/>
          <w:bCs/>
        </w:rPr>
        <w:t xml:space="preserve">Feature the humanitarian justification</w:t>
      </w:r>
      <w:r>
        <w:t xml:space="preserve"> </w:t>
      </w:r>
      <w:r>
        <w:t xml:space="preserve">(WHO needs assessment; breast cancer biomarker diagnostics; &gt;14-month backlog; survival-rate decline) and the alignment of the transaction with WHO’s express recommendations.</w:t>
      </w:r>
    </w:p>
    <w:p>
      <w:pPr>
        <w:pStyle w:val="Compact"/>
        <w:numPr>
          <w:ilvl w:val="0"/>
          <w:numId w:val="1005"/>
        </w:numPr>
      </w:pPr>
      <w:r>
        <w:rPr>
          <w:b/>
          <w:bCs/>
        </w:rPr>
        <w:t xml:space="preserve">Feature the compliance program and prior license track record</w:t>
      </w:r>
      <w:r>
        <w:t xml:space="preserve">, including the January 2024 beneficial-ownership screening enhancement that detected the Khoury designation.</w:t>
      </w:r>
    </w:p>
    <w:p>
      <w:pPr>
        <w:pStyle w:val="Compact"/>
        <w:numPr>
          <w:ilvl w:val="0"/>
          <w:numId w:val="1005"/>
        </w:numPr>
      </w:pPr>
      <w:r>
        <w:rPr>
          <w:b/>
          <w:bCs/>
        </w:rPr>
        <w:t xml:space="preserve">Propose robust license conditions</w:t>
      </w:r>
      <w:r>
        <w:t xml:space="preserve"> </w:t>
      </w:r>
      <w:r>
        <w:t xml:space="preserve">(recordkeeping; 30-day post-shipment reports; non-diversion; no SDN/50%-rule dealings except as authorized; CBS-payment prohibition; clean customs agent; remote-only training with no controlled-technology transfer; end-use monitoring; 90-day and pre-shipment re-screening; material-change reporting; no EAR relief).</w:t>
      </w:r>
    </w:p>
    <w:p>
      <w:pPr>
        <w:pStyle w:val="FirstParagraph"/>
      </w:pPr>
      <w:r>
        <w:t xml:space="preserve">5.2</w:t>
      </w:r>
      <w:r>
        <w:t xml:space="preserve"> </w:t>
      </w:r>
      <w:r>
        <w:rPr>
          <w:b/>
          <w:bCs/>
        </w:rPr>
        <w:t xml:space="preserve">Tone and candor.</w:t>
      </w:r>
      <w:r>
        <w:t xml:space="preserve"> </w:t>
      </w:r>
      <w:r>
        <w:t xml:space="preserve">The application should be candid and complete. OFAC licensing staff respond poorly to applications that minimize or omit known SDN nexuses; the Client’s credibility — established by the prior license — is itself an asset we should protect by over-disclosing rather than under-disclosing. The application is drafted accordingly.</w:t>
      </w:r>
    </w:p>
    <w:bookmarkEnd w:id="32"/>
    <w:bookmarkStart w:id="33" w:name="Xbb3ad0af786817825d628c793bfdeea4c994747"/>
    <w:p>
      <w:pPr>
        <w:pStyle w:val="Heading2"/>
      </w:pPr>
      <w:r>
        <w:t xml:space="preserve">VI. Risk Assessment and Likelihood of Issuance</w:t>
      </w:r>
    </w:p>
    <w:p>
      <w:pPr>
        <w:pStyle w:val="FirstParagraph"/>
      </w:pPr>
      <w:r>
        <w:t xml:space="preserve">6.1</w:t>
      </w:r>
      <w:r>
        <w:t xml:space="preserve"> </w:t>
      </w:r>
      <w:r>
        <w:rPr>
          <w:b/>
          <w:bCs/>
        </w:rPr>
        <w:t xml:space="preserve">Favorable factors.</w:t>
      </w:r>
      <w:r>
        <w:t xml:space="preserve"> </w:t>
      </w:r>
      <w:r>
        <w:t xml:space="preserve">Purely humanitarian medical goods with no dual-use character; EAR99 classification; a civilian public-hospital end-user; direct alignment with WHO-identified needs and recommendations; a clean, audited compliance program; a successful prior specific license for an analogous transaction with full condition compliance; and no enforcement history.</w:t>
      </w:r>
    </w:p>
    <w:p>
      <w:pPr>
        <w:pStyle w:val="BodyText"/>
      </w:pPr>
      <w:r>
        <w:t xml:space="preserve">6.2</w:t>
      </w:r>
      <w:r>
        <w:t xml:space="preserve"> </w:t>
      </w:r>
      <w:r>
        <w:rPr>
          <w:b/>
          <w:bCs/>
        </w:rPr>
        <w:t xml:space="preserve">Unfavorable / managing factors.</w:t>
      </w:r>
      <w:r>
        <w:t xml:space="preserve"> </w:t>
      </w:r>
      <w:r>
        <w:t xml:space="preserve">(a) The end-user is a blocked Government of Syria instrumentality (manageable — precedent exists); (b) the original customs agent has an SDN 30% shareholder designated for military-procurement-network activity (manageable via substitution, but sensitive); (c) the original remitting bank is SDN-listed (manageable via substitution, with direct precedent); and (d) Syria is a comprehensively sanctioned, Country Group E:1 jurisdiction, so OFAC will scrutinize diversion risk.</w:t>
      </w:r>
    </w:p>
    <w:p>
      <w:pPr>
        <w:pStyle w:val="BodyText"/>
      </w:pPr>
      <w:r>
        <w:t xml:space="preserve">6.3</w:t>
      </w:r>
      <w:r>
        <w:t xml:space="preserve"> </w:t>
      </w:r>
      <w:r>
        <w:rPr>
          <w:b/>
          <w:bCs/>
        </w:rPr>
        <w:t xml:space="preserve">Assessment.</w:t>
      </w:r>
      <w:r>
        <w:t xml:space="preserve"> </w:t>
      </w:r>
      <w:r>
        <w:t xml:space="preserve">We assess the likelihood of issuance as</w:t>
      </w:r>
      <w:r>
        <w:t xml:space="preserve"> </w:t>
      </w:r>
      <w:r>
        <w:rPr>
          <w:b/>
          <w:bCs/>
        </w:rPr>
        <w:t xml:space="preserve">moderate-to-favorable</w:t>
      </w:r>
      <w:r>
        <w:t xml:space="preserve">, contingent on the structuring in Part V: substituting a non-SDN remitting bank; substituting a clean customs clearance agent (or obtaining specific authorization for ARMPC’s ministerial role); and full disclosure. If the Client can present a named, screened substitute bank and customs agent during OFAC’s review, the prospect of issuance improves materially. The principal residual uncertainty is OFAC’s reaction to the Khoury/ARMPC nexus; substitution of a clean agent largely removes that uncertainty, which is why we recommend it as the primary structure.</w:t>
      </w:r>
    </w:p>
    <w:p>
      <w:pPr>
        <w:pStyle w:val="BodyText"/>
      </w:pPr>
      <w:r>
        <w:t xml:space="preserve">6.4</w:t>
      </w:r>
      <w:r>
        <w:t xml:space="preserve"> </w:t>
      </w:r>
      <w:r>
        <w:rPr>
          <w:b/>
          <w:bCs/>
        </w:rPr>
        <w:t xml:space="preserve">Worst case.</w:t>
      </w:r>
      <w:r>
        <w:t xml:space="preserve"> </w:t>
      </w:r>
      <w:r>
        <w:t xml:space="preserve">If OFAC declines to authorize any involvement of ARMPC and DCUH cannot substitute a clean agent, the transaction may not be licensable on the current end-user logistics structure, and we would need to explore alternative in-country delivery arrangements or a different end-user. We should surface this possibility to the Client now so it can begin identifying a substitute agent in parallel with the filing.</w:t>
      </w:r>
    </w:p>
    <w:bookmarkEnd w:id="33"/>
    <w:bookmarkStart w:id="34" w:name="X40a54e09221c77dc88b42d0df7cfdd54bffca08"/>
    <w:p>
      <w:pPr>
        <w:pStyle w:val="Heading2"/>
      </w:pPr>
      <w:r>
        <w:t xml:space="preserve">VII. Recommended Next Steps and Action Items</w:t>
      </w:r>
    </w:p>
    <w:p>
      <w:pPr>
        <w:pStyle w:val="FirstParagraph"/>
      </w:pPr>
      <w:r>
        <w:t xml:space="preserve">7.1</w:t>
      </w:r>
      <w:r>
        <w:t xml:space="preserve"> </w:t>
      </w:r>
      <w:r>
        <w:rPr>
          <w:b/>
          <w:bCs/>
        </w:rPr>
        <w:t xml:space="preserve">Client action items:</w:t>
      </w:r>
    </w:p>
    <w:p>
      <w:pPr>
        <w:pStyle w:val="Compact"/>
        <w:numPr>
          <w:ilvl w:val="0"/>
          <w:numId w:val="1006"/>
        </w:numPr>
      </w:pPr>
      <w:r>
        <w:rPr>
          <w:b/>
          <w:bCs/>
        </w:rPr>
        <w:t xml:space="preserve">Obtain DCUH’s agreement to substitute a customs clearance agent</w:t>
      </w:r>
      <w:r>
        <w:t xml:space="preserve"> </w:t>
      </w:r>
      <w:r>
        <w:t xml:space="preserve">(or to perform customs clearance directly) and identify a candidate agent for Meridian to screen. Target: within 30 days.</w:t>
      </w:r>
    </w:p>
    <w:p>
      <w:pPr>
        <w:pStyle w:val="Compact"/>
        <w:numPr>
          <w:ilvl w:val="0"/>
          <w:numId w:val="1006"/>
        </w:numPr>
      </w:pPr>
      <w:r>
        <w:rPr>
          <w:b/>
          <w:bCs/>
        </w:rPr>
        <w:t xml:space="preserve">Confirm the non-SDN remitting bank</w:t>
      </w:r>
      <w:r>
        <w:t xml:space="preserve"> </w:t>
      </w:r>
      <w:r>
        <w:t xml:space="preserve">with DCUH (non-SDN Syrian commercial bank or third-country bank) and provide the bank’s name and details to Peggy Dunleavy’s team for screening. Target: within 30 days.</w:t>
      </w:r>
    </w:p>
    <w:p>
      <w:pPr>
        <w:pStyle w:val="Compact"/>
        <w:numPr>
          <w:ilvl w:val="0"/>
          <w:numId w:val="1006"/>
        </w:numPr>
      </w:pPr>
      <w:r>
        <w:rPr>
          <w:b/>
          <w:bCs/>
        </w:rPr>
        <w:t xml:space="preserve">Finalize the written End-Use Monitoring Plan</w:t>
      </w:r>
      <w:r>
        <w:t xml:space="preserve"> </w:t>
      </w:r>
      <w:r>
        <w:t xml:space="preserve">(Exhibit H) consistent with §11.7 of the application and Graystone Finding 2.</w:t>
      </w:r>
    </w:p>
    <w:p>
      <w:pPr>
        <w:pStyle w:val="Compact"/>
        <w:numPr>
          <w:ilvl w:val="0"/>
          <w:numId w:val="1006"/>
        </w:numPr>
      </w:pPr>
      <w:r>
        <w:rPr>
          <w:b/>
          <w:bCs/>
        </w:rPr>
        <w:t xml:space="preserve">Confirm the encryption-classification analysis</w:t>
      </w:r>
      <w:r>
        <w:t xml:space="preserve"> </w:t>
      </w:r>
      <w:r>
        <w:t xml:space="preserve">for the CalibPro 3100 firmware is documented in a stand-alone memo in Meridian’s export-control file.</w:t>
      </w:r>
    </w:p>
    <w:p>
      <w:pPr>
        <w:pStyle w:val="Compact"/>
        <w:numPr>
          <w:ilvl w:val="0"/>
          <w:numId w:val="1006"/>
        </w:numPr>
      </w:pPr>
      <w:r>
        <w:rPr>
          <w:b/>
          <w:bCs/>
        </w:rPr>
        <w:t xml:space="preserve">Confirm with Pinnacle the feasibility of the Ankara → Bab al-Hawa → Damascus route</w:t>
      </w:r>
      <w:r>
        <w:t xml:space="preserve">, and identify an alternative crossing into government-controlled Syria if the Bab al-Hawa route is not viable; confirm DCUH’s cold-chain receiving capability.</w:t>
      </w:r>
    </w:p>
    <w:p>
      <w:pPr>
        <w:pStyle w:val="Compact"/>
        <w:numPr>
          <w:ilvl w:val="0"/>
          <w:numId w:val="1006"/>
        </w:numPr>
      </w:pPr>
      <w:r>
        <w:rPr>
          <w:b/>
          <w:bCs/>
        </w:rPr>
        <w:t xml:space="preserve">Confirm with export-control counsel/regulatory team</w:t>
      </w:r>
      <w:r>
        <w:t xml:space="preserve"> </w:t>
      </w:r>
      <w:r>
        <w:t xml:space="preserve">that no separate BIS authorization is required for the technology transfer in the remote training (EAR99 technology; no 5D002/5E002 content).</w:t>
      </w:r>
    </w:p>
    <w:p>
      <w:pPr>
        <w:pStyle w:val="Compact"/>
        <w:numPr>
          <w:ilvl w:val="0"/>
          <w:numId w:val="1006"/>
        </w:numPr>
      </w:pPr>
      <w:r>
        <w:rPr>
          <w:b/>
          <w:bCs/>
        </w:rPr>
        <w:t xml:space="preserve">Re-screen all parties</w:t>
      </w:r>
      <w:r>
        <w:t xml:space="preserve"> </w:t>
      </w:r>
      <w:r>
        <w:t xml:space="preserve">at 90-day intervals during OFAC’s review and immediately prior to any shipment.</w:t>
      </w:r>
    </w:p>
    <w:p>
      <w:pPr>
        <w:pStyle w:val="FirstParagraph"/>
      </w:pPr>
      <w:r>
        <w:t xml:space="preserve">7.2</w:t>
      </w:r>
      <w:r>
        <w:t xml:space="preserve"> </w:t>
      </w:r>
      <w:r>
        <w:rPr>
          <w:b/>
          <w:bCs/>
        </w:rPr>
        <w:t xml:space="preserve">Counsel action items:</w:t>
      </w:r>
    </w:p>
    <w:p>
      <w:pPr>
        <w:pStyle w:val="Compact"/>
        <w:numPr>
          <w:ilvl w:val="0"/>
          <w:numId w:val="1007"/>
        </w:numPr>
      </w:pPr>
      <w:r>
        <w:t xml:space="preserve">File the application (contemporaneously with this memorandum) and request OFAC acknowledgment of receipt.</w:t>
      </w:r>
    </w:p>
    <w:p>
      <w:pPr>
        <w:pStyle w:val="Compact"/>
        <w:numPr>
          <w:ilvl w:val="0"/>
          <w:numId w:val="1007"/>
        </w:numPr>
      </w:pPr>
      <w:r>
        <w:t xml:space="preserve">Prepare and hold in reserve the End-Use Monitoring Plan and the encryption-classification memo for OFAC on request.</w:t>
      </w:r>
    </w:p>
    <w:p>
      <w:pPr>
        <w:pStyle w:val="Compact"/>
        <w:numPr>
          <w:ilvl w:val="0"/>
          <w:numId w:val="1007"/>
        </w:numPr>
      </w:pPr>
      <w:r>
        <w:t xml:space="preserve">Monitor OFAC’s docket; be prepared to respond to follow-up questions, particularly on the ARMPC/Khoury and CBS matters, and to provide the named substitute bank and customs agent once identified.</w:t>
      </w:r>
    </w:p>
    <w:p>
      <w:pPr>
        <w:pStyle w:val="Compact"/>
        <w:numPr>
          <w:ilvl w:val="0"/>
          <w:numId w:val="1007"/>
        </w:numPr>
      </w:pPr>
      <w:r>
        <w:t xml:space="preserve">Coordinate with Peggy Dunleavy’s team on re-screening cadence and on screening any substitute bank/agent.</w:t>
      </w:r>
    </w:p>
    <w:p>
      <w:pPr>
        <w:pStyle w:val="Compact"/>
        <w:numPr>
          <w:ilvl w:val="0"/>
          <w:numId w:val="1007"/>
        </w:numPr>
      </w:pPr>
      <w:r>
        <w:t xml:space="preserve">Advise the Client on any OFAC communications and on any conditions OFAC proposes to impose.</w:t>
      </w:r>
    </w:p>
    <w:bookmarkEnd w:id="34"/>
    <w:bookmarkStart w:id="35" w:name="X13e54a7c17cecaac75f2044d236acb81fa350be"/>
    <w:p>
      <w:pPr>
        <w:pStyle w:val="Heading2"/>
      </w:pPr>
      <w:r>
        <w:t xml:space="preserve">VIII. Open Items / Information Needed from Client</w:t>
      </w:r>
    </w:p>
    <w:p>
      <w:pPr>
        <w:pStyle w:val="FirstParagraph"/>
      </w:pPr>
      <w:r>
        <w:t xml:space="preserve">The following items remain open and should be resolved during OFAC’s review:</w:t>
      </w:r>
    </w:p>
    <w:p>
      <w:pPr>
        <w:pStyle w:val="Compact"/>
        <w:numPr>
          <w:ilvl w:val="0"/>
          <w:numId w:val="1008"/>
        </w:numPr>
      </w:pPr>
      <w:r>
        <w:rPr>
          <w:b/>
          <w:bCs/>
        </w:rPr>
        <w:t xml:space="preserve">Identity of the substitute (non-SDN) remitting bank</w:t>
      </w:r>
      <w:r>
        <w:t xml:space="preserve"> </w:t>
      </w:r>
      <w:r>
        <w:t xml:space="preserve">and confirmation that DCUH can effect payment through it.</w:t>
      </w:r>
    </w:p>
    <w:p>
      <w:pPr>
        <w:pStyle w:val="Compact"/>
        <w:numPr>
          <w:ilvl w:val="0"/>
          <w:numId w:val="1008"/>
        </w:numPr>
      </w:pPr>
      <w:r>
        <w:rPr>
          <w:b/>
          <w:bCs/>
        </w:rPr>
        <w:t xml:space="preserve">Identity of the substitute customs clearance agent</w:t>
      </w:r>
      <w:r>
        <w:t xml:space="preserve"> </w:t>
      </w:r>
      <w:r>
        <w:t xml:space="preserve">(or confirmation that DCUH will perform customs clearance directly), with screening results.</w:t>
      </w:r>
    </w:p>
    <w:p>
      <w:pPr>
        <w:pStyle w:val="Compact"/>
        <w:numPr>
          <w:ilvl w:val="0"/>
          <w:numId w:val="1008"/>
        </w:numPr>
      </w:pPr>
      <w:r>
        <w:rPr>
          <w:b/>
          <w:bCs/>
        </w:rPr>
        <w:t xml:space="preserve">Finalized End-Use Monitoring Plan</w:t>
      </w:r>
      <w:r>
        <w:t xml:space="preserve"> </w:t>
      </w:r>
      <w:r>
        <w:t xml:space="preserve">(Exhibit H).</w:t>
      </w:r>
    </w:p>
    <w:p>
      <w:pPr>
        <w:pStyle w:val="Compact"/>
        <w:numPr>
          <w:ilvl w:val="0"/>
          <w:numId w:val="1008"/>
        </w:numPr>
      </w:pPr>
      <w:r>
        <w:rPr>
          <w:b/>
          <w:bCs/>
        </w:rPr>
        <w:t xml:space="preserve">Stand-alone encryption-classification memo</w:t>
      </w:r>
      <w:r>
        <w:t xml:space="preserve"> </w:t>
      </w:r>
      <w:r>
        <w:t xml:space="preserve">for the CalibPro 3100 firmware (confirm it exists).</w:t>
      </w:r>
    </w:p>
    <w:p>
      <w:pPr>
        <w:pStyle w:val="Compact"/>
        <w:numPr>
          <w:ilvl w:val="0"/>
          <w:numId w:val="1008"/>
        </w:numPr>
      </w:pPr>
      <w:r>
        <w:rPr>
          <w:b/>
          <w:bCs/>
        </w:rPr>
        <w:t xml:space="preserve">Pinnacle’s confirmation</w:t>
      </w:r>
      <w:r>
        <w:t xml:space="preserve"> </w:t>
      </w:r>
      <w:r>
        <w:t xml:space="preserve">of the feasibility of the Bab al-Hawa → Damascus leg (or an alternative crossing) and of DCUH’s cold-chain receiving capability.</w:t>
      </w:r>
    </w:p>
    <w:p>
      <w:pPr>
        <w:pStyle w:val="Compact"/>
        <w:numPr>
          <w:ilvl w:val="0"/>
          <w:numId w:val="1008"/>
        </w:numPr>
      </w:pPr>
      <w:r>
        <w:rPr>
          <w:b/>
          <w:bCs/>
        </w:rPr>
        <w:t xml:space="preserve">Export-control counsel confirmation</w:t>
      </w:r>
      <w:r>
        <w:t xml:space="preserve"> </w:t>
      </w:r>
      <w:r>
        <w:t xml:space="preserve">that no separate BIS authorization is required for the training technology transfer.</w:t>
      </w:r>
    </w:p>
    <w:p>
      <w:pPr>
        <w:pStyle w:val="Compact"/>
        <w:numPr>
          <w:ilvl w:val="0"/>
          <w:numId w:val="1008"/>
        </w:numPr>
      </w:pPr>
      <w:r>
        <w:rPr>
          <w:b/>
          <w:bCs/>
        </w:rPr>
        <w:t xml:space="preserve">A copy of the prior license</w:t>
      </w:r>
      <w:r>
        <w:t xml:space="preserve"> </w:t>
      </w:r>
      <w:r>
        <w:t xml:space="preserve">(SYR-2021-384712) for the exhibit (the Client has indicated it can provide one).</w:t>
      </w:r>
    </w:p>
    <w:p>
      <w:pPr>
        <w:pStyle w:val="FirstParagraph"/>
      </w:pPr>
      <w:r>
        <w:t xml:space="preserve">We will update this memorandum and the Client as these items are resolved and as OFAC’s review progresses.</w:t>
      </w:r>
    </w:p>
    <w:p>
      <w:r>
        <w:pict>
          <v:rect style="width:0;height:1.5pt" o:hralign="center" o:hrstd="t" o:hr="t"/>
        </w:pict>
      </w:r>
    </w:p>
    <w:p>
      <w:pPr>
        <w:pStyle w:val="FirstParagraph"/>
      </w:pPr>
      <w:r>
        <w:rPr>
          <w:i/>
          <w:iCs/>
        </w:rPr>
        <w:t xml:space="preserve">This memorandum is privileged and confidential, is prepared in anticipation of seeking legal advice and in connection with the representation of Meridian Biotech Solutions, Inc., and is protected by the attorney-client privilege and the attorney work-product doctrine. It is intended solely for the named recipients. Do not distribute outside the named recipients without the prior written approval of Ashford &amp; Whitmore LLP.</w:t>
      </w:r>
    </w:p>
    <w:p>
      <w:pPr>
        <w:pStyle w:val="BodyText"/>
      </w:pPr>
      <w:r>
        <w:rPr>
          <w:i/>
          <w:iCs/>
        </w:rPr>
        <w:t xml:space="preserve">Prepared by: David Osei-Mensah, Senior Associate, Ashford &amp; Whitmore LLP. Reviewed by: Catherine R. Bellingham, Partner, Ashford &amp; Whitmore LLP.</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jc w:val="both"/>
    </w:pPr>
    <w:rPr>
      <w:rFonts w:ascii="Times New Roman" w:cs="Times New Roman" w:hAnsi="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imes New Roman" w:asciiTheme="majorHAnsi" w:cs="Times New Roman" w:cstheme="majorBidi" w:eastAsiaTheme="majorEastAsia" w:hAnsi="Times New Roman" w:hAnsiTheme="majorHAnsi"/>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cs="Times New Roman" w:hAnsi="Times New Roman"/>
      <w:b/>
      <w:color w:val="000000"/>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2026-06-28T10:23:37Z</dcterms:created>
  <dcterms:modified xsi:type="dcterms:W3CDTF">2026-06-28T10:23:37Z</dcterms:modified>
</cp:coreProperties>
</file>

<file path=docProps/custom.xml><?xml version="1.0" encoding="utf-8"?>
<Properties xmlns="http://schemas.openxmlformats.org/officeDocument/2006/custom-properties" xmlns:vt="http://schemas.openxmlformats.org/officeDocument/2006/docPropsVTypes"/>
</file>