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hford-whitmore-llp"/>
    <w:p>
      <w:pPr>
        <w:pStyle w:val="Heading1"/>
      </w:pPr>
      <w:r>
        <w:t xml:space="preserve">ASHFORD &amp; WHITMORE LLP</w:t>
      </w:r>
    </w:p>
    <w:p>
      <w:pPr>
        <w:pStyle w:val="FirstParagraph"/>
      </w:pPr>
      <w:r>
        <w:rPr>
          <w:b/>
          <w:bCs/>
        </w:rPr>
        <w:t xml:space="preserve">1700 K Street NW, Suite 950 · Washington, DC 20006</w:t>
      </w:r>
    </w:p>
    <w:p>
      <w:pPr>
        <w:pStyle w:val="BodyText"/>
      </w:pPr>
      <w:r>
        <w:rPr>
          <w:b/>
          <w:bCs/>
        </w:rPr>
        <w:t xml:space="preserve">Telephone: (202) 555-7700 · Facsimile: (202) 555-7701</w:t>
      </w:r>
    </w:p>
    <w:p>
      <w:r>
        <w:pict>
          <v:rect style="width:0;height:1.5pt" o:hralign="center" o:hrstd="t" o:hr="t"/>
        </w:pict>
      </w:r>
    </w:p>
    <w:bookmarkEnd w:id="20"/>
    <w:bookmarkStart w:id="43" w:name="application-for-specific-license"/>
    <w:p>
      <w:pPr>
        <w:pStyle w:val="Heading1"/>
      </w:pPr>
      <w:r>
        <w:t xml:space="preserve">APPLICATION FOR SPECIFIC LICENSE</w:t>
      </w:r>
    </w:p>
    <w:bookmarkStart w:id="21" w:name="Xe8a09126f2f7b58cf2688813d12472f7823427a"/>
    <w:p>
      <w:pPr>
        <w:pStyle w:val="Heading2"/>
      </w:pPr>
      <w:r>
        <w:t xml:space="preserve">Office of Foreign Assets Control — Syrian Sanctions Regulations, 31 C.F.R. Part 542</w:t>
      </w:r>
    </w:p>
    <w:p>
      <w:pPr>
        <w:pStyle w:val="FirstParagraph"/>
      </w:pPr>
      <w:r>
        <w:rPr>
          <w:b/>
          <w:bCs/>
        </w:rPr>
        <w:t xml:space="preserve">Sanctions Program:</w:t>
      </w:r>
      <w:r>
        <w:t xml:space="preserve"> </w:t>
      </w:r>
      <w:r>
        <w:t xml:space="preserve">Syrian Sanctions Regulations, 31 C.F.R. Part 542; Executive Order 13582 of August 17, 2011; International Emergency Economic Powers Act, 50 U.S.C. §§ 1701–1706</w:t>
      </w:r>
    </w:p>
    <w:p>
      <w:pPr>
        <w:pStyle w:val="BodyText"/>
      </w:pPr>
      <w:r>
        <w:rPr>
          <w:b/>
          <w:bCs/>
        </w:rPr>
        <w:t xml:space="preserve">Date of Application:</w:t>
      </w:r>
      <w:r>
        <w:t xml:space="preserve"> </w:t>
      </w:r>
      <w:r>
        <w:t xml:space="preserve">July 8, 2024</w:t>
      </w:r>
    </w:p>
    <w:p>
      <w:r>
        <w:pict>
          <v:rect style="width:0;height:1.5pt" o:hralign="center" o:hrstd="t" o:hr="t"/>
        </w:pict>
      </w:r>
    </w:p>
    <w:p>
      <w:pPr>
        <w:pStyle w:val="FirstParagraph"/>
      </w:pPr>
      <w:r>
        <w:rPr>
          <w:b/>
          <w:bCs/>
        </w:rPr>
        <w:t xml:space="preserve">Submitted to:</w:t>
      </w:r>
    </w:p>
    <w:p>
      <w:pPr>
        <w:pStyle w:val="BodyText"/>
      </w:pPr>
      <w:r>
        <w:t xml:space="preserve">Director, Licensing Division</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Applicant / Licensee:</w:t>
      </w:r>
    </w:p>
    <w:p>
      <w:pPr>
        <w:pStyle w:val="BodyText"/>
      </w:pPr>
      <w:r>
        <w:t xml:space="preserve">Meridian Biotech Solutions, Inc.</w:t>
      </w:r>
      <w:r>
        <w:t xml:space="preserve"> </w:t>
      </w:r>
      <w:r>
        <w:t xml:space="preserve">4200 Lakeshore Boulevard, Suite 800</w:t>
      </w:r>
      <w:r>
        <w:t xml:space="preserve"> </w:t>
      </w:r>
      <w:r>
        <w:t xml:space="preserve">Cambridge, MA 02142</w:t>
      </w:r>
      <w:r>
        <w:t xml:space="preserve"> </w:t>
      </w:r>
      <w:r>
        <w:t xml:space="preserve">EIN: 47-3928104 · DUNS: 08-471-3920</w:t>
      </w:r>
    </w:p>
    <w:p>
      <w:pPr>
        <w:pStyle w:val="BodyText"/>
      </w:pPr>
      <w:r>
        <w:rPr>
          <w:b/>
          <w:bCs/>
        </w:rPr>
        <w:t xml:space="preserve">Applicant’s Point of Contact:</w:t>
      </w:r>
    </w:p>
    <w:p>
      <w:pPr>
        <w:pStyle w:val="BodyText"/>
      </w:pPr>
      <w:r>
        <w:t xml:space="preserve">Jonathan D. Halsted, General Counsel</w:t>
      </w:r>
      <w:r>
        <w:t xml:space="preserve"> </w:t>
      </w:r>
      <w:r>
        <w:t xml:space="preserve">Meridian Biotech Solutions, Inc.</w:t>
      </w:r>
      <w:r>
        <w:t xml:space="preserve"> </w:t>
      </w:r>
      <w:r>
        <w:t xml:space="preserve">(617) 555-0193 · jhalsted@meridianbiotech.com</w:t>
      </w:r>
    </w:p>
    <w:p>
      <w:pPr>
        <w:pStyle w:val="BodyText"/>
      </w:pPr>
      <w:r>
        <w:rPr>
          <w:b/>
          <w:bCs/>
        </w:rPr>
        <w:t xml:space="preserve">Outside Counsel of Record:</w:t>
      </w:r>
    </w:p>
    <w:p>
      <w:pPr>
        <w:pStyle w:val="BodyText"/>
      </w:pPr>
      <w:r>
        <w:t xml:space="preserve">Ashford &amp; Whitmore LLP</w:t>
      </w:r>
      <w:r>
        <w:t xml:space="preserve"> </w:t>
      </w:r>
      <w:r>
        <w:t xml:space="preserve">1700 K Street NW, Suite 950, Washington, DC 20006</w:t>
      </w:r>
      <w:r>
        <w:t xml:space="preserve"> </w:t>
      </w:r>
      <w:r>
        <w:t xml:space="preserve">Catherine R. Bellingham, Esq. (Partner) — cbellingham@ashfordwhitmore.com</w:t>
      </w:r>
      <w:r>
        <w:t xml:space="preserve"> </w:t>
      </w:r>
      <w:r>
        <w:t xml:space="preserve">David Osei-Mensah, Esq. (Senior Associate) — doesei-mensah@ashfordwhitmore.com</w:t>
      </w:r>
    </w:p>
    <w:p>
      <w:pPr>
        <w:pStyle w:val="BodyText"/>
      </w:pPr>
      <w:r>
        <w:rPr>
          <w:b/>
          <w:bCs/>
        </w:rPr>
        <w:t xml:space="preserve">Re:</w:t>
      </w:r>
      <w:r>
        <w:t xml:space="preserve"> </w:t>
      </w:r>
      <w:r>
        <w:t xml:space="preserve">Request for Specific License Authorizing the Export of CancerDetect RX-700 Reagent Kits, CalibPro 3100 Calibration Units, and Related Remote Training Services to Damascus Central University Hospital, Damascus, Syria</w:t>
      </w:r>
    </w:p>
    <w:p>
      <w:r>
        <w:pict>
          <v:rect style="width:0;height:1.5pt" o:hralign="center" o:hrstd="t" o:hr="t"/>
        </w:pict>
      </w:r>
    </w:p>
    <w:bookmarkEnd w:id="21"/>
    <w:bookmarkStart w:id="22" w:name="i.-introduction-and-summary-of-request"/>
    <w:p>
      <w:pPr>
        <w:pStyle w:val="Heading2"/>
      </w:pPr>
      <w:r>
        <w:t xml:space="preserve">I. Introduction and Summary of Request</w:t>
      </w:r>
    </w:p>
    <w:p>
      <w:pPr>
        <w:pStyle w:val="FirstParagraph"/>
      </w:pPr>
      <w:r>
        <w:t xml:space="preserve">1.1 This application is submitted by</w:t>
      </w:r>
      <w:r>
        <w:t xml:space="preserve"> </w:t>
      </w:r>
      <w:r>
        <w:rPr>
          <w:b/>
          <w:bCs/>
        </w:rPr>
        <w:t xml:space="preserve">Meridian Biotech Solutions, Inc.</w:t>
      </w:r>
      <w:r>
        <w:t xml:space="preserve"> </w:t>
      </w:r>
      <w:r>
        <w:t xml:space="preserve">(</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through its outside counsel, Ashford &amp; Whitmore LLP, to request that the Office of Foreign Assets Control (</w:t>
      </w:r>
      <w:r>
        <w:t xml:space="preserve">“</w:t>
      </w:r>
      <w:r>
        <w:t xml:space="preserve">OFAC</w:t>
      </w:r>
      <w:r>
        <w:t xml:space="preserve">”</w:t>
      </w:r>
      <w:r>
        <w:t xml:space="preserve">) issue a</w:t>
      </w:r>
      <w:r>
        <w:t xml:space="preserve"> </w:t>
      </w:r>
      <w:r>
        <w:rPr>
          <w:b/>
          <w:bCs/>
        </w:rPr>
        <w:t xml:space="preserve">specific license</w:t>
      </w:r>
      <w:r>
        <w:t xml:space="preserve"> </w:t>
      </w:r>
      <w:r>
        <w:t xml:space="preserve">authorizing the Applicant to export cancer diagnostic reagent kits, laboratory calibration instruments, and related remote training services to</w:t>
      </w:r>
      <w:r>
        <w:t xml:space="preserve"> </w:t>
      </w:r>
      <w:r>
        <w:rPr>
          <w:b/>
          <w:bCs/>
        </w:rPr>
        <w:t xml:space="preserve">Damascus Central University Hospital</w:t>
      </w:r>
      <w:r>
        <w:t xml:space="preserve"> </w:t>
      </w:r>
      <w:r>
        <w:t xml:space="preserve">(</w:t>
      </w:r>
      <w:r>
        <w:t xml:space="preserve">“</w:t>
      </w:r>
      <w:r>
        <w:t xml:space="preserve">DCUH</w:t>
      </w:r>
      <w:r>
        <w:t xml:space="preserve">”</w:t>
      </w:r>
      <w:r>
        <w:t xml:space="preserve">) in Damascus, Syria. The proposed transaction would otherwise be prohibited under the Syrian Sanctions Regulations, 31 C.F.R. Part 542 (the</w:t>
      </w:r>
      <w:r>
        <w:t xml:space="preserve"> </w:t>
      </w:r>
      <w:r>
        <w:t xml:space="preserve">“</w:t>
      </w:r>
      <w:r>
        <w:t xml:space="preserve">Syrian Sanctions Regulations</w:t>
      </w:r>
      <w:r>
        <w:t xml:space="preserve">”</w:t>
      </w:r>
      <w:r>
        <w:t xml:space="preserve"> </w:t>
      </w:r>
      <w:r>
        <w:t xml:space="preserve">or</w:t>
      </w:r>
      <w:r>
        <w:t xml:space="preserve"> </w:t>
      </w:r>
      <w:r>
        <w:t xml:space="preserve">“</w:t>
      </w:r>
      <w:r>
        <w:t xml:space="preserve">SSR</w:t>
      </w:r>
      <w:r>
        <w:t xml:space="preserve">”</w:t>
      </w:r>
      <w:r>
        <w:t xml:space="preserve">), and Executive Order 13582 of August 17, 2011 (</w:t>
      </w:r>
      <w:r>
        <w:t xml:space="preserve">“</w:t>
      </w:r>
      <w:r>
        <w:t xml:space="preserve">E.O. 13582</w:t>
      </w:r>
      <w:r>
        <w:t xml:space="preserve">”</w:t>
      </w:r>
      <w:r>
        <w:t xml:space="preserve">).</w:t>
      </w:r>
    </w:p>
    <w:p>
      <w:pPr>
        <w:pStyle w:val="BodyText"/>
      </w:pPr>
      <w:r>
        <w:t xml:space="preserve">1.2 The proposed transaction is a</w:t>
      </w:r>
      <w:r>
        <w:t xml:space="preserve"> </w:t>
      </w:r>
      <w:r>
        <w:rPr>
          <w:b/>
          <w:bCs/>
        </w:rPr>
        <w:t xml:space="preserve">humanitarian medical export</w:t>
      </w:r>
      <w:r>
        <w:t xml:space="preserve">. The goods and services at issue are designed to restore breast cancer biomarker diagnostic capacity at the largest remaining oncology referral center in Syria, where a documented diagnostic backlog now exceeds fourteen (14) months and where breast cancer five-year survival has declined from approximately 62% (pre-2011) to approximately 38%. The World Health Organization (</w:t>
      </w:r>
      <w:r>
        <w:t xml:space="preserve">“</w:t>
      </w:r>
      <w:r>
        <w:t xml:space="preserve">WHO</w:t>
      </w:r>
      <w:r>
        <w:t xml:space="preserve">”</w:t>
      </w:r>
      <w:r>
        <w:t xml:space="preserve">) Syria Country Office has independently identified the procurement of validated immunohistochemistry (</w:t>
      </w:r>
      <w:r>
        <w:t xml:space="preserve">“</w:t>
      </w:r>
      <w:r>
        <w:t xml:space="preserve">IHC</w:t>
      </w:r>
      <w:r>
        <w:t xml:space="preserve">”</w:t>
      </w:r>
      <w:r>
        <w:t xml:space="preserve">) reagent kits, replacement calibration instruments, and remote technical training as priority humanitarian needs and has specifically named DCUH in its January 2024 needs assessment.</w:t>
      </w:r>
    </w:p>
    <w:p>
      <w:pPr>
        <w:pStyle w:val="BodyText"/>
      </w:pPr>
      <w:r>
        <w:t xml:space="preserve">1.3 The total aggregate transaction value is</w:t>
      </w:r>
      <w:r>
        <w:t xml:space="preserve"> </w:t>
      </w:r>
      <w:r>
        <w:rPr>
          <w:b/>
          <w:bCs/>
        </w:rPr>
        <w:t xml:space="preserve">USD $1,280,000</w:t>
      </w:r>
      <w:r>
        <w:t xml:space="preserve">, comprising: (i) 500 CancerDetect RX-700 Reagent Kits ($1,170,000); (ii) 4 CalibPro 3100 Calibration Units ($75,000); and (iii) 40 hours of remote installation and calibration training ($35,000). Both physical products are classified</w:t>
      </w:r>
      <w:r>
        <w:t xml:space="preserve"> </w:t>
      </w:r>
      <w:r>
        <w:rPr>
          <w:b/>
          <w:bCs/>
        </w:rPr>
        <w:t xml:space="preserve">EAR99</w:t>
      </w:r>
      <w:r>
        <w:t xml:space="preserve"> </w:t>
      </w:r>
      <w:r>
        <w:t xml:space="preserve">under the Commerce Control List.</w:t>
      </w:r>
    </w:p>
    <w:p>
      <w:pPr>
        <w:pStyle w:val="BodyText"/>
      </w:pPr>
      <w:r>
        <w:t xml:space="preserve">1.4 The Applicant requests a license</w:t>
      </w:r>
      <w:r>
        <w:t xml:space="preserve"> </w:t>
      </w:r>
      <w:r>
        <w:rPr>
          <w:b/>
          <w:bCs/>
        </w:rPr>
        <w:t xml:space="preserve">effective September 1, 2024 through February 28, 2026</w:t>
      </w:r>
      <w:r>
        <w:t xml:space="preserve"> </w:t>
      </w:r>
      <w:r>
        <w:t xml:space="preserve">(an eighteen-month term), to allow for OFAC processing, shipment, in-country delivery, and clinical deployment.</w:t>
      </w:r>
    </w:p>
    <w:p>
      <w:pPr>
        <w:pStyle w:val="BodyText"/>
      </w:pPr>
      <w:r>
        <w:t xml:space="preserve">1.5 The Applicant respectfully submits that this transaction presents a strong case for authorization. The goods are purely humanitarian medical diagnostics with no military, dual-use, or proliferation application; the end-user is a civilian public hospital; the Applicant has a demonstrated track record of successful compliance with a prior OFAC specific license for an analogous transaction (Specific License No. SYR-2021-384712); and the Applicant maintains a mature OFAC compliance program that was independently audited and rated</w:t>
      </w:r>
      <w:r>
        <w:t xml:space="preserve"> </w:t>
      </w:r>
      <w:r>
        <w:t xml:space="preserve">“</w:t>
      </w:r>
      <w:r>
        <w:t xml:space="preserve">Satisfactory with Recommendations</w:t>
      </w:r>
      <w:r>
        <w:t xml:space="preserve">”</w:t>
      </w:r>
      <w:r>
        <w:t xml:space="preserve"> </w:t>
      </w:r>
      <w:r>
        <w:t xml:space="preserve">in September 2023.</w:t>
      </w:r>
    </w:p>
    <w:p>
      <w:pPr>
        <w:pStyle w:val="BodyText"/>
      </w:pPr>
      <w:r>
        <w:t xml:space="preserve">1.6 In the interest of full and candid disclosure, the Applicant identifies two sanctions-sensitive elements of the proposed transaction that require OFAC’s attention and that the Applicant has structured to mitigate: (a) the customs clearance agent designated in the end-user’s purchase order has a 30% shareholder who is designated on the Specially Designated Nationals and Blocked Persons List (</w:t>
      </w:r>
      <w:r>
        <w:t xml:space="preserve">“</w:t>
      </w:r>
      <w:r>
        <w:t xml:space="preserve">SDN List</w:t>
      </w:r>
      <w:r>
        <w:t xml:space="preserve">”</w:t>
      </w:r>
      <w:r>
        <w:t xml:space="preserve">); and (b) the purchase order specifies a remitting bank that is itself on the SDN List. The Applicant addresses both matters in detail in Sections VIII and IX below and has structured the transaction to avoid any prohibited dealing with SDN-listed persons.</w:t>
      </w:r>
    </w:p>
    <w:bookmarkEnd w:id="22"/>
    <w:bookmarkStart w:id="23" w:name="ii.-applicant-information"/>
    <w:p>
      <w:pPr>
        <w:pStyle w:val="Heading2"/>
      </w:pPr>
      <w:r>
        <w:t xml:space="preserve">II. Applicant Information</w:t>
      </w:r>
    </w:p>
    <w:p>
      <w:pPr>
        <w:pStyle w:val="FirstParagraph"/>
      </w:pPr>
      <w:r>
        <w:t xml:space="preserve">2.1</w:t>
      </w:r>
      <w:r>
        <w:t xml:space="preserve"> </w:t>
      </w:r>
      <w:r>
        <w:rPr>
          <w:b/>
          <w:bCs/>
        </w:rPr>
        <w:t xml:space="preserve">Legal name:</w:t>
      </w:r>
      <w:r>
        <w:t xml:space="preserve"> </w:t>
      </w:r>
      <w:r>
        <w:t xml:space="preserve">Meridian Biotech Solutions, Inc.</w:t>
      </w:r>
    </w:p>
    <w:p>
      <w:pPr>
        <w:pStyle w:val="BodyText"/>
      </w:pPr>
      <w:r>
        <w:t xml:space="preserve">2.2</w:t>
      </w:r>
      <w:r>
        <w:t xml:space="preserve"> </w:t>
      </w:r>
      <w:r>
        <w:rPr>
          <w:b/>
          <w:bCs/>
        </w:rPr>
        <w:t xml:space="preserve">Entity type and jurisdiction:</w:t>
      </w:r>
      <w:r>
        <w:t xml:space="preserve"> </w:t>
      </w:r>
      <w:r>
        <w:t xml:space="preserve">Delaware C-Corporation.</w:t>
      </w:r>
    </w:p>
    <w:p>
      <w:pPr>
        <w:pStyle w:val="BodyText"/>
      </w:pPr>
      <w:r>
        <w:t xml:space="preserve">2.3</w:t>
      </w:r>
      <w:r>
        <w:t xml:space="preserve"> </w:t>
      </w:r>
      <w:r>
        <w:rPr>
          <w:b/>
          <w:bCs/>
        </w:rPr>
        <w:t xml:space="preserve">Principal place of business:</w:t>
      </w:r>
      <w:r>
        <w:t xml:space="preserve"> </w:t>
      </w:r>
      <w:r>
        <w:t xml:space="preserve">4200 Lakeshore Boulevard, Suite 800, Cambridge, MA 02142.</w:t>
      </w:r>
    </w:p>
    <w:p>
      <w:pPr>
        <w:pStyle w:val="BodyText"/>
      </w:pPr>
      <w:r>
        <w:t xml:space="preserve">2.4</w:t>
      </w:r>
      <w:r>
        <w:t xml:space="preserve"> </w:t>
      </w:r>
      <w:r>
        <w:rPr>
          <w:b/>
          <w:bCs/>
        </w:rPr>
        <w:t xml:space="preserve">Tax identifiers:</w:t>
      </w:r>
      <w:r>
        <w:t xml:space="preserve"> </w:t>
      </w:r>
      <w:r>
        <w:t xml:space="preserve">EIN 47-3928104; DUNS 08-471-3920.</w:t>
      </w:r>
    </w:p>
    <w:p>
      <w:pPr>
        <w:pStyle w:val="BodyText"/>
      </w:pPr>
      <w:r>
        <w:t xml:space="preserve">2.5</w:t>
      </w:r>
      <w:r>
        <w:t xml:space="preserve"> </w:t>
      </w:r>
      <w:r>
        <w:rPr>
          <w:b/>
          <w:bCs/>
        </w:rPr>
        <w:t xml:space="preserve">Business description.</w:t>
      </w:r>
      <w:r>
        <w:t xml:space="preserve"> </w:t>
      </w:r>
      <w:r>
        <w:t xml:space="preserve">Meridian is a U.S. manufacturer of in vitro diagnostic (</w:t>
      </w:r>
      <w:r>
        <w:t xml:space="preserve">“</w:t>
      </w:r>
      <w:r>
        <w:t xml:space="preserve">IVD</w:t>
      </w:r>
      <w:r>
        <w:t xml:space="preserve">”</w:t>
      </w:r>
      <w:r>
        <w:t xml:space="preserve">) reagent kits, laboratory calibration instruments, and point-of-care testing platforms. Meridian’s products are manufactured at its Cambridge, MA facility under ISO 13485-certified quality management systems. Meridian’s projected annual revenue for fiscal year 2024 is approximately $482 million.</w:t>
      </w:r>
    </w:p>
    <w:p>
      <w:pPr>
        <w:pStyle w:val="BodyText"/>
      </w:pPr>
      <w:r>
        <w:t xml:space="preserve">2.6</w:t>
      </w:r>
      <w:r>
        <w:t xml:space="preserve"> </w:t>
      </w:r>
      <w:r>
        <w:rPr>
          <w:b/>
          <w:bCs/>
        </w:rPr>
        <w:t xml:space="preserve">Senior management and compliance personnel: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Dr. Priya Ramaswamy</w:t>
            </w:r>
          </w:p>
        </w:tc>
        <w:tc>
          <w:tcPr/>
          <w:p>
            <w:pPr>
              <w:pStyle w:val="Compact"/>
              <w:jc w:val="left"/>
            </w:pPr>
            <w:r>
              <w:t xml:space="preserve">Chief Executive Officer</w:t>
            </w:r>
          </w:p>
        </w:tc>
      </w:tr>
      <w:tr>
        <w:tc>
          <w:tcPr/>
          <w:p>
            <w:pPr>
              <w:pStyle w:val="Compact"/>
              <w:jc w:val="left"/>
            </w:pPr>
            <w:r>
              <w:t xml:space="preserve">Jonathan D. Halsted</w:t>
            </w:r>
          </w:p>
        </w:tc>
        <w:tc>
          <w:tcPr/>
          <w:p>
            <w:pPr>
              <w:pStyle w:val="Compact"/>
              <w:jc w:val="left"/>
            </w:pPr>
            <w:r>
              <w:t xml:space="preserve">General Counsel; Applicant’s point of contact</w:t>
            </w:r>
          </w:p>
        </w:tc>
      </w:tr>
      <w:tr>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c>
          <w:tcPr/>
          <w:p>
            <w:pPr>
              <w:pStyle w:val="Compact"/>
              <w:jc w:val="left"/>
            </w:pPr>
            <w:r>
              <w:t xml:space="preserve">Chief Compliance Officer</w:t>
            </w:r>
          </w:p>
        </w:tc>
      </w:tr>
    </w:tbl>
    <w:p>
      <w:pPr>
        <w:pStyle w:val="BodyText"/>
      </w:pPr>
      <w:r>
        <w:t xml:space="preserve">2.7</w:t>
      </w:r>
      <w:r>
        <w:t xml:space="preserve"> </w:t>
      </w:r>
      <w:r>
        <w:rPr>
          <w:b/>
          <w:bCs/>
        </w:rPr>
        <w:t xml:space="preserve">Ownership.</w:t>
      </w:r>
      <w:r>
        <w:t xml:space="preserve"> </w:t>
      </w:r>
      <w:r>
        <w:t xml:space="preserve">Meridian is a privately held U.S. corporation. No SDN-listed person holds any ownership interest in, or exercises control over, Meridian. Meridian is not owned 50% or more, individually or in the aggregate, by any person on the SDN List or any other OFAC restricted-party list.</w:t>
      </w:r>
    </w:p>
    <w:p>
      <w:pPr>
        <w:pStyle w:val="BodyText"/>
      </w:pPr>
      <w:r>
        <w:t xml:space="preserve">2.8</w:t>
      </w:r>
      <w:r>
        <w:t xml:space="preserve"> </w:t>
      </w:r>
      <w:r>
        <w:rPr>
          <w:b/>
          <w:bCs/>
        </w:rPr>
        <w:t xml:space="preserve">Point of contact for this application.</w:t>
      </w:r>
      <w:r>
        <w:t xml:space="preserve"> </w:t>
      </w:r>
      <w:r>
        <w:t xml:space="preserve">Jonathan D. Halsted, General Counsel, (617) 555-0193, jhalsted@meridianbiotech.com. All correspondence regarding this application should be directed to Mr. Halsted and to outside counsel, Ashford &amp; Whitmore LLP (Catherine R. Bellingham, Esq., and David Osei-Mensah, Esq.).</w:t>
      </w:r>
    </w:p>
    <w:bookmarkEnd w:id="23"/>
    <w:bookmarkStart w:id="24" w:name="X1a44d43d29542cf840613903752909668920950"/>
    <w:p>
      <w:pPr>
        <w:pStyle w:val="Heading2"/>
      </w:pPr>
      <w:r>
        <w:t xml:space="preserve">III. Requested Authorization and License Term</w:t>
      </w:r>
    </w:p>
    <w:p>
      <w:pPr>
        <w:pStyle w:val="FirstParagraph"/>
      </w:pPr>
      <w:r>
        <w:t xml:space="preserve">3.1</w:t>
      </w:r>
      <w:r>
        <w:t xml:space="preserve"> </w:t>
      </w:r>
      <w:r>
        <w:rPr>
          <w:b/>
          <w:bCs/>
        </w:rPr>
        <w:t xml:space="preserve">Authorization requested.</w:t>
      </w:r>
      <w:r>
        <w:t xml:space="preserve"> </w:t>
      </w:r>
      <w:r>
        <w:t xml:space="preserve">The Applicant requests a specific license pursuant to the authority of the Secretary of the Treasury under the International Emergency Economic Powers Act, 50 U.S.C. §§ 1701–1706, E.O. 13582, and the SSR, 31 C.F.R. Part 542, authorizing the following transaction, which would otherwise be prohibited under the SSR and E.O. 13582:</w:t>
      </w:r>
    </w:p>
    <w:p>
      <w:pPr>
        <w:pStyle w:val="BlockText"/>
      </w:pPr>
      <w:r>
        <w:t xml:space="preserve">The export from the United States to Damascus Central University Hospital, Damascus, Syria, of (i) 500 CancerDetect RX-700 Reagent Kits; (ii) 4 CalibPro 3100 Calibration Units; and (iii) approximately 40 hours of remote installation and calibration training services delivered via secure video link from the Applicant’s Cambridge, MA facility; together with all incidental transactions necessary to effect the export, shipment, transshipment, in-country delivery, and payment for the foregoing, on the terms and subject to the conditions set forth in this application.</w:t>
      </w:r>
    </w:p>
    <w:p>
      <w:pPr>
        <w:pStyle w:val="FirstParagraph"/>
      </w:pPr>
      <w:r>
        <w:t xml:space="preserve">3.2</w:t>
      </w:r>
      <w:r>
        <w:t xml:space="preserve"> </w:t>
      </w:r>
      <w:r>
        <w:rPr>
          <w:b/>
          <w:bCs/>
        </w:rPr>
        <w:t xml:space="preserve">Requested effective period.</w:t>
      </w:r>
      <w:r>
        <w:t xml:space="preserve"> </w:t>
      </w:r>
      <w:r>
        <w:t xml:space="preserve">September 1, 2024 through February 28, 2026 (eighteen months). The Applicant requests that all authorized transactions be permitted to be completed on or before the expiration date, and that the license not renew automatically.</w:t>
      </w:r>
    </w:p>
    <w:p>
      <w:pPr>
        <w:pStyle w:val="BodyText"/>
      </w:pPr>
      <w:r>
        <w:t xml:space="preserve">3.3</w:t>
      </w:r>
      <w:r>
        <w:t xml:space="preserve"> </w:t>
      </w:r>
      <w:r>
        <w:rPr>
          <w:b/>
          <w:bCs/>
        </w:rPr>
        <w:t xml:space="preserve">Scope of authorization.</w:t>
      </w:r>
      <w:r>
        <w:t xml:space="preserve"> </w:t>
      </w:r>
      <w:r>
        <w:t xml:space="preserve">The Applicant requests that the license authorize the specific transaction described herein and all incidental transactions reasonably necessary to accomplish it, including: ocean and overland carriage; temporary warehousing and consolidation in Turkey; in-country customs clearance and last-mile delivery to DCUH; the receipt of payment through a non-SDN financial institution; and the provision of the remote training services. The Applicant does not request authorization for any other transaction with Syria or the Government of Syria.</w:t>
      </w:r>
    </w:p>
    <w:bookmarkEnd w:id="24"/>
    <w:bookmarkStart w:id="25" w:name="Xa0aa47d6373675876efd736bca2e9a492b2f298"/>
    <w:p>
      <w:pPr>
        <w:pStyle w:val="Heading2"/>
      </w:pPr>
      <w:r>
        <w:t xml:space="preserve">IV. Description of the Proposed Transaction</w:t>
      </w:r>
    </w:p>
    <w:p>
      <w:pPr>
        <w:pStyle w:val="FirstParagraph"/>
      </w:pPr>
      <w:r>
        <w:t xml:space="preserve">4.1</w:t>
      </w:r>
      <w:r>
        <w:t xml:space="preserve"> </w:t>
      </w:r>
      <w:r>
        <w:rPr>
          <w:b/>
          <w:bCs/>
        </w:rPr>
        <w:t xml:space="preserve">Overview.</w:t>
      </w:r>
      <w:r>
        <w:t xml:space="preserve"> </w:t>
      </w:r>
      <w:r>
        <w:t xml:space="preserve">Meridian proposes to sell and export to DCUH the following goods and services, in the quantities and at the prices set forth in DCUH Purchase Order No. PO-DCUH-2024-0743, dated June 17, 2024 (Exhibit 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(USD)</w:t>
            </w:r>
          </w:p>
        </w:tc>
        <w:tc>
          <w:tcPr/>
          <w:p>
            <w:pPr>
              <w:pStyle w:val="Compact"/>
              <w:jc w:val="left"/>
            </w:pPr>
            <w:r>
              <w:t xml:space="preserve">ECCN</w:t>
            </w:r>
          </w:p>
        </w:tc>
        <w:tc>
          <w:tcPr/>
          <w:p>
            <w:pPr>
              <w:pStyle w:val="Compact"/>
              <w:jc w:val="left"/>
            </w:pPr>
            <w:r>
              <w:t xml:space="preserve">HTS</w:t>
            </w:r>
          </w:p>
        </w:tc>
      </w:tr>
      <w:tr>
        <w:tc>
          <w:tcPr/>
          <w:p>
            <w:pPr>
              <w:pStyle w:val="Compact"/>
              <w:jc w:val="left"/>
            </w:pPr>
            <w:r>
              <w:t xml:space="preserve">1</w:t>
            </w:r>
          </w:p>
        </w:tc>
        <w:tc>
          <w:tcPr/>
          <w:p>
            <w:pPr>
              <w:pStyle w:val="Compact"/>
              <w:jc w:val="left"/>
            </w:pPr>
            <w:r>
              <w:t xml:space="preserve">CancerDetect RX-700 Reagent Kit</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2</w:t>
            </w:r>
          </w:p>
        </w:tc>
        <w:tc>
          <w:tcPr/>
          <w:p>
            <w:pPr>
              <w:pStyle w:val="Compact"/>
              <w:jc w:val="left"/>
            </w:pPr>
            <w:r>
              <w:t xml:space="preserve">CalibPro 3100 Calibration Unit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3</w:t>
            </w:r>
          </w:p>
        </w:tc>
        <w:tc>
          <w:tcPr/>
          <w:p>
            <w:pPr>
              <w:pStyle w:val="Compact"/>
              <w:jc w:val="left"/>
            </w:pPr>
            <w:r>
              <w:t xml:space="preserve">Remote Installation &amp; Calibration Training (40 hrs / 8 wks)</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N/A (services)</w:t>
            </w:r>
          </w:p>
        </w:tc>
        <w:tc>
          <w:tcPr/>
          <w:p>
            <w:pPr>
              <w:pStyle w:val="Compact"/>
              <w:jc w:val="left"/>
            </w:pPr>
            <w:r>
              <w:t xml:space="preserve">N/A</w:t>
            </w:r>
          </w:p>
        </w:tc>
      </w:tr>
      <w:tr>
        <w:tc>
          <w:tcPr/>
          <w:p>
            <w:pPr>
              <w:pStyle w:val="Compact"/>
            </w:pPr>
          </w:p>
        </w:tc>
        <w:tc>
          <w:tcPr/>
          <w:p>
            <w:pPr>
              <w:pStyle w:val="Compact"/>
              <w:jc w:val="left"/>
            </w:pPr>
            <w:r>
              <w:rPr>
                <w:b/>
                <w:bCs/>
              </w:rPr>
              <w:t xml:space="preserve">Grand Total</w:t>
            </w:r>
          </w:p>
        </w:tc>
        <w:tc>
          <w:tcPr/>
          <w:p>
            <w:pPr>
              <w:pStyle w:val="Compact"/>
            </w:pPr>
          </w:p>
        </w:tc>
        <w:tc>
          <w:tcPr/>
          <w:p>
            <w:pPr>
              <w:pStyle w:val="Compact"/>
            </w:pPr>
          </w:p>
        </w:tc>
        <w:tc>
          <w:tcPr/>
          <w:p>
            <w:pPr>
              <w:pStyle w:val="Compact"/>
              <w:jc w:val="left"/>
            </w:pPr>
            <w:r>
              <w:rPr>
                <w:b/>
                <w:bCs/>
              </w:rPr>
              <w:t xml:space="preserve">$1,280,000.00</w:t>
            </w:r>
          </w:p>
        </w:tc>
        <w:tc>
          <w:tcPr/>
          <w:p>
            <w:pPr>
              <w:pStyle w:val="Compact"/>
            </w:pPr>
          </w:p>
        </w:tc>
        <w:tc>
          <w:tcPr/>
          <w:p>
            <w:pPr>
              <w:pStyle w:val="Compact"/>
            </w:pPr>
          </w:p>
        </w:tc>
      </w:tr>
    </w:tbl>
    <w:p>
      <w:pPr>
        <w:pStyle w:val="BodyText"/>
      </w:pPr>
      <w:r>
        <w:t xml:space="preserve">4.2</w:t>
      </w:r>
      <w:r>
        <w:t xml:space="preserve"> </w:t>
      </w:r>
      <w:r>
        <w:rPr>
          <w:b/>
          <w:bCs/>
        </w:rPr>
        <w:t xml:space="preserve">Incoterms.</w:t>
      </w:r>
      <w:r>
        <w:t xml:space="preserve"> </w:t>
      </w:r>
      <w:r>
        <w:t xml:space="preserve">DAP — Damascus, Syrian Arab Republic (Incoterms 2020).</w:t>
      </w:r>
    </w:p>
    <w:p>
      <w:pPr>
        <w:pStyle w:val="BodyText"/>
      </w:pPr>
      <w:r>
        <w:t xml:space="preserve">4.3</w:t>
      </w:r>
      <w:r>
        <w:t xml:space="preserve"> </w:t>
      </w:r>
      <w:r>
        <w:rPr>
          <w:b/>
          <w:bCs/>
        </w:rPr>
        <w:t xml:space="preserve">Currency.</w:t>
      </w:r>
      <w:r>
        <w:t xml:space="preserve"> </w:t>
      </w:r>
      <w:r>
        <w:t xml:space="preserve">United States Dollars (USD).</w:t>
      </w:r>
    </w:p>
    <w:p>
      <w:pPr>
        <w:pStyle w:val="BodyText"/>
      </w:pPr>
      <w:r>
        <w:t xml:space="preserve">4.4</w:t>
      </w:r>
      <w:r>
        <w:t xml:space="preserve"> </w:t>
      </w:r>
      <w:r>
        <w:rPr>
          <w:b/>
          <w:bCs/>
        </w:rPr>
        <w:t xml:space="preserve">Manufacturing origin.</w:t>
      </w:r>
      <w:r>
        <w:t xml:space="preserve"> </w:t>
      </w:r>
      <w:r>
        <w:t xml:space="preserve">All physical goods are manufactured at Meridian’s facility in Cambridge, MA, USA.</w:t>
      </w:r>
    </w:p>
    <w:bookmarkEnd w:id="25"/>
    <w:bookmarkStart w:id="29" w:name="v.-the-goods-and-services"/>
    <w:p>
      <w:pPr>
        <w:pStyle w:val="Heading2"/>
      </w:pPr>
      <w:r>
        <w:t xml:space="preserve">V. The Goods and Services</w:t>
      </w:r>
    </w:p>
    <w:bookmarkStart w:id="26" w:name="cancerdetect-rx-700-reagent-kit"/>
    <w:p>
      <w:pPr>
        <w:pStyle w:val="Heading3"/>
      </w:pPr>
      <w:r>
        <w:t xml:space="preserve">5.1 CancerDetect RX-700 Reagent Kit</w:t>
      </w:r>
    </w:p>
    <w:p>
      <w:pPr>
        <w:pStyle w:val="FirstParagraph"/>
      </w:pPr>
      <w:r>
        <w:t xml:space="preserve">5.1.1</w:t>
      </w:r>
      <w:r>
        <w:t xml:space="preserve"> </w:t>
      </w:r>
      <w:r>
        <w:rPr>
          <w:b/>
          <w:bCs/>
        </w:rPr>
        <w:t xml:space="preserve">Product type and intended use.</w:t>
      </w:r>
      <w:r>
        <w:t xml:space="preserve"> </w:t>
      </w:r>
      <w:r>
        <w:t xml:space="preserve">The CancerDetect RX-700 is an FDA 510(k)-cleared (clearance No. K213847) in vitro diagnostic reagent kit for immunohistochemical (</w:t>
      </w:r>
      <w:r>
        <w:t xml:space="preserve">“</w:t>
      </w:r>
      <w:r>
        <w:t xml:space="preserve">IHC</w:t>
      </w:r>
      <w:r>
        <w:t xml:space="preserve">”</w:t>
      </w:r>
      <w:r>
        <w:t xml:space="preserve">) staining of formalin-fixed, paraffin-embedded tissue biopsies. It is designed for the identification and semi-quantitative assessment of breast cancer biomarkers — specifically HER2 (human epidermal growth factor receptor 2), ER (estrogen receptor), and PR (progesterone receptor) — which directly determine patient eligibility for targeted therapies and guide adjuvant treatment selection. Each kit is configured to process approximately ten (10) tissue samples.</w:t>
      </w:r>
    </w:p>
    <w:p>
      <w:pPr>
        <w:pStyle w:val="BodyText"/>
      </w:pPr>
      <w:r>
        <w:t xml:space="preserve">5.1.2</w:t>
      </w:r>
      <w:r>
        <w:t xml:space="preserve"> </w:t>
      </w:r>
      <w:r>
        <w:rPr>
          <w:b/>
          <w:bCs/>
        </w:rPr>
        <w:t xml:space="preserve">Compatibility.</w:t>
      </w:r>
      <w:r>
        <w:t xml:space="preserve"> </w:t>
      </w:r>
      <w:r>
        <w:t xml:space="preserve">The kit has been validated for use with the Ventana BenchMark XT automated staining system, which is the specific platform already installed at DCUH’s Oncology Laboratory. The CancerDetect RX-700 is the only FDA-cleared kit validated for that installed platform, and there is no functional substitute product available to DCUH.</w:t>
      </w:r>
    </w:p>
    <w:p>
      <w:pPr>
        <w:pStyle w:val="BodyText"/>
      </w:pPr>
      <w:r>
        <w:t xml:space="preserve">5.1.3</w:t>
      </w:r>
      <w:r>
        <w:t xml:space="preserve"> </w:t>
      </w:r>
      <w:r>
        <w:rPr>
          <w:b/>
          <w:bCs/>
        </w:rPr>
        <w:t xml:space="preserve">Export classification.</w:t>
      </w:r>
      <w:r>
        <w:t xml:space="preserve"> </w:t>
      </w:r>
      <w:r>
        <w:t xml:space="preserve">ECCN EAR99; HTS 3822.19.5000. The kit does not contain controlled technology or components listed on the Commerce Control List. No dual-use concerns have been identified.</w:t>
      </w:r>
    </w:p>
    <w:p>
      <w:pPr>
        <w:pStyle w:val="BodyText"/>
      </w:pPr>
      <w:r>
        <w:t xml:space="preserve">5.1.4</w:t>
      </w:r>
      <w:r>
        <w:t xml:space="preserve"> </w:t>
      </w:r>
      <w:r>
        <w:rPr>
          <w:b/>
          <w:bCs/>
        </w:rPr>
        <w:t xml:space="preserve">Physical and handling characteristics.</w:t>
      </w:r>
      <w:r>
        <w:t xml:space="preserve"> </w:t>
      </w:r>
      <w:r>
        <w:t xml:space="preserve">Packaged dimensions approximately 30 cm × 20 cm × 15 cm; net weight approximately 1.8 kg per kit; estimated total shipment weight approximately 1,500 kg. Shelf life 18 months from manufacture. The kits require continuous cold-chain maintenance at 2–8°C throughout transport and storage; temperature excursions above 12°C or below 0°C void the warranty and may compromise reagent integrity.</w:t>
      </w:r>
    </w:p>
    <w:p>
      <w:pPr>
        <w:pStyle w:val="BodyText"/>
      </w:pPr>
      <w:r>
        <w:t xml:space="preserve">5.1.5</w:t>
      </w:r>
      <w:r>
        <w:t xml:space="preserve"> </w:t>
      </w:r>
      <w:r>
        <w:rPr>
          <w:b/>
          <w:bCs/>
        </w:rPr>
        <w:t xml:space="preserve">Humanitarian purpose.</w:t>
      </w:r>
      <w:r>
        <w:t xml:space="preserve"> </w:t>
      </w:r>
      <w:r>
        <w:t xml:space="preserve">The 500 kits will support approximately 15 months of DCUH’s diagnostic workload (DCUH processes approximately 3,800 tissue biopsies per year) and will directly address the documented &gt;14-month diagnostic backlog identified by WHO.</w:t>
      </w:r>
    </w:p>
    <w:bookmarkEnd w:id="26"/>
    <w:bookmarkStart w:id="27" w:name="calibpro-3100-calibration-unit"/>
    <w:p>
      <w:pPr>
        <w:pStyle w:val="Heading3"/>
      </w:pPr>
      <w:r>
        <w:t xml:space="preserve">5.2 CalibPro 3100 Calibration Unit</w:t>
      </w:r>
    </w:p>
    <w:p>
      <w:pPr>
        <w:pStyle w:val="FirstParagraph"/>
      </w:pPr>
      <w:r>
        <w:t xml:space="preserve">5.2.1</w:t>
      </w:r>
      <w:r>
        <w:t xml:space="preserve"> </w:t>
      </w:r>
      <w:r>
        <w:rPr>
          <w:b/>
          <w:bCs/>
        </w:rPr>
        <w:t xml:space="preserve">Product type and intended use.</w:t>
      </w:r>
      <w:r>
        <w:t xml:space="preserve"> </w:t>
      </w:r>
      <w:r>
        <w:t xml:space="preserve">The CalibPro 3100 is a benchtop laboratory calibration instrument that validates CancerDetect RX-700 reagent kit performance — including sensitivity, specificity, and staining uniformity — before clinical deployment. It is a required companion device used alongside the reagent kits to validate each new lot of reagents prior to patient-sample analysis. DCUH’s existing calibration equipment is reported to be non-functional or beyond serviceable life.</w:t>
      </w:r>
    </w:p>
    <w:p>
      <w:pPr>
        <w:pStyle w:val="BodyText"/>
      </w:pPr>
      <w:r>
        <w:t xml:space="preserve">5.2.2</w:t>
      </w:r>
      <w:r>
        <w:t xml:space="preserve"> </w:t>
      </w:r>
      <w:r>
        <w:rPr>
          <w:b/>
          <w:bCs/>
        </w:rPr>
        <w:t xml:space="preserve">Export classification.</w:t>
      </w:r>
      <w:r>
        <w:t xml:space="preserve"> </w:t>
      </w:r>
      <w:r>
        <w:t xml:space="preserve">ECCN EAR99; HTS 9027.80.4530. The unit contains factory-installed embedded firmware (version 4.2.1) residing on a dedicated microcontroller. The firmware is not user-modifiable; firmware updates can be applied only via a Meridian-supplied authenticated package on physical USB media. The firmware employs AES-128 encryption limited to internal data-integrity authentication of calibration results; it does not provide external communications security and does not exceed applicable EAR thresholds for encryption items. Meridian’s engineering and regulatory teams have confirmed that the encryption functionality does not alter the EAR99 classification. No firmware updates, patches, or modifications are contemplated under this license; any such update would constitute a separate transaction requiring independent authorization.</w:t>
      </w:r>
    </w:p>
    <w:p>
      <w:pPr>
        <w:pStyle w:val="BodyText"/>
      </w:pPr>
      <w:r>
        <w:t xml:space="preserve">5.2.3</w:t>
      </w:r>
      <w:r>
        <w:t xml:space="preserve"> </w:t>
      </w:r>
      <w:r>
        <w:rPr>
          <w:b/>
          <w:bCs/>
        </w:rPr>
        <w:t xml:space="preserve">Physical characteristics.</w:t>
      </w:r>
      <w:r>
        <w:t xml:space="preserve"> </w:t>
      </w:r>
      <w:r>
        <w:t xml:space="preserve">Dimensions 45 cm × 38 cm × 30 cm; weight 23 kg per unit (92 kg total); 220V / 50 Hz AC input (compatible with the Syrian electrical grid); 7-inch touchscreen LCD; USB 2.0 data export only; no wireless or network connectivity of any kind; expected operational lifespan seven (7) years.</w:t>
      </w:r>
    </w:p>
    <w:p>
      <w:pPr>
        <w:pStyle w:val="BodyText"/>
      </w:pPr>
      <w:r>
        <w:t xml:space="preserve">5.2.4</w:t>
      </w:r>
      <w:r>
        <w:t xml:space="preserve"> </w:t>
      </w:r>
      <w:r>
        <w:rPr>
          <w:b/>
          <w:bCs/>
        </w:rPr>
        <w:t xml:space="preserve">Humanitarian purpose.</w:t>
      </w:r>
      <w:r>
        <w:t xml:space="preserve"> </w:t>
      </w:r>
      <w:r>
        <w:t xml:space="preserve">Without functioning calibration capacity, the reliability of DCUH’s diagnostic results cannot be assured regardless of reagent supply. The four units will restore quality-assurance capacity for DCUH’s IHC laboratory.</w:t>
      </w:r>
    </w:p>
    <w:bookmarkEnd w:id="27"/>
    <w:bookmarkStart w:id="28" w:name="X1f215fa4195e7be0d6cd93b22ebe553dccfec72"/>
    <w:p>
      <w:pPr>
        <w:pStyle w:val="Heading3"/>
      </w:pPr>
      <w:r>
        <w:t xml:space="preserve">5.3 Remote Installation and Calibration Training Services</w:t>
      </w:r>
    </w:p>
    <w:p>
      <w:pPr>
        <w:pStyle w:val="FirstParagraph"/>
      </w:pPr>
      <w:r>
        <w:t xml:space="preserve">5.3.1</w:t>
      </w:r>
      <w:r>
        <w:t xml:space="preserve"> </w:t>
      </w:r>
      <w:r>
        <w:rPr>
          <w:b/>
          <w:bCs/>
        </w:rPr>
        <w:t xml:space="preserve">Delivery method.</w:t>
      </w:r>
      <w:r>
        <w:t xml:space="preserve"> </w:t>
      </w:r>
      <w:r>
        <w:t xml:space="preserve">Approximately 40 hours of live instruction delivered over eight (8) weeks (approximately five hours per week) via secure video conferencing link from Meridian’s Field Applications Science team at its Cambridge, MA headquarters.</w:t>
      </w:r>
      <w:r>
        <w:t xml:space="preserve"> </w:t>
      </w:r>
      <w:r>
        <w:rPr>
          <w:b/>
          <w:bCs/>
        </w:rPr>
        <w:t xml:space="preserve">No Meridian personnel will travel to Syria or to any intermediary country</w:t>
      </w:r>
      <w:r>
        <w:t xml:space="preserve"> </w:t>
      </w:r>
      <w:r>
        <w:t xml:space="preserve">in connection with this transaction.</w:t>
      </w:r>
    </w:p>
    <w:p>
      <w:pPr>
        <w:pStyle w:val="BodyText"/>
      </w:pPr>
      <w:r>
        <w:t xml:space="preserve">5.3.2</w:t>
      </w:r>
      <w:r>
        <w:t xml:space="preserve"> </w:t>
      </w:r>
      <w:r>
        <w:rPr>
          <w:b/>
          <w:bCs/>
        </w:rPr>
        <w:t xml:space="preserve">Curriculum.</w:t>
      </w:r>
      <w:r>
        <w:t xml:space="preserve"> </w:t>
      </w:r>
      <w:r>
        <w:t xml:space="preserve">Six modules covering: (1) system unpacking and physical setup; (2) instrument schematics review; (3) software diagnostic interface training; (4) reagent kit calibration protocol; (5) clinical workflow integration; and (6) ongoing maintenance and troubleshooting. Instruction is delivered in English with Arabic-language summary handouts. Participants (minimum two, maximum six DCUH laboratory personnel) who complete all modules receive a Meridian Certified Operator credential valid for two years.</w:t>
      </w:r>
    </w:p>
    <w:p>
      <w:pPr>
        <w:pStyle w:val="BodyText"/>
      </w:pPr>
      <w:r>
        <w:t xml:space="preserve">5.3.3</w:t>
      </w:r>
      <w:r>
        <w:t xml:space="preserve"> </w:t>
      </w:r>
      <w:r>
        <w:rPr>
          <w:b/>
          <w:bCs/>
        </w:rPr>
        <w:t xml:space="preserve">Technology-transfer considerations.</w:t>
      </w:r>
      <w:r>
        <w:t xml:space="preserve"> </w:t>
      </w:r>
      <w:r>
        <w:t xml:space="preserve">The training involves the transfer of technical data and know-how relating to EAR99-classified products. The Applicant represents that no controlled technology above the EAR99 classification will be transferred. The Applicant further represents that no firmware updates, source code, or design-level technical data will be provided, and that all training is limited to the operation, calibration, and maintenance of the EAR99 products described above. The Applicant will comply with all applicable obligations under the Export Administration Regulations (</w:t>
      </w:r>
      <w:r>
        <w:t xml:space="preserve">“</w:t>
      </w:r>
      <w:r>
        <w:t xml:space="preserve">EAR</w:t>
      </w:r>
      <w:r>
        <w:t xml:space="preserve">”</w:t>
      </w:r>
      <w:r>
        <w:t xml:space="preserve">), 15 C.F.R. Parts 730–774, and understands that this license, if issued, does not relieve the Applicant of any obligations under the EAR.</w:t>
      </w:r>
    </w:p>
    <w:bookmarkEnd w:id="28"/>
    <w:bookmarkEnd w:id="29"/>
    <w:bookmarkStart w:id="30" w:name="vi.-end-user-and-end-use"/>
    <w:p>
      <w:pPr>
        <w:pStyle w:val="Heading2"/>
      </w:pPr>
      <w:r>
        <w:t xml:space="preserve">VI. End-User and End-Use</w:t>
      </w:r>
    </w:p>
    <w:p>
      <w:pPr>
        <w:pStyle w:val="FirstParagraph"/>
      </w:pPr>
      <w:r>
        <w:t xml:space="preserve">6.1</w:t>
      </w:r>
      <w:r>
        <w:t xml:space="preserve"> </w:t>
      </w:r>
      <w:r>
        <w:rPr>
          <w:b/>
          <w:bCs/>
        </w:rPr>
        <w:t xml:space="preserve">End-user.</w:t>
      </w:r>
      <w:r>
        <w:t xml:space="preserve"> </w:t>
      </w:r>
      <w:r>
        <w:t xml:space="preserve">Damascus Central University Hospital (</w:t>
      </w:r>
      <w:r>
        <w:t xml:space="preserve">“</w:t>
      </w:r>
      <w:r>
        <w:t xml:space="preserve">DCUH</w:t>
      </w:r>
      <w:r>
        <w:t xml:space="preserve">”</w:t>
      </w:r>
      <w:r>
        <w:t xml:space="preserve">) (Mustashfa Dimashq al-Markazi al-Jami’i), Al-Mazzeh Highway, Building 7, Damascus, Syrian Arab Republic. DCUH is a public teaching hospital affiliated with the University of Damascus, Faculty of Medicine, and operates under the administrative authority and budgetary oversight of the Syrian Ministry of Health. DCUH is the largest remaining oncology referral center in Syria and operates a 140-bed oncology ward. The Hospital Director is Dr. Faisal Kareem Al-Masri.</w:t>
      </w:r>
    </w:p>
    <w:p>
      <w:pPr>
        <w:pStyle w:val="BodyText"/>
      </w:pPr>
      <w:r>
        <w:t xml:space="preserve">6.2</w:t>
      </w:r>
      <w:r>
        <w:t xml:space="preserve"> </w:t>
      </w:r>
      <w:r>
        <w:rPr>
          <w:b/>
          <w:bCs/>
        </w:rPr>
        <w:t xml:space="preserve">Governmental status — disclosure.</w:t>
      </w:r>
      <w:r>
        <w:t xml:space="preserve"> </w:t>
      </w:r>
      <w:r>
        <w:t xml:space="preserve">The Applicant respectfully discloses that DCUH is an instrumentality of the Government of Syria and, as such, is within the scope of the blocking sanctions imposed under E.O. 13582 and the SSR. DCUH is not independently listed on the SDN List, but the Applicant recognizes that any transaction with DCUH requires specific OFAC authorization by reason of its governmental status. The Applicant requests that the license expressly authorize the transaction notwithstanding DCUH’s status as an instrumentality of the Government of Syria and notwithstanding the involvement of the Syrian Ministry of Health in DCUH’s administration and budgetary oversight. The Applicant represents that the goods and services will be used exclusively for civilian clinical diagnostic purposes within DCUH’s Oncology Department and will not be used for any military, law-enforcement, or non-medical purpose.</w:t>
      </w:r>
    </w:p>
    <w:p>
      <w:pPr>
        <w:pStyle w:val="BodyText"/>
      </w:pPr>
      <w:r>
        <w:t xml:space="preserve">6.3</w:t>
      </w:r>
      <w:r>
        <w:t xml:space="preserve"> </w:t>
      </w:r>
      <w:r>
        <w:rPr>
          <w:b/>
          <w:bCs/>
        </w:rPr>
        <w:t xml:space="preserve">End-use.</w:t>
      </w:r>
      <w:r>
        <w:t xml:space="preserve"> </w:t>
      </w:r>
      <w:r>
        <w:t xml:space="preserve">Per the end-use statement in DCUH’s purchase order (Exhibit A), the goods and services are intended exclusively for clinical diagnostic use within the Oncology Department of DCUH. The reagent kits will be used for IHC staining of tissue biopsy samples to identify breast cancer biomarkers (HER2, ER, PR) in patients referred to DCUH. The CalibPro 3100 units will validate and calibrate the reagent kits for use with the Ventana BenchMark XT platform installed at DCUH. The training will enable DCUH laboratory personnel to install, calibrate, and operate the equipment.</w:t>
      </w:r>
    </w:p>
    <w:p>
      <w:pPr>
        <w:pStyle w:val="BodyText"/>
      </w:pPr>
      <w:r>
        <w:t xml:space="preserve">6.4</w:t>
      </w:r>
      <w:r>
        <w:t xml:space="preserve"> </w:t>
      </w:r>
      <w:r>
        <w:rPr>
          <w:b/>
          <w:bCs/>
        </w:rPr>
        <w:t xml:space="preserve">Non-diversion commitment.</w:t>
      </w:r>
      <w:r>
        <w:t xml:space="preserve"> </w:t>
      </w:r>
      <w:r>
        <w:t xml:space="preserve">DCUH has confirmed in its purchase order that the goods will not be re-exported, diverted, or transferred to any third party without the prior written consent of the Applicant and in compliance with all applicable laws, and that the goods shall remain at all times within the custody and control of DCUH and be used solely for the clinical diagnostic purposes described above. The Applicant will require, as a condition of shipment, a written end-user certificate and non-diversion commitment executed by DCUH, in form satisfactory to the Applicant and consistent with the conditions of any license issued.</w:t>
      </w:r>
    </w:p>
    <w:p>
      <w:pPr>
        <w:pStyle w:val="BodyText"/>
      </w:pPr>
      <w:r>
        <w:t xml:space="preserve">6.5</w:t>
      </w:r>
      <w:r>
        <w:t xml:space="preserve"> </w:t>
      </w:r>
      <w:r>
        <w:rPr>
          <w:b/>
          <w:bCs/>
        </w:rPr>
        <w:t xml:space="preserve">End-use monitoring.</w:t>
      </w:r>
      <w:r>
        <w:t xml:space="preserve"> </w:t>
      </w:r>
      <w:r>
        <w:t xml:space="preserve">Consistent with the Applicant’s enhanced end-use monitoring procedures (described in Section XI below), the Applicant will obtain delivery confirmation with documentary/photographic evidence, an executed end-user non-diversion certificate, and periodic (at least annual) usage reporting from DCUH, and will retain all such records for not less than five (5) years.</w:t>
      </w:r>
    </w:p>
    <w:bookmarkEnd w:id="30"/>
    <w:bookmarkStart w:id="31" w:name="vii.-transaction-parties-and-logistics"/>
    <w:p>
      <w:pPr>
        <w:pStyle w:val="Heading2"/>
      </w:pPr>
      <w:r>
        <w:t xml:space="preserve">VII. Transaction Parties and Logistics</w:t>
      </w:r>
    </w:p>
    <w:p>
      <w:pPr>
        <w:pStyle w:val="FirstParagraph"/>
      </w:pPr>
      <w:r>
        <w:t xml:space="preserve">7.1</w:t>
      </w:r>
      <w:r>
        <w:t xml:space="preserve"> </w:t>
      </w:r>
      <w:r>
        <w:rPr>
          <w:b/>
          <w:bCs/>
        </w:rPr>
        <w:t xml:space="preserve">Screened parties.</w:t>
      </w:r>
      <w:r>
        <w:t xml:space="preserve"> </w:t>
      </w:r>
      <w:r>
        <w:t xml:space="preserve">All parties to the proposed transaction have been screened by the Applicant’s Compliance Department against the OFAC SDN List, the OFAC Consolidated Sanctions List, the OFAC Sectoral Sanctions Identifications List, the BIS Entity List, the BIS Denied Persons List, the BIS Unverified List, and the UN Consolidated Sanctions List. The screening was completed on June 3, 2024, and is documented in the Compliance Screening Memorandum dated June 10, 2024 (Exhibit B). The screened parties and results are summarized below; the two SDN-related findings are addressed in Section 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Location</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Cambridge, MA, USA</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Damascus, Syria</w:t>
            </w:r>
          </w:p>
        </w:tc>
        <w:tc>
          <w:tcPr/>
          <w:p>
            <w:pPr>
              <w:pStyle w:val="Compact"/>
              <w:jc w:val="left"/>
            </w:pPr>
            <w:r>
              <w:t xml:space="preserve">No independent listing (governmental instrumentality — see §VI)</w:t>
            </w:r>
          </w:p>
        </w:tc>
      </w:tr>
      <w:tr>
        <w:tc>
          <w:tcPr/>
          <w:p>
            <w:pPr>
              <w:pStyle w:val="Compact"/>
              <w:jc w:val="left"/>
            </w:pPr>
            <w:r>
              <w:t xml:space="preserve">Syrian Ministry of Health</w:t>
            </w:r>
          </w:p>
        </w:tc>
        <w:tc>
          <w:tcPr/>
          <w:p>
            <w:pPr>
              <w:pStyle w:val="Compact"/>
              <w:jc w:val="left"/>
            </w:pPr>
            <w:r>
              <w:t xml:space="preserve">Governmental authority over DCUH</w:t>
            </w:r>
          </w:p>
        </w:tc>
        <w:tc>
          <w:tcPr/>
          <w:p>
            <w:pPr>
              <w:pStyle w:val="Compact"/>
              <w:jc w:val="left"/>
            </w:pPr>
            <w:r>
              <w:t xml:space="preserve">Damascus, Syria</w:t>
            </w:r>
          </w:p>
        </w:tc>
        <w:tc>
          <w:tcPr/>
          <w:p>
            <w:pPr>
              <w:pStyle w:val="Compact"/>
              <w:jc w:val="left"/>
            </w:pPr>
            <w:r>
              <w:t xml:space="preserve">No independent listing (GoS instrumentality — see §VI)</w:t>
            </w:r>
          </w:p>
        </w:tc>
      </w:tr>
      <w:tr>
        <w:tc>
          <w:tcPr/>
          <w:p>
            <w:pPr>
              <w:pStyle w:val="Compact"/>
              <w:jc w:val="left"/>
            </w:pPr>
            <w:r>
              <w:t xml:space="preserve">Al-Rashid Medical Procurement Company (ARMPC)</w:t>
            </w:r>
          </w:p>
        </w:tc>
        <w:tc>
          <w:tcPr/>
          <w:p>
            <w:pPr>
              <w:pStyle w:val="Compact"/>
              <w:jc w:val="left"/>
            </w:pPr>
            <w:r>
              <w:t xml:space="preserve">Customs clearance / import logistics (proposed)</w:t>
            </w:r>
          </w:p>
        </w:tc>
        <w:tc>
          <w:tcPr/>
          <w:p>
            <w:pPr>
              <w:pStyle w:val="Compact"/>
              <w:jc w:val="left"/>
            </w:pPr>
            <w:r>
              <w:t xml:space="preserve">Damascus, Syria</w:t>
            </w:r>
          </w:p>
        </w:tc>
        <w:tc>
          <w:tcPr/>
          <w:p>
            <w:pPr>
              <w:pStyle w:val="Compact"/>
              <w:jc w:val="left"/>
            </w:pPr>
            <w:r>
              <w:t xml:space="preserve">No entity match; 30% shareholder is SDN-listed — see §IX</w:t>
            </w:r>
          </w:p>
        </w:tc>
      </w:tr>
      <w:tr>
        <w:tc>
          <w:tcPr/>
          <w:p>
            <w:pPr>
              <w:pStyle w:val="Compact"/>
              <w:jc w:val="left"/>
            </w:pPr>
            <w:r>
              <w:t xml:space="preserve">Ankara Medical Transit Warehouse LLC (AMTW)</w:t>
            </w:r>
          </w:p>
        </w:tc>
        <w:tc>
          <w:tcPr/>
          <w:p>
            <w:pPr>
              <w:pStyle w:val="Compact"/>
              <w:jc w:val="left"/>
            </w:pPr>
            <w:r>
              <w:t xml:space="preserve">Turkish transit warehouse / re-export logistics</w:t>
            </w:r>
          </w:p>
        </w:tc>
        <w:tc>
          <w:tcPr/>
          <w:p>
            <w:pPr>
              <w:pStyle w:val="Compact"/>
              <w:jc w:val="left"/>
            </w:pPr>
            <w:r>
              <w:t xml:space="preserve">Ankara, Turkey</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Newark, NJ, USA</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Applicant’s U.S. receiving bank</w:t>
            </w:r>
          </w:p>
        </w:tc>
        <w:tc>
          <w:tcPr/>
          <w:p>
            <w:pPr>
              <w:pStyle w:val="Compact"/>
              <w:jc w:val="left"/>
            </w:pPr>
            <w:r>
              <w:t xml:space="preserve">Boston, MA, USA</w:t>
            </w:r>
          </w:p>
        </w:tc>
        <w:tc>
          <w:tcPr/>
          <w:p>
            <w:pPr>
              <w:pStyle w:val="Compact"/>
              <w:jc w:val="left"/>
            </w:pPr>
            <w:r>
              <w:t xml:space="preserve">No Match</w:t>
            </w:r>
          </w:p>
        </w:tc>
      </w:tr>
      <w:tr>
        <w:tc>
          <w:tcPr/>
          <w:p>
            <w:pPr>
              <w:pStyle w:val="Compact"/>
              <w:jc w:val="left"/>
            </w:pPr>
            <w:r>
              <w:t xml:space="preserve">Central Bank of Calverley (CBS)</w:t>
            </w:r>
          </w:p>
        </w:tc>
        <w:tc>
          <w:tcPr/>
          <w:p>
            <w:pPr>
              <w:pStyle w:val="Compact"/>
              <w:jc w:val="left"/>
            </w:pPr>
            <w:r>
              <w:t xml:space="preserve">Remitting bank (as stated in PO)</w:t>
            </w:r>
          </w:p>
        </w:tc>
        <w:tc>
          <w:tcPr/>
          <w:p>
            <w:pPr>
              <w:pStyle w:val="Compact"/>
              <w:jc w:val="left"/>
            </w:pPr>
            <w:r>
              <w:t xml:space="preserve">Damascus, Syria</w:t>
            </w:r>
          </w:p>
        </w:tc>
        <w:tc>
          <w:tcPr/>
          <w:p>
            <w:pPr>
              <w:pStyle w:val="Compact"/>
              <w:jc w:val="left"/>
            </w:pPr>
            <w:r>
              <w:rPr>
                <w:b/>
                <w:bCs/>
              </w:rPr>
              <w:t xml:space="preserve">SDN-listed — see §IX; will not be used</w:t>
            </w:r>
          </w:p>
        </w:tc>
      </w:tr>
    </w:tbl>
    <w:p>
      <w:pPr>
        <w:pStyle w:val="BodyText"/>
      </w:pPr>
      <w:r>
        <w:t xml:space="preserve">7.2</w:t>
      </w:r>
      <w:r>
        <w:t xml:space="preserve"> </w:t>
      </w:r>
      <w:r>
        <w:rPr>
          <w:b/>
          <w:bCs/>
        </w:rPr>
        <w:t xml:space="preserve">Shipping route.</w:t>
      </w:r>
      <w:r>
        <w:t xml:space="preserve"> </w:t>
      </w:r>
      <w:r>
        <w:t xml:space="preserve">Goods will be shipped from Meridian’s Cambridge, MA facility to DCUH in Damascus via the following five-leg route, as detailed in the Shipping and Logistics Plan prepared by Pinnacle Freight International, Inc. (Exhibit 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 (refrigerated truck)</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 (ocean,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(overland + warehousing at AMTW)</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 (overland, refrigerated)</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(overland, final delivery to DCUH)</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jc w:val="left"/>
            </w:pPr>
            <w:r>
              <w:rPr>
                <w:b/>
                <w:bCs/>
              </w:rPr>
              <w:t xml:space="preserve">30–42 days (~4–6 weeks); plan 6–8 weeks</w:t>
            </w:r>
          </w:p>
        </w:tc>
      </w:tr>
    </w:tbl>
    <w:p>
      <w:pPr>
        <w:pStyle w:val="BodyText"/>
      </w:pPr>
      <w:r>
        <w:t xml:space="preserve">7.3</w:t>
      </w:r>
      <w:r>
        <w:t xml:space="preserve"> </w:t>
      </w:r>
      <w:r>
        <w:rPr>
          <w:b/>
          <w:bCs/>
        </w:rPr>
        <w:t xml:space="preserve">Cold-chain management.</w:t>
      </w:r>
      <w:r>
        <w:t xml:space="preserve"> </w:t>
      </w:r>
      <w:r>
        <w:t xml:space="preserve">The 500 reagent kits will be shipped in validated insulated containers with calibrated digital temperature data loggers recording at 15-minute intervals. The ocean-leg reefer container will be set to 4°C ± 2°C with remote performance monitoring. AMTW’s Ankara facility maintains dedicated pharmaceutical-grade cold storage rated for the 2–8°C range. Refrigerated trucks will be used for the final overland legs. All temperature data logs will be compiled and provided to the Applicant for quality-assurance and end-use records. The CalibPro 3100 units require no cold-chain and will be palletized as standard freight.</w:t>
      </w:r>
    </w:p>
    <w:p>
      <w:pPr>
        <w:pStyle w:val="BodyText"/>
      </w:pPr>
      <w:r>
        <w:t xml:space="preserve">7.4</w:t>
      </w:r>
      <w:r>
        <w:t xml:space="preserve"> </w:t>
      </w:r>
      <w:r>
        <w:rPr>
          <w:b/>
          <w:bCs/>
        </w:rPr>
        <w:t xml:space="preserve">Custody and control.</w:t>
      </w:r>
      <w:r>
        <w:t xml:space="preserve"> </w:t>
      </w:r>
      <w:r>
        <w:t xml:space="preserve">The goods will at all times be destined for, and upon delivery placed in the custody of, DCUH. The Turkish transit warehouse (AMTW) serves solely as a temporary consolidation and re-export facility; no sale, transfer, or disposition of the goods occurs in Turkey. The Applicant will obtain proof of delivery and end-user receipt confirmation at DCUH.</w:t>
      </w:r>
    </w:p>
    <w:p>
      <w:pPr>
        <w:pStyle w:val="BodyText"/>
      </w:pPr>
      <w:r>
        <w:t xml:space="preserve">7.5</w:t>
      </w:r>
      <w:r>
        <w:t xml:space="preserve"> </w:t>
      </w:r>
      <w:r>
        <w:rPr>
          <w:b/>
          <w:bCs/>
        </w:rPr>
        <w:t xml:space="preserve">Re-screening commitment.</w:t>
      </w:r>
      <w:r>
        <w:t xml:space="preserve"> </w:t>
      </w:r>
      <w:r>
        <w:t xml:space="preserve">The Applicant will re-screen all transaction parties (including any substitute customs clearance agent and any substitute remitting bank) at 90-day intervals during the pendency of this application and immediately prior to any shipment if the license is granted.</w:t>
      </w:r>
    </w:p>
    <w:bookmarkEnd w:id="31"/>
    <w:bookmarkStart w:id="32" w:name="Xbd124588fd9eed562327a38a99d973024f10692"/>
    <w:p>
      <w:pPr>
        <w:pStyle w:val="Heading2"/>
      </w:pPr>
      <w:r>
        <w:t xml:space="preserve">VIII. Payment Terms and Proposed Payment Structure</w:t>
      </w:r>
    </w:p>
    <w:p>
      <w:pPr>
        <w:pStyle w:val="FirstParagraph"/>
      </w:pPr>
      <w:r>
        <w:t xml:space="preserve">8.1</w:t>
      </w:r>
      <w:r>
        <w:t xml:space="preserve"> </w:t>
      </w:r>
      <w:r>
        <w:rPr>
          <w:b/>
          <w:bCs/>
        </w:rPr>
        <w:t xml:space="preserve">Payment terms in the purchase order.</w:t>
      </w:r>
      <w:r>
        <w:t xml:space="preserve"> </w:t>
      </w:r>
      <w:r>
        <w:t xml:space="preserve">DCUH’s purchase order (Exhibit A) specifies 100% advance payment by international wire transfer, to be remitted no later than fifteen (15) business days prior to the scheduled shipment date, with the remitting bank identified as the</w:t>
      </w:r>
      <w:r>
        <w:t xml:space="preserve"> </w:t>
      </w:r>
      <w:r>
        <w:rPr>
          <w:b/>
          <w:bCs/>
        </w:rPr>
        <w:t xml:space="preserve">Central Bank of Calverley (CBS)</w:t>
      </w:r>
      <w:r>
        <w:t xml:space="preserve">, Damascus, and the receiving bank as Harborview National Bank, Boston, MA (Meridian Account No. 7821-4490-3361).</w:t>
      </w:r>
    </w:p>
    <w:p>
      <w:pPr>
        <w:pStyle w:val="BodyText"/>
      </w:pPr>
      <w:r>
        <w:t xml:space="preserve">8.2</w:t>
      </w:r>
      <w:r>
        <w:t xml:space="preserve"> </w:t>
      </w:r>
      <w:r>
        <w:rPr>
          <w:b/>
          <w:bCs/>
        </w:rPr>
        <w:t xml:space="preserve">CBS is SDN-listed — it will not be used.</w:t>
      </w:r>
      <w:r>
        <w:t xml:space="preserve"> </w:t>
      </w:r>
      <w:r>
        <w:t xml:space="preserve">The Applicant has determined, and respectfully discloses, that the Central Bank of Calverley is designated on the SDN List (added August 10, 2011, pursuant to E.O. 13582). Routing payment through CBS would constitute a prohibited transaction with a blocked person under the SSR, and any such funds received by a U.S. person would be subject to blocking.</w:t>
      </w:r>
      <w:r>
        <w:t xml:space="preserve"> </w:t>
      </w:r>
      <w:r>
        <w:rPr>
          <w:b/>
          <w:bCs/>
        </w:rPr>
        <w:t xml:space="preserve">The Applicant will not accept, and will not permit any U.S. financial institution to process, any payment routed through CBS or any other SDN-listed institution.</w:t>
      </w:r>
    </w:p>
    <w:p>
      <w:pPr>
        <w:pStyle w:val="BodyText"/>
      </w:pPr>
      <w:r>
        <w:t xml:space="preserve">8.3</w:t>
      </w:r>
      <w:r>
        <w:t xml:space="preserve"> </w:t>
      </w:r>
      <w:r>
        <w:rPr>
          <w:b/>
          <w:bCs/>
        </w:rPr>
        <w:t xml:space="preserve">Proposed alternative payment structure.</w:t>
      </w:r>
      <w:r>
        <w:t xml:space="preserve"> </w:t>
      </w:r>
      <w:r>
        <w:t xml:space="preserve">The Applicant proposes, and requests that the license authorize, payment by international wire transfer in USD from a</w:t>
      </w:r>
      <w:r>
        <w:t xml:space="preserve"> </w:t>
      </w:r>
      <w:r>
        <w:rPr>
          <w:b/>
          <w:bCs/>
        </w:rPr>
        <w:t xml:space="preserve">non-SDN-listed financial institution</w:t>
      </w:r>
      <w:r>
        <w:t xml:space="preserve"> </w:t>
      </w:r>
      <w:r>
        <w:t xml:space="preserve">to the Applicant’s account at Harborview National Bank, Boston, MA (Account No. 7821-4490-3361). The remitting institution will be either (a) a non-SDN-listed Syrian commercial bank, or (b) a financial institution located outside Syria (for example, in Turkey or another third country) through which DCUH arranges payment. The Applicant’s Compliance Department will screen the selected remitting institution against all applicable OFAC and restricted-party lists prior to any payment and will not accept payment from any institution that returns a match. The Applicant requests that the license be conditioned to prohibit the routing of any payment through CBS or any other SDN-listed person, consistent with the condition imposed in the Applicant’s prior specific license (SYR-2021-384712).</w:t>
      </w:r>
    </w:p>
    <w:p>
      <w:pPr>
        <w:pStyle w:val="BodyText"/>
      </w:pPr>
      <w:r>
        <w:t xml:space="preserve">8.4</w:t>
      </w:r>
      <w:r>
        <w:t xml:space="preserve"> </w:t>
      </w:r>
      <w:r>
        <w:rPr>
          <w:b/>
          <w:bCs/>
        </w:rPr>
        <w:t xml:space="preserve">No benefit to SDN.</w:t>
      </w:r>
      <w:r>
        <w:t xml:space="preserve"> </w:t>
      </w:r>
      <w:r>
        <w:t xml:space="preserve">The Applicant represents that no element of the payment flow will involve, benefit, or be processed by any SDN-listed person or any entity 50% or more owned, individually or in the aggregate, by SDN-listed persons.</w:t>
      </w:r>
    </w:p>
    <w:bookmarkEnd w:id="32"/>
    <w:bookmarkStart w:id="36" w:name="ix.-disclosure-of-sdn-related-issues"/>
    <w:p>
      <w:pPr>
        <w:pStyle w:val="Heading2"/>
      </w:pPr>
      <w:r>
        <w:t xml:space="preserve">IX. Disclosure of SDN-Related Issues</w:t>
      </w:r>
    </w:p>
    <w:p>
      <w:pPr>
        <w:pStyle w:val="FirstParagraph"/>
      </w:pPr>
      <w:r>
        <w:t xml:space="preserve">The Applicant respectfully provides the following full and candid disclosure of the two sanctions-sensitive elements identified during compliance screening. The Applicant has structured the transaction to avoid any prohibited dealing with SDN-listed persons and requests that the license be issued on that basis.</w:t>
      </w:r>
    </w:p>
    <w:bookmarkStart w:id="33" w:name="X435c37a3cab55c9cd9ae5110bfa05bc7ceb34de"/>
    <w:p>
      <w:pPr>
        <w:pStyle w:val="Heading3"/>
      </w:pPr>
      <w:r>
        <w:t xml:space="preserve">9.1 Al-Rashid Medical Procurement Company (ARMPC) and Samir Daoud Khoury</w:t>
      </w:r>
    </w:p>
    <w:p>
      <w:pPr>
        <w:pStyle w:val="FirstParagraph"/>
      </w:pPr>
      <w:r>
        <w:t xml:space="preserve">9.1.1</w:t>
      </w:r>
      <w:r>
        <w:t xml:space="preserve"> </w:t>
      </w:r>
      <w:r>
        <w:rPr>
          <w:b/>
          <w:bCs/>
        </w:rPr>
        <w:t xml:space="preserve">Role of ARMPC.</w:t>
      </w:r>
      <w:r>
        <w:t xml:space="preserve"> </w:t>
      </w:r>
      <w:r>
        <w:t xml:space="preserve">DCUH’s purchase order designates Al-Rashid Medical Procurement Company (</w:t>
      </w:r>
      <w:r>
        <w:t xml:space="preserve">“</w:t>
      </w:r>
      <w:r>
        <w:t xml:space="preserve">ARMPC</w:t>
      </w:r>
      <w:r>
        <w:t xml:space="preserve">”</w:t>
      </w:r>
      <w:r>
        <w:t xml:space="preserve">), 18 Barada Street, Floor 3, Damascus, Syria (Managing Director: Tariq Nabil Hammoud), as the customs clearance and import logistics agent responsible for receiving shipments at the Syrian border and coordinating in-country delivery to DCUH. ARMPC is not itself listed on the SDN List or any other restricted-party list screened by the Applicant. Mr. Hammoud was screened independently and returned no match.</w:t>
      </w:r>
    </w:p>
    <w:p>
      <w:pPr>
        <w:pStyle w:val="BodyText"/>
      </w:pPr>
      <w:r>
        <w:t xml:space="preserve">9.1.2</w:t>
      </w:r>
      <w:r>
        <w:t xml:space="preserve"> </w:t>
      </w:r>
      <w:r>
        <w:rPr>
          <w:b/>
          <w:bCs/>
        </w:rPr>
        <w:t xml:space="preserve">SDN-listed shareholder — disclosure.</w:t>
      </w:r>
      <w:r>
        <w:t xml:space="preserve"> </w:t>
      </w:r>
      <w:r>
        <w:t xml:space="preserve">Through the Applicant’s enhanced real-time beneficial ownership screening platform (implemented in January 2024), the Applicant identified that</w:t>
      </w:r>
      <w:r>
        <w:t xml:space="preserve"> </w:t>
      </w:r>
      <w:r>
        <w:rPr>
          <w:b/>
          <w:bCs/>
        </w:rPr>
        <w:t xml:space="preserve">Samir Daoud Khoury</w:t>
      </w:r>
      <w:r>
        <w:t xml:space="preserve"> </w:t>
      </w:r>
      <w:r>
        <w:t xml:space="preserve">holds a 30% ownership interest in ARMPC. Mr. Khoury is designated on the SDN List. The listing details are:</w:t>
      </w:r>
    </w:p>
    <w:p>
      <w:pPr>
        <w:pStyle w:val="BlockText"/>
      </w:pPr>
      <w:r>
        <w:rPr>
          <w:b/>
          <w:bCs/>
        </w:rPr>
        <w:t xml:space="preserve">KHOURY, Samir Daoud</w:t>
      </w:r>
      <w:r>
        <w:t xml:space="preserve"> </w:t>
      </w:r>
      <w:r>
        <w:t xml:space="preserve">— DOB: March 12, 1971; Nationality: Syria; Passport No.: S-0048712; SDN List Addition Date: April 15, 2024; Basis for Designation: Acting on behalf of a sanctioned Syrian military procurement network.</w:t>
      </w:r>
    </w:p>
    <w:p>
      <w:pPr>
        <w:pStyle w:val="FirstParagraph"/>
      </w:pPr>
      <w:r>
        <w:t xml:space="preserve">9.1.3</w:t>
      </w:r>
      <w:r>
        <w:t xml:space="preserve"> </w:t>
      </w:r>
      <w:r>
        <w:rPr>
          <w:b/>
          <w:bCs/>
        </w:rPr>
        <w:t xml:space="preserve">50 Percent Rule analysis.</w:t>
      </w:r>
      <w:r>
        <w:t xml:space="preserve"> </w:t>
      </w:r>
      <w:r>
        <w:t xml:space="preserve">Under OFAC’s 50 Percent Rule, an entity is considered blocked only where SDN-listed persons own, individually or in the aggregate, 50% or more of the entity. Mr. Khoury’s 30% ownership interest falls below that threshold, and the Applicant has identified no other SDN-listed shareholder of ARMPC. Accordingly, ARMPC is not, on the present facts, automatically considered a blocked entity under the 50 Percent Rule. The Applicant recognizes, however, that OFAC guidance cautions that transactions with entities in which SDN-listed persons hold significant minority ownership interests may present elevated sanctions risk and may, depending on the circumstances, constitute prohibited dealings with an SDN-listed person.</w:t>
      </w:r>
    </w:p>
    <w:p>
      <w:pPr>
        <w:pStyle w:val="BodyText"/>
      </w:pPr>
      <w:r>
        <w:t xml:space="preserve">9.1.4</w:t>
      </w:r>
      <w:r>
        <w:t xml:space="preserve"> </w:t>
      </w:r>
      <w:r>
        <w:rPr>
          <w:b/>
          <w:bCs/>
        </w:rPr>
        <w:t xml:space="preserve">Proposed structure — ARMPC will not be used absent specific authorization.</w:t>
      </w:r>
      <w:r>
        <w:t xml:space="preserve"> </w:t>
      </w:r>
      <w:r>
        <w:t xml:space="preserve">As a matter of prudence and to eliminate sanctions risk, the Applicant has determined that</w:t>
      </w:r>
      <w:r>
        <w:t xml:space="preserve"> </w:t>
      </w:r>
      <w:r>
        <w:rPr>
          <w:b/>
          <w:bCs/>
        </w:rPr>
        <w:t xml:space="preserve">ARMPC will not serve as the customs clearance agent for this transaction unless and until OFAC specifically authorizes its involvement.</w:t>
      </w:r>
      <w:r>
        <w:t xml:space="preserve"> </w:t>
      </w:r>
      <w:r>
        <w:t xml:space="preserve">Instead, the Applicant will require DCUH to designate an alternative customs clearance and last-mile delivery arrangement that the Applicant has screened and approved and that has no SDN nexus — whether (a) an alternative licensed customs clearance agent in Syria, or (b) DCUH’s own personnel performing customs clearance directly. The Applicant requests that the license authorize DCUH to designate a customs clearance agent for this shipment, provided that any such agent (i) is not an SDN-listed person; (ii) is not, individually or in the aggregate, 50% or more owned by SDN-listed persons; and (iii) has been screened and approved by the Applicant’s Compliance Department against all applicable OFAC and restricted-party lists. The Applicant will notify OFAC of the identity of the designated customs clearance agent prior to shipment and will provide updated screening results.</w:t>
      </w:r>
    </w:p>
    <w:p>
      <w:pPr>
        <w:pStyle w:val="BodyText"/>
      </w:pPr>
      <w:r>
        <w:t xml:space="preserve">9.1.5</w:t>
      </w:r>
      <w:r>
        <w:t xml:space="preserve"> </w:t>
      </w:r>
      <w:r>
        <w:rPr>
          <w:b/>
          <w:bCs/>
        </w:rPr>
        <w:t xml:space="preserve">Alternative request.</w:t>
      </w:r>
      <w:r>
        <w:t xml:space="preserve"> </w:t>
      </w:r>
      <w:r>
        <w:t xml:space="preserve">In the alternative, and only if OFAC determines that the use of ARMPC is necessary to accomplish the humanitarian purpose of this transaction, the Applicant requests that the license specifically authorize ARMPC to perform solely ministerial in-country customs clearance and last-mile delivery functions, subject to all of the following conditions: (a) no payment, fee, or other benefit in connection with this transaction is directed to Samir Daoud Khoury, and Mr. Khoury has no operational, management, or decision-making role with respect to this shipment; (b) any fees paid to ARMPC are reasonable, documented, and commensurate with customary customs-clearance services; (c) the Applicant re-screens ARMPC and Mr. Khoury immediately prior to shipment; and (d) the Applicant promptly reports to OFAC any change in ARMPC’s ownership or any action by OFAC designating ARMPC. The Applicant respectfully submits that the preferred and lower-risk course is the substitution of a clean customs clearance agent described in §9.1.4.</w:t>
      </w:r>
    </w:p>
    <w:p>
      <w:pPr>
        <w:pStyle w:val="BodyText"/>
      </w:pPr>
      <w:r>
        <w:t xml:space="preserve">9.1.6</w:t>
      </w:r>
      <w:r>
        <w:t xml:space="preserve"> </w:t>
      </w:r>
      <w:r>
        <w:rPr>
          <w:b/>
          <w:bCs/>
        </w:rPr>
        <w:t xml:space="preserve">No other SDN nexus.</w:t>
      </w:r>
      <w:r>
        <w:t xml:space="preserve"> </w:t>
      </w:r>
      <w:r>
        <w:t xml:space="preserve">No other party to the proposed transaction has any identified SDN ownership or control nexus. The Turkish transit warehouse (AMTW) and its managing director, and the U.S. freight forwarder (Pinnacle) and its vice president, each screened clean.</w:t>
      </w:r>
    </w:p>
    <w:bookmarkEnd w:id="33"/>
    <w:bookmarkStart w:id="34" w:name="central-bank-of-calverley-cbs"/>
    <w:p>
      <w:pPr>
        <w:pStyle w:val="Heading3"/>
      </w:pPr>
      <w:r>
        <w:t xml:space="preserve">9.2 Central Bank of Calverley (CBS)</w:t>
      </w:r>
    </w:p>
    <w:p>
      <w:pPr>
        <w:pStyle w:val="FirstParagraph"/>
      </w:pPr>
      <w:r>
        <w:t xml:space="preserve">9.2.1 As detailed in Section VIII, the Central Bank of Calverley is designated on the SDN List (added August 10, 2011, pursuant to E.O. 13582). The Applicant will not route any payment through CBS and requests that the license so provide. The Applicant proposes the alternative non-SDN payment structure set forth in §8.3 and requests OFAC’s authorization of that structure.</w:t>
      </w:r>
    </w:p>
    <w:bookmarkEnd w:id="34"/>
    <w:bookmarkStart w:id="35" w:name="continuing-screening-obligation"/>
    <w:p>
      <w:pPr>
        <w:pStyle w:val="Heading3"/>
      </w:pPr>
      <w:r>
        <w:t xml:space="preserve">9.3 Continuing screening obligation</w:t>
      </w:r>
    </w:p>
    <w:p>
      <w:pPr>
        <w:pStyle w:val="FirstParagraph"/>
      </w:pPr>
      <w:r>
        <w:t xml:space="preserve">9.3.1 The Applicant understands that sanctions designations change over time. The Applicant commits to re-screening all transaction parties at 90-day intervals during the pendency of this application and immediately prior to any shipment, and to promptly notifying OFAC of any new match, any material change in the facts described herein, or any action by OFAC designating any party to the transaction.</w:t>
      </w:r>
    </w:p>
    <w:bookmarkEnd w:id="35"/>
    <w:bookmarkEnd w:id="36"/>
    <w:bookmarkStart w:id="37" w:name="x.-humanitarian-justification"/>
    <w:p>
      <w:pPr>
        <w:pStyle w:val="Heading2"/>
      </w:pPr>
      <w:r>
        <w:t xml:space="preserve">X. Humanitarian Justification</w:t>
      </w:r>
    </w:p>
    <w:p>
      <w:pPr>
        <w:pStyle w:val="FirstParagraph"/>
      </w:pPr>
      <w:r>
        <w:t xml:space="preserve">10.1</w:t>
      </w:r>
      <w:r>
        <w:t xml:space="preserve"> </w:t>
      </w:r>
      <w:r>
        <w:rPr>
          <w:b/>
          <w:bCs/>
        </w:rPr>
        <w:t xml:space="preserve">WHO needs assessment.</w:t>
      </w:r>
      <w:r>
        <w:t xml:space="preserve"> </w:t>
      </w:r>
      <w:r>
        <w:t xml:space="preserve">The WHO Syria Country Office published a Comprehensive Health Needs Assessment for the Syrian Arab Republic in January 2024 (WHO Reference No. WHO-SYR/HNA/2024-01) (Exhibit E). Section 4.7 of that assessment addresses oncology and cancer diagnostics capacity and makes findings directly relevant to this application:</w:t>
      </w:r>
    </w:p>
    <w:p>
      <w:pPr>
        <w:pStyle w:val="Compact"/>
        <w:numPr>
          <w:ilvl w:val="0"/>
          <w:numId w:val="1001"/>
        </w:numPr>
      </w:pPr>
      <w:r>
        <w:t xml:space="preserve">Cancer incidence in Syria is estimated at approximately 22,000–25,000 new cases per year. Breast cancer is the most prevalent malignancy among Syrian women, accounting for approximately 33% of all female cancer diagnoses.</w:t>
      </w:r>
    </w:p>
    <w:p>
      <w:pPr>
        <w:pStyle w:val="Compact"/>
        <w:numPr>
          <w:ilvl w:val="0"/>
          <w:numId w:val="1001"/>
        </w:numPr>
      </w:pPr>
      <w:r>
        <w:t xml:space="preserve">Prior to 2011, Syria maintained approximately 14 functioning IHC laboratories; as of January 2024, only three remain partially operational, and none at full pre-conflict capacity.</w:t>
      </w:r>
    </w:p>
    <w:p>
      <w:pPr>
        <w:pStyle w:val="Compact"/>
        <w:numPr>
          <w:ilvl w:val="0"/>
          <w:numId w:val="1001"/>
        </w:numPr>
      </w:pPr>
      <w:r>
        <w:rPr>
          <w:b/>
          <w:bCs/>
        </w:rPr>
        <w:t xml:space="preserve">DCUH is specifically identified</w:t>
      </w:r>
      <w:r>
        <w:t xml:space="preserve"> </w:t>
      </w:r>
      <w:r>
        <w:t xml:space="preserve">as the largest and most important remaining oncology referral center in Syria, operating a 140-bed oncology ward and processing approximately 3,800 tissue biopsies per year — the substantial majority of the country’s cancer diagnostic workload.</w:t>
      </w:r>
    </w:p>
    <w:p>
      <w:pPr>
        <w:pStyle w:val="Compact"/>
        <w:numPr>
          <w:ilvl w:val="0"/>
          <w:numId w:val="1001"/>
        </w:numPr>
      </w:pPr>
      <w:r>
        <w:t xml:space="preserve">The current diagnostic backlog at DCUH exceeds</w:t>
      </w:r>
      <w:r>
        <w:t xml:space="preserve"> </w:t>
      </w:r>
      <w:r>
        <w:rPr>
          <w:b/>
          <w:bCs/>
        </w:rPr>
        <w:t xml:space="preserve">14 months</w:t>
      </w:r>
      <w:r>
        <w:t xml:space="preserve">, forcing oncologists to initiate empiric chemotherapy without biomarker confirmation in many cases, resulting in suboptimal regimens, avoidable drug toxicity, and inefficient use of scarce oncological resources.</w:t>
      </w:r>
    </w:p>
    <w:p>
      <w:pPr>
        <w:pStyle w:val="Compact"/>
        <w:numPr>
          <w:ilvl w:val="0"/>
          <w:numId w:val="1001"/>
        </w:numPr>
      </w:pPr>
      <w:r>
        <w:t xml:space="preserve">The estimated five-year survival rate for breast cancer in Syria has declined from approximately 62% (pre-2011) to approximately 38%, attributable in significant part to prolonged diagnostic delays and the inability to perform biomarker-guided treatment selection.</w:t>
      </w:r>
    </w:p>
    <w:p>
      <w:pPr>
        <w:pStyle w:val="Compact"/>
        <w:numPr>
          <w:ilvl w:val="0"/>
          <w:numId w:val="1001"/>
        </w:numPr>
      </w:pPr>
      <w:r>
        <w:t xml:space="preserve">DCUH’s existing Ventana BenchMark XT platform requires validated, compatible reagent kits to produce reliable results, and the limited number of internationally manufactured kits validated for that platform constrains procurement options. DCUH’s existing calibration equipment is reported non-functional or beyond serviceable life.</w:t>
      </w:r>
    </w:p>
    <w:p>
      <w:pPr>
        <w:pStyle w:val="FirstParagraph"/>
      </w:pPr>
      <w:r>
        <w:t xml:space="preserve">10.2</w:t>
      </w:r>
      <w:r>
        <w:t xml:space="preserve"> </w:t>
      </w:r>
      <w:r>
        <w:rPr>
          <w:b/>
          <w:bCs/>
        </w:rPr>
        <w:t xml:space="preserve">WHO recommendations.</w:t>
      </w:r>
      <w:r>
        <w:t xml:space="preserve"> </w:t>
      </w:r>
      <w:r>
        <w:t xml:space="preserve">WHO’s Section 4.7 recommendations expressly call for: (1) urgent procurement of validated IHC reagent kits compatible with existing tissue processing equipment at DCUH, with priority given to breast cancer biomarker panels (HER2, ER, PR); (2) replacement and provision of laboratory calibration instruments to restore quality-assurance capacity; (3) technical training support for laboratory personnel, noting that remote training modalities may be necessary given access constraints; and (4) international coordination to facilitate humanitarian exemptions and licensing for the import of essential medical diagnostic supplies into Syria. WHO further calls on the international community to ensure that sanctions frameworks do not impede the delivery of essential medical diagnostic supplies to the Syrian population.</w:t>
      </w:r>
    </w:p>
    <w:p>
      <w:pPr>
        <w:pStyle w:val="BodyText"/>
      </w:pPr>
      <w:r>
        <w:t xml:space="preserve">10.3</w:t>
      </w:r>
      <w:r>
        <w:t xml:space="preserve"> </w:t>
      </w:r>
      <w:r>
        <w:rPr>
          <w:b/>
          <w:bCs/>
        </w:rPr>
        <w:t xml:space="preserve">Alignment of the proposed transaction with WHO-identified needs.</w:t>
      </w:r>
      <w:r>
        <w:t xml:space="preserve"> </w:t>
      </w:r>
      <w:r>
        <w:t xml:space="preserve">The proposed transaction directly responds to each of the WHO recommendations: it supplies the only FDA-cleared reagent kit validated for DCUH’s installed Ventana BenchMark XT platform (HER2/ER/PR breast cancer panel); it replaces DCUH’s non-functional calibration equipment; and it provides remote technical training consistent with WHO’s recognition that remote modalities may be necessary. The goods are purely humanitarian medical diagnostics with no military, dual-use, or proliferation application.</w:t>
      </w:r>
    </w:p>
    <w:p>
      <w:pPr>
        <w:pStyle w:val="BodyText"/>
      </w:pPr>
      <w:r>
        <w:t xml:space="preserve">10.4</w:t>
      </w:r>
      <w:r>
        <w:t xml:space="preserve"> </w:t>
      </w:r>
      <w:r>
        <w:rPr>
          <w:b/>
          <w:bCs/>
        </w:rPr>
        <w:t xml:space="preserve">Estimated humanitarian impact.</w:t>
      </w:r>
      <w:r>
        <w:t xml:space="preserve"> </w:t>
      </w:r>
      <w:r>
        <w:t xml:space="preserve">Restoring diagnostic capacity at DCUH is estimated by WHO to positively impact outcomes for thousands of patients annually across government-controlled Syria. The 500 reagent kits will support approximately 15 months of DCUH’s diagnostic workload and will directly reduce the &gt;14-month diagnostic backlog that is presently contributing to preventable mortality.</w:t>
      </w:r>
    </w:p>
    <w:bookmarkEnd w:id="37"/>
    <w:bookmarkStart w:id="38" w:name="Xc29ff5543724f72d82d2a87c90bbeccf223cdf8"/>
    <w:p>
      <w:pPr>
        <w:pStyle w:val="Heading2"/>
      </w:pPr>
      <w:r>
        <w:t xml:space="preserve">XI. Applicant’s OFAC Compliance Program and Track Record</w:t>
      </w:r>
    </w:p>
    <w:p>
      <w:pPr>
        <w:pStyle w:val="FirstParagraph"/>
      </w:pPr>
      <w:r>
        <w:t xml:space="preserve">11.1</w:t>
      </w:r>
      <w:r>
        <w:t xml:space="preserve"> </w:t>
      </w:r>
      <w:r>
        <w:rPr>
          <w:b/>
          <w:bCs/>
        </w:rPr>
        <w:t xml:space="preserve">Compliance program.</w:t>
      </w:r>
      <w:r>
        <w:t xml:space="preserve"> </w:t>
      </w:r>
      <w:r>
        <w:t xml:space="preserve">Meridian has maintained an OFAC sanctions compliance program since 2015. The program is documented in a comprehensive Sanctions Compliance Manual (last updated March 2023) covering OFAC, BIS/EAR, and anti-boycott requirements, and addressing both the export of physical goods and the provision of services, including remote technical services. The program reflects the five pillars of OFAC’s</w:t>
      </w:r>
      <w:r>
        <w:t xml:space="preserve"> </w:t>
      </w:r>
      <w:r>
        <w:t xml:space="preserve">“</w:t>
      </w:r>
      <w:r>
        <w:t xml:space="preserve">A Framework for OFAC Compliance Commitments</w:t>
      </w:r>
      <w:r>
        <w:t xml:space="preserve">”</w:t>
      </w:r>
      <w:r>
        <w:t xml:space="preserve"> </w:t>
      </w:r>
      <w:r>
        <w:t xml:space="preserve">(May 2019): management commitment, risk assessment, internal controls, testing and audit, and training.</w:t>
      </w:r>
    </w:p>
    <w:p>
      <w:pPr>
        <w:pStyle w:val="BodyText"/>
      </w:pPr>
      <w:r>
        <w:t xml:space="preserve">11.2</w:t>
      </w:r>
      <w:r>
        <w:t xml:space="preserve"> </w:t>
      </w:r>
      <w:r>
        <w:rPr>
          <w:b/>
          <w:bCs/>
        </w:rPr>
        <w:t xml:space="preserve">Management commitment and governance.</w:t>
      </w:r>
      <w:r>
        <w:t xml:space="preserve"> </w:t>
      </w:r>
      <w:r>
        <w:t xml:space="preserve">Chief Compliance Officer Margaret</w:t>
      </w:r>
      <w:r>
        <w:t xml:space="preserve"> </w:t>
      </w:r>
      <w:r>
        <w:t xml:space="preserve">“</w:t>
      </w:r>
      <w:r>
        <w:t xml:space="preserve">Peggy</w:t>
      </w:r>
      <w:r>
        <w:t xml:space="preserve">”</w:t>
      </w:r>
      <w:r>
        <w:t xml:space="preserve"> </w:t>
      </w:r>
      <w:r>
        <w:t xml:space="preserve">Dunleavy reports directly to the General Counsel and maintains a standing quarterly briefing to the Board of Directors’ Audit Committee. CEO Dr. Priya Ramaswamy and General Counsel Jonathan D. Halsted provide visible executive support for the compliance function.</w:t>
      </w:r>
    </w:p>
    <w:p>
      <w:pPr>
        <w:pStyle w:val="BodyText"/>
      </w:pPr>
      <w:r>
        <w:t xml:space="preserve">11.3</w:t>
      </w:r>
      <w:r>
        <w:t xml:space="preserve"> </w:t>
      </w:r>
      <w:r>
        <w:rPr>
          <w:b/>
          <w:bCs/>
        </w:rPr>
        <w:t xml:space="preserve">Screening infrastructure.</w:t>
      </w:r>
      <w:r>
        <w:t xml:space="preserve"> </w:t>
      </w:r>
      <w:r>
        <w:t xml:space="preserve">Meridian utilizes automated screening software to screen all counterparties, end-users, intermediaries, freight forwarders, and financial institutions against the SDN List, the Consolidated Screening List, EU sanctions lists, and UN sanctions lists, at transaction initiation and at each material milestone (including shipment and payment). Pursuant to a high-priority recommendation from its September 2023 independent audit, Meridian implemented</w:t>
      </w:r>
      <w:r>
        <w:t xml:space="preserve"> </w:t>
      </w:r>
      <w:r>
        <w:rPr>
          <w:b/>
          <w:bCs/>
        </w:rPr>
        <w:t xml:space="preserve">enhanced real-time beneficial ownership screening</w:t>
      </w:r>
      <w:r>
        <w:t xml:space="preserve"> </w:t>
      </w:r>
      <w:r>
        <w:t xml:space="preserve">in January 2024 — the very enhancement that detected the SDN-listed 30% shareholder of ARMPC disclosed in Section IX. Meridian has established a threshold policy for escalation when an SDN-listed person holds any ownership interest in a counterparty, regardless of the 50% blocking threshold.</w:t>
      </w:r>
    </w:p>
    <w:p>
      <w:pPr>
        <w:pStyle w:val="BodyText"/>
      </w:pPr>
      <w:r>
        <w:t xml:space="preserve">11.4</w:t>
      </w:r>
      <w:r>
        <w:t xml:space="preserve"> </w:t>
      </w:r>
      <w:r>
        <w:rPr>
          <w:b/>
          <w:bCs/>
        </w:rPr>
        <w:t xml:space="preserve">Training.</w:t>
      </w:r>
      <w:r>
        <w:t xml:space="preserve"> </w:t>
      </w:r>
      <w:r>
        <w:t xml:space="preserve">Annual OFAC and sanctions compliance training was completed by 97% of relevant personnel in fiscal year 2023, with targeted supplemental training for international sales, logistics, and finance teams.</w:t>
      </w:r>
    </w:p>
    <w:p>
      <w:pPr>
        <w:pStyle w:val="BodyText"/>
      </w:pPr>
      <w:r>
        <w:t xml:space="preserve">11.5</w:t>
      </w:r>
      <w:r>
        <w:t xml:space="preserve"> </w:t>
      </w:r>
      <w:r>
        <w:rPr>
          <w:b/>
          <w:bCs/>
        </w:rPr>
        <w:t xml:space="preserve">Recordkeeping.</w:t>
      </w:r>
      <w:r>
        <w:t xml:space="preserve"> </w:t>
      </w:r>
      <w:r>
        <w:t xml:space="preserve">Transaction files are maintained for a minimum of five (5) years in accordance with 31 C.F.R. § 501.601, with electronic backup and indexing for rapid retrieval.</w:t>
      </w:r>
    </w:p>
    <w:p>
      <w:pPr>
        <w:pStyle w:val="BodyText"/>
      </w:pPr>
      <w:r>
        <w:t xml:space="preserve">11.6</w:t>
      </w:r>
      <w:r>
        <w:t xml:space="preserve"> </w:t>
      </w:r>
      <w:r>
        <w:rPr>
          <w:b/>
          <w:bCs/>
        </w:rPr>
        <w:t xml:space="preserve">Independent audit.</w:t>
      </w:r>
      <w:r>
        <w:t xml:space="preserve"> </w:t>
      </w:r>
      <w:r>
        <w:t xml:space="preserve">Meridian’s compliance program was independently audited by Graystone Compliance Partners LLC in September 2023 (report dated September 29, 2023) (Exhibit G). The program received an overall rating of</w:t>
      </w:r>
      <w:r>
        <w:t xml:space="preserve"> </w:t>
      </w:r>
      <w:r>
        <w:rPr>
          <w:b/>
          <w:bCs/>
        </w:rPr>
        <w:t xml:space="preserve">“</w:t>
      </w:r>
      <w:r>
        <w:rPr>
          <w:b/>
          <w:bCs/>
        </w:rPr>
        <w:t xml:space="preserve">Satisfactory with Recommendations.</w:t>
      </w:r>
      <w:r>
        <w:rPr>
          <w:b/>
          <w:bCs/>
        </w:rPr>
        <w:t xml:space="preserve">”</w:t>
      </w:r>
      <w:r>
        <w:t xml:space="preserve"> </w:t>
      </w:r>
      <w:r>
        <w:t xml:space="preserve">The audit identified three recommendations, all of which Meridian has addressed or is addressing: (1) real-time beneficial ownership screening —</w:t>
      </w:r>
      <w:r>
        <w:t xml:space="preserve"> </w:t>
      </w:r>
      <w:r>
        <w:rPr>
          <w:b/>
          <w:bCs/>
        </w:rPr>
        <w:t xml:space="preserve">implemented January 2024</w:t>
      </w:r>
      <w:r>
        <w:t xml:space="preserve">; (2) end-use monitoring for licensed transactions — Meridian has developed and will implement a written end-use monitoring plan for this transaction (see §11.7); and (3) documentation of sanctions risk assessments for new products, including embedded software/firmware and encryption classification — Meridian has updated its risk-assessment template accordingly, and the embedded firmware/encryption analysis for the CalibPro 3100 is documented in the Product Technical Data Sheets (Exhibit C).</w:t>
      </w:r>
    </w:p>
    <w:p>
      <w:pPr>
        <w:pStyle w:val="BodyText"/>
      </w:pPr>
      <w:r>
        <w:t xml:space="preserve">11.7</w:t>
      </w:r>
      <w:r>
        <w:t xml:space="preserve"> </w:t>
      </w:r>
      <w:r>
        <w:rPr>
          <w:b/>
          <w:bCs/>
        </w:rPr>
        <w:t xml:space="preserve">End-use monitoring plan.</w:t>
      </w:r>
      <w:r>
        <w:t xml:space="preserve"> </w:t>
      </w:r>
      <w:r>
        <w:t xml:space="preserve">For this transaction, Meridian will implement a written end-use monitoring plan that includes: (a) delivery confirmation with photographic or documentary evidence; (b) an end-user certificate and non-diversion commitment executed by DCUH; (c) periodic usage reporting from DCUH at not less than annual intervals; and (d) a mechanism for site verification, whether remote or in-person, as feasible. The end-use monitoring plan will be provided to OFAC upon request and is referenced as a forthcoming exhibit (Exhibit H).</w:t>
      </w:r>
    </w:p>
    <w:p>
      <w:pPr>
        <w:pStyle w:val="BodyText"/>
      </w:pPr>
      <w:r>
        <w:t xml:space="preserve">11.8</w:t>
      </w:r>
      <w:r>
        <w:t xml:space="preserve"> </w:t>
      </w:r>
      <w:r>
        <w:rPr>
          <w:b/>
          <w:bCs/>
        </w:rPr>
        <w:t xml:space="preserve">No enforcement history.</w:t>
      </w:r>
      <w:r>
        <w:t xml:space="preserve"> </w:t>
      </w:r>
      <w:r>
        <w:t xml:space="preserve">Meridian has no record of OFAC violations, civil monetary penalties, cautionary letters, warning letters, findings of violation, or voluntary self-disclosures.</w:t>
      </w:r>
    </w:p>
    <w:bookmarkEnd w:id="38"/>
    <w:bookmarkStart w:id="39" w:name="xii.-prior-ofac-license-history"/>
    <w:p>
      <w:pPr>
        <w:pStyle w:val="Heading2"/>
      </w:pPr>
      <w:r>
        <w:t xml:space="preserve">XII. Prior OFAC License History</w:t>
      </w:r>
    </w:p>
    <w:p>
      <w:pPr>
        <w:pStyle w:val="FirstParagraph"/>
      </w:pPr>
      <w:r>
        <w:t xml:space="preserve">12.1 Meridian previously held</w:t>
      </w:r>
      <w:r>
        <w:t xml:space="preserve"> </w:t>
      </w:r>
      <w:r>
        <w:rPr>
          <w:b/>
          <w:bCs/>
        </w:rPr>
        <w:t xml:space="preserve">OFAC Specific License No. SYR-2021-384712</w:t>
      </w:r>
      <w:r>
        <w:t xml:space="preserve">, issued September 14, 2021, and expired March 31, 2023 (Exhibit F). That license authorized the export of tuberculosis (</w:t>
      </w:r>
      <w:r>
        <w:t xml:space="preserve">“</w:t>
      </w:r>
      <w:r>
        <w:t xml:space="preserve">TB</w:t>
      </w:r>
      <w:r>
        <w:t xml:space="preserve">”</w:t>
      </w:r>
      <w:r>
        <w:t xml:space="preserve">) in vitro diagnostic reagent kits (TBDetect Pro-200 Reagent Kit, 200 kits at $1,700 per kit; total authorized value $340,000; ECCN EAR99; HTS 3822.19.5000) to Al-Mujtahid Hospital, Damascus, Syria — a public hospital affiliated with the Syrian Ministry of Health — for humanitarian medical use (diagnosis of tuberculosis in civilian patients).</w:t>
      </w:r>
    </w:p>
    <w:p>
      <w:pPr>
        <w:pStyle w:val="BodyText"/>
      </w:pPr>
      <w:r>
        <w:t xml:space="preserve">12.2</w:t>
      </w:r>
      <w:r>
        <w:t xml:space="preserve"> </w:t>
      </w:r>
      <w:r>
        <w:rPr>
          <w:b/>
          <w:bCs/>
        </w:rPr>
        <w:t xml:space="preserve">Performance under the prior license.</w:t>
      </w:r>
      <w:r>
        <w:t xml:space="preserve"> </w:t>
      </w:r>
      <w:r>
        <w:t xml:space="preserve">All authorized transactions under SYR-2021-384712 were completed by January 2023 — approximately two months before expiration. All reporting conditions were satisfied in a timely manner, including the 30-day post-shipment reports and proof of end-user receipt. There were no violations, late filings, deviations from license terms, or referrals of any kind. The prior license was conditioned, among other things, to prohibit routing of payment through the Central Bank of Calverley or any SDN-listed institution — a condition with which Meridian fully complied and which the Applicant proposes to replicate here (see §8.3).</w:t>
      </w:r>
    </w:p>
    <w:p>
      <w:pPr>
        <w:pStyle w:val="BodyText"/>
      </w:pPr>
      <w:r>
        <w:t xml:space="preserve">12.3</w:t>
      </w:r>
      <w:r>
        <w:t xml:space="preserve"> </w:t>
      </w:r>
      <w:r>
        <w:rPr>
          <w:b/>
          <w:bCs/>
        </w:rPr>
        <w:t xml:space="preserve">Relevance.</w:t>
      </w:r>
      <w:r>
        <w:t xml:space="preserve"> </w:t>
      </w:r>
      <w:r>
        <w:t xml:space="preserve">The Applicant’s prior license history demonstrates a demonstrated capacity to administer OFAC-licensed transactions in a comprehensively sanctioned jurisdiction, to comply with license conditions, and to satisfy OFAC reporting requirements. The present application is analogous in character (humanitarian IVD reagent kits to a Syrian public hospital) but larger in scale and scope (cancer diagnostics plus calibration instruments plus remote training).</w:t>
      </w:r>
    </w:p>
    <w:bookmarkEnd w:id="39"/>
    <w:bookmarkStart w:id="40" w:name="Xf09fbd8ff55cf672dc592414d5157b3df19c602"/>
    <w:p>
      <w:pPr>
        <w:pStyle w:val="Heading2"/>
      </w:pPr>
      <w:r>
        <w:t xml:space="preserve">XIII. Requested License Conditions and Applicant’s Commitments</w:t>
      </w:r>
    </w:p>
    <w:p>
      <w:pPr>
        <w:pStyle w:val="FirstParagraph"/>
      </w:pPr>
      <w:r>
        <w:t xml:space="preserve">13.1 The Applicant respectfully requests that, if a specific license is issued, it include conditions substantially as follows, all of which the Applicant commits to observe:</w:t>
      </w:r>
    </w:p>
    <w:p>
      <w:pPr>
        <w:pStyle w:val="Compact"/>
        <w:numPr>
          <w:ilvl w:val="0"/>
          <w:numId w:val="1002"/>
        </w:numPr>
      </w:pPr>
      <w:r>
        <w:t xml:space="preserve">The license authorizes only the specific transaction described in this application. No other transactions with Syria or the Government of Syria are authorized.</w:t>
      </w:r>
    </w:p>
    <w:p>
      <w:pPr>
        <w:pStyle w:val="Compact"/>
        <w:numPr>
          <w:ilvl w:val="0"/>
          <w:numId w:val="1002"/>
        </w:numPr>
      </w:pPr>
      <w:r>
        <w:t xml:space="preserve">The goods shall be delivered solely to DCUH and shall not be diverted, re-exported, or transferred to any other party or end-user within Syria or any other country without prior written authorization from OFAC.</w:t>
      </w:r>
    </w:p>
    <w:p>
      <w:pPr>
        <w:pStyle w:val="Compact"/>
        <w:numPr>
          <w:ilvl w:val="0"/>
          <w:numId w:val="1002"/>
        </w:numPr>
      </w:pPr>
      <w:r>
        <w:t xml:space="preserve">The Applicant shall maintain complete records of all transactions conducted pursuant to the license for not less than five (5) years from the date of the last transaction, in accordance with 31 C.F.R. § 501.601.</w:t>
      </w:r>
    </w:p>
    <w:p>
      <w:pPr>
        <w:pStyle w:val="Compact"/>
        <w:numPr>
          <w:ilvl w:val="0"/>
          <w:numId w:val="1002"/>
        </w:numPr>
      </w:pPr>
      <w:r>
        <w:t xml:space="preserve">The Applicant shall submit a written report to OFAC within thirty (30) days of the completion of each shipment, including proof of delivery, copies of shipping documents, and confirmation of end-user receipt at DCUH.</w:t>
      </w:r>
    </w:p>
    <w:p>
      <w:pPr>
        <w:pStyle w:val="Compact"/>
        <w:numPr>
          <w:ilvl w:val="0"/>
          <w:numId w:val="1002"/>
        </w:numPr>
      </w:pPr>
      <w:r>
        <w:t xml:space="preserve">The license does not authorize any transaction involving a person on the SDN List, or any entity in which a person on the SDN List holds, individually or in the aggregate, a 50% or greater ownership interest, except to the extent specifically authorized by the license.</w:t>
      </w:r>
    </w:p>
    <w:p>
      <w:pPr>
        <w:pStyle w:val="Compact"/>
        <w:numPr>
          <w:ilvl w:val="0"/>
          <w:numId w:val="1002"/>
        </w:numPr>
      </w:pPr>
      <w:r>
        <w:t xml:space="preserve">No payment shall be routed through the Central Bank of Calverley or any other SDN-listed person; payment shall be effected only through a non-SDN-listed financial institution that has been screened and approved by the Applicant.</w:t>
      </w:r>
    </w:p>
    <w:p>
      <w:pPr>
        <w:pStyle w:val="Compact"/>
        <w:numPr>
          <w:ilvl w:val="0"/>
          <w:numId w:val="1002"/>
        </w:numPr>
      </w:pPr>
      <w:r>
        <w:t xml:space="preserve">ARMPC shall not serve as customs clearance agent unless and until specifically authorized by OFAC; any customs clearance agent used shall be screened and approved by the Applicant and shall not be an SDN-listed person or an entity 50% or more owned by SDN-listed persons.</w:t>
      </w:r>
    </w:p>
    <w:p>
      <w:pPr>
        <w:pStyle w:val="Compact"/>
        <w:numPr>
          <w:ilvl w:val="0"/>
          <w:numId w:val="1002"/>
        </w:numPr>
      </w:pPr>
      <w:r>
        <w:t xml:space="preserve">The training services shall be delivered remotely only; no Meridian personnel shall travel to Syria or any intermediary country. No controlled technology above the EAR99 classification, and no firmware updates, source code, or design-level technical data, shall be transferred. Any firmware update shall constitute a separate transaction requiring independent authorization.</w:t>
      </w:r>
    </w:p>
    <w:p>
      <w:pPr>
        <w:pStyle w:val="Compact"/>
        <w:numPr>
          <w:ilvl w:val="0"/>
          <w:numId w:val="1002"/>
        </w:numPr>
      </w:pPr>
      <w:r>
        <w:t xml:space="preserve">The Applicant shall implement the end-use monitoring plan described in §11.7, including delivery confirmation, an executed end-user non-diversion certificate, and at least annual usage reporting from DCUH.</w:t>
      </w:r>
    </w:p>
    <w:p>
      <w:pPr>
        <w:pStyle w:val="Compact"/>
        <w:numPr>
          <w:ilvl w:val="0"/>
          <w:numId w:val="1002"/>
        </w:numPr>
      </w:pPr>
      <w:r>
        <w:t xml:space="preserve">The Applicant shall re-screen all transaction parties at 90-day intervals during the pendency of the application and immediately prior to any shipment, and shall promptly report to OFAC any new match, any material change in the facts described in the application, or any OFAC action designating any party to the transaction.</w:t>
      </w:r>
    </w:p>
    <w:p>
      <w:pPr>
        <w:pStyle w:val="Compact"/>
        <w:numPr>
          <w:ilvl w:val="0"/>
          <w:numId w:val="1002"/>
        </w:numPr>
      </w:pPr>
      <w:r>
        <w:t xml:space="preserve">The license does not relieve the Applicant of any obligations under the EAR, 15 C.F.R. Parts 730–774, administered by the Bureau of Industry and Security.</w:t>
      </w:r>
    </w:p>
    <w:p>
      <w:pPr>
        <w:pStyle w:val="Compact"/>
        <w:numPr>
          <w:ilvl w:val="0"/>
          <w:numId w:val="1002"/>
        </w:numPr>
      </w:pPr>
      <w:r>
        <w:t xml:space="preserve">Any material change in the facts or circumstances described in the application shall be reported to OFAC promptly and may require amendment or reissuance of the license.</w:t>
      </w:r>
    </w:p>
    <w:bookmarkEnd w:id="40"/>
    <w:bookmarkStart w:id="41" w:name="xiv.-list-of-exhibits"/>
    <w:p>
      <w:pPr>
        <w:pStyle w:val="Heading2"/>
      </w:pPr>
      <w:r>
        <w:t xml:space="preserve">XIV. List of Exhibits</w:t>
      </w:r>
    </w:p>
    <w:p>
      <w:pPr>
        <w:pStyle w:val="FirstParagraph"/>
      </w:pPr>
      <w:r>
        <w:t xml:space="preserve">The following exhibits are submitted with this application and are incorporated herein by reference:</w:t>
      </w:r>
    </w:p>
    <w:p>
      <w:pPr>
        <w:pStyle w:val="Compact"/>
        <w:numPr>
          <w:ilvl w:val="0"/>
          <w:numId w:val="1003"/>
        </w:numPr>
      </w:pPr>
      <w:r>
        <w:rPr>
          <w:b/>
          <w:bCs/>
        </w:rPr>
        <w:t xml:space="preserve">Exhibit A</w:t>
      </w:r>
      <w:r>
        <w:t xml:space="preserve"> </w:t>
      </w:r>
      <w:r>
        <w:t xml:space="preserve">— Damascus Central University Hospital Purchase Order No. PO-DCUH-2024-0743, dated June 17, 2024 (certified English translation).</w:t>
      </w:r>
    </w:p>
    <w:p>
      <w:pPr>
        <w:pStyle w:val="Compact"/>
        <w:numPr>
          <w:ilvl w:val="0"/>
          <w:numId w:val="1003"/>
        </w:numPr>
      </w:pPr>
      <w:r>
        <w:rPr>
          <w:b/>
          <w:bCs/>
        </w:rPr>
        <w:t xml:space="preserve">Exhibit B</w:t>
      </w:r>
      <w:r>
        <w:t xml:space="preserve"> </w:t>
      </w:r>
      <w:r>
        <w:t xml:space="preserve">— Meridian Biotech Solutions, Inc. Compliance Screening Memorandum, prepared by Margaret</w:t>
      </w:r>
      <w:r>
        <w:t xml:space="preserve"> </w:t>
      </w:r>
      <w:r>
        <w:t xml:space="preserve">“</w:t>
      </w:r>
      <w:r>
        <w:t xml:space="preserve">Peggy</w:t>
      </w:r>
      <w:r>
        <w:t xml:space="preserve">”</w:t>
      </w:r>
      <w:r>
        <w:t xml:space="preserve"> </w:t>
      </w:r>
      <w:r>
        <w:t xml:space="preserve">Dunleavy, Chief Compliance Officer, dated June 10, 2024 (screening completed June 3, 2024).</w:t>
      </w:r>
    </w:p>
    <w:p>
      <w:pPr>
        <w:pStyle w:val="Compact"/>
        <w:numPr>
          <w:ilvl w:val="0"/>
          <w:numId w:val="1003"/>
        </w:numPr>
      </w:pPr>
      <w:r>
        <w:rPr>
          <w:b/>
          <w:bCs/>
        </w:rPr>
        <w:t xml:space="preserve">Exhibit C</w:t>
      </w:r>
      <w:r>
        <w:t xml:space="preserve"> </w:t>
      </w:r>
      <w:r>
        <w:t xml:space="preserve">— Meridian Biotech Solutions, Inc. Product Technical Data Sheets (Combined Specification Document), Document No. TDS-2024-0347, Revision Date March 15, 2024.</w:t>
      </w:r>
    </w:p>
    <w:p>
      <w:pPr>
        <w:pStyle w:val="Compact"/>
        <w:numPr>
          <w:ilvl w:val="0"/>
          <w:numId w:val="1003"/>
        </w:numPr>
      </w:pPr>
      <w:r>
        <w:rPr>
          <w:b/>
          <w:bCs/>
        </w:rPr>
        <w:t xml:space="preserve">Exhibit D</w:t>
      </w:r>
      <w:r>
        <w:t xml:space="preserve"> </w:t>
      </w:r>
      <w:r>
        <w:t xml:space="preserve">— Proposed Shipping Route and Logistics Plan, prepared by Pinnacle Freight International, Inc., dated June 25, 2024.</w:t>
      </w:r>
    </w:p>
    <w:p>
      <w:pPr>
        <w:pStyle w:val="Compact"/>
        <w:numPr>
          <w:ilvl w:val="0"/>
          <w:numId w:val="1003"/>
        </w:numPr>
      </w:pPr>
      <w:r>
        <w:rPr>
          <w:b/>
          <w:bCs/>
        </w:rPr>
        <w:t xml:space="preserve">Exhibit E</w:t>
      </w:r>
      <w:r>
        <w:t xml:space="preserve"> </w:t>
      </w:r>
      <w:r>
        <w:t xml:space="preserve">— World Health Organization, Syria Country Office, Comprehensive Health Needs Assessment: Syrian Arab Republic, 2024 Update (January 2024), Section 4.7 (Oncology and Cancer Diagnostics Capacity), WHO Reference No. WHO-SYR/HNA/2024-01.</w:t>
      </w:r>
    </w:p>
    <w:p>
      <w:pPr>
        <w:pStyle w:val="Compact"/>
        <w:numPr>
          <w:ilvl w:val="0"/>
          <w:numId w:val="1003"/>
        </w:numPr>
      </w:pPr>
      <w:r>
        <w:rPr>
          <w:b/>
          <w:bCs/>
        </w:rPr>
        <w:t xml:space="preserve">Exhibit F</w:t>
      </w:r>
      <w:r>
        <w:t xml:space="preserve"> </w:t>
      </w:r>
      <w:r>
        <w:t xml:space="preserve">— OFAC Specific License No. SYR-2021-384712, issued September 14, 2021 (expired March 31, 2023).</w:t>
      </w:r>
    </w:p>
    <w:p>
      <w:pPr>
        <w:pStyle w:val="Compact"/>
        <w:numPr>
          <w:ilvl w:val="0"/>
          <w:numId w:val="1003"/>
        </w:numPr>
      </w:pPr>
      <w:r>
        <w:rPr>
          <w:b/>
          <w:bCs/>
        </w:rPr>
        <w:t xml:space="preserve">Exhibit G</w:t>
      </w:r>
      <w:r>
        <w:t xml:space="preserve"> </w:t>
      </w:r>
      <w:r>
        <w:t xml:space="preserve">— Graystone Compliance Partners LLC, OFAC Sanctions Compliance Program Audit Executive Summary, report dated September 29, 2023.</w:t>
      </w:r>
    </w:p>
    <w:p>
      <w:pPr>
        <w:pStyle w:val="Compact"/>
        <w:numPr>
          <w:ilvl w:val="0"/>
          <w:numId w:val="1003"/>
        </w:numPr>
      </w:pPr>
      <w:r>
        <w:rPr>
          <w:b/>
          <w:bCs/>
        </w:rPr>
        <w:t xml:space="preserve">Exhibit H</w:t>
      </w:r>
      <w:r>
        <w:t xml:space="preserve"> </w:t>
      </w:r>
      <w:r>
        <w:t xml:space="preserve">— Meridian Biotech Solutions, Inc. End-Use Monitoring Plan (to be provided upon request).</w:t>
      </w:r>
    </w:p>
    <w:p>
      <w:pPr>
        <w:pStyle w:val="Compact"/>
        <w:numPr>
          <w:ilvl w:val="0"/>
          <w:numId w:val="1003"/>
        </w:numPr>
      </w:pPr>
      <w:r>
        <w:rPr>
          <w:b/>
          <w:bCs/>
        </w:rPr>
        <w:t xml:space="preserve">Exhibit I</w:t>
      </w:r>
      <w:r>
        <w:t xml:space="preserve"> </w:t>
      </w:r>
      <w:r>
        <w:t xml:space="preserve">— OFAC SDN List printouts reflecting the designations of Samir Daoud Khoury (added April 15, 2024) and the Central Bank of Calverley (added August 10, 2011).</w:t>
      </w:r>
    </w:p>
    <w:bookmarkEnd w:id="41"/>
    <w:bookmarkStart w:id="42" w:name="xv.-certification-and-signature"/>
    <w:p>
      <w:pPr>
        <w:pStyle w:val="Heading2"/>
      </w:pPr>
      <w:r>
        <w:t xml:space="preserve">XV. Certification and Signature</w:t>
      </w:r>
    </w:p>
    <w:p>
      <w:pPr>
        <w:pStyle w:val="FirstParagraph"/>
      </w:pPr>
      <w:r>
        <w:t xml:space="preserve">The undersigned, on behalf of Meridian Biotech Solutions, Inc., certifies that the foregoing application and the exhibits submitted herewith are true, accurate, and complete to the best of her knowledge and belief as of the date hereof. The Applicant understands that the submission of false, incomplete, or misleading information may result in the denial of this application, the revocation of any license issued, and the imposition of civil or criminal penalties. The Applicant will promptly notify OFAC of any material change in the facts or circumstances described in this application.</w:t>
      </w:r>
    </w:p>
    <w:p>
      <w:pPr>
        <w:pStyle w:val="BodyText"/>
      </w:pPr>
      <w:r>
        <w:t xml:space="preserve">Respectfully submitted,</w:t>
      </w:r>
    </w:p>
    <w:p>
      <w:pPr>
        <w:pStyle w:val="BodyText"/>
      </w:pPr>
      <w:r>
        <w:rPr>
          <w:b/>
          <w:bCs/>
        </w:rPr>
        <w:t xml:space="preserve">ASHFORD &amp; WHITMORE LLP</w:t>
      </w:r>
      <w:r>
        <w:t xml:space="preserve"> </w:t>
      </w:r>
      <w:r>
        <w:rPr>
          <w:i/>
          <w:iCs/>
        </w:rPr>
        <w:t xml:space="preserve">Counsel to Meridian Biotech Solutions, Inc.</w:t>
      </w:r>
    </w:p>
    <w:p>
      <w:r>
        <w:pict>
          <v:rect style="width:0;height:1.5pt" o:hralign="center" o:hrstd="t" o:hr="t"/>
        </w:pict>
      </w:r>
    </w:p>
    <w:p>
      <w:pPr>
        <w:pStyle w:val="FirstParagraph"/>
      </w:pPr>
      <w:r>
        <w:t xml:space="preserve">Catherine R. Bellingham, Esq.</w:t>
      </w:r>
      <w:r>
        <w:t xml:space="preserve"> </w:t>
      </w:r>
      <w:r>
        <w:t xml:space="preserve">Partner</w:t>
      </w:r>
      <w:r>
        <w:t xml:space="preserve"> </w:t>
      </w:r>
      <w:r>
        <w:t xml:space="preserve">Ashford &amp; Whitmore LLP</w:t>
      </w:r>
      <w:r>
        <w:t xml:space="preserve"> </w:t>
      </w:r>
      <w:r>
        <w:t xml:space="preserve">1700 K Street NW, Suite 950</w:t>
      </w:r>
      <w:r>
        <w:t xml:space="preserve"> </w:t>
      </w:r>
      <w:r>
        <w:t xml:space="preserve">Washington, DC 20006</w:t>
      </w:r>
      <w:r>
        <w:t xml:space="preserve"> </w:t>
      </w:r>
      <w:r>
        <w:t xml:space="preserve">(202) 555-7700 · cbellingham@ashfordwhitmore.com</w:t>
      </w:r>
    </w:p>
    <w:p>
      <w:r>
        <w:pict>
          <v:rect style="width:0;height:1.5pt" o:hralign="center" o:hrstd="t" o:hr="t"/>
        </w:pict>
      </w:r>
    </w:p>
    <w:p>
      <w:pPr>
        <w:pStyle w:val="FirstParagraph"/>
      </w:pPr>
      <w:r>
        <w:t xml:space="preserve">David Osei-Mensah, Esq.</w:t>
      </w:r>
      <w:r>
        <w:t xml:space="preserve"> </w:t>
      </w:r>
      <w:r>
        <w:t xml:space="preserve">Senior Associate</w:t>
      </w:r>
      <w:r>
        <w:t xml:space="preserve"> </w:t>
      </w:r>
      <w:r>
        <w:t xml:space="preserve">Ashford &amp; Whitmore LLP</w:t>
      </w:r>
    </w:p>
    <w:p>
      <w:r>
        <w:pict>
          <v:rect style="width:0;height:1.5pt" o:hralign="center" o:hrstd="t" o:hr="t"/>
        </w:pict>
      </w:r>
    </w:p>
    <w:p>
      <w:pPr>
        <w:pStyle w:val="FirstParagraph"/>
      </w:pPr>
      <w:r>
        <w:t xml:space="preserve">Jonathan D. Halsted</w:t>
      </w:r>
      <w:r>
        <w:t xml:space="preserve"> </w:t>
      </w:r>
      <w:r>
        <w:t xml:space="preserve">General Counsel</w:t>
      </w:r>
      <w:r>
        <w:t xml:space="preserve"> </w:t>
      </w:r>
      <w:r>
        <w:t xml:space="preserve">Meridian Biotech Solutions, Inc.</w:t>
      </w:r>
      <w:r>
        <w:t xml:space="preserve"> </w:t>
      </w:r>
      <w:r>
        <w:t xml:space="preserve">4200 Lakeshore Boulevard, Suite 800</w:t>
      </w:r>
      <w:r>
        <w:t xml:space="preserve"> </w:t>
      </w:r>
      <w:r>
        <w:t xml:space="preserve">Cambridge, MA 02142</w:t>
      </w:r>
      <w:r>
        <w:t xml:space="preserve"> </w:t>
      </w:r>
      <w:r>
        <w:t xml:space="preserve">(617) 555-0193 · jhalsted@meridianbiotech.com</w:t>
      </w:r>
    </w:p>
    <w:p>
      <w:pPr>
        <w:pStyle w:val="BodyText"/>
      </w:pPr>
      <w:r>
        <w:t xml:space="preserve">Dated: July 8, 2024</w:t>
      </w:r>
    </w:p>
    <w:p>
      <w:r>
        <w:pict>
          <v:rect style="width:0;height:1.5pt" o:hralign="center" o:hrstd="t" o:hr="t"/>
        </w:pict>
      </w:r>
    </w:p>
    <w:p>
      <w:pPr>
        <w:pStyle w:val="FirstParagraph"/>
      </w:pPr>
      <w:r>
        <w:rPr>
          <w:i/>
          <w:iCs/>
        </w:rPr>
        <w:t xml:space="preserve">This application is submitted in duplicate. The Applicant respectfully requests that OFAC acknowledge receipt and advise the Applicant and outside counsel of any additional information required to complete OFAC’s review. The Applicant is available to provide a briefing to OFAC licensing staff upon request.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Times New Roman" w:cs="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cs="Times New Roman" w:hAnsi="Times New Roman"/>
      <w:b/>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2026-06-28T10:23:37Z</dcterms:created>
  <dcterms:modified xsi:type="dcterms:W3CDTF">2026-06-28T10:23:37Z</dcterms:modified>
</cp:coreProperties>
</file>

<file path=docProps/custom.xml><?xml version="1.0" encoding="utf-8"?>
<Properties xmlns="http://schemas.openxmlformats.org/officeDocument/2006/custom-properties" xmlns:vt="http://schemas.openxmlformats.org/officeDocument/2006/docPropsVTypes"/>
</file>