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5172df35b383807027ee2ea031fec19339d9b09"/>
    <w:p>
      <w:pPr>
        <w:pStyle w:val="Heading1"/>
      </w:pPr>
      <w:r>
        <w:t xml:space="preserve">PRIVILEGED ATTORNEY WORK PRODUCT — ATTORNEY-CLIENT COMMUNICATION</w:t>
      </w:r>
    </w:p>
    <w:bookmarkStart w:id="20" w:name="issues-memorandum"/>
    <w:p>
      <w:pPr>
        <w:pStyle w:val="Heading2"/>
      </w:pPr>
      <w:r>
        <w:t xml:space="preserve">ISSUES MEMORANDUM</w:t>
      </w:r>
    </w:p>
    <w:p>
      <w:pPr>
        <w:pStyle w:val="FirstParagraph"/>
      </w:pPr>
      <w:r>
        <w:rPr>
          <w:b/>
          <w:bCs/>
        </w:rPr>
        <w:t xml:space="preserve">TO:</w:t>
      </w:r>
      <w:r>
        <w:t xml:space="preserve"> </w:t>
      </w:r>
      <w:r>
        <w:t xml:space="preserve">Jonathan D. Halsted, General Counsel, Meridian Biotech Solutions, Inc.</w:t>
      </w:r>
      <w:r>
        <w:t xml:space="preserve"> </w:t>
      </w:r>
      <w:r>
        <w:rPr>
          <w:b/>
          <w:bCs/>
        </w:rPr>
        <w:t xml:space="preserve">CC:</w:t>
      </w:r>
      <w:r>
        <w:t xml:space="preserve"> </w:t>
      </w:r>
      <w:r>
        <w:t xml:space="preserve">Margaret</w:t>
      </w:r>
      <w:r>
        <w:t xml:space="preserve"> </w:t>
      </w:r>
      <w:r>
        <w:t xml:space="preserve">“</w:t>
      </w:r>
      <w:r>
        <w:t xml:space="preserve">Peggy</w:t>
      </w:r>
      <w:r>
        <w:t xml:space="preserve">”</w:t>
      </w:r>
      <w:r>
        <w:t xml:space="preserve"> </w:t>
      </w:r>
      <w:r>
        <w:t xml:space="preserve">Dunleavy, Chief Compliance Officer, Meridian Biotech Solutions, Inc.; Engagement File</w:t>
      </w:r>
      <w:r>
        <w:t xml:space="preserve"> </w:t>
      </w:r>
      <w:r>
        <w:rPr>
          <w:b/>
          <w:bCs/>
        </w:rPr>
        <w:t xml:space="preserve">FROM:</w:t>
      </w:r>
      <w:r>
        <w:t xml:space="preserve"> </w:t>
      </w:r>
      <w:r>
        <w:t xml:space="preserve">Catherine R. Bellingham, Partner; David Osei-Mensah, Senior Associate — Ashford &amp; Whitmore LLP</w:t>
      </w:r>
      <w:r>
        <w:t xml:space="preserve"> </w:t>
      </w:r>
      <w:r>
        <w:rPr>
          <w:b/>
          <w:bCs/>
        </w:rPr>
        <w:t xml:space="preserve">DATE:</w:t>
      </w:r>
      <w:r>
        <w:t xml:space="preserve"> </w:t>
      </w:r>
      <w:r>
        <w:t xml:space="preserve">June 28, 2024</w:t>
      </w:r>
      <w:r>
        <w:t xml:space="preserve"> </w:t>
      </w:r>
      <w:r>
        <w:rPr>
          <w:b/>
          <w:bCs/>
        </w:rPr>
        <w:t xml:space="preserve">RE:</w:t>
      </w:r>
      <w:r>
        <w:t xml:space="preserve"> </w:t>
      </w:r>
      <w:r>
        <w:t xml:space="preserve">Legal Issues and Recommended Strategy — Proposed OFAC Specific License Application for the Export of CancerDetect RX-700 Reagent Kits, CalibPro 3100 Calibration Units, and Remote Training Services to Damascus Central University Hospital, Damascus, Syria</w:t>
      </w:r>
    </w:p>
    <w:p>
      <w:pPr>
        <w:pStyle w:val="BodyText"/>
      </w:pPr>
      <w:r>
        <w:rPr>
          <w:b/>
          <w:bCs/>
        </w:rPr>
        <w:t xml:space="preserve">PRIVILEGE NOTE.</w:t>
      </w:r>
      <w:r>
        <w:t xml:space="preserve"> </w:t>
      </w:r>
      <w:r>
        <w:t xml:space="preserve">This memorandum is prepared by outside counsel in anticipation of preparing and filing an OFAC specific license application on behalf of Meridian Biotech Solutions,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It constitutes attorney work product and a confidential attorney-client communication and is intended solely for the named recipients. It should not be distributed outside the addressees without the prior written consent of Ashford &amp; Whitmore LLP.</w:t>
      </w:r>
    </w:p>
    <w:p>
      <w:r>
        <w:pict>
          <v:rect style="width:0;height:1.5pt" o:hralign="center" o:hrstd="t" o:hr="t"/>
        </w:pict>
      </w:r>
    </w:p>
    <w:bookmarkEnd w:id="20"/>
    <w:bookmarkStart w:id="21" w:name="i.-introduction-and-executive-summary"/>
    <w:p>
      <w:pPr>
        <w:pStyle w:val="Heading2"/>
      </w:pPr>
      <w:r>
        <w:t xml:space="preserve">I. Introduction and Executive Summary</w:t>
      </w:r>
    </w:p>
    <w:p>
      <w:pPr>
        <w:pStyle w:val="FirstParagraph"/>
      </w:pPr>
      <w:r>
        <w:t xml:space="preserve">You have asked us to identify and analyze the legal issues presented by Meridian’s proposed export of cancer diagnostic products and related remote training services to Damascus Central University Hospital (</w:t>
      </w:r>
      <w:r>
        <w:t xml:space="preserve">“</w:t>
      </w:r>
      <w:r>
        <w:t xml:space="preserve">DCUH</w:t>
      </w:r>
      <w:r>
        <w:t xml:space="preserve">”</w:t>
      </w:r>
      <w:r>
        <w:t xml:space="preserve">) in Damascus, Syria, and to recommend a strategy for the specific license application we will file with the U.S. Department of the Treasury, Office of Foreign Assets Control (</w:t>
      </w:r>
      <w:r>
        <w:t xml:space="preserve">“</w:t>
      </w:r>
      <w:r>
        <w:t xml:space="preserve">OFAC</w:t>
      </w:r>
      <w:r>
        <w:t xml:space="preserve">”</w:t>
      </w:r>
      <w:r>
        <w:t xml:space="preserve">). This memorandum is based on our review of the documents Meridian has provided, including the client transaction summary email of June 24, 2024; the Compliance Screening Memorandum prepared by Peggy Dunleavy dated June 10, 2024; DCUH Purchase Order No. PO-DCUH-2024-0743 dated June 17, 2024; the combined product technical data sheets (TDS-2024-0347); the Pinnacle Freight International logistics plan dated June 25, 2024; the WHO Syria Country Office needs assessment (January 2024); the prior OFAC Specific License SYR-2021-384712; and the Graystone Compliance Partners audit summary dated September 29, 2023.</w:t>
      </w:r>
    </w:p>
    <w:p>
      <w:pPr>
        <w:pStyle w:val="BodyText"/>
      </w:pPr>
      <w:r>
        <w:rPr>
          <w:b/>
          <w:bCs/>
        </w:rPr>
        <w:t xml:space="preserve">Bottom line.</w:t>
      </w:r>
      <w:r>
        <w:t xml:space="preserve"> </w:t>
      </w:r>
      <w:r>
        <w:t xml:space="preserve">The transaction is a strong candidate for a specific license: the goods are humanitarian medical diagnostics, the end-use is well documented by the WHO, the products are EAR99, and Meridian has a clean compliance record and a successful prior OFAC license for a materially similar transaction. Two issues, however, are material and must be resolved before filing or addressed squarely within the application:</w:t>
      </w:r>
    </w:p>
    <w:p>
      <w:pPr>
        <w:numPr>
          <w:ilvl w:val="0"/>
          <w:numId w:val="1001"/>
        </w:numPr>
      </w:pPr>
      <w:r>
        <w:rPr>
          <w:b/>
          <w:bCs/>
        </w:rPr>
        <w:t xml:space="preserve">An SDN-listed individual (Samir Daoud Khoury) owns 30% of the Syrian customs clearance agent (ARMPC).</w:t>
      </w:r>
      <w:r>
        <w:t xml:space="preserve"> </w:t>
      </w:r>
      <w:r>
        <w:t xml:space="preserve">ARMPC is not blocked under OFAC’s 50 Percent Rule, but the SDN nexus must be fully disclosed and the transaction structure should be adjusted—ideally by substituting a sanctions-clean agent—before OFAC will be comfortable authorizing the transaction.</w:t>
      </w:r>
    </w:p>
    <w:p>
      <w:pPr>
        <w:numPr>
          <w:ilvl w:val="0"/>
          <w:numId w:val="1001"/>
        </w:numPr>
      </w:pPr>
      <w:r>
        <w:rPr>
          <w:b/>
          <w:bCs/>
        </w:rPr>
        <w:t xml:space="preserve">The purchase order routes payment through the Central Bank of Calverley, an SDN-listed bank.</w:t>
      </w:r>
      <w:r>
        <w:t xml:space="preserve"> </w:t>
      </w:r>
      <w:r>
        <w:t xml:space="preserve">This payment mechanism is prohibited and cannot be used. The payment terms must be restructured to route through a non-SDN-listed financial institution before the transaction can proceed, and the application must reflect the restructured payment flow.</w:t>
      </w:r>
    </w:p>
    <w:p>
      <w:pPr>
        <w:pStyle w:val="FirstParagraph"/>
      </w:pPr>
      <w:r>
        <w:t xml:space="preserve">In addition, the remote training services raise technology-transfer and</w:t>
      </w:r>
      <w:r>
        <w:t xml:space="preserve"> </w:t>
      </w:r>
      <w:r>
        <w:t xml:space="preserve">“</w:t>
      </w:r>
      <w:r>
        <w:t xml:space="preserve">services-to-Syria</w:t>
      </w:r>
      <w:r>
        <w:t xml:space="preserve">”</w:t>
      </w:r>
      <w:r>
        <w:t xml:space="preserve"> </w:t>
      </w:r>
      <w:r>
        <w:t xml:space="preserve">issues that must be scoped carefully, and the in-country delivery leg (handled by ARMPC, through the Bab al-Hawa crossing into a conflict zone) raises diversion and end-use monitoring concerns that we should address proactively in the application. We recommend filing promptly, but only after the payment restructuring is underway and a decision is made on the ARMPC substitution. The client’s target effective date of September 1, 2024 is aggressive given OFAC processing times of 90–180 days and should be managed as a target, not a commitment.</w:t>
      </w:r>
    </w:p>
    <w:bookmarkEnd w:id="21"/>
    <w:bookmarkStart w:id="22" w:name="ii.-factual-background"/>
    <w:p>
      <w:pPr>
        <w:pStyle w:val="Heading2"/>
      </w:pPr>
      <w:r>
        <w:t xml:space="preserve">II. Factual Background</w:t>
      </w:r>
    </w:p>
    <w:p>
      <w:pPr>
        <w:pStyle w:val="FirstParagraph"/>
      </w:pPr>
      <w:r>
        <w:t xml:space="preserve">Meridian proposes to export to DCUH: (i) 500 CancerDetect RX-700 Reagent Kits ($1,170,000); (ii) 4 CalibPro 3100 Calibration Units ($75,000); and (iii) approximately 40 hours of remote installation and calibration training ($35,000)—an aggregate transaction value of $1,280,000. DCUH is a public teaching hospital under the Syrian Ministry of Health and an instrumentality of the Government of Syria. The goods are EAR99 but require OFAC authorization because the destination is Syria and the end-user is a governmental instrumentality. The goods will ship from Cambridge, Massachusetts, via Port Newark to Mersin Port, Turkey, then overland through Ankara (warehoused at Ankara Medical Transit Warehouse LLC) and the Bab al-Hawa border crossing to Damascus. Payment under the purchase order is stated as a 100% advance wire from DCUH’s account at the Central Bank of Calverley to Meridian’s account at Harborview National Bank. Meridian held a prior specific license (SYR-2021-384712) for a comparable humanitarian export to a Syrian public hospital, which it completed without incident.</w:t>
      </w:r>
    </w:p>
    <w:bookmarkEnd w:id="22"/>
    <w:bookmarkStart w:id="23" w:name="iii.-legal-framework"/>
    <w:p>
      <w:pPr>
        <w:pStyle w:val="Heading2"/>
      </w:pPr>
      <w:r>
        <w:t xml:space="preserve">III. Legal Framework</w:t>
      </w:r>
    </w:p>
    <w:p>
      <w:pPr>
        <w:pStyle w:val="Compact"/>
        <w:numPr>
          <w:ilvl w:val="0"/>
          <w:numId w:val="1002"/>
        </w:numPr>
      </w:pPr>
      <w:r>
        <w:rPr>
          <w:b/>
          <w:bCs/>
        </w:rPr>
        <w:t xml:space="preserve">Executive Order 13582 (August 17, 2011)</w:t>
      </w:r>
      <w:r>
        <w:t xml:space="preserve"> </w:t>
      </w:r>
      <w:r>
        <w:t xml:space="preserve">blocks the Government of Syria and prohibits the exportation, re-exportation, sale, or supply of any goods or services to Syria, and any transaction dealing in the property of the Government of Syria.</w:t>
      </w:r>
    </w:p>
    <w:p>
      <w:pPr>
        <w:pStyle w:val="Compact"/>
        <w:numPr>
          <w:ilvl w:val="0"/>
          <w:numId w:val="1002"/>
        </w:numPr>
      </w:pPr>
      <w:r>
        <w:rPr>
          <w:b/>
          <w:bCs/>
        </w:rPr>
        <w:t xml:space="preserve">The Syrian Sanctions Regulations, 31 C.F.R. Part 542</w:t>
      </w:r>
      <w:r>
        <w:t xml:space="preserve">, implement E.O. 13582. Because DCUH is an instrumentality of the Government of Syria, any transaction with DCUH is prohibited absent OFAC authorization.</w:t>
      </w:r>
    </w:p>
    <w:p>
      <w:pPr>
        <w:pStyle w:val="Compact"/>
        <w:numPr>
          <w:ilvl w:val="0"/>
          <w:numId w:val="1002"/>
        </w:numPr>
      </w:pPr>
      <w:r>
        <w:rPr>
          <w:b/>
          <w:bCs/>
        </w:rPr>
        <w:t xml:space="preserve">OFAC’s 50 Percent Rule (31 C.F.R. § 501.501)</w:t>
      </w:r>
      <w:r>
        <w:t xml:space="preserve"> </w:t>
      </w:r>
      <w:r>
        <w:t xml:space="preserve">provides that an entity is blocked if one or more SDN-listed persons own, individually or in the aggregate, 50% or more of the entity. Below that threshold, the entity is not automatically blocked, but OFAC guidance warns that dealings with entities in which SDN-listed persons hold any ownership interest present elevated risk and warrant caution and disclosure.</w:t>
      </w:r>
    </w:p>
    <w:p>
      <w:pPr>
        <w:pStyle w:val="Compact"/>
        <w:numPr>
          <w:ilvl w:val="0"/>
          <w:numId w:val="1002"/>
        </w:numPr>
      </w:pPr>
      <w:r>
        <w:rPr>
          <w:b/>
          <w:bCs/>
        </w:rPr>
        <w:t xml:space="preserve">The Export Administration Regulations (EAR), 15 C.F.R. Parts 730–774</w:t>
      </w:r>
      <w:r>
        <w:t xml:space="preserve">, administered by the Bureau of Industry and Security (</w:t>
      </w:r>
      <w:r>
        <w:t xml:space="preserve">“</w:t>
      </w:r>
      <w:r>
        <w:t xml:space="preserve">BIS</w:t>
      </w:r>
      <w:r>
        <w:t xml:space="preserve">”</w:t>
      </w:r>
      <w:r>
        <w:t xml:space="preserve">), classify both physical products as EAR99. EAR99 classification does not exempt the goods from OFAC’s Syria prohibitions. The EAR also independently control the export of</w:t>
      </w:r>
      <w:r>
        <w:t xml:space="preserve"> </w:t>
      </w:r>
      <w:r>
        <w:t xml:space="preserve">“</w:t>
      </w:r>
      <w:r>
        <w:t xml:space="preserve">technology</w:t>
      </w:r>
      <w:r>
        <w:t xml:space="preserve">”</w:t>
      </w:r>
      <w:r>
        <w:t xml:space="preserve"> </w:t>
      </w:r>
      <w:r>
        <w:t xml:space="preserve">and</w:t>
      </w:r>
      <w:r>
        <w:t xml:space="preserve"> </w:t>
      </w:r>
      <w:r>
        <w:t xml:space="preserve">“</w:t>
      </w:r>
      <w:r>
        <w:t xml:space="preserve">technical data,</w:t>
      </w:r>
      <w:r>
        <w:t xml:space="preserve">”</w:t>
      </w:r>
      <w:r>
        <w:t xml:space="preserve"> </w:t>
      </w:r>
      <w:r>
        <w:t xml:space="preserve">which is relevant to the training services.</w:t>
      </w:r>
    </w:p>
    <w:p>
      <w:pPr>
        <w:pStyle w:val="Compact"/>
        <w:numPr>
          <w:ilvl w:val="0"/>
          <w:numId w:val="1002"/>
        </w:numPr>
      </w:pPr>
      <w:r>
        <w:rPr>
          <w:b/>
          <w:bCs/>
        </w:rPr>
        <w:t xml:space="preserve">Recordkeeping (31 C.F.R. § 501.601)</w:t>
      </w:r>
      <w:r>
        <w:t xml:space="preserve"> </w:t>
      </w:r>
      <w:r>
        <w:t xml:space="preserve">requires licensees to retain records of licensed transactions for at least five years.</w:t>
      </w:r>
    </w:p>
    <w:bookmarkEnd w:id="23"/>
    <w:bookmarkStart w:id="34" w:name="iv.-issues-and-analysis"/>
    <w:p>
      <w:pPr>
        <w:pStyle w:val="Heading2"/>
      </w:pPr>
      <w:r>
        <w:t xml:space="preserve">IV. Issues and Analysis</w:t>
      </w:r>
    </w:p>
    <w:bookmarkStart w:id="24" w:name="Xc0d0585fad60d81e7d010626a9d0041316bddeb"/>
    <w:p>
      <w:pPr>
        <w:pStyle w:val="Heading3"/>
      </w:pPr>
      <w:r>
        <w:t xml:space="preserve">Issue 1 — A specific license is required; no general license covers this transaction.</w:t>
      </w:r>
    </w:p>
    <w:p>
      <w:pPr>
        <w:pStyle w:val="FirstParagraph"/>
      </w:pPr>
      <w:r>
        <w:rPr>
          <w:b/>
          <w:bCs/>
        </w:rPr>
        <w:t xml:space="preserve">Analysis.</w:t>
      </w:r>
      <w:r>
        <w:t xml:space="preserve"> </w:t>
      </w:r>
      <w:r>
        <w:t xml:space="preserve">DCUH is an instrumentality of the Government of Syria and the destination is Syria, so the transaction is prohibited under E.O. 13582 and 31 C.F.R. Part 542 absent authorization. We have reviewed the general license provisions of Part 542. The available humanitarian general licenses are limited to donations and nongovernmental organization activities and do not authorize a commercial sale of goods and services by a U.S. manufacturer to a Syrian governmental hospital. A specific license is therefore required. This is consistent with the path Meridian took for the prior, comparable transaction.</w:t>
      </w:r>
    </w:p>
    <w:p>
      <w:pPr>
        <w:pStyle w:val="BodyText"/>
      </w:pPr>
      <w:r>
        <w:rPr>
          <w:b/>
          <w:bCs/>
        </w:rPr>
        <w:t xml:space="preserve">Recommendation.</w:t>
      </w:r>
      <w:r>
        <w:t xml:space="preserve"> </w:t>
      </w:r>
      <w:r>
        <w:t xml:space="preserve">Proceed with a specific license application. Lead with the humanitarian purpose and the WHO documentation, and cite the prior license as precedent. Confirm during drafting that no general license (including any recently issued humanitarian authorizations) has been expanded to cover commercial medical sales to governmental end-users.</w:t>
      </w:r>
    </w:p>
    <w:bookmarkEnd w:id="24"/>
    <w:bookmarkStart w:id="25" w:name="X483949576288197b6ccd58b717981d928f2506d"/>
    <w:p>
      <w:pPr>
        <w:pStyle w:val="Heading3"/>
      </w:pPr>
      <w:r>
        <w:t xml:space="preserve">Issue 2 — SDN-listed 30% shareholder of the customs clearance agent (ARMPC / Samir Daoud Khoury).</w:t>
      </w:r>
    </w:p>
    <w:p>
      <w:pPr>
        <w:pStyle w:val="FirstParagraph"/>
      </w:pPr>
      <w:r>
        <w:rPr>
          <w:b/>
          <w:bCs/>
        </w:rPr>
        <w:t xml:space="preserve">Analysis.</w:t>
      </w:r>
      <w:r>
        <w:t xml:space="preserve"> </w:t>
      </w:r>
      <w:r>
        <w:t xml:space="preserve">This is the most significant issue. ARMPC is not on the SDN List, and its managing director screened clean, but Meridian’s enhanced beneficial-ownership screening identified that Samir Daoud Khoury—a person designated on the SDN List on April 15, 2024, for acting on behalf of a sanctioned Syrian military procurement network—owns 30% of ARMPC. Under the 50 Percent Rule, ARMPC is not automatically blocked because Khoury’s stake is below 50%. However, OFAC treats SDN involvement at any ownership level as a serious red flag, and the designation basis (a Syrian military procurement network) is particularly adverse in the context of a transaction whose end-user is a Syrian governmental hospital. Failing to disclose this would be a material omission; disclosing it without a mitigation plan would likely slow or jeopardize review.</w:t>
      </w:r>
    </w:p>
    <w:p>
      <w:pPr>
        <w:pStyle w:val="BodyText"/>
      </w:pPr>
      <w:r>
        <w:t xml:space="preserve">The structural problem is that ARMPC sits on the in-country delivery leg—the point at which the goods are most vulnerable to diversion and at which a sanctioned actor could theoretically exercise influence. Even if Khoury has no operational role, his ownership creates both a compliance risk and a perception risk.</w:t>
      </w:r>
    </w:p>
    <w:p>
      <w:pPr>
        <w:pStyle w:val="BodyText"/>
      </w:pPr>
      <w:r>
        <w:rPr>
          <w:b/>
          <w:bCs/>
        </w:rPr>
        <w:t xml:space="preserve">Options.</w:t>
      </w:r>
    </w:p>
    <w:p>
      <w:pPr>
        <w:pStyle w:val="Compact"/>
        <w:numPr>
          <w:ilvl w:val="0"/>
          <w:numId w:val="1003"/>
        </w:numPr>
      </w:pPr>
      <w:r>
        <w:rPr>
          <w:b/>
          <w:bCs/>
        </w:rPr>
        <w:t xml:space="preserve">(a) Substitute ARMPC with a sanctions-clean agent (preferred).</w:t>
      </w:r>
      <w:r>
        <w:t xml:space="preserve"> </w:t>
      </w:r>
      <w:r>
        <w:t xml:space="preserve">Have DCUH designate an alternative Syrian customs clearance and import logistics agent with no SDN-listed ownership or principals. We would screen the replacement and submit its details to OFAC for review before shipment. This is the cleanest path and materially improves the odds and speed of approval. The downside is identifying a qualified, screened alternative inside Syria on the client’s timeline.</w:t>
      </w:r>
    </w:p>
    <w:p>
      <w:pPr>
        <w:pStyle w:val="Compact"/>
        <w:numPr>
          <w:ilvl w:val="0"/>
          <w:numId w:val="1003"/>
        </w:numPr>
      </w:pPr>
      <w:r>
        <w:rPr>
          <w:b/>
          <w:bCs/>
        </w:rPr>
        <w:t xml:space="preserve">(b) Request authorization for ARMPC in a strictly limited customs-clearance role, with conditions.</w:t>
      </w:r>
      <w:r>
        <w:t xml:space="preserve"> </w:t>
      </w:r>
      <w:r>
        <w:t xml:space="preserve">If substitution is not feasible, we can request that OFAC authorize ARMPC’s participation limited to in-country customs clearance on behalf of DCUH, on conditions that (i) no U.S.-origin funds or any portion of the transaction value pass to ARMPC or to Khoury; (ii) all customs charges are paid by DCUH from non-SDN funds; (iii) Meridian has no dealings with Khoury; and (iv) Meridian re-screens ARMPC’s ownership immediately before shipment and reports any change. This is defensible but riskier; OFAC may still require substitution.</w:t>
      </w:r>
    </w:p>
    <w:p>
      <w:pPr>
        <w:pStyle w:val="Compact"/>
        <w:numPr>
          <w:ilvl w:val="0"/>
          <w:numId w:val="1003"/>
        </w:numPr>
      </w:pPr>
      <w:r>
        <w:rPr>
          <w:b/>
          <w:bCs/>
        </w:rPr>
        <w:t xml:space="preserve">(c) Eliminate the in-country agent entirely.</w:t>
      </w:r>
      <w:r>
        <w:t xml:space="preserve"> </w:t>
      </w:r>
      <w:r>
        <w:t xml:space="preserve">Not realistic—someone must clear Syrian customs and arrange final delivery. This is not a viable option but is noted for completeness.</w:t>
      </w:r>
    </w:p>
    <w:p>
      <w:pPr>
        <w:pStyle w:val="FirstParagraph"/>
      </w:pPr>
      <w:r>
        <w:rPr>
          <w:b/>
          <w:bCs/>
        </w:rPr>
        <w:t xml:space="preserve">Recommendation.</w:t>
      </w:r>
      <w:r>
        <w:t xml:space="preserve"> </w:t>
      </w:r>
      <w:r>
        <w:t xml:space="preserve">Pursue option (a) as the primary strategy and option (b) as a fallback. In the application, disclose the Khoury ownership fully, present the 50 Percent Rule analysis, state that Meridian is substituting ARMPC with a vetted agent (to be submitted to OFAC before shipment), and—in the alternative—request limited-role authorization with the conditions above if substitution proves infeasible. Begin working with Meridian and DCUH immediately to identify a replacement agent, because this is the item most likely to drive the timeline.</w:t>
      </w:r>
    </w:p>
    <w:bookmarkEnd w:id="25"/>
    <w:bookmarkStart w:id="26" w:name="X4a946cbbc040fcf5c7e8a995cc1d737b4117e15"/>
    <w:p>
      <w:pPr>
        <w:pStyle w:val="Heading3"/>
      </w:pPr>
      <w:r>
        <w:t xml:space="preserve">Issue 3 — SDN-listed remitting bank (Central Bank of Calverley).</w:t>
      </w:r>
    </w:p>
    <w:p>
      <w:pPr>
        <w:pStyle w:val="FirstParagraph"/>
      </w:pPr>
      <w:r>
        <w:rPr>
          <w:b/>
          <w:bCs/>
        </w:rPr>
        <w:t xml:space="preserve">Analysis.</w:t>
      </w:r>
      <w:r>
        <w:t xml:space="preserve"> </w:t>
      </w:r>
      <w:r>
        <w:t xml:space="preserve">The purchase order routes payment through the Central Bank of Calverley (</w:t>
      </w:r>
      <w:r>
        <w:t xml:space="preserve">“</w:t>
      </w:r>
      <w:r>
        <w:t xml:space="preserve">CBS</w:t>
      </w:r>
      <w:r>
        <w:t xml:space="preserve">”</w:t>
      </w:r>
      <w:r>
        <w:t xml:space="preserve">), which has been on the SDN List since August 10, 2011 (designated under E.O. 13582). Processing a wire from CBS would be a prohibited transaction with a blocked person, and any funds received would be subject to blocking. Notably, Meridian’s prior license expressly prohibited routing payment through CBS or any SDN-listed institution and authorized payment only through a non-SDN-listed Syrian commercial bank—so OFAC has already spoken to this exact issue in Meridian’s favor.</w:t>
      </w:r>
    </w:p>
    <w:p>
      <w:pPr>
        <w:pStyle w:val="BodyText"/>
      </w:pPr>
      <w:r>
        <w:rPr>
          <w:b/>
          <w:bCs/>
        </w:rPr>
        <w:t xml:space="preserve">Recommendation.</w:t>
      </w:r>
      <w:r>
        <w:t xml:space="preserve"> </w:t>
      </w:r>
      <w:r>
        <w:t xml:space="preserve">Do not accept or process any payment through CBS. Restructure the payment terms in the purchase order before filing (or at minimum before any payment) so that DCUH remits through a non-SDN-listed financial institution—either a non-SDN Syrian commercial bank or a third-country bank—to Meridian’s account at Harborview National Bank. In the application, request authorization for payment via a non-SDN-listed institution, identify the specific institution once screened, and expressly exclude CBS and any SDN-listed institution. Cite the prior license’s identical payment condition as precedent. Peggy’s team should screen any proposed replacement bank before we name it in the application.</w:t>
      </w:r>
    </w:p>
    <w:bookmarkEnd w:id="26"/>
    <w:bookmarkStart w:id="27" w:name="Xf39ae2937b7be815ae12a862540cab4c40a7201"/>
    <w:p>
      <w:pPr>
        <w:pStyle w:val="Heading3"/>
      </w:pPr>
      <w:r>
        <w:t xml:space="preserve">Issue 4 — Remote training services:</w:t>
      </w:r>
      <w:r>
        <w:t xml:space="preserve"> </w:t>
      </w:r>
      <w:r>
        <w:t xml:space="preserve">“</w:t>
      </w:r>
      <w:r>
        <w:t xml:space="preserve">services to Syria</w:t>
      </w:r>
      <w:r>
        <w:t xml:space="preserve">”</w:t>
      </w:r>
      <w:r>
        <w:t xml:space="preserve"> </w:t>
      </w:r>
      <w:r>
        <w:t xml:space="preserve">and technology-transfer scope.</w:t>
      </w:r>
    </w:p>
    <w:p>
      <w:pPr>
        <w:pStyle w:val="FirstParagraph"/>
      </w:pPr>
      <w:r>
        <w:rPr>
          <w:b/>
          <w:bCs/>
        </w:rPr>
        <w:t xml:space="preserve">Analysis.</w:t>
      </w:r>
      <w:r>
        <w:t xml:space="preserve"> </w:t>
      </w:r>
      <w:r>
        <w:t xml:space="preserve">Two distinct concerns arise from the 40-hour remote training engagement.</w:t>
      </w:r>
    </w:p>
    <w:p>
      <w:pPr>
        <w:pStyle w:val="BodyText"/>
      </w:pPr>
      <w:r>
        <w:t xml:space="preserve">First,</w:t>
      </w:r>
      <w:r>
        <w:t xml:space="preserve"> </w:t>
      </w:r>
      <w:r>
        <w:rPr>
          <w:b/>
          <w:bCs/>
        </w:rPr>
        <w:t xml:space="preserve">the provision of services to Syria is independently prohibited</w:t>
      </w:r>
      <w:r>
        <w:t xml:space="preserve"> </w:t>
      </w:r>
      <w:r>
        <w:t xml:space="preserve">under E.O. 13582 and 31 C.F.R. Part 542, separate from the export of physical goods. The training must therefore be expressly within the scope of the requested license; it is not incidental to the goods export as a matter of law.</w:t>
      </w:r>
    </w:p>
    <w:p>
      <w:pPr>
        <w:pStyle w:val="BodyText"/>
      </w:pPr>
      <w:r>
        <w:t xml:space="preserve">Second,</w:t>
      </w:r>
      <w:r>
        <w:t xml:space="preserve"> </w:t>
      </w:r>
      <w:r>
        <w:rPr>
          <w:b/>
          <w:bCs/>
        </w:rPr>
        <w:t xml:space="preserve">the training transfers technical information.</w:t>
      </w:r>
      <w:r>
        <w:t xml:space="preserve"> </w:t>
      </w:r>
      <w:r>
        <w:t xml:space="preserve">Modules 2 and 3 are the sensitive ones: Module 2 walks through proprietary instrument schematics and engineering diagrams, and Module 3 provides the 287-page CalibPro 3100 Software Reference Manual, firmware diagnostic logs, and calibration algorithm parameters. Even though the products are EAR99, the</w:t>
      </w:r>
      <w:r>
        <w:t xml:space="preserve"> </w:t>
      </w:r>
      <w:r>
        <w:t xml:space="preserve">“</w:t>
      </w:r>
      <w:r>
        <w:t xml:space="preserve">technology</w:t>
      </w:r>
      <w:r>
        <w:t xml:space="preserve">”</w:t>
      </w:r>
      <w:r>
        <w:t xml:space="preserve"> </w:t>
      </w:r>
      <w:r>
        <w:t xml:space="preserve">and</w:t>
      </w:r>
      <w:r>
        <w:t xml:space="preserve"> </w:t>
      </w:r>
      <w:r>
        <w:t xml:space="preserve">“</w:t>
      </w:r>
      <w:r>
        <w:t xml:space="preserve">technical data</w:t>
      </w:r>
      <w:r>
        <w:t xml:space="preserve">”</w:t>
      </w:r>
      <w:r>
        <w:t xml:space="preserve"> </w:t>
      </w:r>
      <w:r>
        <w:t xml:space="preserve">shared during training are subject to the EAR and must be characterized carefully. If the training crosses from operation/maintenance information into design or development technology, BIS classification questions arise. The datasheet appropriately notes that any firmware update beyond v4.2.1 is a separate transaction requiring independent authorization, and that post-training technical support involving additional technical data may require separate authorization—both correct and helpful.</w:t>
      </w:r>
    </w:p>
    <w:p>
      <w:pPr>
        <w:pStyle w:val="BodyText"/>
      </w:pPr>
      <w:r>
        <w:rPr>
          <w:b/>
          <w:bCs/>
        </w:rPr>
        <w:t xml:space="preserve">Recommendation.</w:t>
      </w:r>
      <w:r>
        <w:t xml:space="preserve"> </w:t>
      </w:r>
      <w:r>
        <w:t xml:space="preserve">Include the training services expressly within the license request. In the application, characterize the technical information as limited to the operation, calibration, and maintenance of EAR99 equipment necessary for safe clinical use, and state that no design, development, or production technology is transferred and no controlled technology is exported. Confirm with Meridian’s engineering and regulatory teams that the schematics and Software Reference Manual do not contain technology that would warrant a higher ECCN than EAR99 (this overlaps with Issue 6). Build into the license conditions that no firmware updates or post-training technical support involving additional technical data are authorized under the license without separate authorization.</w:t>
      </w:r>
    </w:p>
    <w:bookmarkEnd w:id="27"/>
    <w:bookmarkStart w:id="28" w:name="Xe9309ff6127a9c353be54c9ea065b587e937a0a"/>
    <w:p>
      <w:pPr>
        <w:pStyle w:val="Heading3"/>
      </w:pPr>
      <w:r>
        <w:t xml:space="preserve">Issue 5 — End-use monitoring and diversion risk.</w:t>
      </w:r>
    </w:p>
    <w:p>
      <w:pPr>
        <w:pStyle w:val="FirstParagraph"/>
      </w:pPr>
      <w:r>
        <w:rPr>
          <w:b/>
          <w:bCs/>
        </w:rPr>
        <w:t xml:space="preserve">Analysis.</w:t>
      </w:r>
      <w:r>
        <w:t xml:space="preserve"> </w:t>
      </w:r>
      <w:r>
        <w:t xml:space="preserve">The in-country leg is the highest diversion risk: goods cross at Bab al-Hawa into a conflict zone and are handled by ARMPC (which has the SDN ownership issue) for customs clearance and final delivery to DCUH. The Graystone audit (Finding 2) flagged that Meridian’s post-delivery end-use monitoring for the prior license was limited to confirming delivery receipt, with no ongoing verification that goods remained with the end-user or were used for the stated purpose. OFAC expects robust end-use monitoring for specific licenses in comprehensively sanctioned jurisdictions, and a weak monitoring plan is a potential basis for conditions or denial.</w:t>
      </w:r>
    </w:p>
    <w:p>
      <w:pPr>
        <w:pStyle w:val="BodyText"/>
      </w:pPr>
      <w:r>
        <w:rPr>
          <w:b/>
          <w:bCs/>
        </w:rPr>
        <w:t xml:space="preserve">Recommendation.</w:t>
      </w:r>
      <w:r>
        <w:t xml:space="preserve"> </w:t>
      </w:r>
      <w:r>
        <w:t xml:space="preserve">Include a written end-use monitoring plan as an exhibit to the application. The plan should provide for: (a) delivery confirmation with documentary and photographic evidence; (b) an end-user certificate and non-diversion commitment executed by DCUH; (c) periodic usage reporting at no less than annual intervals; and (d) a site-verification mechanism (remote or in-person) as feasible. Tie the plan to the cold-chain data logs, which already create a documentary trail. Commit to prompt reporting of any diversion indication. A credible monitoring plan both strengthens the application and implements Graystone’s recommendation.</w:t>
      </w:r>
    </w:p>
    <w:bookmarkEnd w:id="28"/>
    <w:bookmarkStart w:id="29" w:name="X060d24f6095b927d3a3f53e08ea67626bdb493e"/>
    <w:p>
      <w:pPr>
        <w:pStyle w:val="Heading3"/>
      </w:pPr>
      <w:r>
        <w:t xml:space="preserve">Issue 6 — Encryption / firmware classification confirmation.</w:t>
      </w:r>
    </w:p>
    <w:p>
      <w:pPr>
        <w:pStyle w:val="FirstParagraph"/>
      </w:pPr>
      <w:r>
        <w:rPr>
          <w:b/>
          <w:bCs/>
        </w:rPr>
        <w:t xml:space="preserve">Analysis.</w:t>
      </w:r>
      <w:r>
        <w:t xml:space="preserve"> </w:t>
      </w:r>
      <w:r>
        <w:t xml:space="preserve">The CalibPro 3100 contains embedded firmware (v4.2.1) that uses AES-128 encryption for internal data-integrity verification. The datasheet asserts that the encryption functionality falls below EAR de minimis thresholds for encryption items and does not alter the EAR99 classification. Encryption items can be a trap: even limited encryption functionality can implicate EAR Category 5, Part 2 and the associated classification, reporting, and § 740.17 license-exception requirements. Graystone’s audit (Finding 3) specifically recommended that Meridian’s risk assessments document embedded software, firmware, and encryption classification for new products.</w:t>
      </w:r>
    </w:p>
    <w:p>
      <w:pPr>
        <w:pStyle w:val="BodyText"/>
      </w:pPr>
      <w:r>
        <w:rPr>
          <w:b/>
          <w:bCs/>
        </w:rPr>
        <w:t xml:space="preserve">Recommendation.</w:t>
      </w:r>
      <w:r>
        <w:t xml:space="preserve"> </w:t>
      </w:r>
      <w:r>
        <w:t xml:space="preserve">Before filing, obtain written confirmation from Meridian’s engineering and regulatory teams (and, if there is any doubt, a BIS self-classification or advisory opinion) that the AES-128 functionality is properly classified EAR99 and that no separate BIS authorization is required for the export of the units with embedded firmware. Document the analysis in the application file. This both satisfies Graystone’s recommendation and preempts a likely OFAC/BIS question. Reaffirm in the application that no firmware update is requested under the license.</w:t>
      </w:r>
    </w:p>
    <w:bookmarkEnd w:id="29"/>
    <w:bookmarkStart w:id="30" w:name="X1e9e99e5d10e03799982934354842485b1ab479"/>
    <w:p>
      <w:pPr>
        <w:pStyle w:val="Heading3"/>
      </w:pPr>
      <w:r>
        <w:t xml:space="preserve">Issue 7 — Re-screening and material-change obligations.</w:t>
      </w:r>
    </w:p>
    <w:p>
      <w:pPr>
        <w:pStyle w:val="FirstParagraph"/>
      </w:pPr>
      <w:r>
        <w:rPr>
          <w:b/>
          <w:bCs/>
        </w:rPr>
        <w:t xml:space="preserve">Analysis.</w:t>
      </w:r>
      <w:r>
        <w:t xml:space="preserve"> </w:t>
      </w:r>
      <w:r>
        <w:t xml:space="preserve">Sanctions lists change. Khoury was designated only on April 15, 2024—roughly seven weeks before Meridian’s screening—illustrating how quickly a clean party can become problematic. The prior license imposed a condition requiring prompt reporting of any material change in facts or circumstances. If we substitute ARMPC or change the remitting bank after the license issues, those are material changes that must be reported and may require amendment.</w:t>
      </w:r>
    </w:p>
    <w:p>
      <w:pPr>
        <w:pStyle w:val="BodyText"/>
      </w:pPr>
      <w:r>
        <w:rPr>
          <w:b/>
          <w:bCs/>
        </w:rPr>
        <w:t xml:space="preserve">Recommendation.</w:t>
      </w:r>
      <w:r>
        <w:t xml:space="preserve"> </w:t>
      </w:r>
      <w:r>
        <w:t xml:space="preserve">Build 90-day re-screening of all parties into the application (Peggy has already recommended this), and commit to an immediate pre-shipment re-screen. Include a condition acknowledging the duty to report material changes—particularly any change in the customs clearance agent, the remitting bank, or the ownership of any party. Make clear in the application that the specific remitting bank and (if applicable) the replacement customs agent will be confirmed to OFAC before shipment.</w:t>
      </w:r>
    </w:p>
    <w:bookmarkEnd w:id="30"/>
    <w:bookmarkStart w:id="31" w:name="X828a0d4f89eb3d59c77310c9d3fb98d9b8d8f73"/>
    <w:p>
      <w:pPr>
        <w:pStyle w:val="Heading3"/>
      </w:pPr>
      <w:r>
        <w:t xml:space="preserve">Issue 8 — Reporting and recordkeeping conditions.</w:t>
      </w:r>
    </w:p>
    <w:p>
      <w:pPr>
        <w:pStyle w:val="FirstParagraph"/>
      </w:pPr>
      <w:r>
        <w:rPr>
          <w:b/>
          <w:bCs/>
        </w:rPr>
        <w:t xml:space="preserve">Analysis.</w:t>
      </w:r>
      <w:r>
        <w:t xml:space="preserve"> </w:t>
      </w:r>
      <w:r>
        <w:t xml:space="preserve">The prior license required a written report to OFAC within 30 days of each shipment, with proof of delivery, shipping documents, and end-user receipt, plus five-year recordkeeping under 31 C.F.R. § 501.601. We should expect, and welcome, similar conditions.</w:t>
      </w:r>
    </w:p>
    <w:p>
      <w:pPr>
        <w:pStyle w:val="BodyText"/>
      </w:pPr>
      <w:r>
        <w:rPr>
          <w:b/>
          <w:bCs/>
        </w:rPr>
        <w:t xml:space="preserve">Recommendation.</w:t>
      </w:r>
      <w:r>
        <w:t xml:space="preserve"> </w:t>
      </w:r>
      <w:r>
        <w:t xml:space="preserve">Propose these conditions in the application (30-day post-shipment reports including temperature data logs; five-year recordkeeping) so that OFAC sees Meridian is prepared to administer them. Meridian successfully satisfied these conditions under the prior license, which we should cite.</w:t>
      </w:r>
    </w:p>
    <w:bookmarkEnd w:id="31"/>
    <w:bookmarkStart w:id="32" w:name="Xad3d1ecb98b6f33d2b7b57a64799dbbceb392ea"/>
    <w:p>
      <w:pPr>
        <w:pStyle w:val="Heading3"/>
      </w:pPr>
      <w:r>
        <w:t xml:space="preserve">Issue 9 — Timing and the September 1, 2024 target effective date.</w:t>
      </w:r>
    </w:p>
    <w:p>
      <w:pPr>
        <w:pStyle w:val="FirstParagraph"/>
      </w:pPr>
      <w:r>
        <w:rPr>
          <w:b/>
          <w:bCs/>
        </w:rPr>
        <w:t xml:space="preserve">Analysis.</w:t>
      </w:r>
      <w:r>
        <w:t xml:space="preserve"> </w:t>
      </w:r>
      <w:r>
        <w:t xml:space="preserve">OFAC processing for specific license applications commonly runs 90–180 days, and complex applications with SDN-adjacent parties and payment-structuring issues tend toward the longer end. The client targets a September 1, 2024 effective date. If we file in early July, 90 days lands in early October. OFAC can issue licenses with effective dates that predate the issuance date, but the client should not rely on that.</w:t>
      </w:r>
    </w:p>
    <w:p>
      <w:pPr>
        <w:pStyle w:val="BodyText"/>
      </w:pPr>
      <w:r>
        <w:rPr>
          <w:b/>
          <w:bCs/>
        </w:rPr>
        <w:t xml:space="preserve">Recommendation.</w:t>
      </w:r>
      <w:r>
        <w:t xml:space="preserve"> </w:t>
      </w:r>
      <w:r>
        <w:t xml:space="preserve">File as soon as the payment restructuring is underway and the ARMPC decision is made—do not wait for every exhibit to be perfect, but do not file with the CBS payment mechanism or an undisclosed Khoury issue. Manage the September 1 date with the client as a target. Consider requesting a license term of September 1, 2024 through February 28, 2026 (18 months) to preserve runway for shipment and the 6–8 week transit, and to allow for re-shipment if cold-chain integrity is compromised.</w:t>
      </w:r>
    </w:p>
    <w:bookmarkEnd w:id="32"/>
    <w:bookmarkStart w:id="33" w:name="Xea8b7d1bffe106927f9088bef104b384d1b81b1"/>
    <w:p>
      <w:pPr>
        <w:pStyle w:val="Heading3"/>
      </w:pPr>
      <w:r>
        <w:t xml:space="preserve">Issue 10 — Cold-chain feasibility (operational note, not a sanctions issue).</w:t>
      </w:r>
    </w:p>
    <w:p>
      <w:pPr>
        <w:pStyle w:val="FirstParagraph"/>
      </w:pPr>
      <w:r>
        <w:rPr>
          <w:b/>
          <w:bCs/>
        </w:rPr>
        <w:t xml:space="preserve">Analysis.</w:t>
      </w:r>
      <w:r>
        <w:t xml:space="preserve"> </w:t>
      </w:r>
      <w:r>
        <w:t xml:space="preserve">The CancerDetect RX-700 kits require continuous 2–8°C storage across a 6–8 week transit through a conflict zone, with a 14-month diagnostic backlog at the destination. A temperature excursion above 12°C or below 0°C voids the warranty and may compromise reagent integrity. This is primarily an operational and quality matter, but it has licensing relevance: if goods arrive compromised and must be re-shipped, the re-shipment must occur within the license term and may require reporting.</w:t>
      </w:r>
    </w:p>
    <w:p>
      <w:pPr>
        <w:pStyle w:val="BodyText"/>
      </w:pPr>
      <w:r>
        <w:rPr>
          <w:b/>
          <w:bCs/>
        </w:rPr>
        <w:t xml:space="preserve">Recommendation.</w:t>
      </w:r>
      <w:r>
        <w:t xml:space="preserve"> </w:t>
      </w:r>
      <w:r>
        <w:t xml:space="preserve">Ensure the logistics plan’s cold-chain protocol (validated containers, 15-minute data loggers, reefer container at 4°C ± 2°C, AMTW cold storage, excursion escalation) is reflected in the application, and build the license term and reporting conditions to accommodate a potential re-shipment. Confirm that DCUH has adequate refrigerated storage to receive and maintain the full shipment on arrival—Pinnacle has flagged this as an open item.</w:t>
      </w:r>
    </w:p>
    <w:bookmarkEnd w:id="33"/>
    <w:bookmarkEnd w:id="34"/>
    <w:bookmarkStart w:id="35" w:name="v.-recommended-application-strategy"/>
    <w:p>
      <w:pPr>
        <w:pStyle w:val="Heading2"/>
      </w:pPr>
      <w:r>
        <w:t xml:space="preserve">V. Recommended Application Strategy</w:t>
      </w:r>
    </w:p>
    <w:p>
      <w:pPr>
        <w:pStyle w:val="Compact"/>
        <w:numPr>
          <w:ilvl w:val="0"/>
          <w:numId w:val="1004"/>
        </w:numPr>
      </w:pPr>
      <w:r>
        <w:rPr>
          <w:b/>
          <w:bCs/>
        </w:rPr>
        <w:t xml:space="preserve">Lead with the humanitarian case.</w:t>
      </w:r>
      <w:r>
        <w:t xml:space="preserve"> </w:t>
      </w:r>
      <w:r>
        <w:t xml:space="preserve">Open the application narrative with the WHO needs assessment, the breast cancer burden, the 14-month diagnostic backlog, the survival-rate decline, and the fact that the CancerDetect RX-700 is the only FDA-cleared kit validated for DCUH’s installed platform. This is the strongest part of the matter.</w:t>
      </w:r>
    </w:p>
    <w:p>
      <w:pPr>
        <w:pStyle w:val="Compact"/>
        <w:numPr>
          <w:ilvl w:val="0"/>
          <w:numId w:val="1004"/>
        </w:numPr>
      </w:pPr>
      <w:r>
        <w:rPr>
          <w:b/>
          <w:bCs/>
        </w:rPr>
        <w:t xml:space="preserve">Cite the prior license as precedent.</w:t>
      </w:r>
      <w:r>
        <w:t xml:space="preserve"> </w:t>
      </w:r>
      <w:r>
        <w:t xml:space="preserve">Emphasize SYR-2021-384712, the clean completion, the satisfied reporting conditions, and the identical CBS-payment prohibition—OFAC has already trusted Meridian with a comparable transaction.</w:t>
      </w:r>
    </w:p>
    <w:p>
      <w:pPr>
        <w:pStyle w:val="Compact"/>
        <w:numPr>
          <w:ilvl w:val="0"/>
          <w:numId w:val="1004"/>
        </w:numPr>
      </w:pPr>
      <w:r>
        <w:rPr>
          <w:b/>
          <w:bCs/>
        </w:rPr>
        <w:t xml:space="preserve">Disclose the two SDN issues fully and present mitigation.</w:t>
      </w:r>
      <w:r>
        <w:t xml:space="preserve"> </w:t>
      </w:r>
      <w:r>
        <w:t xml:space="preserve">Address Khoury/ARMPC and CBS in a dedicated disclosure section. Present substitution of ARMPC as the primary path and limited-role authorization as the alternative; present the non-SDN payment restructuring as already underway. Transparency here is essential and is itself a compliance positive.</w:t>
      </w:r>
    </w:p>
    <w:p>
      <w:pPr>
        <w:pStyle w:val="Compact"/>
        <w:numPr>
          <w:ilvl w:val="0"/>
          <w:numId w:val="1004"/>
        </w:numPr>
      </w:pPr>
      <w:r>
        <w:rPr>
          <w:b/>
          <w:bCs/>
        </w:rPr>
        <w:t xml:space="preserve">Scope the training carefully.</w:t>
      </w:r>
      <w:r>
        <w:t xml:space="preserve"> </w:t>
      </w:r>
      <w:r>
        <w:t xml:space="preserve">Include the services in the license request and characterize the technical information as operation/maintenance-level only, with no controlled technology and no firmware updates authorized.</w:t>
      </w:r>
    </w:p>
    <w:p>
      <w:pPr>
        <w:pStyle w:val="Compact"/>
        <w:numPr>
          <w:ilvl w:val="0"/>
          <w:numId w:val="1004"/>
        </w:numPr>
      </w:pPr>
      <w:r>
        <w:rPr>
          <w:b/>
          <w:bCs/>
        </w:rPr>
        <w:t xml:space="preserve">Include an end-use monitoring plan and proposed conditions.</w:t>
      </w:r>
      <w:r>
        <w:t xml:space="preserve"> </w:t>
      </w:r>
      <w:r>
        <w:t xml:space="preserve">Show OFAC that Meridian will administer the license rigorously, including post-shipment reporting, re-screening, and material-change reporting.</w:t>
      </w:r>
    </w:p>
    <w:p>
      <w:pPr>
        <w:pStyle w:val="Compact"/>
        <w:numPr>
          <w:ilvl w:val="0"/>
          <w:numId w:val="1004"/>
        </w:numPr>
      </w:pPr>
      <w:r>
        <w:rPr>
          <w:b/>
          <w:bCs/>
        </w:rPr>
        <w:t xml:space="preserve">Document the compliance program.</w:t>
      </w:r>
      <w:r>
        <w:t xml:space="preserve"> </w:t>
      </w:r>
      <w:r>
        <w:t xml:space="preserve">Use the Graystone audit and the January 2024 beneficial-ownership enhancement (which is what caught the Khoury issue) to demonstrate a maturing, effective program.</w:t>
      </w:r>
    </w:p>
    <w:p>
      <w:pPr>
        <w:pStyle w:val="Compact"/>
        <w:numPr>
          <w:ilvl w:val="0"/>
          <w:numId w:val="1004"/>
        </w:numPr>
      </w:pPr>
      <w:r>
        <w:rPr>
          <w:b/>
          <w:bCs/>
        </w:rPr>
        <w:t xml:space="preserve">File promptly but cleanly.</w:t>
      </w:r>
      <w:r>
        <w:t xml:space="preserve"> </w:t>
      </w:r>
      <w:r>
        <w:t xml:space="preserve">Do not file until the payment restructuring is in motion and the ARMPC decision is made. Filing with the CBS payment mechanism or an undisclosed SDN nexus would be counterproductive.</w:t>
      </w:r>
    </w:p>
    <w:bookmarkEnd w:id="35"/>
    <w:bookmarkStart w:id="36" w:name="vi.-open-items-and-next-steps"/>
    <w:p>
      <w:pPr>
        <w:pStyle w:val="Heading2"/>
      </w:pPr>
      <w:r>
        <w:t xml:space="preserve">VI. Open Items and Next Steps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Needed For</w:t>
            </w:r>
          </w:p>
        </w:tc>
      </w:tr>
      <w:tr>
        <w:tc>
          <w:tcPr/>
          <w:p>
            <w:pPr>
              <w:pStyle w:val="Compact"/>
              <w:jc w:val="left"/>
            </w:pPr>
            <w:r>
              <w:t xml:space="preserve">1</w:t>
            </w:r>
          </w:p>
        </w:tc>
        <w:tc>
          <w:tcPr/>
          <w:p>
            <w:pPr>
              <w:pStyle w:val="Compact"/>
              <w:jc w:val="left"/>
            </w:pPr>
            <w:r>
              <w:t xml:space="preserve">Identify and screen a replacement Syrian customs clearance agent (preferred)</w:t>
            </w:r>
          </w:p>
        </w:tc>
        <w:tc>
          <w:tcPr/>
          <w:p>
            <w:pPr>
              <w:pStyle w:val="Compact"/>
              <w:jc w:val="left"/>
            </w:pPr>
            <w:r>
              <w:t xml:space="preserve">Meridian / DCUH / Peggy</w:t>
            </w:r>
          </w:p>
        </w:tc>
        <w:tc>
          <w:tcPr/>
          <w:p>
            <w:pPr>
              <w:pStyle w:val="Compact"/>
              <w:jc w:val="left"/>
            </w:pPr>
            <w:r>
              <w:t xml:space="preserve">Application filing (primary) or pre-shipment (if fallback used)</w:t>
            </w:r>
          </w:p>
        </w:tc>
      </w:tr>
      <w:tr>
        <w:tc>
          <w:tcPr/>
          <w:p>
            <w:pPr>
              <w:pStyle w:val="Compact"/>
              <w:jc w:val="left"/>
            </w:pPr>
            <w:r>
              <w:t xml:space="preserve">2</w:t>
            </w:r>
          </w:p>
        </w:tc>
        <w:tc>
          <w:tcPr/>
          <w:p>
            <w:pPr>
              <w:pStyle w:val="Compact"/>
              <w:jc w:val="left"/>
            </w:pPr>
            <w:r>
              <w:t xml:space="preserve">Amend PO payment terms to remove CBS; identify and screen a non-SDN remitting bank</w:t>
            </w:r>
          </w:p>
        </w:tc>
        <w:tc>
          <w:tcPr/>
          <w:p>
            <w:pPr>
              <w:pStyle w:val="Compact"/>
              <w:jc w:val="left"/>
            </w:pPr>
            <w:r>
              <w:t xml:space="preserve">Meridian / DCUH / Peggy</w:t>
            </w:r>
          </w:p>
        </w:tc>
        <w:tc>
          <w:tcPr/>
          <w:p>
            <w:pPr>
              <w:pStyle w:val="Compact"/>
              <w:jc w:val="left"/>
            </w:pPr>
            <w:r>
              <w:t xml:space="preserve">Application filing</w:t>
            </w:r>
          </w:p>
        </w:tc>
      </w:tr>
      <w:tr>
        <w:tc>
          <w:tcPr/>
          <w:p>
            <w:pPr>
              <w:pStyle w:val="Compact"/>
              <w:jc w:val="left"/>
            </w:pPr>
            <w:r>
              <w:t xml:space="preserve">3</w:t>
            </w:r>
          </w:p>
        </w:tc>
        <w:tc>
          <w:tcPr/>
          <w:p>
            <w:pPr>
              <w:pStyle w:val="Compact"/>
              <w:jc w:val="left"/>
            </w:pPr>
            <w:r>
              <w:t xml:space="preserve">Written confirmation of EAR99 classification of CalibPro 3100 firmware/encryption</w:t>
            </w:r>
          </w:p>
        </w:tc>
        <w:tc>
          <w:tcPr/>
          <w:p>
            <w:pPr>
              <w:pStyle w:val="Compact"/>
              <w:jc w:val="left"/>
            </w:pPr>
            <w:r>
              <w:t xml:space="preserve">Meridian engineering &amp; regulatory</w:t>
            </w:r>
          </w:p>
        </w:tc>
        <w:tc>
          <w:tcPr/>
          <w:p>
            <w:pPr>
              <w:pStyle w:val="Compact"/>
              <w:jc w:val="left"/>
            </w:pPr>
            <w:r>
              <w:t xml:space="preserve">Application filing</w:t>
            </w:r>
          </w:p>
        </w:tc>
      </w:tr>
      <w:tr>
        <w:tc>
          <w:tcPr/>
          <w:p>
            <w:pPr>
              <w:pStyle w:val="Compact"/>
              <w:jc w:val="left"/>
            </w:pPr>
            <w:r>
              <w:t xml:space="preserve">4</w:t>
            </w:r>
          </w:p>
        </w:tc>
        <w:tc>
          <w:tcPr/>
          <w:p>
            <w:pPr>
              <w:pStyle w:val="Compact"/>
              <w:jc w:val="left"/>
            </w:pPr>
            <w:r>
              <w:t xml:space="preserve">Confirm training technical data is operation/maintenance-level only (no controlled technology)</w:t>
            </w:r>
          </w:p>
        </w:tc>
        <w:tc>
          <w:tcPr/>
          <w:p>
            <w:pPr>
              <w:pStyle w:val="Compact"/>
              <w:jc w:val="left"/>
            </w:pPr>
            <w:r>
              <w:t xml:space="preserve">Meridian regulatory</w:t>
            </w:r>
          </w:p>
        </w:tc>
        <w:tc>
          <w:tcPr/>
          <w:p>
            <w:pPr>
              <w:pStyle w:val="Compact"/>
              <w:jc w:val="left"/>
            </w:pPr>
            <w:r>
              <w:t xml:space="preserve">Application filing</w:t>
            </w:r>
          </w:p>
        </w:tc>
      </w:tr>
      <w:tr>
        <w:tc>
          <w:tcPr/>
          <w:p>
            <w:pPr>
              <w:pStyle w:val="Compact"/>
              <w:jc w:val="left"/>
            </w:pPr>
            <w:r>
              <w:t xml:space="preserve">5</w:t>
            </w:r>
          </w:p>
        </w:tc>
        <w:tc>
          <w:tcPr/>
          <w:p>
            <w:pPr>
              <w:pStyle w:val="Compact"/>
              <w:jc w:val="left"/>
            </w:pPr>
            <w:r>
              <w:t xml:space="preserve">Draft end-use monitoring plan</w:t>
            </w:r>
          </w:p>
        </w:tc>
        <w:tc>
          <w:tcPr/>
          <w:p>
            <w:pPr>
              <w:pStyle w:val="Compact"/>
              <w:jc w:val="left"/>
            </w:pPr>
            <w:r>
              <w:t xml:space="preserve">Ashford &amp; Whitmore / Peggy</w:t>
            </w:r>
          </w:p>
        </w:tc>
        <w:tc>
          <w:tcPr/>
          <w:p>
            <w:pPr>
              <w:pStyle w:val="Compact"/>
              <w:jc w:val="left"/>
            </w:pPr>
            <w:r>
              <w:t xml:space="preserve">Application exhibit</w:t>
            </w:r>
          </w:p>
        </w:tc>
      </w:tr>
      <w:tr>
        <w:tc>
          <w:tcPr/>
          <w:p>
            <w:pPr>
              <w:pStyle w:val="Compact"/>
              <w:jc w:val="left"/>
            </w:pPr>
            <w:r>
              <w:t xml:space="preserve">6</w:t>
            </w:r>
          </w:p>
        </w:tc>
        <w:tc>
          <w:tcPr/>
          <w:p>
            <w:pPr>
              <w:pStyle w:val="Compact"/>
              <w:jc w:val="left"/>
            </w:pPr>
            <w:r>
              <w:t xml:space="preserve">Confirm DCUH refrigerated receiving capacity</w:t>
            </w:r>
          </w:p>
        </w:tc>
        <w:tc>
          <w:tcPr/>
          <w:p>
            <w:pPr>
              <w:pStyle w:val="Compact"/>
              <w:jc w:val="left"/>
            </w:pPr>
            <w:r>
              <w:t xml:space="preserve">Pinnacle / ARMPC (or replacement) / DCUH</w:t>
            </w:r>
          </w:p>
        </w:tc>
        <w:tc>
          <w:tcPr/>
          <w:p>
            <w:pPr>
              <w:pStyle w:val="Compact"/>
              <w:jc w:val="left"/>
            </w:pPr>
            <w:r>
              <w:t xml:space="preserve">Pre-shipment</w:t>
            </w:r>
          </w:p>
        </w:tc>
      </w:tr>
      <w:tr>
        <w:tc>
          <w:tcPr/>
          <w:p>
            <w:pPr>
              <w:pStyle w:val="Compact"/>
              <w:jc w:val="left"/>
            </w:pPr>
            <w:r>
              <w:t xml:space="preserve">7</w:t>
            </w:r>
          </w:p>
        </w:tc>
        <w:tc>
          <w:tcPr/>
          <w:p>
            <w:pPr>
              <w:pStyle w:val="Compact"/>
              <w:jc w:val="left"/>
            </w:pPr>
            <w:r>
              <w:t xml:space="preserve">Assemble exhibits A–I and finalize application</w:t>
            </w:r>
          </w:p>
        </w:tc>
        <w:tc>
          <w:tcPr/>
          <w:p>
            <w:pPr>
              <w:pStyle w:val="Compact"/>
              <w:jc w:val="left"/>
            </w:pPr>
            <w:r>
              <w:t xml:space="preserve">Ashford &amp; Whitmore</w:t>
            </w:r>
          </w:p>
        </w:tc>
        <w:tc>
          <w:tcPr/>
          <w:p>
            <w:pPr>
              <w:pStyle w:val="Compact"/>
              <w:jc w:val="left"/>
            </w:pPr>
            <w:r>
              <w:t xml:space="preserve">Filing</w:t>
            </w:r>
          </w:p>
        </w:tc>
      </w:tr>
      <w:tr>
        <w:tc>
          <w:tcPr/>
          <w:p>
            <w:pPr>
              <w:pStyle w:val="Compact"/>
              <w:jc w:val="left"/>
            </w:pPr>
            <w:r>
              <w:t xml:space="preserve">8</w:t>
            </w:r>
          </w:p>
        </w:tc>
        <w:tc>
          <w:tcPr/>
          <w:p>
            <w:pPr>
              <w:pStyle w:val="Compact"/>
              <w:jc w:val="left"/>
            </w:pPr>
            <w:r>
              <w:t xml:space="preserve">Set client expectations on the September 1, 2024 target date</w:t>
            </w:r>
          </w:p>
        </w:tc>
        <w:tc>
          <w:tcPr/>
          <w:p>
            <w:pPr>
              <w:pStyle w:val="Compact"/>
              <w:jc w:val="left"/>
            </w:pPr>
            <w:r>
              <w:t xml:space="preserve">Ashford &amp; Whitmore / Jon Halsted</w:t>
            </w:r>
          </w:p>
        </w:tc>
        <w:tc>
          <w:tcPr/>
          <w:p>
            <w:pPr>
              <w:pStyle w:val="Compact"/>
              <w:jc w:val="left"/>
            </w:pPr>
            <w:r>
              <w:t xml:space="preserve">Now</w:t>
            </w:r>
          </w:p>
        </w:tc>
      </w:tr>
    </w:tbl>
    <w:bookmarkEnd w:id="36"/>
    <w:bookmarkStart w:id="37" w:name="vii.-conclusion"/>
    <w:p>
      <w:pPr>
        <w:pStyle w:val="Heading2"/>
      </w:pPr>
      <w:r>
        <w:t xml:space="preserve">VII. Conclusion</w:t>
      </w:r>
    </w:p>
    <w:p>
      <w:pPr>
        <w:pStyle w:val="FirstParagraph"/>
      </w:pPr>
      <w:r>
        <w:t xml:space="preserve">This is a meritorious humanitarian export supported by independent WHO documentation, EAR99-classified products, a clean compliance record, and a successful prior OFAC license for a comparable transaction. The principal obstacles are the SDN-listed 30% shareholder of the Syrian customs clearance agent and the SDN-listed remitting bank named in the purchase order—both of which are addressable through transaction restructuring and full disclosure. We recommend proceeding to prepare the specific license application immediately, working in parallel on the ARMPC substitution and the payment restructuring, and filing as soon as those items are sufficiently advanced. We will circulate a draft application for your review before filing.</w:t>
      </w:r>
    </w:p>
    <w:p>
      <w:pPr>
        <w:pStyle w:val="BodyText"/>
      </w:pPr>
      <w:r>
        <w:t xml:space="preserve">Please contact us with any questions.</w:t>
      </w:r>
    </w:p>
    <w:p>
      <w:pPr>
        <w:pStyle w:val="BodyText"/>
      </w:pPr>
      <w:r>
        <w:rPr>
          <w:b/>
          <w:bCs/>
        </w:rPr>
        <w:t xml:space="preserve">Ashford &amp; Whitmore LLP</w:t>
      </w:r>
    </w:p>
    <w:p>
      <w:pPr>
        <w:pStyle w:val="BodyText"/>
      </w:pPr>
      <w:r>
        <w:t xml:space="preserve">Catherine R. Bellingham</w:t>
      </w:r>
      <w:r>
        <w:t xml:space="preserve"> </w:t>
      </w:r>
      <w:r>
        <w:t xml:space="preserve">Partner</w:t>
      </w:r>
      <w:r>
        <w:t xml:space="preserve"> </w:t>
      </w:r>
      <w:r>
        <w:t xml:space="preserve">1700 K Street NW, Suite 950, Washington, DC 20006</w:t>
      </w:r>
    </w:p>
    <w:p>
      <w:pPr>
        <w:pStyle w:val="BodyText"/>
      </w:pPr>
      <w:r>
        <w:t xml:space="preserve">David Osei-Mensah</w:t>
      </w:r>
      <w:r>
        <w:t xml:space="preserve"> </w:t>
      </w:r>
      <w:r>
        <w:t xml:space="preserve">Senior Associate</w:t>
      </w:r>
    </w:p>
    <w:p>
      <w:pPr>
        <w:pStyle w:val="BodyText"/>
      </w:pPr>
      <w:r>
        <w:rPr>
          <w:i/>
          <w:iCs/>
        </w:rPr>
        <w:t xml:space="preserve">This memorandum is privileged and confidential. It does not constitute a guarantee of any licensing outcome, which rests with OFAC.</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2026-06-28T18:26:03Z</dcterms:created>
  <dcterms:modified xsi:type="dcterms:W3CDTF">2026-06-28T18:26:03Z</dcterms:modified>
</cp:coreProperties>
</file>

<file path=docProps/custom.xml><?xml version="1.0" encoding="utf-8"?>
<Properties xmlns="http://schemas.openxmlformats.org/officeDocument/2006/custom-properties" xmlns:vt="http://schemas.openxmlformats.org/officeDocument/2006/docPropsVTypes"/>
</file>