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application-for-specific-license"/>
    <w:p>
      <w:pPr>
        <w:pStyle w:val="Heading1"/>
      </w:pPr>
      <w:r>
        <w:t xml:space="preserve">APPLICATION FOR SPECIFIC LICENSE</w:t>
      </w:r>
    </w:p>
    <w:p>
      <w:pPr>
        <w:pStyle w:val="FirstParagraph"/>
      </w:pPr>
      <w:r>
        <w:rPr>
          <w:b/>
          <w:bCs/>
        </w:rPr>
        <w:t xml:space="preserve">Office of Foreign Assets Control</w:t>
      </w:r>
      <w:r>
        <w:t xml:space="preserve"> </w:t>
      </w:r>
      <w:r>
        <w:rPr>
          <w:b/>
          <w:bCs/>
        </w:rPr>
        <w:t xml:space="preserve">Licensing Division</w:t>
      </w:r>
      <w:r>
        <w:t xml:space="preserve"> </w:t>
      </w:r>
      <w:r>
        <w:rPr>
          <w:b/>
          <w:bCs/>
        </w:rPr>
        <w:t xml:space="preserve">U.S. Department of the Treasury</w:t>
      </w:r>
      <w:r>
        <w:t xml:space="preserve"> </w:t>
      </w:r>
      <w:r>
        <w:rPr>
          <w:b/>
          <w:bCs/>
        </w:rPr>
        <w:t xml:space="preserve">1500 Pennsylvania Avenue NW, Washington, DC 20220</w:t>
      </w:r>
    </w:p>
    <w:p>
      <w:pPr>
        <w:pStyle w:val="BodyText"/>
      </w:pPr>
      <w:r>
        <w:rPr>
          <w:b/>
          <w:bCs/>
        </w:rPr>
        <w:t xml:space="preserve">Sanctions Program:</w:t>
      </w:r>
      <w:r>
        <w:t xml:space="preserve"> </w:t>
      </w:r>
      <w:r>
        <w:t xml:space="preserve">Syrian Sanctions Regulations, 31 C.F.R. Part 542; Executive Order 13582 of August 17, 2011</w:t>
      </w:r>
    </w:p>
    <w:p>
      <w:pPr>
        <w:pStyle w:val="BodyText"/>
      </w:pPr>
      <w:r>
        <w:rPr>
          <w:b/>
          <w:bCs/>
        </w:rPr>
        <w:t xml:space="preserve">Date of Application:</w:t>
      </w:r>
      <w:r>
        <w:t xml:space="preserve"> </w:t>
      </w:r>
      <w:r>
        <w:t xml:space="preserve">July 1, 2024</w:t>
      </w:r>
    </w:p>
    <w:p>
      <w:r>
        <w:pict>
          <v:rect style="width:0;height:1.5pt" o:hralign="center" o:hrstd="t" o:hr="t"/>
        </w:pict>
      </w:r>
    </w:p>
    <w:bookmarkStart w:id="20" w:name="i.-applicant-information"/>
    <w:p>
      <w:pPr>
        <w:pStyle w:val="Heading2"/>
      </w:pPr>
      <w:r>
        <w:t xml:space="preserve">I. Applicant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Applicant / Licensee</w:t>
            </w:r>
          </w:p>
        </w:tc>
        <w:tc>
          <w:tcPr/>
          <w:p>
            <w:pPr>
              <w:pStyle w:val="Compact"/>
              <w:jc w:val="left"/>
            </w:pPr>
            <w:r>
              <w:t xml:space="preserve">Meridian Biotech Solutions, Inc.</w:t>
            </w:r>
          </w:p>
        </w:tc>
      </w:tr>
      <w:tr>
        <w:tc>
          <w:tcPr/>
          <w:p>
            <w:pPr>
              <w:pStyle w:val="Compact"/>
              <w:jc w:val="left"/>
            </w:pPr>
            <w:r>
              <w:rPr>
                <w:b/>
                <w:bCs/>
              </w:rPr>
              <w:t xml:space="preserve">Entity Type</w:t>
            </w:r>
          </w:p>
        </w:tc>
        <w:tc>
          <w:tcPr/>
          <w:p>
            <w:pPr>
              <w:pStyle w:val="Compact"/>
              <w:jc w:val="left"/>
            </w:pPr>
            <w:r>
              <w:t xml:space="preserve">Delaware C-Corporation</w:t>
            </w:r>
          </w:p>
        </w:tc>
      </w:tr>
      <w:tr>
        <w:tc>
          <w:tcPr/>
          <w:p>
            <w:pPr>
              <w:pStyle w:val="Compact"/>
              <w:jc w:val="left"/>
            </w:pPr>
            <w:r>
              <w:rPr>
                <w:b/>
                <w:bCs/>
              </w:rPr>
              <w:t xml:space="preserve">Principal Place of Business</w:t>
            </w:r>
          </w:p>
        </w:tc>
        <w:tc>
          <w:tcPr/>
          <w:p>
            <w:pPr>
              <w:pStyle w:val="Compact"/>
              <w:jc w:val="left"/>
            </w:pPr>
            <w:r>
              <w:t xml:space="preserve">4200 Lakeshore Boulevard, Suite 800, Cambridge, MA 02142</w:t>
            </w:r>
          </w:p>
        </w:tc>
      </w:tr>
      <w:tr>
        <w:tc>
          <w:tcPr/>
          <w:p>
            <w:pPr>
              <w:pStyle w:val="Compact"/>
              <w:jc w:val="left"/>
            </w:pPr>
            <w:r>
              <w:rPr>
                <w:b/>
                <w:bCs/>
              </w:rPr>
              <w:t xml:space="preserve">Employer Identification Number (EIN)</w:t>
            </w:r>
          </w:p>
        </w:tc>
        <w:tc>
          <w:tcPr/>
          <w:p>
            <w:pPr>
              <w:pStyle w:val="Compact"/>
              <w:jc w:val="left"/>
            </w:pPr>
            <w:r>
              <w:t xml:space="preserve">47-3928104</w:t>
            </w:r>
          </w:p>
        </w:tc>
      </w:tr>
      <w:tr>
        <w:tc>
          <w:tcPr/>
          <w:p>
            <w:pPr>
              <w:pStyle w:val="Compact"/>
              <w:jc w:val="left"/>
            </w:pPr>
            <w:r>
              <w:rPr>
                <w:b/>
                <w:bCs/>
              </w:rPr>
              <w:t xml:space="preserve">DUNS Number</w:t>
            </w:r>
          </w:p>
        </w:tc>
        <w:tc>
          <w:tcPr/>
          <w:p>
            <w:pPr>
              <w:pStyle w:val="Compact"/>
              <w:jc w:val="left"/>
            </w:pPr>
            <w:r>
              <w:t xml:space="preserve">08-471-3920</w:t>
            </w:r>
          </w:p>
        </w:tc>
      </w:tr>
      <w:tr>
        <w:tc>
          <w:tcPr/>
          <w:p>
            <w:pPr>
              <w:pStyle w:val="Compact"/>
              <w:jc w:val="left"/>
            </w:pPr>
            <w:r>
              <w:rPr>
                <w:b/>
                <w:bCs/>
              </w:rPr>
              <w:t xml:space="preserve">Chief Executive Officer</w:t>
            </w:r>
          </w:p>
        </w:tc>
        <w:tc>
          <w:tcPr/>
          <w:p>
            <w:pPr>
              <w:pStyle w:val="Compact"/>
              <w:jc w:val="left"/>
            </w:pPr>
            <w:r>
              <w:t xml:space="preserve">Dr. Priya Ramaswamy</w:t>
            </w:r>
          </w:p>
        </w:tc>
      </w:tr>
      <w:tr>
        <w:tc>
          <w:tcPr/>
          <w:p>
            <w:pPr>
              <w:pStyle w:val="Compact"/>
              <w:jc w:val="left"/>
            </w:pPr>
            <w:r>
              <w:rPr>
                <w:b/>
                <w:bCs/>
              </w:rPr>
              <w:t xml:space="preserve">General Counsel / Point of Contact</w:t>
            </w:r>
          </w:p>
        </w:tc>
        <w:tc>
          <w:tcPr/>
          <w:p>
            <w:pPr>
              <w:pStyle w:val="Compact"/>
              <w:jc w:val="left"/>
            </w:pPr>
            <w:r>
              <w:t xml:space="preserve">Jonathan D. Halsted, (617) 555-0193, jhalsted@meridianbiotech.com</w:t>
            </w:r>
          </w:p>
        </w:tc>
      </w:tr>
      <w:tr>
        <w:tc>
          <w:tcPr/>
          <w:p>
            <w:pPr>
              <w:pStyle w:val="Compact"/>
              <w:jc w:val="left"/>
            </w:pPr>
            <w:r>
              <w:rPr>
                <w:b/>
                <w:bCs/>
              </w:rPr>
              <w:t xml:space="preserve">Chief Compliance Officer</w:t>
            </w:r>
          </w:p>
        </w:tc>
        <w:tc>
          <w:tcPr/>
          <w:p>
            <w:pPr>
              <w:pStyle w:val="Compact"/>
              <w:jc w:val="left"/>
            </w:pPr>
            <w:r>
              <w:t xml:space="preserve">Margaret</w:t>
            </w:r>
            <w:r>
              <w:t xml:space="preserve"> </w:t>
            </w:r>
            <w:r>
              <w:t xml:space="preserve">“</w:t>
            </w:r>
            <w:r>
              <w:t xml:space="preserve">Peggy</w:t>
            </w:r>
            <w:r>
              <w:t xml:space="preserve">”</w:t>
            </w:r>
            <w:r>
              <w:t xml:space="preserve"> </w:t>
            </w:r>
            <w:r>
              <w:t xml:space="preserve">Dunleavy</w:t>
            </w:r>
          </w:p>
        </w:tc>
      </w:tr>
      <w:tr>
        <w:tc>
          <w:tcPr/>
          <w:p>
            <w:pPr>
              <w:pStyle w:val="Compact"/>
              <w:jc w:val="left"/>
            </w:pPr>
            <w:r>
              <w:rPr>
                <w:b/>
                <w:bCs/>
              </w:rPr>
              <w:t xml:space="preserve">Nature of Business</w:t>
            </w:r>
          </w:p>
        </w:tc>
        <w:tc>
          <w:tcPr/>
          <w:p>
            <w:pPr>
              <w:pStyle w:val="Compact"/>
              <w:jc w:val="left"/>
            </w:pPr>
            <w:r>
              <w:t xml:space="preserve">Development and manufacture of in vitro diagnostic reagent kits, laboratory calibration instruments, and point-of-care testing platforms</w:t>
            </w:r>
          </w:p>
        </w:tc>
      </w:tr>
    </w:tbl>
    <w:p>
      <w:pPr>
        <w:pStyle w:val="BodyText"/>
      </w:pPr>
      <w:r>
        <w:t xml:space="preserve">Meridian Biotech Solutions, Inc. (</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respectfully applies to the Office of Foreign Assets Control (</w:t>
      </w:r>
      <w:r>
        <w:t xml:space="preserve">“</w:t>
      </w:r>
      <w:r>
        <w:t xml:space="preserve">OFAC</w:t>
      </w:r>
      <w:r>
        <w:t xml:space="preserve">”</w:t>
      </w:r>
      <w:r>
        <w:t xml:space="preserve">) for a specific license authorizing the export of cancer diagnostic reagent kits, calibration instruments, and related remote training services to Damascus Central University Hospital (</w:t>
      </w:r>
      <w:r>
        <w:t xml:space="preserve">“</w:t>
      </w:r>
      <w:r>
        <w:t xml:space="preserve">DCUH</w:t>
      </w:r>
      <w:r>
        <w:t xml:space="preserve">”</w:t>
      </w:r>
      <w:r>
        <w:t xml:space="preserve">) in Damascus, Syria. The proposed transaction would otherwise be prohibited under the Syrian Sanctions Regulations, 31 C.F.R. Part 542, and Executive Order 13582 of August 17, 2011, because the end-user is an instrumentality of the Government of Syria and the destination is the Syrian Arab Republic.</w:t>
      </w:r>
    </w:p>
    <w:bookmarkEnd w:id="20"/>
    <w:bookmarkStart w:id="21" w:name="Xa6f450ed9c64f8d8a5b92fc3b79d56dc4c7b972"/>
    <w:p>
      <w:pPr>
        <w:pStyle w:val="Heading2"/>
      </w:pPr>
      <w:r>
        <w:t xml:space="preserve">II. Authorized Representative / Outside Counsel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Firm</w:t>
            </w:r>
          </w:p>
        </w:tc>
        <w:tc>
          <w:tcPr/>
          <w:p>
            <w:pPr>
              <w:pStyle w:val="Compact"/>
              <w:jc w:val="left"/>
            </w:pPr>
            <w:r>
              <w:t xml:space="preserve">Ashford &amp; Whitmore LLP</w:t>
            </w:r>
          </w:p>
        </w:tc>
      </w:tr>
      <w:tr>
        <w:tc>
          <w:tcPr/>
          <w:p>
            <w:pPr>
              <w:pStyle w:val="Compact"/>
              <w:jc w:val="left"/>
            </w:pPr>
            <w:r>
              <w:rPr>
                <w:b/>
                <w:bCs/>
              </w:rPr>
              <w:t xml:space="preserve">Address</w:t>
            </w:r>
          </w:p>
        </w:tc>
        <w:tc>
          <w:tcPr/>
          <w:p>
            <w:pPr>
              <w:pStyle w:val="Compact"/>
              <w:jc w:val="left"/>
            </w:pPr>
            <w:r>
              <w:t xml:space="preserve">1700 K Street NW, Suite 950, Washington, DC 20006</w:t>
            </w:r>
          </w:p>
        </w:tc>
      </w:tr>
      <w:tr>
        <w:tc>
          <w:tcPr/>
          <w:p>
            <w:pPr>
              <w:pStyle w:val="Compact"/>
              <w:jc w:val="left"/>
            </w:pPr>
            <w:r>
              <w:rPr>
                <w:b/>
                <w:bCs/>
              </w:rPr>
              <w:t xml:space="preserve">Lead Partner</w:t>
            </w:r>
          </w:p>
        </w:tc>
        <w:tc>
          <w:tcPr/>
          <w:p>
            <w:pPr>
              <w:pStyle w:val="Compact"/>
              <w:jc w:val="left"/>
            </w:pPr>
            <w:r>
              <w:t xml:space="preserve">Catherine R. Bellingham, Esq.</w:t>
            </w:r>
          </w:p>
        </w:tc>
      </w:tr>
      <w:tr>
        <w:tc>
          <w:tcPr/>
          <w:p>
            <w:pPr>
              <w:pStyle w:val="Compact"/>
              <w:jc w:val="left"/>
            </w:pPr>
            <w:r>
              <w:rPr>
                <w:b/>
                <w:bCs/>
              </w:rPr>
              <w:t xml:space="preserve">Senior Associate</w:t>
            </w:r>
          </w:p>
        </w:tc>
        <w:tc>
          <w:tcPr/>
          <w:p>
            <w:pPr>
              <w:pStyle w:val="Compact"/>
              <w:jc w:val="left"/>
            </w:pPr>
            <w:r>
              <w:t xml:space="preserve">David Osei-Mensah, Esq.</w:t>
            </w:r>
          </w:p>
        </w:tc>
      </w:tr>
      <w:tr>
        <w:tc>
          <w:tcPr/>
          <w:p>
            <w:pPr>
              <w:pStyle w:val="Compact"/>
              <w:jc w:val="left"/>
            </w:pPr>
            <w:r>
              <w:rPr>
                <w:b/>
                <w:bCs/>
              </w:rPr>
              <w:t xml:space="preserve">Role</w:t>
            </w:r>
          </w:p>
        </w:tc>
        <w:tc>
          <w:tcPr/>
          <w:p>
            <w:pPr>
              <w:pStyle w:val="Compact"/>
              <w:jc w:val="left"/>
            </w:pPr>
            <w:r>
              <w:t xml:space="preserve">Authorized representative for purposes of this application and all communications with OFAC</w:t>
            </w:r>
          </w:p>
        </w:tc>
      </w:tr>
    </w:tbl>
    <w:p>
      <w:pPr>
        <w:pStyle w:val="BodyText"/>
      </w:pPr>
      <w:r>
        <w:t xml:space="preserve">All correspondence, questions, and licensing determinations concerning this application should be directed to Ashford &amp; Whitmore LLP as authorized representative, with copies to Jonathan D. Halsted, General Counsel of Meridian.</w:t>
      </w:r>
    </w:p>
    <w:bookmarkEnd w:id="21"/>
    <w:bookmarkStart w:id="22" w:name="X0d14e5acba1894950fefe50c9b2fa5cdbb37896"/>
    <w:p>
      <w:pPr>
        <w:pStyle w:val="Heading2"/>
      </w:pPr>
      <w:r>
        <w:t xml:space="preserve">III. Requested Authorization and Effective Period</w:t>
      </w:r>
    </w:p>
    <w:p>
      <w:pPr>
        <w:pStyle w:val="FirstParagraph"/>
      </w:pPr>
      <w:r>
        <w:rPr>
          <w:b/>
          <w:bCs/>
        </w:rPr>
        <w:t xml:space="preserve">Requested Authorization.</w:t>
      </w:r>
      <w:r>
        <w:t xml:space="preserve"> </w:t>
      </w:r>
      <w:r>
        <w:t xml:space="preserve">The Applicant requests a specific license authorizing, to the extent otherwise prohibited, the following transaction: the exportation and re-exportation from the United States to DCUH, Damascus, Syria, of (i) 500 CancerDetect RX-700 Reagent Kits; (ii) 4 CalibPro 3100 Calibration Units; and (iii) approximately 40 hours of remote installation and calibration training services delivered via secure video link from the Applicant’s Cambridge, Massachusetts facility, together with all incidental transactions necessary to effect the shipment, customs clearance, and payment described in this application.</w:t>
      </w:r>
    </w:p>
    <w:p>
      <w:pPr>
        <w:pStyle w:val="BodyText"/>
      </w:pPr>
      <w:r>
        <w:rPr>
          <w:b/>
          <w:bCs/>
        </w:rPr>
        <w:t xml:space="preserve">Aggregate Transaction Value:</w:t>
      </w:r>
      <w:r>
        <w:t xml:space="preserve"> </w:t>
      </w:r>
      <w:r>
        <w:t xml:space="preserve">USD $1,280,000.</w:t>
      </w:r>
    </w:p>
    <w:p>
      <w:pPr>
        <w:pStyle w:val="BodyText"/>
      </w:pPr>
      <w:r>
        <w:rPr>
          <w:b/>
          <w:bCs/>
        </w:rPr>
        <w:t xml:space="preserve">Requested Effective Date:</w:t>
      </w:r>
      <w:r>
        <w:t xml:space="preserve"> </w:t>
      </w:r>
      <w:r>
        <w:t xml:space="preserve">September 1, 2024.</w:t>
      </w:r>
    </w:p>
    <w:p>
      <w:pPr>
        <w:pStyle w:val="BodyText"/>
      </w:pPr>
      <w:r>
        <w:rPr>
          <w:b/>
          <w:bCs/>
        </w:rPr>
        <w:t xml:space="preserve">Requested Expiration Date:</w:t>
      </w:r>
      <w:r>
        <w:t xml:space="preserve"> </w:t>
      </w:r>
      <w:r>
        <w:t xml:space="preserve">February 28, 2026 (an 18-month license term).</w:t>
      </w:r>
    </w:p>
    <w:p>
      <w:pPr>
        <w:pStyle w:val="BodyText"/>
      </w:pPr>
      <w:r>
        <w:t xml:space="preserve">The Applicant has reviewed the general license provisions of the Syrian Sanctions Regulations, 31 C.F.R. Part 542, and has determined that no existing general license authorizes a commercial sale of medical diagnostic goods and services by a U.S. manufacturer to a Syrian governmental hospital. The available humanitarian general licenses are limited to donations and nongovernmental organization activities and do not extend to a commercial transaction of this kind. A specific license is therefore required.</w:t>
      </w:r>
    </w:p>
    <w:bookmarkEnd w:id="22"/>
    <w:bookmarkStart w:id="23" w:name="Xa0aa47d6373675876efd736bca2e9a492b2f298"/>
    <w:p>
      <w:pPr>
        <w:pStyle w:val="Heading2"/>
      </w:pPr>
      <w:r>
        <w:t xml:space="preserve">IV. Description of the Proposed Transaction</w:t>
      </w:r>
    </w:p>
    <w:p>
      <w:pPr>
        <w:pStyle w:val="FirstParagraph"/>
      </w:pPr>
      <w:r>
        <w:t xml:space="preserve">The Applicant proposes to export cancer diagnostic supplies to DCUH, the largest remaining oncology referral center in Syria. The transaction comprises three line items, described in detail in Section VI below and in the purchase order issued by DCUH (PO-DCUH-2024-0743, dated June 17, 2024; Exhibit A):</w:t>
      </w:r>
    </w:p>
    <w:p>
      <w:pPr>
        <w:pStyle w:val="Compact"/>
        <w:numPr>
          <w:ilvl w:val="0"/>
          <w:numId w:val="1001"/>
        </w:numPr>
      </w:pPr>
      <w:r>
        <w:rPr>
          <w:b/>
          <w:bCs/>
        </w:rPr>
        <w:t xml:space="preserve">CancerDetect RX-700 Reagent Kit</w:t>
      </w:r>
      <w:r>
        <w:t xml:space="preserve"> </w:t>
      </w:r>
      <w:r>
        <w:t xml:space="preserve">— 500 kits at $2,340 per kit ($1,170,000). In vitro diagnostic reagent kits for immunohistochemical staining of breast cancer biomarkers (HER2, ER, and PR).</w:t>
      </w:r>
    </w:p>
    <w:p>
      <w:pPr>
        <w:pStyle w:val="Compact"/>
        <w:numPr>
          <w:ilvl w:val="0"/>
          <w:numId w:val="1001"/>
        </w:numPr>
      </w:pPr>
      <w:r>
        <w:rPr>
          <w:b/>
          <w:bCs/>
        </w:rPr>
        <w:t xml:space="preserve">CalibPro 3100 Calibration Unit</w:t>
      </w:r>
      <w:r>
        <w:t xml:space="preserve"> </w:t>
      </w:r>
      <w:r>
        <w:t xml:space="preserve">— 4 units at $18,750 per unit ($75,000). Benchtop calibration instruments required to validate the reagent kits before clinical use.</w:t>
      </w:r>
    </w:p>
    <w:p>
      <w:pPr>
        <w:pStyle w:val="Compact"/>
        <w:numPr>
          <w:ilvl w:val="0"/>
          <w:numId w:val="1001"/>
        </w:numPr>
      </w:pPr>
      <w:r>
        <w:rPr>
          <w:b/>
          <w:bCs/>
        </w:rPr>
        <w:t xml:space="preserve">Remote Installation &amp; Calibration Training</w:t>
      </w:r>
      <w:r>
        <w:t xml:space="preserve"> </w:t>
      </w:r>
      <w:r>
        <w:t xml:space="preserve">— 40 hours of live instruction over 8 weeks, flat fee of $35,000, delivered via secure video link from the Applicant’s Cambridge, Massachusetts facility. No Meridian personnel will travel to Syria or to any intermediary country.</w:t>
      </w:r>
    </w:p>
    <w:p>
      <w:pPr>
        <w:pStyle w:val="FirstParagraph"/>
      </w:pPr>
      <w:r>
        <w:t xml:space="preserve">All physical goods are manufactured at the Applicant’s Cambridge, Massachusetts facility under ISO 13485-certified quality management systems. Both physical products are classified EAR99 under the Commerce Control List. EAR99 classification does not exempt the goods from the Syrian sanctions program; OFAC authorization is required because the destination is Syria and the end-user is an instrumentality of the Government of Syria.</w:t>
      </w:r>
    </w:p>
    <w:bookmarkEnd w:id="23"/>
    <w:bookmarkStart w:id="24" w:name="v.-parties-to-the-transaction"/>
    <w:p>
      <w:pPr>
        <w:pStyle w:val="Heading2"/>
      </w:pPr>
      <w:r>
        <w:t xml:space="preserve">V. Parties to the Transaction</w:t>
      </w:r>
    </w:p>
    <w:p>
      <w:pPr>
        <w:pStyle w:val="FirstParagraph"/>
      </w:pPr>
      <w:r>
        <w:t xml:space="preserve">The Applicant has conducted comprehensive sanctions and restricted-party screening of all transaction parties, their directors, principals, officers, and—where available through publicly accessible corporate registries and commercial databases—their beneficial owners. Screening was completed on June 3, 2024, against the OFAC Specially Designated Nationals and Blocked Persons List (</w:t>
      </w:r>
      <w:r>
        <w:t xml:space="preserve">“</w:t>
      </w:r>
      <w:r>
        <w:t xml:space="preserve">SDN List</w:t>
      </w:r>
      <w:r>
        <w:t xml:space="preserve">”</w:t>
      </w:r>
      <w:r>
        <w:t xml:space="preserve">), the OFAC Consolidated Sanctions List, the OFAC Sectoral Sanctions Identifications List, the BIS Entity List, the BIS Denied Persons List, the BIS Unverified List, and the United Nations Consolidated Sanctions List. The complete screening memorandum is attached as Exhibit 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Address</w:t>
            </w:r>
          </w:p>
        </w:tc>
        <w:tc>
          <w:tcPr/>
          <w:p>
            <w:pPr>
              <w:pStyle w:val="Compact"/>
              <w:jc w:val="left"/>
            </w:pPr>
            <w:r>
              <w:t xml:space="preserve">Principal(s) Screened</w:t>
            </w:r>
          </w:p>
        </w:tc>
        <w:tc>
          <w:tcPr/>
          <w:p>
            <w:pPr>
              <w:pStyle w:val="Compact"/>
              <w:jc w:val="left"/>
            </w:pPr>
            <w:r>
              <w:t xml:space="preserve">Screening Result</w:t>
            </w:r>
          </w:p>
        </w:tc>
      </w:tr>
      <w:tr>
        <w:tc>
          <w:tcPr/>
          <w:p>
            <w:pPr>
              <w:pStyle w:val="Compact"/>
              <w:jc w:val="left"/>
            </w:pPr>
            <w:r>
              <w:t xml:space="preserve">Meridian Biotech Solutions, Inc.</w:t>
            </w:r>
          </w:p>
        </w:tc>
        <w:tc>
          <w:tcPr/>
          <w:p>
            <w:pPr>
              <w:pStyle w:val="Compact"/>
              <w:jc w:val="left"/>
            </w:pPr>
            <w:r>
              <w:t xml:space="preserve">Applicant / Exporter</w:t>
            </w:r>
          </w:p>
        </w:tc>
        <w:tc>
          <w:tcPr/>
          <w:p>
            <w:pPr>
              <w:pStyle w:val="Compact"/>
              <w:jc w:val="left"/>
            </w:pPr>
            <w:r>
              <w:t xml:space="preserve">4200 Lakeshore Blvd, Ste 800, Cambridge, MA 02142</w:t>
            </w:r>
          </w:p>
        </w:tc>
        <w:tc>
          <w:tcPr/>
          <w:p>
            <w:pPr>
              <w:pStyle w:val="Compact"/>
              <w:jc w:val="left"/>
            </w:pPr>
            <w:r>
              <w:t xml:space="preserve">Dr. Priya Ramaswamy (CEO); Jonathan D. Halsted (GC); Margaret Dunleavy (CCO)</w:t>
            </w:r>
          </w:p>
        </w:tc>
        <w:tc>
          <w:tcPr/>
          <w:p>
            <w:pPr>
              <w:pStyle w:val="Compact"/>
              <w:jc w:val="left"/>
            </w:pPr>
            <w:r>
              <w:t xml:space="preserve">No Match</w:t>
            </w:r>
          </w:p>
        </w:tc>
      </w:tr>
      <w:tr>
        <w:tc>
          <w:tcPr/>
          <w:p>
            <w:pPr>
              <w:pStyle w:val="Compact"/>
              <w:jc w:val="left"/>
            </w:pPr>
            <w:r>
              <w:t xml:space="preserve">Damascus Central University Hospital (DCUH)</w:t>
            </w:r>
          </w:p>
        </w:tc>
        <w:tc>
          <w:tcPr/>
          <w:p>
            <w:pPr>
              <w:pStyle w:val="Compact"/>
              <w:jc w:val="left"/>
            </w:pPr>
            <w:r>
              <w:t xml:space="preserve">End-User</w:t>
            </w:r>
          </w:p>
        </w:tc>
        <w:tc>
          <w:tcPr/>
          <w:p>
            <w:pPr>
              <w:pStyle w:val="Compact"/>
              <w:jc w:val="left"/>
            </w:pPr>
            <w:r>
              <w:t xml:space="preserve">Al-Mazzeh Highway, Bldg 7, Damascus, Syria</w:t>
            </w:r>
          </w:p>
        </w:tc>
        <w:tc>
          <w:tcPr/>
          <w:p>
            <w:pPr>
              <w:pStyle w:val="Compact"/>
              <w:jc w:val="left"/>
            </w:pPr>
            <w:r>
              <w:t xml:space="preserve">Dr. Faisal Kareem Al-Masri (Hospital Director)</w:t>
            </w:r>
          </w:p>
        </w:tc>
        <w:tc>
          <w:tcPr/>
          <w:p>
            <w:pPr>
              <w:pStyle w:val="Compact"/>
              <w:jc w:val="left"/>
            </w:pPr>
            <w:r>
              <w:t xml:space="preserve">No Match (governmental instrumentality; see §VII)</w:t>
            </w:r>
          </w:p>
        </w:tc>
      </w:tr>
      <w:tr>
        <w:tc>
          <w:tcPr/>
          <w:p>
            <w:pPr>
              <w:pStyle w:val="Compact"/>
              <w:jc w:val="left"/>
            </w:pPr>
            <w:r>
              <w:t xml:space="preserve">Syrian Ministry of Health</w:t>
            </w:r>
          </w:p>
        </w:tc>
        <w:tc>
          <w:tcPr/>
          <w:p>
            <w:pPr>
              <w:pStyle w:val="Compact"/>
              <w:jc w:val="left"/>
            </w:pPr>
            <w:r>
              <w:t xml:space="preserve">Governmental authority over DCUH</w:t>
            </w:r>
          </w:p>
        </w:tc>
        <w:tc>
          <w:tcPr/>
          <w:p>
            <w:pPr>
              <w:pStyle w:val="Compact"/>
              <w:jc w:val="left"/>
            </w:pPr>
            <w:r>
              <w:t xml:space="preserve">Damascus, Syria</w:t>
            </w:r>
          </w:p>
        </w:tc>
        <w:tc>
          <w:tcPr/>
          <w:p>
            <w:pPr>
              <w:pStyle w:val="Compact"/>
              <w:jc w:val="left"/>
            </w:pPr>
            <w:r>
              <w:t xml:space="preserve">N/A</w:t>
            </w:r>
          </w:p>
        </w:tc>
        <w:tc>
          <w:tcPr/>
          <w:p>
            <w:pPr>
              <w:pStyle w:val="Compact"/>
              <w:jc w:val="left"/>
            </w:pPr>
            <w:r>
              <w:t xml:space="preserve">No independent listing (governmental instrumentality)</w:t>
            </w:r>
          </w:p>
        </w:tc>
      </w:tr>
      <w:tr>
        <w:tc>
          <w:tcPr/>
          <w:p>
            <w:pPr>
              <w:pStyle w:val="Compact"/>
              <w:jc w:val="left"/>
            </w:pPr>
            <w:r>
              <w:t xml:space="preserve">Al-Rashid Medical Procurement Co. (ARMPC)</w:t>
            </w:r>
          </w:p>
        </w:tc>
        <w:tc>
          <w:tcPr/>
          <w:p>
            <w:pPr>
              <w:pStyle w:val="Compact"/>
              <w:jc w:val="left"/>
            </w:pPr>
            <w:r>
              <w:t xml:space="preserve">Customs clearance / import logistics agent</w:t>
            </w:r>
          </w:p>
        </w:tc>
        <w:tc>
          <w:tcPr/>
          <w:p>
            <w:pPr>
              <w:pStyle w:val="Compact"/>
              <w:jc w:val="left"/>
            </w:pPr>
            <w:r>
              <w:t xml:space="preserve">18 Barada Street, Floor 3, Damascus, Syria</w:t>
            </w:r>
          </w:p>
        </w:tc>
        <w:tc>
          <w:tcPr/>
          <w:p>
            <w:pPr>
              <w:pStyle w:val="Compact"/>
              <w:jc w:val="left"/>
            </w:pPr>
            <w:r>
              <w:t xml:space="preserve">Tariq Nabil Hammoud (Managing Director)</w:t>
            </w:r>
          </w:p>
        </w:tc>
        <w:tc>
          <w:tcPr/>
          <w:p>
            <w:pPr>
              <w:pStyle w:val="Compact"/>
              <w:jc w:val="left"/>
            </w:pPr>
            <w:r>
              <w:t xml:space="preserve">No entity match; no match on Hammoud;</w:t>
            </w:r>
            <w:r>
              <w:t xml:space="preserve"> </w:t>
            </w:r>
            <w:r>
              <w:rPr>
                <w:b/>
                <w:bCs/>
              </w:rPr>
              <w:t xml:space="preserve">30% shareholder Samir Daoud Khoury is SDN-listed — disclosed in §IX</w:t>
            </w:r>
          </w:p>
        </w:tc>
      </w:tr>
      <w:tr>
        <w:tc>
          <w:tcPr/>
          <w:p>
            <w:pPr>
              <w:pStyle w:val="Compact"/>
              <w:jc w:val="left"/>
            </w:pPr>
            <w:r>
              <w:t xml:space="preserve">Ankara Medical Transit Warehouse LLC (AMTW)</w:t>
            </w:r>
          </w:p>
        </w:tc>
        <w:tc>
          <w:tcPr/>
          <w:p>
            <w:pPr>
              <w:pStyle w:val="Compact"/>
              <w:jc w:val="left"/>
            </w:pPr>
            <w:r>
              <w:t xml:space="preserve">Turkish intermediary warehouse / re-export logistics</w:t>
            </w:r>
          </w:p>
        </w:tc>
        <w:tc>
          <w:tcPr/>
          <w:p>
            <w:pPr>
              <w:pStyle w:val="Compact"/>
              <w:jc w:val="left"/>
            </w:pPr>
            <w:r>
              <w:t xml:space="preserve">Organize Sanayi Bölgesi, No. 42, Ankara, Turkey</w:t>
            </w:r>
          </w:p>
        </w:tc>
        <w:tc>
          <w:tcPr/>
          <w:p>
            <w:pPr>
              <w:pStyle w:val="Compact"/>
              <w:jc w:val="left"/>
            </w:pPr>
            <w:r>
              <w:t xml:space="preserve">Elif Yılmaz (Managing Director)</w:t>
            </w:r>
          </w:p>
        </w:tc>
        <w:tc>
          <w:tcPr/>
          <w:p>
            <w:pPr>
              <w:pStyle w:val="Compact"/>
              <w:jc w:val="left"/>
            </w:pPr>
            <w:r>
              <w:t xml:space="preserve">No Match</w:t>
            </w:r>
          </w:p>
        </w:tc>
      </w:tr>
      <w:tr>
        <w:tc>
          <w:tcPr/>
          <w:p>
            <w:pPr>
              <w:pStyle w:val="Compact"/>
              <w:jc w:val="left"/>
            </w:pPr>
            <w:r>
              <w:t xml:space="preserve">Pinnacle Freight International, Inc.</w:t>
            </w:r>
          </w:p>
        </w:tc>
        <w:tc>
          <w:tcPr/>
          <w:p>
            <w:pPr>
              <w:pStyle w:val="Compact"/>
              <w:jc w:val="left"/>
            </w:pPr>
            <w:r>
              <w:t xml:space="preserve">U.S. freight forwarder</w:t>
            </w:r>
          </w:p>
        </w:tc>
        <w:tc>
          <w:tcPr/>
          <w:p>
            <w:pPr>
              <w:pStyle w:val="Compact"/>
              <w:jc w:val="left"/>
            </w:pPr>
            <w:r>
              <w:t xml:space="preserve">9100 Port Commerce Drive, Newark, NJ 07114</w:t>
            </w:r>
          </w:p>
        </w:tc>
        <w:tc>
          <w:tcPr/>
          <w:p>
            <w:pPr>
              <w:pStyle w:val="Compact"/>
              <w:jc w:val="left"/>
            </w:pPr>
            <w:r>
              <w:t xml:space="preserve">Lisa Marchetti (VP International Logistics)</w:t>
            </w:r>
          </w:p>
        </w:tc>
        <w:tc>
          <w:tcPr/>
          <w:p>
            <w:pPr>
              <w:pStyle w:val="Compact"/>
              <w:jc w:val="left"/>
            </w:pPr>
            <w:r>
              <w:t xml:space="preserve">No Match</w:t>
            </w:r>
          </w:p>
        </w:tc>
      </w:tr>
      <w:tr>
        <w:tc>
          <w:tcPr/>
          <w:p>
            <w:pPr>
              <w:pStyle w:val="Compact"/>
              <w:jc w:val="left"/>
            </w:pPr>
            <w:r>
              <w:t xml:space="preserve">Harborview National Bank</w:t>
            </w:r>
          </w:p>
        </w:tc>
        <w:tc>
          <w:tcPr/>
          <w:p>
            <w:pPr>
              <w:pStyle w:val="Compact"/>
              <w:jc w:val="left"/>
            </w:pPr>
            <w:r>
              <w:t xml:space="preserve">Applicant’s U.S. receiving bank</w:t>
            </w:r>
          </w:p>
        </w:tc>
        <w:tc>
          <w:tcPr/>
          <w:p>
            <w:pPr>
              <w:pStyle w:val="Compact"/>
              <w:jc w:val="left"/>
            </w:pPr>
            <w:r>
              <w:t xml:space="preserve">Boston, MA</w:t>
            </w:r>
          </w:p>
        </w:tc>
        <w:tc>
          <w:tcPr/>
          <w:p>
            <w:pPr>
              <w:pStyle w:val="Compact"/>
              <w:jc w:val="left"/>
            </w:pPr>
            <w:r>
              <w:t xml:space="preserve">N/A</w:t>
            </w:r>
          </w:p>
        </w:tc>
        <w:tc>
          <w:tcPr/>
          <w:p>
            <w:pPr>
              <w:pStyle w:val="Compact"/>
              <w:jc w:val="left"/>
            </w:pPr>
            <w:r>
              <w:t xml:space="preserve">No Match</w:t>
            </w:r>
          </w:p>
        </w:tc>
      </w:tr>
      <w:tr>
        <w:tc>
          <w:tcPr/>
          <w:p>
            <w:pPr>
              <w:pStyle w:val="Compact"/>
              <w:jc w:val="left"/>
            </w:pPr>
            <w:r>
              <w:t xml:space="preserve">Remitting bank (to be confirmed)</w:t>
            </w:r>
          </w:p>
        </w:tc>
        <w:tc>
          <w:tcPr/>
          <w:p>
            <w:pPr>
              <w:pStyle w:val="Compact"/>
              <w:jc w:val="left"/>
            </w:pPr>
            <w:r>
              <w:t xml:space="preserve">DCUH’s remitting bank</w:t>
            </w:r>
          </w:p>
        </w:tc>
        <w:tc>
          <w:tcPr/>
          <w:p>
            <w:pPr>
              <w:pStyle w:val="Compact"/>
              <w:jc w:val="left"/>
            </w:pPr>
            <w:r>
              <w:t xml:space="preserve">To be identified and screened</w:t>
            </w:r>
          </w:p>
        </w:tc>
        <w:tc>
          <w:tcPr/>
          <w:p>
            <w:pPr>
              <w:pStyle w:val="Compact"/>
              <w:jc w:val="left"/>
            </w:pPr>
            <w:r>
              <w:t xml:space="preserve">N/A</w:t>
            </w:r>
          </w:p>
        </w:tc>
        <w:tc>
          <w:tcPr/>
          <w:p>
            <w:pPr>
              <w:pStyle w:val="Compact"/>
              <w:jc w:val="left"/>
            </w:pPr>
            <w:r>
              <w:t xml:space="preserve">Must be non-SDN; Central Bank of Calverley excluded — see §IX</w:t>
            </w:r>
          </w:p>
        </w:tc>
      </w:tr>
    </w:tbl>
    <w:p>
      <w:pPr>
        <w:pStyle w:val="BodyText"/>
      </w:pPr>
      <w:r>
        <w:t xml:space="preserve">The Applicant will re-screen all transaction parties at 90-day intervals during the pendency of this application and immediately prior to any shipment if the license is granted.</w:t>
      </w:r>
    </w:p>
    <w:bookmarkEnd w:id="24"/>
    <w:bookmarkStart w:id="28" w:name="X16bc9b702acf617c6e6faa1ee79c96c9ddd0be1"/>
    <w:p>
      <w:pPr>
        <w:pStyle w:val="Heading2"/>
      </w:pPr>
      <w:r>
        <w:t xml:space="preserve">VI. Goods and Services — Description and Export Classification</w:t>
      </w:r>
    </w:p>
    <w:bookmarkStart w:id="25" w:name="cancerdetect-rx-700-reagent-kit"/>
    <w:p>
      <w:pPr>
        <w:pStyle w:val="Heading3"/>
      </w:pPr>
      <w:r>
        <w:t xml:space="preserve">6.1 CancerDetect RX-700 Reagent Kit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Product</w:t>
            </w:r>
          </w:p>
        </w:tc>
        <w:tc>
          <w:tcPr/>
          <w:p>
            <w:pPr>
              <w:pStyle w:val="Compact"/>
              <w:jc w:val="left"/>
            </w:pPr>
            <w:r>
              <w:t xml:space="preserve">CancerDetect RX-700 Reagent Kit</w:t>
            </w:r>
          </w:p>
        </w:tc>
      </w:tr>
      <w:tr>
        <w:tc>
          <w:tcPr/>
          <w:p>
            <w:pPr>
              <w:pStyle w:val="Compact"/>
              <w:jc w:val="left"/>
            </w:pPr>
            <w:r>
              <w:rPr>
                <w:b/>
                <w:bCs/>
              </w:rPr>
              <w:t xml:space="preserve">Type</w:t>
            </w:r>
          </w:p>
        </w:tc>
        <w:tc>
          <w:tcPr/>
          <w:p>
            <w:pPr>
              <w:pStyle w:val="Compact"/>
              <w:jc w:val="left"/>
            </w:pPr>
            <w:r>
              <w:t xml:space="preserve">In vitro diagnostic (IVD) reagent kit for immunohistochemical (IHC) staining of formalin-fixed, paraffin-embedded tissue biopsies</w:t>
            </w:r>
          </w:p>
        </w:tc>
      </w:tr>
      <w:tr>
        <w:tc>
          <w:tcPr/>
          <w:p>
            <w:pPr>
              <w:pStyle w:val="Compact"/>
              <w:jc w:val="left"/>
            </w:pPr>
            <w:r>
              <w:rPr>
                <w:b/>
                <w:bCs/>
              </w:rPr>
              <w:t xml:space="preserve">Intended Use</w:t>
            </w:r>
          </w:p>
        </w:tc>
        <w:tc>
          <w:tcPr/>
          <w:p>
            <w:pPr>
              <w:pStyle w:val="Compact"/>
              <w:jc w:val="left"/>
            </w:pPr>
            <w:r>
              <w:t xml:space="preserve">Identification and semi-quantitative assessment of breast cancer biomarkers HER2, ER, and PR</w:t>
            </w:r>
          </w:p>
        </w:tc>
      </w:tr>
      <w:tr>
        <w:tc>
          <w:tcPr/>
          <w:p>
            <w:pPr>
              <w:pStyle w:val="Compact"/>
              <w:jc w:val="left"/>
            </w:pPr>
            <w:r>
              <w:rPr>
                <w:b/>
                <w:bCs/>
              </w:rPr>
              <w:t xml:space="preserve">Regulatory Status</w:t>
            </w:r>
          </w:p>
        </w:tc>
        <w:tc>
          <w:tcPr/>
          <w:p>
            <w:pPr>
              <w:pStyle w:val="Compact"/>
              <w:jc w:val="left"/>
            </w:pPr>
            <w:r>
              <w:t xml:space="preserve">FDA 510(k) cleared (K213847)</w:t>
            </w:r>
          </w:p>
        </w:tc>
      </w:tr>
      <w:tr>
        <w:tc>
          <w:tcPr/>
          <w:p>
            <w:pPr>
              <w:pStyle w:val="Compact"/>
              <w:jc w:val="left"/>
            </w:pPr>
            <w:r>
              <w:rPr>
                <w:b/>
                <w:bCs/>
              </w:rPr>
              <w:t xml:space="preserve">Compatible Platform</w:t>
            </w:r>
          </w:p>
        </w:tc>
        <w:tc>
          <w:tcPr/>
          <w:p>
            <w:pPr>
              <w:pStyle w:val="Compact"/>
              <w:jc w:val="left"/>
            </w:pPr>
            <w:r>
              <w:t xml:space="preserve">Ventana BenchMark XT automated staining system (the platform installed at DCUH)</w:t>
            </w:r>
          </w:p>
        </w:tc>
      </w:tr>
      <w:tr>
        <w:tc>
          <w:tcPr/>
          <w:p>
            <w:pPr>
              <w:pStyle w:val="Compact"/>
              <w:jc w:val="left"/>
            </w:pPr>
            <w:r>
              <w:rPr>
                <w:b/>
                <w:bCs/>
              </w:rPr>
              <w:t xml:space="preserve">Quantity</w:t>
            </w:r>
          </w:p>
        </w:tc>
        <w:tc>
          <w:tcPr/>
          <w:p>
            <w:pPr>
              <w:pStyle w:val="Compact"/>
              <w:jc w:val="left"/>
            </w:pPr>
            <w:r>
              <w:t xml:space="preserve">500 kits</w:t>
            </w:r>
          </w:p>
        </w:tc>
      </w:tr>
      <w:tr>
        <w:tc>
          <w:tcPr/>
          <w:p>
            <w:pPr>
              <w:pStyle w:val="Compact"/>
              <w:jc w:val="left"/>
            </w:pPr>
            <w:r>
              <w:rPr>
                <w:b/>
                <w:bCs/>
              </w:rPr>
              <w:t xml:space="preserve">Unit Price</w:t>
            </w:r>
          </w:p>
        </w:tc>
        <w:tc>
          <w:tcPr/>
          <w:p>
            <w:pPr>
              <w:pStyle w:val="Compact"/>
              <w:jc w:val="left"/>
            </w:pPr>
            <w:r>
              <w:t xml:space="preserve">$2,340</w:t>
            </w:r>
          </w:p>
        </w:tc>
      </w:tr>
      <w:tr>
        <w:tc>
          <w:tcPr/>
          <w:p>
            <w:pPr>
              <w:pStyle w:val="Compact"/>
              <w:jc w:val="left"/>
            </w:pPr>
            <w:r>
              <w:rPr>
                <w:b/>
                <w:bCs/>
              </w:rPr>
              <w:t xml:space="preserve">Line Total</w:t>
            </w:r>
          </w:p>
        </w:tc>
        <w:tc>
          <w:tcPr/>
          <w:p>
            <w:pPr>
              <w:pStyle w:val="Compact"/>
              <w:jc w:val="left"/>
            </w:pPr>
            <w:r>
              <w:t xml:space="preserve">$1,170,000</w:t>
            </w:r>
          </w:p>
        </w:tc>
      </w:tr>
      <w:tr>
        <w:tc>
          <w:tcPr/>
          <w:p>
            <w:pPr>
              <w:pStyle w:val="Compact"/>
              <w:jc w:val="left"/>
            </w:pPr>
            <w:r>
              <w:rPr>
                <w:b/>
                <w:bCs/>
              </w:rPr>
              <w:t xml:space="preserve">ECCN</w:t>
            </w:r>
          </w:p>
        </w:tc>
        <w:tc>
          <w:tcPr/>
          <w:p>
            <w:pPr>
              <w:pStyle w:val="Compact"/>
              <w:jc w:val="left"/>
            </w:pPr>
            <w:r>
              <w:t xml:space="preserve">EAR99</w:t>
            </w:r>
          </w:p>
        </w:tc>
      </w:tr>
      <w:tr>
        <w:tc>
          <w:tcPr/>
          <w:p>
            <w:pPr>
              <w:pStyle w:val="Compact"/>
              <w:jc w:val="left"/>
            </w:pPr>
            <w:r>
              <w:rPr>
                <w:b/>
                <w:bCs/>
              </w:rPr>
              <w:t xml:space="preserve">HTS Code</w:t>
            </w:r>
          </w:p>
        </w:tc>
        <w:tc>
          <w:tcPr/>
          <w:p>
            <w:pPr>
              <w:pStyle w:val="Compact"/>
              <w:jc w:val="left"/>
            </w:pPr>
            <w:r>
              <w:t xml:space="preserve">3822.19.5000</w:t>
            </w:r>
          </w:p>
        </w:tc>
      </w:tr>
      <w:tr>
        <w:tc>
          <w:tcPr/>
          <w:p>
            <w:pPr>
              <w:pStyle w:val="Compact"/>
              <w:jc w:val="left"/>
            </w:pPr>
            <w:r>
              <w:rPr>
                <w:b/>
                <w:bCs/>
              </w:rPr>
              <w:t xml:space="preserve">Shelf Life</w:t>
            </w:r>
          </w:p>
        </w:tc>
        <w:tc>
          <w:tcPr/>
          <w:p>
            <w:pPr>
              <w:pStyle w:val="Compact"/>
              <w:jc w:val="left"/>
            </w:pPr>
            <w:r>
              <w:t xml:space="preserve">18 months from manufacture</w:t>
            </w:r>
          </w:p>
        </w:tc>
      </w:tr>
      <w:tr>
        <w:tc>
          <w:tcPr/>
          <w:p>
            <w:pPr>
              <w:pStyle w:val="Compact"/>
              <w:jc w:val="left"/>
            </w:pPr>
            <w:r>
              <w:rPr>
                <w:b/>
                <w:bCs/>
              </w:rPr>
              <w:t xml:space="preserve">Storage / Handling</w:t>
            </w:r>
          </w:p>
        </w:tc>
        <w:tc>
          <w:tcPr/>
          <w:p>
            <w:pPr>
              <w:pStyle w:val="Compact"/>
              <w:jc w:val="left"/>
            </w:pPr>
            <w:r>
              <w:t xml:space="preserve">2–8°C refrigerated; cold-chain required throughout transit; ~1.8 kg per kit; ~1,500 kg total shipment weight</w:t>
            </w:r>
          </w:p>
        </w:tc>
      </w:tr>
    </w:tbl>
    <w:p>
      <w:pPr>
        <w:pStyle w:val="BodyText"/>
      </w:pPr>
      <w:r>
        <w:t xml:space="preserve">The CancerDetect RX-700 is the only FDA-cleared reagent kit validated for use with the Ventana BenchMark XT tissue processing system already installed at DCUH. No substitute product is available that has been validated for that specific platform. The kit does not contain controlled technology or components and presents no dual-use concerns.</w:t>
      </w:r>
    </w:p>
    <w:bookmarkEnd w:id="25"/>
    <w:bookmarkStart w:id="26" w:name="calibpro-3100-calibration-unit"/>
    <w:p>
      <w:pPr>
        <w:pStyle w:val="Heading3"/>
      </w:pPr>
      <w:r>
        <w:t xml:space="preserve">6.2 CalibPro 3100 Calibration Unit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Product</w:t>
            </w:r>
          </w:p>
        </w:tc>
        <w:tc>
          <w:tcPr/>
          <w:p>
            <w:pPr>
              <w:pStyle w:val="Compact"/>
              <w:jc w:val="left"/>
            </w:pPr>
            <w:r>
              <w:t xml:space="preserve">CalibPro 3100 Calibration Unit</w:t>
            </w:r>
          </w:p>
        </w:tc>
      </w:tr>
      <w:tr>
        <w:tc>
          <w:tcPr/>
          <w:p>
            <w:pPr>
              <w:pStyle w:val="Compact"/>
              <w:jc w:val="left"/>
            </w:pPr>
            <w:r>
              <w:rPr>
                <w:b/>
                <w:bCs/>
              </w:rPr>
              <w:t xml:space="preserve">Type</w:t>
            </w:r>
          </w:p>
        </w:tc>
        <w:tc>
          <w:tcPr/>
          <w:p>
            <w:pPr>
              <w:pStyle w:val="Compact"/>
              <w:jc w:val="left"/>
            </w:pPr>
            <w:r>
              <w:t xml:space="preserve">Benchtop laboratory calibration instrument for validation of IHC reagent kit performance prior to clinical use</w:t>
            </w:r>
          </w:p>
        </w:tc>
      </w:tr>
      <w:tr>
        <w:tc>
          <w:tcPr/>
          <w:p>
            <w:pPr>
              <w:pStyle w:val="Compact"/>
              <w:jc w:val="left"/>
            </w:pPr>
            <w:r>
              <w:rPr>
                <w:b/>
                <w:bCs/>
              </w:rPr>
              <w:t xml:space="preserve">Quantity</w:t>
            </w:r>
          </w:p>
        </w:tc>
        <w:tc>
          <w:tcPr/>
          <w:p>
            <w:pPr>
              <w:pStyle w:val="Compact"/>
              <w:jc w:val="left"/>
            </w:pPr>
            <w:r>
              <w:t xml:space="preserve">4 units</w:t>
            </w:r>
          </w:p>
        </w:tc>
      </w:tr>
      <w:tr>
        <w:tc>
          <w:tcPr/>
          <w:p>
            <w:pPr>
              <w:pStyle w:val="Compact"/>
              <w:jc w:val="left"/>
            </w:pPr>
            <w:r>
              <w:rPr>
                <w:b/>
                <w:bCs/>
              </w:rPr>
              <w:t xml:space="preserve">Unit Price</w:t>
            </w:r>
          </w:p>
        </w:tc>
        <w:tc>
          <w:tcPr/>
          <w:p>
            <w:pPr>
              <w:pStyle w:val="Compact"/>
              <w:jc w:val="left"/>
            </w:pPr>
            <w:r>
              <w:t xml:space="preserve">$18,750</w:t>
            </w:r>
          </w:p>
        </w:tc>
      </w:tr>
      <w:tr>
        <w:tc>
          <w:tcPr/>
          <w:p>
            <w:pPr>
              <w:pStyle w:val="Compact"/>
              <w:jc w:val="left"/>
            </w:pPr>
            <w:r>
              <w:rPr>
                <w:b/>
                <w:bCs/>
              </w:rPr>
              <w:t xml:space="preserve">Line Total</w:t>
            </w:r>
          </w:p>
        </w:tc>
        <w:tc>
          <w:tcPr/>
          <w:p>
            <w:pPr>
              <w:pStyle w:val="Compact"/>
              <w:jc w:val="left"/>
            </w:pPr>
            <w:r>
              <w:t xml:space="preserve">$75,000</w:t>
            </w:r>
          </w:p>
        </w:tc>
      </w:tr>
      <w:tr>
        <w:tc>
          <w:tcPr/>
          <w:p>
            <w:pPr>
              <w:pStyle w:val="Compact"/>
              <w:jc w:val="left"/>
            </w:pPr>
            <w:r>
              <w:rPr>
                <w:b/>
                <w:bCs/>
              </w:rPr>
              <w:t xml:space="preserve">ECCN</w:t>
            </w:r>
          </w:p>
        </w:tc>
        <w:tc>
          <w:tcPr/>
          <w:p>
            <w:pPr>
              <w:pStyle w:val="Compact"/>
              <w:jc w:val="left"/>
            </w:pPr>
            <w:r>
              <w:t xml:space="preserve">EAR99</w:t>
            </w:r>
          </w:p>
        </w:tc>
      </w:tr>
      <w:tr>
        <w:tc>
          <w:tcPr/>
          <w:p>
            <w:pPr>
              <w:pStyle w:val="Compact"/>
              <w:jc w:val="left"/>
            </w:pPr>
            <w:r>
              <w:rPr>
                <w:b/>
                <w:bCs/>
              </w:rPr>
              <w:t xml:space="preserve">HTS Code</w:t>
            </w:r>
          </w:p>
        </w:tc>
        <w:tc>
          <w:tcPr/>
          <w:p>
            <w:pPr>
              <w:pStyle w:val="Compact"/>
              <w:jc w:val="left"/>
            </w:pPr>
            <w:r>
              <w:t xml:space="preserve">9027.80.4530</w:t>
            </w:r>
          </w:p>
        </w:tc>
      </w:tr>
      <w:tr>
        <w:tc>
          <w:tcPr/>
          <w:p>
            <w:pPr>
              <w:pStyle w:val="Compact"/>
              <w:jc w:val="left"/>
            </w:pPr>
            <w:r>
              <w:rPr>
                <w:b/>
                <w:bCs/>
              </w:rPr>
              <w:t xml:space="preserve">Power Supply</w:t>
            </w:r>
          </w:p>
        </w:tc>
        <w:tc>
          <w:tcPr/>
          <w:p>
            <w:pPr>
              <w:pStyle w:val="Compact"/>
              <w:jc w:val="left"/>
            </w:pPr>
            <w:r>
              <w:t xml:space="preserve">220V / 50 Hz AC (compatible with Syrian and Turkish electrical grids)</w:t>
            </w:r>
          </w:p>
        </w:tc>
      </w:tr>
      <w:tr>
        <w:tc>
          <w:tcPr/>
          <w:p>
            <w:pPr>
              <w:pStyle w:val="Compact"/>
              <w:jc w:val="left"/>
            </w:pPr>
            <w:r>
              <w:rPr>
                <w:b/>
                <w:bCs/>
              </w:rPr>
              <w:t xml:space="preserve">Weight / Dimensions</w:t>
            </w:r>
          </w:p>
        </w:tc>
        <w:tc>
          <w:tcPr/>
          <w:p>
            <w:pPr>
              <w:pStyle w:val="Compact"/>
              <w:jc w:val="left"/>
            </w:pPr>
            <w:r>
              <w:t xml:space="preserve">23 kg per unit (92 kg total); 45 × 38 × 30 cm</w:t>
            </w:r>
          </w:p>
        </w:tc>
      </w:tr>
      <w:tr>
        <w:tc>
          <w:tcPr/>
          <w:p>
            <w:pPr>
              <w:pStyle w:val="Compact"/>
              <w:jc w:val="left"/>
            </w:pPr>
            <w:r>
              <w:rPr>
                <w:b/>
                <w:bCs/>
              </w:rPr>
              <w:t xml:space="preserve">Connectivity</w:t>
            </w:r>
          </w:p>
        </w:tc>
        <w:tc>
          <w:tcPr/>
          <w:p>
            <w:pPr>
              <w:pStyle w:val="Compact"/>
              <w:jc w:val="left"/>
            </w:pPr>
            <w:r>
              <w:t xml:space="preserve">USB 2.0 port for data export only; no wireless or network connectivity</w:t>
            </w:r>
          </w:p>
        </w:tc>
      </w:tr>
      <w:tr>
        <w:tc>
          <w:tcPr/>
          <w:p>
            <w:pPr>
              <w:pStyle w:val="Compact"/>
              <w:jc w:val="left"/>
            </w:pPr>
            <w:r>
              <w:rPr>
                <w:b/>
                <w:bCs/>
              </w:rPr>
              <w:t xml:space="preserve">Embedded Firmware</w:t>
            </w:r>
          </w:p>
        </w:tc>
        <w:tc>
          <w:tcPr/>
          <w:p>
            <w:pPr>
              <w:pStyle w:val="Compact"/>
              <w:jc w:val="left"/>
            </w:pPr>
            <w:r>
              <w:t xml:space="preserve">Version 4.2.1; factory-installed; not user-modifiable</w:t>
            </w:r>
          </w:p>
        </w:tc>
      </w:tr>
      <w:tr>
        <w:tc>
          <w:tcPr/>
          <w:p>
            <w:pPr>
              <w:pStyle w:val="Compact"/>
              <w:jc w:val="left"/>
            </w:pPr>
            <w:r>
              <w:rPr>
                <w:b/>
                <w:bCs/>
              </w:rPr>
              <w:t xml:space="preserve">Encryption</w:t>
            </w:r>
          </w:p>
        </w:tc>
        <w:tc>
          <w:tcPr/>
          <w:p>
            <w:pPr>
              <w:pStyle w:val="Compact"/>
              <w:jc w:val="left"/>
            </w:pPr>
            <w:r>
              <w:t xml:space="preserve">AES-128 used solely for internal data-integrity verification of calibration results; below EAR de minimis thresholds for encryption items; does not alter EAR99 classification</w:t>
            </w:r>
          </w:p>
        </w:tc>
      </w:tr>
    </w:tbl>
    <w:p>
      <w:pPr>
        <w:pStyle w:val="BodyText"/>
      </w:pPr>
      <w:r>
        <w:t xml:space="preserve">The CalibPro 3100 is a required companion device used to validate each new lot of CancerDetect RX-700 reagents before clinical deployment. The embedded firmware is integral to the instrument’s operation and is not separately exportable. The Applicant confirms that no firmware updates, patches, or modifications beyond the factory-installed version 4.2.1 are requested under this license; any future firmware update would constitute a separate transaction requiring independent authorization.</w:t>
      </w:r>
    </w:p>
    <w:bookmarkEnd w:id="26"/>
    <w:bookmarkStart w:id="27" w:name="X1f215fa4195e7be0d6cd93b22ebe553dccfec72"/>
    <w:p>
      <w:pPr>
        <w:pStyle w:val="Heading3"/>
      </w:pPr>
      <w:r>
        <w:t xml:space="preserve">6.3 Remote Installation and Calibration Training Services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Service</w:t>
            </w:r>
          </w:p>
        </w:tc>
        <w:tc>
          <w:tcPr/>
          <w:p>
            <w:pPr>
              <w:pStyle w:val="Compact"/>
              <w:jc w:val="left"/>
            </w:pPr>
            <w:r>
              <w:t xml:space="preserve">Remote installation guidance, calibration verification, and operator training</w:t>
            </w:r>
          </w:p>
        </w:tc>
      </w:tr>
      <w:tr>
        <w:tc>
          <w:tcPr/>
          <w:p>
            <w:pPr>
              <w:pStyle w:val="Compact"/>
              <w:jc w:val="left"/>
            </w:pPr>
            <w:r>
              <w:rPr>
                <w:b/>
                <w:bCs/>
              </w:rPr>
              <w:t xml:space="preserve">Delivery Method</w:t>
            </w:r>
          </w:p>
        </w:tc>
        <w:tc>
          <w:tcPr/>
          <w:p>
            <w:pPr>
              <w:pStyle w:val="Compact"/>
              <w:jc w:val="left"/>
            </w:pPr>
            <w:r>
              <w:t xml:space="preserve">Secure video conferencing link from Meridian’s Cambridge, MA facility; no personnel travel to Syria or any intermediary country</w:t>
            </w:r>
          </w:p>
        </w:tc>
      </w:tr>
      <w:tr>
        <w:tc>
          <w:tcPr/>
          <w:p>
            <w:pPr>
              <w:pStyle w:val="Compact"/>
              <w:jc w:val="left"/>
            </w:pPr>
            <w:r>
              <w:rPr>
                <w:b/>
                <w:bCs/>
              </w:rPr>
              <w:t xml:space="preserve">Duration</w:t>
            </w:r>
          </w:p>
        </w:tc>
        <w:tc>
          <w:tcPr/>
          <w:p>
            <w:pPr>
              <w:pStyle w:val="Compact"/>
              <w:jc w:val="left"/>
            </w:pPr>
            <w:r>
              <w:t xml:space="preserve">40 hours of live instruction over 8 weeks (~5 hours/week)</w:t>
            </w:r>
          </w:p>
        </w:tc>
      </w:tr>
      <w:tr>
        <w:tc>
          <w:tcPr/>
          <w:p>
            <w:pPr>
              <w:pStyle w:val="Compact"/>
              <w:jc w:val="left"/>
            </w:pPr>
            <w:r>
              <w:rPr>
                <w:b/>
                <w:bCs/>
              </w:rPr>
              <w:t xml:space="preserve">Fee</w:t>
            </w:r>
          </w:p>
        </w:tc>
        <w:tc>
          <w:tcPr/>
          <w:p>
            <w:pPr>
              <w:pStyle w:val="Compact"/>
              <w:jc w:val="left"/>
            </w:pPr>
            <w:r>
              <w:t xml:space="preserve">$35,000 (flat)</w:t>
            </w:r>
          </w:p>
        </w:tc>
      </w:tr>
      <w:tr>
        <w:tc>
          <w:tcPr/>
          <w:p>
            <w:pPr>
              <w:pStyle w:val="Compact"/>
              <w:jc w:val="left"/>
            </w:pPr>
            <w:r>
              <w:rPr>
                <w:b/>
                <w:bCs/>
              </w:rPr>
              <w:t xml:space="preserve">Delivered By</w:t>
            </w:r>
          </w:p>
        </w:tc>
        <w:tc>
          <w:tcPr/>
          <w:p>
            <w:pPr>
              <w:pStyle w:val="Compact"/>
              <w:jc w:val="left"/>
            </w:pPr>
            <w:r>
              <w:t xml:space="preserve">Meridian Field Applications Science team (2–3 application scientists and 1 calibration engineer)</w:t>
            </w:r>
          </w:p>
        </w:tc>
      </w:tr>
      <w:tr>
        <w:tc>
          <w:tcPr/>
          <w:p>
            <w:pPr>
              <w:pStyle w:val="Compact"/>
              <w:jc w:val="left"/>
            </w:pPr>
            <w:r>
              <w:rPr>
                <w:b/>
                <w:bCs/>
              </w:rPr>
              <w:t xml:space="preserve">Participants</w:t>
            </w:r>
          </w:p>
        </w:tc>
        <w:tc>
          <w:tcPr/>
          <w:p>
            <w:pPr>
              <w:pStyle w:val="Compact"/>
              <w:jc w:val="left"/>
            </w:pPr>
            <w:r>
              <w:t xml:space="preserve">2–6 DCUH laboratory personnel</w:t>
            </w:r>
          </w:p>
        </w:tc>
      </w:tr>
    </w:tbl>
    <w:p>
      <w:pPr>
        <w:pStyle w:val="BodyText"/>
      </w:pPr>
      <w:r>
        <w:t xml:space="preserve">The training curriculum comprises six modules: (1) system unpacking and physical setup; (2) instrument schematics review; (3) software diagnostic interface training; (4) reagent kit calibration protocol; (5) clinical workflow integration; and (6) ongoing maintenance and troubleshooting. The technical information provided is limited to the operation, calibration, and maintenance of EAR99-classified equipment necessary for its safe and effective clinical use. The training does not involve the transfer of design, development, or production technology, and no controlled technology is exported. The provision of these services to persons in Syria requires OFAC authorization and is expressly included within the scope of the requested license.</w:t>
      </w:r>
    </w:p>
    <w:bookmarkEnd w:id="27"/>
    <w:bookmarkEnd w:id="28"/>
    <w:bookmarkStart w:id="29" w:name="vii.-end-user-and-end-use"/>
    <w:p>
      <w:pPr>
        <w:pStyle w:val="Heading2"/>
      </w:pPr>
      <w:r>
        <w:t xml:space="preserve">VII. End-User and End-Use</w:t>
      </w:r>
    </w:p>
    <w:p>
      <w:pPr>
        <w:pStyle w:val="FirstParagraph"/>
      </w:pPr>
      <w:r>
        <w:rPr>
          <w:b/>
          <w:bCs/>
        </w:rPr>
        <w:t xml:space="preserve">End-User.</w:t>
      </w:r>
      <w:r>
        <w:t xml:space="preserve"> </w:t>
      </w:r>
      <w:r>
        <w:t xml:space="preserve">Damascus Central University Hospital, Al-Mazzeh Highway, Building 7, Damascus, Syrian Arab Republic, Attention: Dr. Faisal Kareem Al-Masri, Hospital Director. DCUH is a public teaching hospital affiliated with the University of Damascus, Faculty of Medicine, and operates under the administrative authority and budgetary oversight of the Syrian Ministry of Health. DCUH is not independently listed on the SDN List or any other restricted-party list. As a public hospital, DCUH is an instrumentality of the Government of Syria, which is comprehensively sanctioned under Executive Order 13582 and 31 C.F.R. Part 542. Specific OFAC authorization is accordingly required for this transaction.</w:t>
      </w:r>
    </w:p>
    <w:p>
      <w:pPr>
        <w:pStyle w:val="BodyText"/>
      </w:pPr>
      <w:r>
        <w:rPr>
          <w:b/>
          <w:bCs/>
        </w:rPr>
        <w:t xml:space="preserve">End-Use.</w:t>
      </w:r>
      <w:r>
        <w:t xml:space="preserve"> </w:t>
      </w:r>
      <w:r>
        <w:t xml:space="preserve">The goods and services are intended exclusively for clinical diagnostic use within the Oncology Department of DCUH. The CancerDetect RX-700 kits will be used for immunohistochemical staining of tissue biopsy samples to identify breast cancer biomarkers (HER2, ER, PR) in patients referred to DCUH. The CalibPro 3100 units will validate and calibrate the reagent kits for use with the Ventana BenchMark XT platform installed in the DCUH Oncology Laboratory. The training will enable DCUH laboratory personnel to install, calibrate, and operate the equipment in accordance with manufacturer specifications.</w:t>
      </w:r>
    </w:p>
    <w:p>
      <w:pPr>
        <w:pStyle w:val="BodyText"/>
      </w:pPr>
      <w:r>
        <w:t xml:space="preserve">DCUH processes approximately 3,800 tissue biopsies per year. The requested quantity of 500 reagent kits is anticipated to meet the hospital’s diagnostic needs for approximately 15 months. DCUH has confirmed in its purchase order that the goods will not be re-exported, diverted, or transferred to any third party without the prior written consent of the Applicant and in compliance with all applicable laws, and that the goods will remain at all times within the custody and control of DCUH and be used solely for the clinical diagnostic purposes described above.</w:t>
      </w:r>
    </w:p>
    <w:p>
      <w:pPr>
        <w:pStyle w:val="BodyText"/>
      </w:pPr>
      <w:r>
        <w:rPr>
          <w:b/>
          <w:bCs/>
        </w:rPr>
        <w:t xml:space="preserve">End-Use Monitoring.</w:t>
      </w:r>
      <w:r>
        <w:t xml:space="preserve"> </w:t>
      </w:r>
      <w:r>
        <w:t xml:space="preserve">The Applicant will implement a written end-use monitoring plan (Exhibit H) that includes: (a) delivery confirmation with documentary and photographic evidence; (b) an end-user certificate and non-diversion commitment executed by DCUH; (c) periodic usage reporting at no less than annual intervals during the license term; and (d) a mechanism for site verification, whether remote or in-person, as feasible. The Applicant will report any indication of diversion, re-export, or unauthorized transfer to OFAC promptly.</w:t>
      </w:r>
    </w:p>
    <w:bookmarkEnd w:id="29"/>
    <w:bookmarkStart w:id="30" w:name="viii.-shipping-route-and-logistics"/>
    <w:p>
      <w:pPr>
        <w:pStyle w:val="Heading2"/>
      </w:pPr>
      <w:r>
        <w:t xml:space="preserve">VIII. Shipping Route and Logistics</w:t>
      </w:r>
    </w:p>
    <w:p>
      <w:pPr>
        <w:pStyle w:val="FirstParagraph"/>
      </w:pPr>
      <w:r>
        <w:t xml:space="preserve">The Applicant has engaged Pinnacle Freight International, Inc. (</w:t>
      </w:r>
      <w:r>
        <w:t xml:space="preserve">“</w:t>
      </w:r>
      <w:r>
        <w:t xml:space="preserve">Pinnacle</w:t>
      </w:r>
      <w:r>
        <w:t xml:space="preserve">”</w:t>
      </w:r>
      <w:r>
        <w:t xml:space="preserve">), a U.S. freight forwarder (no sanctions matches), to coordinate physical transportation. The complete logistics plan is attached as Exhibit D. The proposed five-leg route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Leg</w:t>
            </w:r>
          </w:p>
        </w:tc>
        <w:tc>
          <w:tcPr/>
          <w:p>
            <w:pPr>
              <w:pStyle w:val="Compact"/>
              <w:jc w:val="left"/>
            </w:pPr>
            <w:r>
              <w:t xml:space="preserve">Route Segment</w:t>
            </w:r>
          </w:p>
        </w:tc>
        <w:tc>
          <w:tcPr/>
          <w:p>
            <w:pPr>
              <w:pStyle w:val="Compact"/>
              <w:jc w:val="left"/>
            </w:pPr>
            <w:r>
              <w:t xml:space="preserve">Mode</w:t>
            </w:r>
          </w:p>
        </w:tc>
        <w:tc>
          <w:tcPr/>
          <w:p>
            <w:pPr>
              <w:pStyle w:val="Compact"/>
              <w:jc w:val="left"/>
            </w:pPr>
            <w:r>
              <w:t xml:space="preserve">Estimated Duration</w:t>
            </w:r>
          </w:p>
        </w:tc>
      </w:tr>
      <w:tr>
        <w:tc>
          <w:tcPr/>
          <w:p>
            <w:pPr>
              <w:pStyle w:val="Compact"/>
              <w:jc w:val="left"/>
            </w:pPr>
            <w:r>
              <w:t xml:space="preserve">1</w:t>
            </w:r>
          </w:p>
        </w:tc>
        <w:tc>
          <w:tcPr/>
          <w:p>
            <w:pPr>
              <w:pStyle w:val="Compact"/>
              <w:jc w:val="left"/>
            </w:pPr>
            <w:r>
              <w:t xml:space="preserve">Cambridge, MA → Port Newark, NJ</w:t>
            </w:r>
          </w:p>
        </w:tc>
        <w:tc>
          <w:tcPr/>
          <w:p>
            <w:pPr>
              <w:pStyle w:val="Compact"/>
              <w:jc w:val="left"/>
            </w:pPr>
            <w:r>
              <w:t xml:space="preserve">Refrigerated truck (domestic)</w:t>
            </w:r>
          </w:p>
        </w:tc>
        <w:tc>
          <w:tcPr/>
          <w:p>
            <w:pPr>
              <w:pStyle w:val="Compact"/>
              <w:jc w:val="left"/>
            </w:pPr>
            <w:r>
              <w:t xml:space="preserve">1–2 days</w:t>
            </w:r>
          </w:p>
        </w:tc>
      </w:tr>
      <w:tr>
        <w:tc>
          <w:tcPr/>
          <w:p>
            <w:pPr>
              <w:pStyle w:val="Compact"/>
              <w:jc w:val="left"/>
            </w:pPr>
            <w:r>
              <w:t xml:space="preserve">2</w:t>
            </w:r>
          </w:p>
        </w:tc>
        <w:tc>
          <w:tcPr/>
          <w:p>
            <w:pPr>
              <w:pStyle w:val="Compact"/>
              <w:jc w:val="left"/>
            </w:pPr>
            <w:r>
              <w:t xml:space="preserve">Port Newark, NJ → Mersin Port, Turkey</w:t>
            </w:r>
          </w:p>
        </w:tc>
        <w:tc>
          <w:tcPr/>
          <w:p>
            <w:pPr>
              <w:pStyle w:val="Compact"/>
              <w:jc w:val="left"/>
            </w:pPr>
            <w:r>
              <w:t xml:space="preserve">Ocean freight (reefer container, 4°C ± 2°C)</w:t>
            </w:r>
          </w:p>
        </w:tc>
        <w:tc>
          <w:tcPr/>
          <w:p>
            <w:pPr>
              <w:pStyle w:val="Compact"/>
              <w:jc w:val="left"/>
            </w:pPr>
            <w:r>
              <w:t xml:space="preserve">18–22 days</w:t>
            </w:r>
          </w:p>
        </w:tc>
      </w:tr>
      <w:tr>
        <w:tc>
          <w:tcPr/>
          <w:p>
            <w:pPr>
              <w:pStyle w:val="Compact"/>
              <w:jc w:val="left"/>
            </w:pPr>
            <w:r>
              <w:t xml:space="preserve">3</w:t>
            </w:r>
          </w:p>
        </w:tc>
        <w:tc>
          <w:tcPr/>
          <w:p>
            <w:pPr>
              <w:pStyle w:val="Compact"/>
              <w:jc w:val="left"/>
            </w:pPr>
            <w:r>
              <w:t xml:space="preserve">Mersin Port → Ankara, Turkey</w:t>
            </w:r>
          </w:p>
        </w:tc>
        <w:tc>
          <w:tcPr/>
          <w:p>
            <w:pPr>
              <w:pStyle w:val="Compact"/>
              <w:jc w:val="left"/>
            </w:pPr>
            <w:r>
              <w:t xml:space="preserve">Refrigerated truck; warehousing at AMTW (5–10 days)</w:t>
            </w:r>
          </w:p>
        </w:tc>
        <w:tc>
          <w:tcPr/>
          <w:p>
            <w:pPr>
              <w:pStyle w:val="Compact"/>
              <w:jc w:val="left"/>
            </w:pPr>
            <w:r>
              <w:t xml:space="preserve">7–12 days</w:t>
            </w:r>
          </w:p>
        </w:tc>
      </w:tr>
      <w:tr>
        <w:tc>
          <w:tcPr/>
          <w:p>
            <w:pPr>
              <w:pStyle w:val="Compact"/>
              <w:jc w:val="left"/>
            </w:pPr>
            <w:r>
              <w:t xml:space="preserve">4</w:t>
            </w:r>
          </w:p>
        </w:tc>
        <w:tc>
          <w:tcPr/>
          <w:p>
            <w:pPr>
              <w:pStyle w:val="Compact"/>
              <w:jc w:val="left"/>
            </w:pPr>
            <w:r>
              <w:t xml:space="preserve">Ankara → Bab al-Hawa border crossing</w:t>
            </w:r>
          </w:p>
        </w:tc>
        <w:tc>
          <w:tcPr/>
          <w:p>
            <w:pPr>
              <w:pStyle w:val="Compact"/>
              <w:jc w:val="left"/>
            </w:pPr>
            <w:r>
              <w:t xml:space="preserve">Refrigerated truck (re-export from Turkey)</w:t>
            </w:r>
          </w:p>
        </w:tc>
        <w:tc>
          <w:tcPr/>
          <w:p>
            <w:pPr>
              <w:pStyle w:val="Compact"/>
              <w:jc w:val="left"/>
            </w:pPr>
            <w:r>
              <w:t xml:space="preserve">2–3 days</w:t>
            </w:r>
          </w:p>
        </w:tc>
      </w:tr>
      <w:tr>
        <w:tc>
          <w:tcPr/>
          <w:p>
            <w:pPr>
              <w:pStyle w:val="Compact"/>
              <w:jc w:val="left"/>
            </w:pPr>
            <w:r>
              <w:t xml:space="preserve">5</w:t>
            </w:r>
          </w:p>
        </w:tc>
        <w:tc>
          <w:tcPr/>
          <w:p>
            <w:pPr>
              <w:pStyle w:val="Compact"/>
              <w:jc w:val="left"/>
            </w:pPr>
            <w:r>
              <w:t xml:space="preserve">Bab al-Hawa → Damascus, Syria</w:t>
            </w:r>
          </w:p>
        </w:tc>
        <w:tc>
          <w:tcPr/>
          <w:p>
            <w:pPr>
              <w:pStyle w:val="Compact"/>
              <w:jc w:val="left"/>
            </w:pPr>
            <w:r>
              <w:t xml:space="preserve">Overland; Syrian customs clearance and final delivery</w:t>
            </w:r>
          </w:p>
        </w:tc>
        <w:tc>
          <w:tcPr/>
          <w:p>
            <w:pPr>
              <w:pStyle w:val="Compact"/>
              <w:jc w:val="left"/>
            </w:pPr>
            <w:r>
              <w:t xml:space="preserve">2–3 days</w:t>
            </w:r>
          </w:p>
        </w:tc>
      </w:tr>
      <w:tr>
        <w:tc>
          <w:tcPr/>
          <w:p>
            <w:pPr>
              <w:pStyle w:val="Compact"/>
            </w:pPr>
          </w:p>
        </w:tc>
        <w:tc>
          <w:tcPr/>
          <w:p>
            <w:pPr>
              <w:pStyle w:val="Compact"/>
              <w:jc w:val="left"/>
            </w:pPr>
            <w:r>
              <w:rPr>
                <w:b/>
                <w:bCs/>
              </w:rPr>
              <w:t xml:space="preserve">Total estimated transit</w:t>
            </w:r>
          </w:p>
        </w:tc>
        <w:tc>
          <w:tcPr/>
          <w:p>
            <w:pPr>
              <w:pStyle w:val="Compact"/>
            </w:pPr>
          </w:p>
        </w:tc>
        <w:tc>
          <w:tcPr/>
          <w:p>
            <w:pPr>
              <w:pStyle w:val="Compact"/>
              <w:jc w:val="left"/>
            </w:pPr>
            <w:r>
              <w:rPr>
                <w:b/>
                <w:bCs/>
              </w:rPr>
              <w:t xml:space="preserve">~4–6 weeks (plan for 6–8 weeks)</w:t>
            </w:r>
          </w:p>
        </w:tc>
      </w:tr>
    </w:tbl>
    <w:p>
      <w:pPr>
        <w:pStyle w:val="BodyText"/>
      </w:pPr>
      <w:r>
        <w:rPr>
          <w:b/>
          <w:bCs/>
        </w:rPr>
        <w:t xml:space="preserve">Incoterms:</w:t>
      </w:r>
      <w:r>
        <w:t xml:space="preserve"> </w:t>
      </w:r>
      <w:r>
        <w:t xml:space="preserve">DAP — Damascus, Syria (Incoterms 2020).</w:t>
      </w:r>
    </w:p>
    <w:p>
      <w:pPr>
        <w:pStyle w:val="BodyText"/>
      </w:pPr>
      <w:r>
        <w:rPr>
          <w:b/>
          <w:bCs/>
        </w:rPr>
        <w:t xml:space="preserve">Cold-Chain Management.</w:t>
      </w:r>
      <w:r>
        <w:t xml:space="preserve"> </w:t>
      </w:r>
      <w:r>
        <w:t xml:space="preserve">The CancerDetect RX-700 kits require continuous maintenance at 2–8°C throughout transit. All kits will be shipped in validated insulated containers with calibrated digital temperature data loggers recording at 15-minute intervals. The reefer container for the ocean leg will be set to 4°C ± 2°C with remote performance monitoring. The AMTW warehouse in Ankara maintains dedicated pharmaceutical-grade cold storage verified to sustain the 2–8°C range. Any temperature excursion exceeding 8°C or falling below 2°C for more than 60 consecutive minutes will trigger immediate notification and a product-integrity assessment. All temperature data logs will be compiled and provided to the Applicant for quality assurance and end-user documentation.</w:t>
      </w:r>
    </w:p>
    <w:p>
      <w:pPr>
        <w:pStyle w:val="BodyText"/>
      </w:pPr>
      <w:r>
        <w:rPr>
          <w:b/>
          <w:bCs/>
        </w:rPr>
        <w:t xml:space="preserve">Intermediaries.</w:t>
      </w:r>
      <w:r>
        <w:t xml:space="preserve"> </w:t>
      </w:r>
      <w:r>
        <w:t xml:space="preserve">AMTW (Ankara, Turkey; no sanctions matches) serves as the intermediate warehousing and re-export facility. ARMPC (Damascus, Syria) serves as the in-country customs clearance and import logistics agent; the sanctions issue associated with ARMPC is addressed in Section IX. No other intermediaries are involved.</w:t>
      </w:r>
    </w:p>
    <w:bookmarkEnd w:id="30"/>
    <w:bookmarkStart w:id="34" w:name="Xcdce99347e312f358a295c4513262981df53284"/>
    <w:p>
      <w:pPr>
        <w:pStyle w:val="Heading2"/>
      </w:pPr>
      <w:r>
        <w:t xml:space="preserve">IX. Disclosure of Sanctions-Related Issues and Proposed Mitigation</w:t>
      </w:r>
    </w:p>
    <w:p>
      <w:pPr>
        <w:pStyle w:val="FirstParagraph"/>
      </w:pPr>
      <w:r>
        <w:t xml:space="preserve">The Applicant makes the following disclosures in the interest of complete transparency, consistent with the obligation to provide OFAC with a full and accurate statement of all material facts.</w:t>
      </w:r>
    </w:p>
    <w:bookmarkStart w:id="31" w:name="X6d4d3ada6fa6b5d9d254cd1741daf5326c7351b"/>
    <w:p>
      <w:pPr>
        <w:pStyle w:val="Heading3"/>
      </w:pPr>
      <w:r>
        <w:t xml:space="preserve">9.1 SDN-Listed Shareholder of the Customs Clearance Agent (ARMPC / Samir Daoud Khoury)</w:t>
      </w:r>
    </w:p>
    <w:p>
      <w:pPr>
        <w:pStyle w:val="FirstParagraph"/>
      </w:pPr>
      <w:r>
        <w:t xml:space="preserve">ARMPC, the customs clearance and import logistics agent designated by DCUH, is not itself listed on the SDN List or any other restricted-party list, and its Managing Director, Tariq Nabil Hammoud, returned no matches. However, through the Applicant’s enhanced beneficial-ownership screening platform (implemented January 2024), the Applicant identified that</w:t>
      </w:r>
      <w:r>
        <w:t xml:space="preserve"> </w:t>
      </w:r>
      <w:r>
        <w:rPr>
          <w:b/>
          <w:bCs/>
        </w:rPr>
        <w:t xml:space="preserve">Samir Daoud Khoury</w:t>
      </w:r>
      <w:r>
        <w:t xml:space="preserve"> </w:t>
      </w:r>
      <w:r>
        <w:t xml:space="preserve">holds a 30% ownership interest in ARMPC. Mr. Khoury is designated on the SDN List. The listing details are:</w:t>
      </w:r>
    </w:p>
    <w:p>
      <w:pPr>
        <w:pStyle w:val="BlockText"/>
      </w:pPr>
      <w:r>
        <w:rPr>
          <w:b/>
          <w:bCs/>
        </w:rPr>
        <w:t xml:space="preserve">KHOURY, Samir Daoud</w:t>
      </w:r>
      <w:r>
        <w:t xml:space="preserve"> </w:t>
      </w:r>
      <w:r>
        <w:t xml:space="preserve">— DOB: March 12, 1971; Nationality: Syria; Passport No.: S-0048712; SDN List Addition Date: April 15, 2024; Basis for Designation: Acting on behalf of a sanctioned Syrian military procurement network.</w:t>
      </w:r>
    </w:p>
    <w:p>
      <w:pPr>
        <w:pStyle w:val="FirstParagraph"/>
      </w:pPr>
      <w:r>
        <w:rPr>
          <w:b/>
          <w:bCs/>
        </w:rPr>
        <w:t xml:space="preserve">50 Percent Rule Analysis.</w:t>
      </w:r>
      <w:r>
        <w:t xml:space="preserve"> </w:t>
      </w:r>
      <w:r>
        <w:t xml:space="preserve">Under OFAC’s 50 Percent Rule (31 C.F.R. § 501.501), an entity is considered blocked only where SDN-listed persons own, individually or in the aggregate, 50% or more of the entity. Mr. Khoury’s 30% ownership stake falls below this threshold, and ARMPC is therefore not automatically considered a blocked entity. The Applicant nevertheless discloses this ownership interest because OFAC guidance warns that transacting with entities in which SDN-listed persons hold any ownership interest may present elevated sanctions risk, and because complete disclosure is required.</w:t>
      </w:r>
    </w:p>
    <w:p>
      <w:pPr>
        <w:pStyle w:val="BodyText"/>
      </w:pPr>
      <w:r>
        <w:rPr>
          <w:b/>
          <w:bCs/>
        </w:rPr>
        <w:t xml:space="preserve">Proposed Mitigation.</w:t>
      </w:r>
      <w:r>
        <w:t xml:space="preserve"> </w:t>
      </w:r>
      <w:r>
        <w:t xml:space="preserve">The Applicant proposes the following measures to address this issue:</w:t>
      </w:r>
    </w:p>
    <w:p>
      <w:pPr>
        <w:numPr>
          <w:ilvl w:val="0"/>
          <w:numId w:val="1002"/>
        </w:numPr>
      </w:pPr>
      <w:r>
        <w:rPr>
          <w:b/>
          <w:bCs/>
        </w:rPr>
        <w:t xml:space="preserve">Substitution of the Customs Clearance Agent (Primary Approach).</w:t>
      </w:r>
      <w:r>
        <w:t xml:space="preserve"> </w:t>
      </w:r>
      <w:r>
        <w:t xml:space="preserve">The Applicant is actively identifying an alternative Syrian customs clearance and import logistics agent that has no SDN-listed ownership or principals. Upon identification, the Applicant will submit the replacement agent’s identifying information to OFAC for review and screening confirmation prior to any shipment, and will amend the transaction structure accordingly. The Applicant requests that OFAC authorize the transaction on the basis that ARMPC will be replaced by a vetted, sanctions-clean agent before shipment.</w:t>
      </w:r>
    </w:p>
    <w:p>
      <w:pPr>
        <w:numPr>
          <w:ilvl w:val="0"/>
          <w:numId w:val="1002"/>
        </w:numPr>
      </w:pPr>
      <w:r>
        <w:rPr>
          <w:b/>
          <w:bCs/>
        </w:rPr>
        <w:t xml:space="preserve">Limited-Role Authorization (Alternative Approach).</w:t>
      </w:r>
      <w:r>
        <w:t xml:space="preserve"> </w:t>
      </w:r>
      <w:r>
        <w:t xml:space="preserve">In the event that a suitable alternative agent cannot be identified in time, the Applicant requests, in the alternative, that OFAC authorize ARMPC’s participation solely in the limited capacity of in-country customs clearance performed on behalf of DCUH, subject to the following conditions: (a) ARMPC’s role is strictly limited to customs clearance and in-country delivery coordination; (b) no U.S.-origin funds, and no portion of the licensed transaction value, will pass to ARMPC or to Mr. Khoury; (c) all customs fees and charges payable to ARMPC will be paid by DCUH from funds that do not originate from any SDN-listed institution; (d) the Applicant will have no direct or indirect dealings with Mr. Khoury; and (e) the Applicant will re-screen ARMPC and its ownership immediately prior to shipment and will report any change to OFAC.</w:t>
      </w:r>
    </w:p>
    <w:p>
      <w:pPr>
        <w:pStyle w:val="FirstParagraph"/>
      </w:pPr>
      <w:r>
        <w:t xml:space="preserve">The Applicant will accept any condition OFAC imposes with respect to ARMPC, including a requirement that ARMPC be removed from the transaction structure entirely.</w:t>
      </w:r>
    </w:p>
    <w:bookmarkEnd w:id="31"/>
    <w:bookmarkStart w:id="32" w:name="Xedc9368ce49e3ee761289308152290bf615b289"/>
    <w:p>
      <w:pPr>
        <w:pStyle w:val="Heading3"/>
      </w:pPr>
      <w:r>
        <w:t xml:space="preserve">9.2 SDN-Listed Remitting Bank Identified in the Purchase Order (Central Bank of Calverley)</w:t>
      </w:r>
    </w:p>
    <w:p>
      <w:pPr>
        <w:pStyle w:val="FirstParagraph"/>
      </w:pPr>
      <w:r>
        <w:t xml:space="preserve">The DCUH purchase order (Exhibit A) specifies that payment be made by wire transfer from DCUH’s account at the</w:t>
      </w:r>
      <w:r>
        <w:t xml:space="preserve"> </w:t>
      </w:r>
      <w:r>
        <w:rPr>
          <w:b/>
          <w:bCs/>
        </w:rPr>
        <w:t xml:space="preserve">Central Bank of Calverley (CBS)</w:t>
      </w:r>
      <w:r>
        <w:t xml:space="preserve">, Damascus. CBS is listed on the SDN List (added August 10, 2011, pursuant to E.O. 13582). Payment routed through CBS would constitute a prohibited transaction with a blocked person, and any such funds received by a U.S. financial institution would be subject to blocking.</w:t>
      </w:r>
    </w:p>
    <w:p>
      <w:pPr>
        <w:pStyle w:val="BodyText"/>
      </w:pPr>
      <w:r>
        <w:rPr>
          <w:b/>
          <w:bCs/>
        </w:rPr>
        <w:t xml:space="preserve">Proposed Mitigation.</w:t>
      </w:r>
      <w:r>
        <w:t xml:space="preserve"> </w:t>
      </w:r>
      <w:r>
        <w:t xml:space="preserve">The Applicant will not accept or process any payment routed through CBS or any other SDN-listed institution. The Applicant is working with DCUH to amend the payment terms of the purchase order to provide for remittance through a non-SDN-listed financial institution. The Applicant requests that the license authorize payment by wire transfer from a non-SDN-listed financial institution (either a non-SDN Syrian commercial bank or a third-country bank) to the Applicant’s account at Harborview National Bank, Boston, Massachusetts (Account No. 7821-4490-3361). The specific remitting institution will be identified, screened against all applicable sanctions lists, and confirmed to OFAC (if required) prior to any payment. This approach mirrors the payment condition imposed under the Applicant’s prior specific license (SYR-2021-384712), which expressly prohibited routing payment through CBS or any SDN-listed institution.</w:t>
      </w:r>
    </w:p>
    <w:bookmarkEnd w:id="32"/>
    <w:bookmarkStart w:id="33" w:name="governmental-end-user"/>
    <w:p>
      <w:pPr>
        <w:pStyle w:val="Heading3"/>
      </w:pPr>
      <w:r>
        <w:t xml:space="preserve">9.3 Governmental End-User</w:t>
      </w:r>
    </w:p>
    <w:p>
      <w:pPr>
        <w:pStyle w:val="FirstParagraph"/>
      </w:pPr>
      <w:r>
        <w:t xml:space="preserve">As stated in Section VII, DCUH is an instrumentality of the Government of Syria and is comprehensively sanctioned under E.O. 13582 and 31 C.F.R. Part 542. The Applicant requests specific authorization to transact with DCUH for the limited humanitarian purpose described in this application. The Applicant is not aware of any SDN designation of DCUH, its director, or its oncology department personnel.</w:t>
      </w:r>
    </w:p>
    <w:bookmarkEnd w:id="33"/>
    <w:bookmarkEnd w:id="34"/>
    <w:bookmarkStart w:id="35" w:name="x.-humanitarian-justification"/>
    <w:p>
      <w:pPr>
        <w:pStyle w:val="Heading2"/>
      </w:pPr>
      <w:r>
        <w:t xml:space="preserve">X. Humanitarian Justification</w:t>
      </w:r>
    </w:p>
    <w:p>
      <w:pPr>
        <w:pStyle w:val="FirstParagraph"/>
      </w:pPr>
      <w:r>
        <w:t xml:space="preserve">The proposed transaction serves a compelling humanitarian purpose that is well documented by independent international assessment.</w:t>
      </w:r>
    </w:p>
    <w:p>
      <w:pPr>
        <w:pStyle w:val="BodyText"/>
      </w:pPr>
      <w:r>
        <w:t xml:space="preserve">The World Health Organization Syria Country Office published a Comprehensive Health Needs Assessment in January 2024 (Exhibit E) that identifies cancer diagnostics as a</w:t>
      </w:r>
      <w:r>
        <w:t xml:space="preserve"> </w:t>
      </w:r>
      <w:r>
        <w:rPr>
          <w:b/>
          <w:bCs/>
        </w:rPr>
        <w:t xml:space="preserve">critical gap</w:t>
      </w:r>
      <w:r>
        <w:t xml:space="preserve"> </w:t>
      </w:r>
      <w:r>
        <w:t xml:space="preserve">in the Syrian health system and names DCUH specifically as the largest and most important remaining oncology referral center in Syria. Key findings include:</w:t>
      </w:r>
    </w:p>
    <w:p>
      <w:pPr>
        <w:pStyle w:val="Compact"/>
        <w:numPr>
          <w:ilvl w:val="0"/>
          <w:numId w:val="1003"/>
        </w:numPr>
      </w:pPr>
      <w:r>
        <w:t xml:space="preserve">Cancer incidence in Syria is estimated at 22,000–25,000 new cases per year. Breast cancer is the most prevalent malignancy among Syrian women, accounting for approximately 33% of all female cancer diagnoses.</w:t>
      </w:r>
    </w:p>
    <w:p>
      <w:pPr>
        <w:pStyle w:val="Compact"/>
        <w:numPr>
          <w:ilvl w:val="0"/>
          <w:numId w:val="1003"/>
        </w:numPr>
      </w:pPr>
      <w:r>
        <w:t xml:space="preserve">Of approximately 14 immunohistochemistry laboratories functioning in Syria prior to 2011, only three remain partially operational, and none at full pre-conflict capacity.</w:t>
      </w:r>
    </w:p>
    <w:p>
      <w:pPr>
        <w:pStyle w:val="Compact"/>
        <w:numPr>
          <w:ilvl w:val="0"/>
          <w:numId w:val="1003"/>
        </w:numPr>
      </w:pPr>
      <w:r>
        <w:t xml:space="preserve">DCUH operates a 140-bed oncology ward and processes approximately 3,800 tissue biopsies per year, bearing the substantial majority of the country’s cancer diagnostic workload.</w:t>
      </w:r>
    </w:p>
    <w:p>
      <w:pPr>
        <w:pStyle w:val="Compact"/>
        <w:numPr>
          <w:ilvl w:val="0"/>
          <w:numId w:val="1003"/>
        </w:numPr>
      </w:pPr>
      <w:r>
        <w:t xml:space="preserve">The diagnostic backlog at DCUH exceeds 14 months, forcing oncologists to initiate empiric chemotherapy without biomarker confirmation in many cases, resulting in suboptimal treatment, avoidable drug toxicity, and inefficient use of scarce pharmaceutical supplies.</w:t>
      </w:r>
    </w:p>
    <w:p>
      <w:pPr>
        <w:pStyle w:val="Compact"/>
        <w:numPr>
          <w:ilvl w:val="0"/>
          <w:numId w:val="1003"/>
        </w:numPr>
      </w:pPr>
      <w:r>
        <w:t xml:space="preserve">The estimated five-year survival rate for breast cancer in Syria has declined from approximately 62% prior to 2011 to approximately 38% at present, attributable in significant part to prolonged diagnostic delays and the inability to perform biomarker-guided treatment selection.</w:t>
      </w:r>
    </w:p>
    <w:p>
      <w:pPr>
        <w:pStyle w:val="Compact"/>
        <w:numPr>
          <w:ilvl w:val="0"/>
          <w:numId w:val="1003"/>
        </w:numPr>
      </w:pPr>
      <w:r>
        <w:t xml:space="preserve">WHO specifically recommends urgent procurement of validated IHC reagent kits (with priority for HER2/ER/PR breast cancer panels), replacement of laboratory calibration instruments, remote technical training, and international coordination to facilitate humanitarian licensing for the import of essential medical diagnostic supplies.</w:t>
      </w:r>
    </w:p>
    <w:p>
      <w:pPr>
        <w:pStyle w:val="FirstParagraph"/>
      </w:pPr>
      <w:r>
        <w:t xml:space="preserve">The CancerDetect RX-700 is the only FDA-cleared reagent kit validated for the Ventana BenchMark XT platform already installed at DCUH, meaning there is no substitute product that would satisfy the hospital’s diagnostic need. The CalibPro 3100 units are required to validate the reagent kits before clinical use; DCUH’s existing calibration equipment is reported to be non-functional or beyond serviceable life. The requested 500 kits will meet approximately 15 months of DCUH’s diagnostic demand.</w:t>
      </w:r>
    </w:p>
    <w:p>
      <w:pPr>
        <w:pStyle w:val="BodyText"/>
      </w:pPr>
      <w:r>
        <w:t xml:space="preserve">The WHO assessment expressly calls on the international community to ensure that sanctions frameworks do not impede the delivery of essential medical diagnostic supplies to the Syrian population, consistent with humanitarian principles and applicable exemptions. The Applicant submits that this transaction directly advances that humanitarian objective.</w:t>
      </w:r>
    </w:p>
    <w:bookmarkEnd w:id="35"/>
    <w:bookmarkStart w:id="36" w:name="xi.-prior-ofac-license-history"/>
    <w:p>
      <w:pPr>
        <w:pStyle w:val="Heading2"/>
      </w:pPr>
      <w:r>
        <w:t xml:space="preserve">XI. Prior OFAC License History</w:t>
      </w:r>
    </w:p>
    <w:p>
      <w:pPr>
        <w:pStyle w:val="FirstParagraph"/>
      </w:pPr>
      <w:r>
        <w:t xml:space="preserve">The Applicant previously held OFAC Specific License No. </w:t>
      </w:r>
      <w:r>
        <w:rPr>
          <w:b/>
          <w:bCs/>
        </w:rPr>
        <w:t xml:space="preserve">SYR-2021-384712</w:t>
      </w:r>
      <w:r>
        <w:t xml:space="preserve">, issued September 14, 2021, and expired March 31, 2023 (Exhibit F). That license authorized the export of tuberculosis (TB) in vitro diagnostic reagent kits (TBDetect Pro-200, 200 kits, total value $340,000) to Al-Mujtahid Hospital, Damascus, Syria—a public hospital affiliated with the Syrian Ministry of Health—for humanitarian medical use.</w:t>
      </w:r>
    </w:p>
    <w:p>
      <w:pPr>
        <w:pStyle w:val="BodyText"/>
      </w:pPr>
      <w:r>
        <w:t xml:space="preserve">All authorized transactions under that license were completed by January 2023, and all reporting conditions were satisfied in a timely manner. The Applicant has no record of OFAC violations, civil monetary penalties, cautionary or warning letters, findings of violation, or voluntary self-disclosures. The prior license demonstrates the Applicant’s demonstrated capacity to administer OFAC-licensed transactions in a comprehensively sanctioned jurisdiction, including compliance with conditions prohibiting payment through CBS or any SDN-listed institution and requiring post-shipment reporting.</w:t>
      </w:r>
    </w:p>
    <w:bookmarkEnd w:id="36"/>
    <w:bookmarkStart w:id="37" w:name="xii.-applicants-ofac-compliance-program"/>
    <w:p>
      <w:pPr>
        <w:pStyle w:val="Heading2"/>
      </w:pPr>
      <w:r>
        <w:t xml:space="preserve">XII. Applicant’s OFAC Compliance Program</w:t>
      </w:r>
    </w:p>
    <w:p>
      <w:pPr>
        <w:pStyle w:val="FirstParagraph"/>
      </w:pPr>
      <w:r>
        <w:t xml:space="preserve">The Applicant maintains an OFAC sanctions compliance program that has been in place since 2015 and was most recently independently audited by Graystone Compliance Partners LLC in September 2023 (Exhibit G). The audit assigned the program an overall rating of</w:t>
      </w:r>
      <w:r>
        <w:t xml:space="preserve"> </w:t>
      </w:r>
      <w:r>
        <w:t xml:space="preserve">“</w:t>
      </w:r>
      <w:r>
        <w:t xml:space="preserve">Satisfactory with Recommendations,</w:t>
      </w:r>
      <w:r>
        <w:t xml:space="preserve">”</w:t>
      </w:r>
      <w:r>
        <w:t xml:space="preserve"> </w:t>
      </w:r>
      <w:r>
        <w:t xml:space="preserve">reflecting that the program meets the core expectations set forth in OFAC’s</w:t>
      </w:r>
      <w:r>
        <w:t xml:space="preserve"> </w:t>
      </w:r>
      <w:r>
        <w:t xml:space="preserve">“</w:t>
      </w:r>
      <w:r>
        <w:t xml:space="preserve">A Framework for OFAC Compliance Commitments</w:t>
      </w:r>
      <w:r>
        <w:t xml:space="preserve">”</w:t>
      </w:r>
      <w:r>
        <w:t xml:space="preserve"> </w:t>
      </w:r>
      <w:r>
        <w:t xml:space="preserve">(May 2019). Program features include:</w:t>
      </w:r>
    </w:p>
    <w:p>
      <w:pPr>
        <w:pStyle w:val="Compact"/>
        <w:numPr>
          <w:ilvl w:val="0"/>
          <w:numId w:val="1004"/>
        </w:numPr>
      </w:pPr>
      <w:r>
        <w:rPr>
          <w:b/>
          <w:bCs/>
        </w:rPr>
        <w:t xml:space="preserve">Management Commitment.</w:t>
      </w:r>
      <w:r>
        <w:t xml:space="preserve"> </w:t>
      </w:r>
      <w:r>
        <w:t xml:space="preserve">Visible executive support from the CEO and General Counsel; the Chief Compliance Officer reports to the General Counsel and maintains a standing quarterly briefing to the Board’s Audit Committee.</w:t>
      </w:r>
    </w:p>
    <w:p>
      <w:pPr>
        <w:pStyle w:val="Compact"/>
        <w:numPr>
          <w:ilvl w:val="0"/>
          <w:numId w:val="1004"/>
        </w:numPr>
      </w:pPr>
      <w:r>
        <w:rPr>
          <w:b/>
          <w:bCs/>
        </w:rPr>
        <w:t xml:space="preserve">Written Policies and Procedures.</w:t>
      </w:r>
      <w:r>
        <w:t xml:space="preserve"> </w:t>
      </w:r>
      <w:r>
        <w:t xml:space="preserve">A comprehensive Sanctions Compliance Manual (last updated March 2023) covering OFAC, BIS/EAR, and anti-boycott requirements, including the export of physical goods and the provision of remote services, with clear escalation procedures.</w:t>
      </w:r>
    </w:p>
    <w:p>
      <w:pPr>
        <w:pStyle w:val="Compact"/>
        <w:numPr>
          <w:ilvl w:val="0"/>
          <w:numId w:val="1004"/>
        </w:numPr>
      </w:pPr>
      <w:r>
        <w:rPr>
          <w:b/>
          <w:bCs/>
        </w:rPr>
        <w:t xml:space="preserve">Screening Protocols.</w:t>
      </w:r>
      <w:r>
        <w:t xml:space="preserve"> </w:t>
      </w:r>
      <w:r>
        <w:t xml:space="preserve">Automated screening of all counterparties, end-users, intermediaries, freight forwarders, and financial institutions against the SDN List, the Consolidated Screening List, EU sanctions lists, and UN sanctions lists, conducted at transaction initiation and at each material milestone. In January 2024, the Applicant implemented enhanced real-time beneficial-ownership screening that automatically re-screens equity holders of counterparties whenever sanctions lists are updated—the enhancement that identified the ownership interest described in Section 9.1.</w:t>
      </w:r>
    </w:p>
    <w:p>
      <w:pPr>
        <w:pStyle w:val="Compact"/>
        <w:numPr>
          <w:ilvl w:val="0"/>
          <w:numId w:val="1004"/>
        </w:numPr>
      </w:pPr>
      <w:r>
        <w:rPr>
          <w:b/>
          <w:bCs/>
        </w:rPr>
        <w:t xml:space="preserve">Training.</w:t>
      </w:r>
      <w:r>
        <w:t xml:space="preserve"> </w:t>
      </w:r>
      <w:r>
        <w:t xml:space="preserve">Annual OFAC and sanctions compliance training completed by 97% of relevant personnel in fiscal year 2023, with targeted supplemental training for international sales, logistics, and finance teams.</w:t>
      </w:r>
    </w:p>
    <w:p>
      <w:pPr>
        <w:pStyle w:val="Compact"/>
        <w:numPr>
          <w:ilvl w:val="0"/>
          <w:numId w:val="1004"/>
        </w:numPr>
      </w:pPr>
      <w:r>
        <w:rPr>
          <w:b/>
          <w:bCs/>
        </w:rPr>
        <w:t xml:space="preserve">Record-Keeping.</w:t>
      </w:r>
      <w:r>
        <w:t xml:space="preserve"> </w:t>
      </w:r>
      <w:r>
        <w:t xml:space="preserve">Transaction files maintained for a minimum of five years in accordance with 31 C.F.R. § 501.601, with electronic backup and indexing for rapid retrieval.</w:t>
      </w:r>
    </w:p>
    <w:p>
      <w:pPr>
        <w:pStyle w:val="Compact"/>
        <w:numPr>
          <w:ilvl w:val="0"/>
          <w:numId w:val="1004"/>
        </w:numPr>
      </w:pPr>
      <w:r>
        <w:rPr>
          <w:b/>
          <w:bCs/>
        </w:rPr>
        <w:t xml:space="preserve">No Enforcement History.</w:t>
      </w:r>
      <w:r>
        <w:t xml:space="preserve"> </w:t>
      </w:r>
      <w:r>
        <w:t xml:space="preserve">No OFAC violations, civil monetary penalties, cautionary letters, warning letters, findings of violation, or voluntary self-disclosures.</w:t>
      </w:r>
    </w:p>
    <w:bookmarkEnd w:id="37"/>
    <w:bookmarkStart w:id="38" w:name="xiii.-proposed-license-conditions"/>
    <w:p>
      <w:pPr>
        <w:pStyle w:val="Heading2"/>
      </w:pPr>
      <w:r>
        <w:t xml:space="preserve">XIII. Proposed License Conditions</w:t>
      </w:r>
    </w:p>
    <w:p>
      <w:pPr>
        <w:pStyle w:val="FirstParagraph"/>
      </w:pPr>
      <w:r>
        <w:t xml:space="preserve">The Applicant respectfully proposes, and will accept, the following conditions, consistent with the conditions imposed under the Applicant’s prior specific license:</w:t>
      </w:r>
    </w:p>
    <w:p>
      <w:pPr>
        <w:pStyle w:val="Compact"/>
        <w:numPr>
          <w:ilvl w:val="0"/>
          <w:numId w:val="1005"/>
        </w:numPr>
      </w:pPr>
      <w:r>
        <w:t xml:space="preserve">The license authorizes only the specific transaction described in this application. No other transactions with Syria or the Government of Syria are authorized.</w:t>
      </w:r>
    </w:p>
    <w:p>
      <w:pPr>
        <w:pStyle w:val="Compact"/>
        <w:numPr>
          <w:ilvl w:val="0"/>
          <w:numId w:val="1005"/>
        </w:numPr>
      </w:pPr>
      <w:r>
        <w:t xml:space="preserve">The authorized goods shall be delivered solely to DCUH and shall not be diverted, re-exported, or transferred to any other party or end-user within Syria or any other country without prior written authorization from OFAC.</w:t>
      </w:r>
    </w:p>
    <w:p>
      <w:pPr>
        <w:pStyle w:val="Compact"/>
        <w:numPr>
          <w:ilvl w:val="0"/>
          <w:numId w:val="1005"/>
        </w:numPr>
      </w:pPr>
      <w:r>
        <w:t xml:space="preserve">No transaction authorized under the license shall involve any person on the SDN List, or any entity in which an SDN-listed person holds a 50% or greater ownership interest. The Applicant will re-screen all parties immediately prior to shipment.</w:t>
      </w:r>
    </w:p>
    <w:p>
      <w:pPr>
        <w:pStyle w:val="Compact"/>
        <w:numPr>
          <w:ilvl w:val="0"/>
          <w:numId w:val="1005"/>
        </w:numPr>
      </w:pPr>
      <w:r>
        <w:t xml:space="preserve">Payment shall be effected only through a non-SDN-listed financial institution and shall not be routed through the Central Bank of Calverley or any other SDN-listed institution.</w:t>
      </w:r>
    </w:p>
    <w:p>
      <w:pPr>
        <w:pStyle w:val="Compact"/>
        <w:numPr>
          <w:ilvl w:val="0"/>
          <w:numId w:val="1005"/>
        </w:numPr>
      </w:pPr>
      <w:r>
        <w:t xml:space="preserve">The Applicant shall maintain complete records of all transactions conducted pursuant to the license for not less than five (5) years from the date of the last transaction, in accordance with 31 C.F.R. § 501.601.</w:t>
      </w:r>
    </w:p>
    <w:p>
      <w:pPr>
        <w:pStyle w:val="Compact"/>
        <w:numPr>
          <w:ilvl w:val="0"/>
          <w:numId w:val="1005"/>
        </w:numPr>
      </w:pPr>
      <w:r>
        <w:t xml:space="preserve">The Applicant shall submit a written report to OFAC within thirty (30) days of completion of each shipment, including proof of delivery, copies of shipping documents, and confirmation of end-user receipt, together with temperature data logs confirming cold-chain integrity.</w:t>
      </w:r>
    </w:p>
    <w:p>
      <w:pPr>
        <w:pStyle w:val="Compact"/>
        <w:numPr>
          <w:ilvl w:val="0"/>
          <w:numId w:val="1005"/>
        </w:numPr>
      </w:pPr>
      <w:r>
        <w:t xml:space="preserve">The Applicant shall implement the end-use monitoring plan described in Section VII and Exhibit H and shall report any indication of diversion promptly.</w:t>
      </w:r>
    </w:p>
    <w:p>
      <w:pPr>
        <w:pStyle w:val="Compact"/>
        <w:numPr>
          <w:ilvl w:val="0"/>
          <w:numId w:val="1005"/>
        </w:numPr>
      </w:pPr>
      <w:r>
        <w:t xml:space="preserve">The license does not authorize any firmware update, patch, or modification to the CalibPro 3100 beyond the factory-installed version 4.2.1; any such update shall constitute a separate transaction requiring independent authorization.</w:t>
      </w:r>
    </w:p>
    <w:p>
      <w:pPr>
        <w:pStyle w:val="Compact"/>
        <w:numPr>
          <w:ilvl w:val="0"/>
          <w:numId w:val="1005"/>
        </w:numPr>
      </w:pPr>
      <w:r>
        <w:t xml:space="preserve">The license does not relieve the Applicant of any obligations under the Export Administration Regulations, 15 C.F.R. Parts 730–774, administered by BIS.</w:t>
      </w:r>
    </w:p>
    <w:p>
      <w:pPr>
        <w:pStyle w:val="Compact"/>
        <w:numPr>
          <w:ilvl w:val="0"/>
          <w:numId w:val="1005"/>
        </w:numPr>
      </w:pPr>
      <w:r>
        <w:t xml:space="preserve">Any material change in the facts or circumstances described in this application—including any change in the customs clearance agent, the remitting bank, or the ownership of any transaction party—shall be reported to OFAC promptly and may require amendment or reissuance of the license.</w:t>
      </w:r>
    </w:p>
    <w:bookmarkEnd w:id="38"/>
    <w:bookmarkStart w:id="39" w:name="xiv.-supporting-documentation-exhibits"/>
    <w:p>
      <w:pPr>
        <w:pStyle w:val="Heading2"/>
      </w:pPr>
      <w:r>
        <w:t xml:space="preserve">XIV. Supporting Documentation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Document</w:t>
            </w:r>
          </w:p>
        </w:tc>
      </w:tr>
      <w:tr>
        <w:tc>
          <w:tcPr/>
          <w:p>
            <w:pPr>
              <w:pStyle w:val="Compact"/>
              <w:jc w:val="left"/>
            </w:pPr>
            <w:r>
              <w:t xml:space="preserve">A</w:t>
            </w:r>
          </w:p>
        </w:tc>
        <w:tc>
          <w:tcPr/>
          <w:p>
            <w:pPr>
              <w:pStyle w:val="Compact"/>
              <w:jc w:val="left"/>
            </w:pPr>
            <w:r>
              <w:t xml:space="preserve">DCUH Purchase Order No. PO-DCUH-2024-0743 (June 17, 2024)</w:t>
            </w:r>
          </w:p>
        </w:tc>
      </w:tr>
      <w:tr>
        <w:tc>
          <w:tcPr/>
          <w:p>
            <w:pPr>
              <w:pStyle w:val="Compact"/>
              <w:jc w:val="left"/>
            </w:pPr>
            <w:r>
              <w:t xml:space="preserve">B</w:t>
            </w:r>
          </w:p>
        </w:tc>
        <w:tc>
          <w:tcPr/>
          <w:p>
            <w:pPr>
              <w:pStyle w:val="Compact"/>
              <w:jc w:val="left"/>
            </w:pPr>
            <w:r>
              <w:t xml:space="preserve">Meridian Compliance Screening Memorandum (June 10, 2024)</w:t>
            </w:r>
          </w:p>
        </w:tc>
      </w:tr>
      <w:tr>
        <w:tc>
          <w:tcPr/>
          <w:p>
            <w:pPr>
              <w:pStyle w:val="Compact"/>
              <w:jc w:val="left"/>
            </w:pPr>
            <w:r>
              <w:t xml:space="preserve">C</w:t>
            </w:r>
          </w:p>
        </w:tc>
        <w:tc>
          <w:tcPr/>
          <w:p>
            <w:pPr>
              <w:pStyle w:val="Compact"/>
              <w:jc w:val="left"/>
            </w:pPr>
            <w:r>
              <w:t xml:space="preserve">Product Technical Data Sheets — CancerDetect RX-700 and CalibPro 3100 (TDS-2024-0347, Rev. March 15, 2024)</w:t>
            </w:r>
          </w:p>
        </w:tc>
      </w:tr>
      <w:tr>
        <w:tc>
          <w:tcPr/>
          <w:p>
            <w:pPr>
              <w:pStyle w:val="Compact"/>
              <w:jc w:val="left"/>
            </w:pPr>
            <w:r>
              <w:t xml:space="preserve">D</w:t>
            </w:r>
          </w:p>
        </w:tc>
        <w:tc>
          <w:tcPr/>
          <w:p>
            <w:pPr>
              <w:pStyle w:val="Compact"/>
              <w:jc w:val="left"/>
            </w:pPr>
            <w:r>
              <w:t xml:space="preserve">Pinnacle Freight International Shipping and Logistics Plan (June 25, 2024)</w:t>
            </w:r>
          </w:p>
        </w:tc>
      </w:tr>
      <w:tr>
        <w:tc>
          <w:tcPr/>
          <w:p>
            <w:pPr>
              <w:pStyle w:val="Compact"/>
              <w:jc w:val="left"/>
            </w:pPr>
            <w:r>
              <w:t xml:space="preserve">E</w:t>
            </w:r>
          </w:p>
        </w:tc>
        <w:tc>
          <w:tcPr/>
          <w:p>
            <w:pPr>
              <w:pStyle w:val="Compact"/>
              <w:jc w:val="left"/>
            </w:pPr>
            <w:r>
              <w:t xml:space="preserve">WHO Syria Country Office, Comprehensive Health Needs Assessment (Jan. 2024), Section 4.7</w:t>
            </w:r>
          </w:p>
        </w:tc>
      </w:tr>
      <w:tr>
        <w:tc>
          <w:tcPr/>
          <w:p>
            <w:pPr>
              <w:pStyle w:val="Compact"/>
              <w:jc w:val="left"/>
            </w:pPr>
            <w:r>
              <w:t xml:space="preserve">F</w:t>
            </w:r>
          </w:p>
        </w:tc>
        <w:tc>
          <w:tcPr/>
          <w:p>
            <w:pPr>
              <w:pStyle w:val="Compact"/>
              <w:jc w:val="left"/>
            </w:pPr>
            <w:r>
              <w:t xml:space="preserve">OFAC Specific License No. SYR-2021-384712 (Sept. 14, 2021)</w:t>
            </w:r>
          </w:p>
        </w:tc>
      </w:tr>
      <w:tr>
        <w:tc>
          <w:tcPr/>
          <w:p>
            <w:pPr>
              <w:pStyle w:val="Compact"/>
              <w:jc w:val="left"/>
            </w:pPr>
            <w:r>
              <w:t xml:space="preserve">G</w:t>
            </w:r>
          </w:p>
        </w:tc>
        <w:tc>
          <w:tcPr/>
          <w:p>
            <w:pPr>
              <w:pStyle w:val="Compact"/>
              <w:jc w:val="left"/>
            </w:pPr>
            <w:r>
              <w:t xml:space="preserve">Graystone Compliance Partners LLC, OFAC Compliance Program Audit Executive Summary (Sept. 29, 2023)</w:t>
            </w:r>
          </w:p>
        </w:tc>
      </w:tr>
      <w:tr>
        <w:tc>
          <w:tcPr/>
          <w:p>
            <w:pPr>
              <w:pStyle w:val="Compact"/>
              <w:jc w:val="left"/>
            </w:pPr>
            <w:r>
              <w:t xml:space="preserve">H</w:t>
            </w:r>
          </w:p>
        </w:tc>
        <w:tc>
          <w:tcPr/>
          <w:p>
            <w:pPr>
              <w:pStyle w:val="Compact"/>
              <w:jc w:val="left"/>
            </w:pPr>
            <w:r>
              <w:t xml:space="preserve">Meridian End-Use Monitoring Plan (to be submitted)</w:t>
            </w:r>
          </w:p>
        </w:tc>
      </w:tr>
      <w:tr>
        <w:tc>
          <w:tcPr/>
          <w:p>
            <w:pPr>
              <w:pStyle w:val="Compact"/>
              <w:jc w:val="left"/>
            </w:pPr>
            <w:r>
              <w:t xml:space="preserve">I</w:t>
            </w:r>
          </w:p>
        </w:tc>
        <w:tc>
          <w:tcPr/>
          <w:p>
            <w:pPr>
              <w:pStyle w:val="Compact"/>
              <w:jc w:val="left"/>
            </w:pPr>
            <w:r>
              <w:t xml:space="preserve">Consolidated Party Screening Matrix</w:t>
            </w:r>
          </w:p>
        </w:tc>
      </w:tr>
    </w:tbl>
    <w:bookmarkEnd w:id="39"/>
    <w:bookmarkStart w:id="40" w:name="xv.-certification-and-signature"/>
    <w:p>
      <w:pPr>
        <w:pStyle w:val="Heading2"/>
      </w:pPr>
      <w:r>
        <w:t xml:space="preserve">XV. Certification and Signature</w:t>
      </w:r>
    </w:p>
    <w:p>
      <w:pPr>
        <w:pStyle w:val="FirstParagraph"/>
      </w:pPr>
      <w:r>
        <w:t xml:space="preserve">The Applicant certifies that the foregoing application is true, complete, and accurate to the best of its knowledge and belief, and that it will comply with all conditions of any license issued pursuant to this application. The Applicant understands that any false, incomplete, or misleading statement may result in denial of the application, revocation of any license issued, and the imposition of civil or criminal penalties.</w:t>
      </w:r>
    </w:p>
    <w:p>
      <w:pPr>
        <w:pStyle w:val="BodyText"/>
      </w:pPr>
      <w:r>
        <w:t xml:space="preserve">Respectfully submitted,</w:t>
      </w:r>
    </w:p>
    <w:p>
      <w:pPr>
        <w:pStyle w:val="BodyText"/>
      </w:pPr>
      <w:r>
        <w:rPr>
          <w:b/>
          <w:bCs/>
        </w:rPr>
        <w:t xml:space="preserve">MERIDIAN BIOTECH SOLUTIONS, INC.</w:t>
      </w:r>
    </w:p>
    <w:p>
      <w:pPr>
        <w:pStyle w:val="BodyText"/>
      </w:pPr>
      <w:r>
        <w:t xml:space="preserve">By: ____________________________</w:t>
      </w:r>
    </w:p>
    <w:p>
      <w:pPr>
        <w:pStyle w:val="BodyText"/>
      </w:pPr>
      <w:r>
        <w:t xml:space="preserve">Name: Jonathan D. Halsted</w:t>
      </w:r>
    </w:p>
    <w:p>
      <w:pPr>
        <w:pStyle w:val="BodyText"/>
      </w:pPr>
      <w:r>
        <w:t xml:space="preserve">Title: General Counsel</w:t>
      </w:r>
    </w:p>
    <w:p>
      <w:pPr>
        <w:pStyle w:val="BodyText"/>
      </w:pPr>
      <w:r>
        <w:t xml:space="preserve">Date: July 1, 2024</w:t>
      </w:r>
    </w:p>
    <w:p>
      <w:pPr>
        <w:pStyle w:val="BodyText"/>
      </w:pPr>
      <w:r>
        <w:rPr>
          <w:b/>
          <w:bCs/>
        </w:rPr>
        <w:t xml:space="preserve">Authorized Outside Counsel:</w:t>
      </w:r>
    </w:p>
    <w:p>
      <w:pPr>
        <w:pStyle w:val="BodyText"/>
      </w:pPr>
      <w:r>
        <w:t xml:space="preserve">Ashford &amp; Whitmore LLP</w:t>
      </w:r>
    </w:p>
    <w:p>
      <w:pPr>
        <w:pStyle w:val="BodyText"/>
      </w:pPr>
      <w:r>
        <w:t xml:space="preserve">1700 K Street NW, Suite 950, Washington, DC 20006</w:t>
      </w:r>
    </w:p>
    <w:p>
      <w:pPr>
        <w:pStyle w:val="BodyText"/>
      </w:pPr>
      <w:r>
        <w:t xml:space="preserve">By: ____________________________</w:t>
      </w:r>
    </w:p>
    <w:p>
      <w:pPr>
        <w:pStyle w:val="BodyText"/>
      </w:pPr>
      <w:r>
        <w:t xml:space="preserve">Name: Catherine R. Bellingham</w:t>
      </w:r>
    </w:p>
    <w:p>
      <w:pPr>
        <w:pStyle w:val="BodyText"/>
      </w:pPr>
      <w:r>
        <w:t xml:space="preserve">Title: Partner</w:t>
      </w:r>
    </w:p>
    <w:p>
      <w:pPr>
        <w:pStyle w:val="BodyText"/>
      </w:pPr>
      <w:r>
        <w:t xml:space="preserve">Date: July 1, 2024</w:t>
      </w:r>
    </w:p>
    <w:p>
      <w:r>
        <w:pict>
          <v:rect style="width:0;height:1.5pt" o:hralign="center" o:hrstd="t" o:hr="t"/>
        </w:pict>
      </w:r>
    </w:p>
    <w:p>
      <w:pPr>
        <w:pStyle w:val="FirstParagraph"/>
      </w:pPr>
      <w:r>
        <w:rPr>
          <w:i/>
          <w:iCs/>
        </w:rPr>
        <w:t xml:space="preserve">This application is submitted pursuant to the authority vested in the Secretary of the Treasury under the International Emergency Economic Powers Act (50 U.S.C. §§ 1701–1706), Executive Order 13582 of August 17, 2011, and the Syrian Sanctions Regulations, 31 C.F.R. Part 542. Communications concerning this application should be directed to Ashford &amp; Whitmore LLP, Attention: Catherine R. Bellingham, Esq. / David Osei-Mensah, Esq.</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2026-06-28T18:26:03Z</dcterms:created>
  <dcterms:modified xsi:type="dcterms:W3CDTF">2026-06-28T18:26:03Z</dcterms:modified>
</cp:coreProperties>
</file>

<file path=docProps/custom.xml><?xml version="1.0" encoding="utf-8"?>
<Properties xmlns="http://schemas.openxmlformats.org/officeDocument/2006/custom-properties" xmlns:vt="http://schemas.openxmlformats.org/officeDocument/2006/docPropsVTypes"/>
</file>