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Issues</w:t>
      </w:r>
      <w:r>
        <w:t xml:space="preserve"> </w:t>
      </w:r>
      <w:r>
        <w:t xml:space="preserve">Memorandum</w:t>
      </w:r>
      <w:r>
        <w:t xml:space="preserve"> </w:t>
      </w:r>
      <w:r>
        <w:t xml:space="preserve">—</w:t>
      </w:r>
      <w:r>
        <w:t xml:space="preserve"> </w:t>
      </w:r>
      <w:r>
        <w:t xml:space="preserve">Proposed</w:t>
      </w:r>
      <w:r>
        <w:t xml:space="preserve"> </w:t>
      </w:r>
      <w:r>
        <w:t xml:space="preserve">OFAC-Licensed</w:t>
      </w:r>
      <w:r>
        <w:t xml:space="preserve"> </w:t>
      </w:r>
      <w:r>
        <w:t xml:space="preserve">Export</w:t>
      </w:r>
      <w:r>
        <w:t xml:space="preserve"> </w:t>
      </w:r>
      <w:r>
        <w:t xml:space="preserve">of</w:t>
      </w:r>
      <w:r>
        <w:t xml:space="preserve"> </w:t>
      </w:r>
      <w:r>
        <w:t xml:space="preserve">Cancer</w:t>
      </w:r>
      <w:r>
        <w:t xml:space="preserve"> </w:t>
      </w:r>
      <w:r>
        <w:t xml:space="preserve">Diagnostic</w:t>
      </w:r>
      <w:r>
        <w:t xml:space="preserve"> </w:t>
      </w:r>
      <w:r>
        <w:t xml:space="preserve">Products</w:t>
      </w:r>
      <w:r>
        <w:t xml:space="preserve"> </w:t>
      </w:r>
      <w:r>
        <w:t xml:space="preserve">to</w:t>
      </w:r>
      <w:r>
        <w:t xml:space="preserve"> </w:t>
      </w:r>
      <w:r>
        <w:t xml:space="preserve">Damascus</w:t>
      </w:r>
      <w:r>
        <w:t xml:space="preserve"> </w:t>
      </w:r>
      <w:r>
        <w:t xml:space="preserve">Central</w:t>
      </w:r>
      <w:r>
        <w:t xml:space="preserve"> </w:t>
      </w:r>
      <w:r>
        <w:t xml:space="preserve">University</w:t>
      </w:r>
      <w:r>
        <w:t xml:space="preserve"> </w:t>
      </w:r>
      <w:r>
        <w:t xml:space="preserve">Hospital</w:t>
      </w:r>
    </w:p>
    <w:bookmarkStart w:id="37" w:name="Xb00a8ce9f01252ee933d31ffed2c10f1672bce1"/>
    <w:p>
      <w:pPr>
        <w:pStyle w:val="Heading1"/>
      </w:pPr>
      <w:r>
        <w:t xml:space="preserve">PRIVILEGED &amp; CONFIDENTIAL — ATTORNEY-CLIENT COMMUNICATION / ATTORNEY WORK PRODUCT</w:t>
      </w:r>
    </w:p>
    <w:p>
      <w:pPr>
        <w:pStyle w:val="FirstParagraph"/>
      </w:pPr>
      <w:r>
        <w:rPr>
          <w:b/>
          <w:bCs/>
        </w:rPr>
        <w:t xml:space="preserve">ASHFORD &amp; WHITMORE LLP</w:t>
      </w:r>
      <w:r>
        <w:t xml:space="preserve"> </w:t>
      </w:r>
      <w:r>
        <w:t xml:space="preserve">1700 K Street NW, Suite 950, Washington, DC 20006</w:t>
      </w:r>
    </w:p>
    <w:bookmarkStart w:id="20" w:name="memorandum"/>
    <w:p>
      <w:pPr>
        <w:pStyle w:val="Heading2"/>
      </w:pPr>
      <w:r>
        <w:t xml:space="preserve">MEMORANDUM</w:t>
      </w:r>
    </w:p>
    <w:p>
      <w:pPr>
        <w:pStyle w:val="FirstParagraph"/>
      </w:pPr>
      <w:r>
        <w:rPr>
          <w:b/>
          <w:bCs/>
        </w:rPr>
        <w:t xml:space="preserve">TO:</w:t>
      </w:r>
      <w:r>
        <w:t xml:space="preserve"> </w:t>
      </w:r>
      <w:r>
        <w:t xml:space="preserve">Jonathan D. Halsted, General Counsel, Meridian Biotech Solutions, Inc.; Margaret</w:t>
      </w:r>
      <w:r>
        <w:t xml:space="preserve"> </w:t>
      </w:r>
      <w:r>
        <w:t xml:space="preserve">“</w:t>
      </w:r>
      <w:r>
        <w:t xml:space="preserve">Peggy</w:t>
      </w:r>
      <w:r>
        <w:t xml:space="preserve">”</w:t>
      </w:r>
      <w:r>
        <w:t xml:space="preserve"> </w:t>
      </w:r>
      <w:r>
        <w:t xml:space="preserve">Dunleavy, Chief Compliance Officer, Meridian Biotech Solutions, Inc.</w:t>
      </w:r>
    </w:p>
    <w:p>
      <w:pPr>
        <w:pStyle w:val="BodyText"/>
      </w:pPr>
      <w:r>
        <w:rPr>
          <w:b/>
          <w:bCs/>
        </w:rPr>
        <w:t xml:space="preserve">FROM:</w:t>
      </w:r>
      <w:r>
        <w:t xml:space="preserve"> </w:t>
      </w:r>
      <w:r>
        <w:t xml:space="preserve">Catherine R. Bellingham, Partner; David Osei-Mensah, Senior Associate — Ashford &amp; Whitmore LLP</w:t>
      </w:r>
    </w:p>
    <w:p>
      <w:pPr>
        <w:pStyle w:val="BodyText"/>
      </w:pPr>
      <w:r>
        <w:rPr>
          <w:b/>
          <w:bCs/>
        </w:rPr>
        <w:t xml:space="preserve">DATE:</w:t>
      </w:r>
      <w:r>
        <w:t xml:space="preserve"> </w:t>
      </w:r>
      <w:r>
        <w:t xml:space="preserve">July 8, 2024</w:t>
      </w:r>
    </w:p>
    <w:p>
      <w:pPr>
        <w:pStyle w:val="BodyText"/>
      </w:pPr>
      <w:r>
        <w:rPr>
          <w:b/>
          <w:bCs/>
        </w:rPr>
        <w:t xml:space="preserve">RE:</w:t>
      </w:r>
      <w:r>
        <w:t xml:space="preserve"> </w:t>
      </w:r>
      <w:r>
        <w:t xml:space="preserve">Legal Issues Analysis — Proposed OFAC Specific License Application for the Export of CancerDetect RX-700 Reagent Kits, CalibPro 3100 Calibration Units, and Related Remote Training Services to Damascus Central University Hospital (DCUH), Damascus, Syria</w:t>
      </w:r>
    </w:p>
    <w:p>
      <w:pPr>
        <w:pStyle w:val="BodyText"/>
      </w:pPr>
      <w:r>
        <w:rPr>
          <w:b/>
          <w:bCs/>
        </w:rPr>
        <w:t xml:space="preserve">PRIVILEGE NOTE:</w:t>
      </w:r>
      <w:r>
        <w:t xml:space="preserve"> </w:t>
      </w:r>
      <w:r>
        <w:t xml:space="preserve">This memorandum is prepared by outside counsel in anticipation of the filing of an OFAC specific license application and for the purpose of providing legal advice to Meridian Biotech Solutions,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It is protected by the attorney-client privilege and the attorney work product doctrine. It should not be distributed beyond the named recipients without the prior written consent of Ashford &amp; Whitmore LLP.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transaction materials you provided — including your June 24, 2024 email summary, the DCUH Purchase Order (PO-DCUH-2024-0743), Peggy Dunleavy’s June 10, 2024 compliance screening memorandum, the product technical data sheets, the Pinnacle shipping and logistics plan, the WHO Syria needs assessment, the prior OFAC license (SYR-2021-384712), and the Graystone compliance audit — and we have prepared and are filing today an OFAC specific license application on Meridian’s behalf.</w:t>
      </w:r>
    </w:p>
    <w:p>
      <w:pPr>
        <w:pStyle w:val="BodyText"/>
      </w:pPr>
      <w:r>
        <w:rPr>
          <w:b/>
          <w:bCs/>
        </w:rPr>
        <w:t xml:space="preserve">Bottom line.</w:t>
      </w:r>
      <w:r>
        <w:t xml:space="preserve"> </w:t>
      </w:r>
      <w:r>
        <w:t xml:space="preserve">The transaction is a strong candidate for a specific license: it is a humanitarian export of EAR99 medical diagnostic goods to a public hospital, it directly implements recommendations of a WHO needs assessment, and Meridian has a clean, demonstrated track record under a comparable prior license. However, the transaction as presented in the Purchase Order has</w:t>
      </w:r>
      <w:r>
        <w:t xml:space="preserve"> </w:t>
      </w:r>
      <w:r>
        <w:rPr>
          <w:b/>
          <w:bCs/>
        </w:rPr>
        <w:t xml:space="preserve">two material sanctions problems that must be restructured before it can proceed</w:t>
      </w:r>
      <w:r>
        <w:t xml:space="preserve">, and several additional issues that must be addressed in the application and in parallel BIS diligence. We have restructured the transaction in the application to address the two principal problems, but both require your active follow-through.</w:t>
      </w:r>
    </w:p>
    <w:p>
      <w:pPr>
        <w:pStyle w:val="BodyText"/>
      </w:pPr>
      <w:r>
        <w:t xml:space="preserve">The two principal problems are:</w:t>
      </w:r>
    </w:p>
    <w:p>
      <w:pPr>
        <w:numPr>
          <w:ilvl w:val="0"/>
          <w:numId w:val="1001"/>
        </w:numPr>
      </w:pPr>
      <w:r>
        <w:rPr>
          <w:b/>
          <w:bCs/>
        </w:rPr>
        <w:t xml:space="preserve">SDN-listed remitting bank.</w:t>
      </w:r>
      <w:r>
        <w:t xml:space="preserve"> </w:t>
      </w:r>
      <w:r>
        <w:t xml:space="preserve">The Purchase Order routes payment through the</w:t>
      </w:r>
      <w:r>
        <w:t xml:space="preserve"> </w:t>
      </w:r>
      <w:r>
        <w:rPr>
          <w:b/>
          <w:bCs/>
        </w:rPr>
        <w:t xml:space="preserve">Central Bank of Calverley (CBS)</w:t>
      </w:r>
      <w:r>
        <w:t xml:space="preserve">, which has been on the SDN List since August 10, 2011. Payment through CBS is prohibited and would expose Meridian and Harborview National Bank to blocking and enforcement risk. The application requests authorization for payment through a non-SDN-listed institution instead.</w:t>
      </w:r>
      <w:r>
        <w:t xml:space="preserve"> </w:t>
      </w:r>
      <w:r>
        <w:rPr>
          <w:b/>
          <w:bCs/>
        </w:rPr>
        <w:t xml:space="preserve">You must work with DCUH to identify and screen a compliant remitting bank before any payment is accepted.</w:t>
      </w:r>
    </w:p>
    <w:p>
      <w:pPr>
        <w:numPr>
          <w:ilvl w:val="0"/>
          <w:numId w:val="1001"/>
        </w:numPr>
      </w:pPr>
      <w:r>
        <w:rPr>
          <w:b/>
          <w:bCs/>
        </w:rPr>
        <w:t xml:space="preserve">SDN-listed minority shareholder in the customs agent.</w:t>
      </w:r>
      <w:r>
        <w:t xml:space="preserve"> </w:t>
      </w:r>
      <w:r>
        <w:rPr>
          <w:b/>
          <w:bCs/>
        </w:rPr>
        <w:t xml:space="preserve">Samir Daoud Khoury</w:t>
      </w:r>
      <w:r>
        <w:t xml:space="preserve">, a 30% shareholder of the designated customs clearance agent</w:t>
      </w:r>
      <w:r>
        <w:t xml:space="preserve"> </w:t>
      </w:r>
      <w:r>
        <w:rPr>
          <w:b/>
          <w:bCs/>
        </w:rPr>
        <w:t xml:space="preserve">Al-Rashid Medical Procurement Company (ARMPC)</w:t>
      </w:r>
      <w:r>
        <w:t xml:space="preserve">, was added to the SDN List on April 15, 2024 for</w:t>
      </w:r>
      <w:r>
        <w:t xml:space="preserve"> </w:t>
      </w:r>
      <w:r>
        <w:t xml:space="preserve">“</w:t>
      </w:r>
      <w:r>
        <w:t xml:space="preserve">acting on behalf of a sanctioned Syrian military procurement network.</w:t>
      </w:r>
      <w:r>
        <w:t xml:space="preserve">”</w:t>
      </w:r>
      <w:r>
        <w:t xml:space="preserve"> </w:t>
      </w:r>
      <w:r>
        <w:t xml:space="preserve">Although ARMPC is not blocked under the 50 Percent Rule (Khoury’s stake is below 50%), the designation basis is a serious aggravating factor. The application leads with</w:t>
      </w:r>
      <w:r>
        <w:t xml:space="preserve"> </w:t>
      </w:r>
      <w:r>
        <w:rPr>
          <w:b/>
          <w:bCs/>
        </w:rPr>
        <w:t xml:space="preserve">removal of ARMPC and substitution of a clean agent</w:t>
      </w:r>
      <w:r>
        <w:t xml:space="preserve">.</w:t>
      </w:r>
      <w:r>
        <w:t xml:space="preserve"> </w:t>
      </w:r>
      <w:r>
        <w:rPr>
          <w:b/>
          <w:bCs/>
        </w:rPr>
        <w:t xml:space="preserve">You must work with DCUH to identify a substitute customs clearance agent with no SDN nexus.</w:t>
      </w:r>
    </w:p>
    <w:p>
      <w:pPr>
        <w:pStyle w:val="FirstParagraph"/>
      </w:pPr>
      <w:r>
        <w:t xml:space="preserve">Additional issues addressed below include: the governmental end-user status of DCUH (Part IV); the need for a parallel BIS authorization under the EAR Syria embargo (Part V); technology-transfer and deemed-export considerations arising from the remote training and the CalibPro firmware (Part VI); end-use monitoring and diversion controls (Part VII); the border-crossing and routing diligence item (Part VIII); license term and timing (Part IX); and reporting, recordkeeping, and re-screening obligations (Part X).</w:t>
      </w:r>
    </w:p>
    <w:p>
      <w:pPr>
        <w:pStyle w:val="BodyText"/>
      </w:pPr>
      <w:r>
        <w:t xml:space="preserve">Our overall risk assessment is</w:t>
      </w:r>
      <w:r>
        <w:t xml:space="preserve"> </w:t>
      </w:r>
      <w:r>
        <w:rPr>
          <w:b/>
          <w:bCs/>
        </w:rPr>
        <w:t xml:space="preserve">Moderate</w:t>
      </w:r>
      <w:r>
        <w:t xml:space="preserve">, trending favorable on issuance</w:t>
      </w:r>
      <w:r>
        <w:t xml:space="preserve"> </w:t>
      </w:r>
      <w:r>
        <w:rPr>
          <w:b/>
          <w:bCs/>
        </w:rPr>
        <w:t xml:space="preserve">if</w:t>
      </w:r>
      <w:r>
        <w:t xml:space="preserve"> </w:t>
      </w:r>
      <w:r>
        <w:t xml:space="preserve">the two restructuring items are satisfactorily resolved. The humanitarian character of the goods, the WHO support, and the prior license history are strong favorable factors. The SDN-adjacent customs agent and the SDN remitting bank are the principal hurdles, and the Khoury designation basis (military procurement network) is the single factor most likely to slow or complicate OFAC’s review.</w:t>
      </w:r>
    </w:p>
    <w:p>
      <w:r>
        <w:pict>
          <v:rect style="width:0;height:1.5pt" o:hralign="center" o:hrstd="t" o:hr="t"/>
        </w:pict>
      </w:r>
    </w:p>
    <w:bookmarkEnd w:id="21"/>
    <w:bookmarkStart w:id="22" w:name="ii.-background-and-transaction-summary"/>
    <w:p>
      <w:pPr>
        <w:pStyle w:val="Heading2"/>
      </w:pPr>
      <w:r>
        <w:t xml:space="preserve">II. BACKGROUND AND TRANSACTION SUMMARY</w:t>
      </w:r>
    </w:p>
    <w:p>
      <w:pPr>
        <w:pStyle w:val="FirstParagraph"/>
      </w:pPr>
      <w:r>
        <w:t xml:space="preserve">Meridian proposes to export the following to DCUH, the largest remaining oncology referral center in Syria (a public teaching hospital under the Syrian Ministry of Health, affiliated with the University of Damascus Faculty of Medicine, directed by Dr. Faisal Kareem Al-Masri):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Qty</w:t>
            </w:r>
          </w:p>
        </w:tc>
        <w:tc>
          <w:tcPr/>
          <w:p>
            <w:pPr>
              <w:pStyle w:val="Compact"/>
              <w:jc w:val="left"/>
            </w:pPr>
            <w:r>
              <w:t xml:space="preserve">Unit Price</w:t>
            </w:r>
          </w:p>
        </w:tc>
        <w:tc>
          <w:tcPr/>
          <w:p>
            <w:pPr>
              <w:pStyle w:val="Compact"/>
              <w:jc w:val="left"/>
            </w:pPr>
            <w:r>
              <w:t xml:space="preserve">Subtotal</w:t>
            </w:r>
          </w:p>
        </w:tc>
        <w:tc>
          <w:tcPr/>
          <w:p>
            <w:pPr>
              <w:pStyle w:val="Compact"/>
              <w:jc w:val="left"/>
            </w:pPr>
            <w:r>
              <w:t xml:space="preserve">ECCN</w:t>
            </w:r>
          </w:p>
        </w:tc>
        <w:tc>
          <w:tcPr/>
          <w:p>
            <w:pPr>
              <w:pStyle w:val="Compact"/>
              <w:jc w:val="left"/>
            </w:pPr>
            <w:r>
              <w:t xml:space="preserve">HTS</w:t>
            </w:r>
          </w:p>
        </w:tc>
      </w:tr>
      <w:tr>
        <w:tc>
          <w:tcPr/>
          <w:p>
            <w:pPr>
              <w:pStyle w:val="Compact"/>
              <w:jc w:val="left"/>
            </w:pPr>
            <w:r>
              <w:t xml:space="preserve">CancerDetect RX-700 Reagent Kit (HER2/ER/PR IHC; FDA 510(k) K213847; validated for Ventana BenchMark XT)</w:t>
            </w:r>
          </w:p>
        </w:tc>
        <w:tc>
          <w:tcPr/>
          <w:p>
            <w:pPr>
              <w:pStyle w:val="Compact"/>
              <w:jc w:val="left"/>
            </w:pPr>
            <w:r>
              <w:t xml:space="preserve">500</w:t>
            </w:r>
          </w:p>
        </w:tc>
        <w:tc>
          <w:tcPr/>
          <w:p>
            <w:pPr>
              <w:pStyle w:val="Compact"/>
              <w:jc w:val="left"/>
            </w:pPr>
            <w:r>
              <w:t xml:space="preserve">$2,340</w:t>
            </w:r>
          </w:p>
        </w:tc>
        <w:tc>
          <w:tcPr/>
          <w:p>
            <w:pPr>
              <w:pStyle w:val="Compact"/>
              <w:jc w:val="left"/>
            </w:pPr>
            <w:r>
              <w:t xml:space="preserve">$1,170,000</w:t>
            </w:r>
          </w:p>
        </w:tc>
        <w:tc>
          <w:tcPr/>
          <w:p>
            <w:pPr>
              <w:pStyle w:val="Compact"/>
              <w:jc w:val="left"/>
            </w:pPr>
            <w:r>
              <w:t xml:space="preserve">EAR99</w:t>
            </w:r>
          </w:p>
        </w:tc>
        <w:tc>
          <w:tcPr/>
          <w:p>
            <w:pPr>
              <w:pStyle w:val="Compact"/>
              <w:jc w:val="left"/>
            </w:pPr>
            <w:r>
              <w:t xml:space="preserve">3822.19.5000</w:t>
            </w:r>
          </w:p>
        </w:tc>
      </w:tr>
      <w:tr>
        <w:tc>
          <w:tcPr/>
          <w:p>
            <w:pPr>
              <w:pStyle w:val="Compact"/>
              <w:jc w:val="left"/>
            </w:pPr>
            <w:r>
              <w:t xml:space="preserve">CalibPro 3100 Calibration Unit (benchtop; 220V; embedded firmware v4.2.1; AES-128 data-integrity encryption below de minimis)</w:t>
            </w:r>
          </w:p>
        </w:tc>
        <w:tc>
          <w:tcPr/>
          <w:p>
            <w:pPr>
              <w:pStyle w:val="Compact"/>
              <w:jc w:val="left"/>
            </w:pPr>
            <w:r>
              <w:t xml:space="preserve">4</w:t>
            </w:r>
          </w:p>
        </w:tc>
        <w:tc>
          <w:tcPr/>
          <w:p>
            <w:pPr>
              <w:pStyle w:val="Compact"/>
              <w:jc w:val="left"/>
            </w:pPr>
            <w:r>
              <w:t xml:space="preserve">$18,750</w:t>
            </w:r>
          </w:p>
        </w:tc>
        <w:tc>
          <w:tcPr/>
          <w:p>
            <w:pPr>
              <w:pStyle w:val="Compact"/>
              <w:jc w:val="left"/>
            </w:pPr>
            <w:r>
              <w:t xml:space="preserve">$75,000</w:t>
            </w:r>
          </w:p>
        </w:tc>
        <w:tc>
          <w:tcPr/>
          <w:p>
            <w:pPr>
              <w:pStyle w:val="Compact"/>
              <w:jc w:val="left"/>
            </w:pPr>
            <w:r>
              <w:t xml:space="preserve">EAR99</w:t>
            </w:r>
          </w:p>
        </w:tc>
        <w:tc>
          <w:tcPr/>
          <w:p>
            <w:pPr>
              <w:pStyle w:val="Compact"/>
              <w:jc w:val="left"/>
            </w:pPr>
            <w:r>
              <w:t xml:space="preserve">9027.80.4530</w:t>
            </w:r>
          </w:p>
        </w:tc>
      </w:tr>
      <w:tr>
        <w:tc>
          <w:tcPr/>
          <w:p>
            <w:pPr>
              <w:pStyle w:val="Compact"/>
              <w:jc w:val="left"/>
            </w:pPr>
            <w:r>
              <w:t xml:space="preserve">Remote Installation &amp; Calibration Training (40 hrs / 8 weeks; secure video link from Cambridge; no travel)</w:t>
            </w:r>
          </w:p>
        </w:tc>
        <w:tc>
          <w:tcPr/>
          <w:p>
            <w:pPr>
              <w:pStyle w:val="Compact"/>
              <w:jc w:val="left"/>
            </w:pPr>
            <w:r>
              <w:t xml:space="preserve">1</w:t>
            </w:r>
          </w:p>
        </w:tc>
        <w:tc>
          <w:tcPr/>
          <w:p>
            <w:pPr>
              <w:pStyle w:val="Compact"/>
              <w:jc w:val="left"/>
            </w:pPr>
            <w:r>
              <w:t xml:space="preserve">$35,000</w:t>
            </w:r>
          </w:p>
        </w:tc>
        <w:tc>
          <w:tcPr/>
          <w:p>
            <w:pPr>
              <w:pStyle w:val="Compact"/>
              <w:jc w:val="left"/>
            </w:pPr>
            <w:r>
              <w:t xml:space="preserve">$35,000</w:t>
            </w:r>
          </w:p>
        </w:tc>
        <w:tc>
          <w:tcPr/>
          <w:p>
            <w:pPr>
              <w:pStyle w:val="Compact"/>
              <w:jc w:val="left"/>
            </w:pPr>
            <w:r>
              <w:t xml:space="preserve">N/A (services)</w:t>
            </w:r>
          </w:p>
        </w:tc>
        <w:tc>
          <w:tcPr/>
          <w:p>
            <w:pPr>
              <w:pStyle w:val="Compact"/>
              <w:jc w:val="left"/>
            </w:pPr>
            <w:r>
              <w:t xml:space="preserve">N/A</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$1,280,000</w:t>
            </w:r>
          </w:p>
        </w:tc>
        <w:tc>
          <w:tcPr/>
          <w:p>
            <w:pPr>
              <w:pStyle w:val="Compact"/>
            </w:pPr>
          </w:p>
        </w:tc>
        <w:tc>
          <w:tcPr/>
          <w:p>
            <w:pPr>
              <w:pStyle w:val="Compact"/>
            </w:pPr>
          </w:p>
        </w:tc>
      </w:tr>
    </w:tbl>
    <w:p>
      <w:pPr>
        <w:pStyle w:val="BodyText"/>
      </w:pPr>
      <w:r>
        <w:rPr>
          <w:b/>
          <w:bCs/>
        </w:rPr>
        <w:t xml:space="preserve">Shipping route (5 legs):</w:t>
      </w:r>
      <w:r>
        <w:t xml:space="preserve"> </w:t>
      </w:r>
      <w:r>
        <w:t xml:space="preserve">Cambridge, MA → Port Newark, NJ (refrigerated truck) → Mersin Port, Turkey (ocean reefer, 2–8 °C) → Ankara, AMTW warehouse (cold storage) → Bab al-Hawa border crossing → Damascus, DCUH. Estimated 30–42 days; plan for 6–8 weeks. Incoterms DAP Damascus. Cold-chain required for the reagent kits throughout.</w:t>
      </w:r>
    </w:p>
    <w:p>
      <w:pPr>
        <w:pStyle w:val="BodyText"/>
      </w:pPr>
      <w:r>
        <w:rPr>
          <w:b/>
          <w:bCs/>
        </w:rPr>
        <w:t xml:space="preserve">Logistics parties:</w:t>
      </w:r>
      <w:r>
        <w:t xml:space="preserve"> </w:t>
      </w:r>
      <w:r>
        <w:t xml:space="preserve">Pinnacle Freight International, Inc. (U.S. freight forwarder; clean) and Ankara Medical Transit Warehouse LLC / Elif Yılmaz (Turkish intermediary; clean). Syrian customs clearance and in-country delivery: ARMPC (designated in the PO) —</w:t>
      </w:r>
      <w:r>
        <w:t xml:space="preserve"> </w:t>
      </w:r>
      <w:r>
        <w:rPr>
          <w:b/>
          <w:bCs/>
        </w:rPr>
        <w:t xml:space="preserve">to be replaced</w:t>
      </w:r>
      <w:r>
        <w:t xml:space="preserve"> </w:t>
      </w:r>
      <w:r>
        <w:t xml:space="preserve">(see Part VIII).</w:t>
      </w:r>
    </w:p>
    <w:p>
      <w:pPr>
        <w:pStyle w:val="BodyText"/>
      </w:pPr>
      <w:r>
        <w:rPr>
          <w:b/>
          <w:bCs/>
        </w:rPr>
        <w:t xml:space="preserve">Payment (per PO):</w:t>
      </w:r>
      <w:r>
        <w:t xml:space="preserve"> </w:t>
      </w:r>
      <w:r>
        <w:t xml:space="preserve">100% advance wire, 15 business days pre-shipment, from DCUH’s account at the Central Bank of Calverley to Meridian’s account at Harborview National Bank, Boston (Acct. No. 7821-4490-3361).</w:t>
      </w:r>
      <w:r>
        <w:t xml:space="preserve"> </w:t>
      </w:r>
      <w:r>
        <w:rPr>
          <w:b/>
          <w:bCs/>
        </w:rPr>
        <w:t xml:space="preserve">CBS is SDN-listed — to be replaced</w:t>
      </w:r>
      <w:r>
        <w:t xml:space="preserve"> </w:t>
      </w:r>
      <w:r>
        <w:t xml:space="preserve">(see Part VII).</w:t>
      </w:r>
    </w:p>
    <w:p>
      <w:pPr>
        <w:pStyle w:val="BodyText"/>
      </w:pPr>
      <w:r>
        <w:rPr>
          <w:b/>
          <w:bCs/>
        </w:rPr>
        <w:t xml:space="preserve">Prior license:</w:t>
      </w:r>
      <w:r>
        <w:t xml:space="preserve"> </w:t>
      </w:r>
      <w:r>
        <w:t xml:space="preserve">SYR-2021-384712 (issued Sept. 14, 2021; expired Mar. 31, 2023) — authorized export of 200 TBDetect Pro-200 TB diagnostic kits ($340,000) to Al-Mujtahid Hospital, Damascus. Completed by Jan. 2023; no violations; payment authorized via a non-SDN Syrian commercial bank, expressly not through CBS.</w:t>
      </w:r>
    </w:p>
    <w:p>
      <w:pPr>
        <w:pStyle w:val="BodyText"/>
      </w:pPr>
      <w:r>
        <w:rPr>
          <w:b/>
          <w:bCs/>
        </w:rPr>
        <w:t xml:space="preserve">Compliance program:</w:t>
      </w:r>
      <w:r>
        <w:t xml:space="preserve"> </w:t>
      </w:r>
      <w:r>
        <w:t xml:space="preserve">In place since 2015; audited by Graystone in Sept. 2023 (</w:t>
      </w:r>
      <w:r>
        <w:t xml:space="preserve">“</w:t>
      </w:r>
      <w:r>
        <w:t xml:space="preserve">Satisfactory with Recommendations</w:t>
      </w:r>
      <w:r>
        <w:t xml:space="preserve">”</w:t>
      </w:r>
      <w:r>
        <w:t xml:space="preserve">); enhanced real-time beneficial ownership screening implemented Jan. 2024 (the enhancement that surfaced the Khoury issue); no enforcement history.</w:t>
      </w:r>
    </w:p>
    <w:p>
      <w:pPr>
        <w:pStyle w:val="BodyText"/>
      </w:pPr>
      <w:r>
        <w:rPr>
          <w:b/>
          <w:bCs/>
        </w:rPr>
        <w:t xml:space="preserve">Requested license term:</w:t>
      </w:r>
      <w:r>
        <w:t xml:space="preserve"> </w:t>
      </w:r>
      <w:r>
        <w:t xml:space="preserve">Effective upon issuance through February 28, 2026 (18-month window). Client’s operational target was a September 1, 2024 effective date — see Part IX for the timing issue.</w:t>
      </w:r>
    </w:p>
    <w:p>
      <w:r>
        <w:pict>
          <v:rect style="width:0;height:1.5pt" o:hralign="center" o:hrstd="t" o:hr="t"/>
        </w:pict>
      </w:r>
    </w:p>
    <w:bookmarkEnd w:id="22"/>
    <w:bookmarkStart w:id="23" w:name="iii.-legal-framework"/>
    <w:p>
      <w:pPr>
        <w:pStyle w:val="Heading2"/>
      </w:pPr>
      <w:r>
        <w:t xml:space="preserve">III. LEGAL FRAMEWORK</w:t>
      </w:r>
    </w:p>
    <w:p>
      <w:pPr>
        <w:pStyle w:val="FirstParagraph"/>
      </w:pPr>
      <w:r>
        <w:t xml:space="preserve">The transaction is governed principally by the following authorities:</w:t>
      </w:r>
    </w:p>
    <w:p>
      <w:pPr>
        <w:pStyle w:val="Compact"/>
        <w:numPr>
          <w:ilvl w:val="0"/>
          <w:numId w:val="1002"/>
        </w:numPr>
      </w:pPr>
      <w:r>
        <w:rPr>
          <w:b/>
          <w:bCs/>
        </w:rPr>
        <w:t xml:space="preserve">Syrian Sanctions Regulations, 31 C.F.R. Part 542 (SSR)</w:t>
      </w:r>
      <w:r>
        <w:t xml:space="preserve">, implemented pursuant to the International Emergency Economic Powers Act (</w:t>
      </w:r>
      <w:r>
        <w:t xml:space="preserve">“</w:t>
      </w:r>
      <w:r>
        <w:t xml:space="preserve">IEEPA</w:t>
      </w:r>
      <w:r>
        <w:t xml:space="preserve">”</w:t>
      </w:r>
      <w:r>
        <w:t xml:space="preserve">), 50 U.S.C. §§ 1701–1706, and Executive Order 13582 of August 17, 2011 (</w:t>
      </w:r>
      <w:r>
        <w:t xml:space="preserve">“</w:t>
      </w:r>
      <w:r>
        <w:t xml:space="preserve">Blocking Property of the Government of Syria and Prohibiting Certain Transactions With Respect to Syria</w:t>
      </w:r>
      <w:r>
        <w:t xml:space="preserve">”</w:t>
      </w:r>
      <w:r>
        <w:t xml:space="preserve">). E.O. 13582 blocks the Government of Syria and prohibits the exportation, re-exportation, sale, or supply of any services to Syria, and of goods to Syria, except as authorized.</w:t>
      </w:r>
    </w:p>
    <w:p>
      <w:pPr>
        <w:pStyle w:val="Compact"/>
        <w:numPr>
          <w:ilvl w:val="0"/>
          <w:numId w:val="1002"/>
        </w:numPr>
      </w:pPr>
      <w:r>
        <w:rPr>
          <w:b/>
          <w:bCs/>
        </w:rPr>
        <w:t xml:space="preserve">OFAC’s 50 Percent Rule</w:t>
      </w:r>
      <w:r>
        <w:t xml:space="preserve"> </w:t>
      </w:r>
      <w:r>
        <w:t xml:space="preserve">(guidance and 31 C.F.R. § 542.412 / OFAC’s</w:t>
      </w:r>
      <w:r>
        <w:t xml:space="preserve"> </w:t>
      </w:r>
      <w:r>
        <w:t xml:space="preserve">“</w:t>
      </w:r>
      <w:r>
        <w:t xml:space="preserve">Revised Guidance on Entities Owned by Persons Whose Property and Interests in Property Are Blocked</w:t>
      </w:r>
      <w:r>
        <w:t xml:space="preserve">”</w:t>
      </w:r>
      <w:r>
        <w:t xml:space="preserve">): an entity is blocked if one or more SDN-listed persons own, individually or in the aggregate, 50% or more of the entity.</w:t>
      </w:r>
    </w:p>
    <w:p>
      <w:pPr>
        <w:pStyle w:val="Compact"/>
        <w:numPr>
          <w:ilvl w:val="0"/>
          <w:numId w:val="1002"/>
        </w:numPr>
      </w:pPr>
      <w:r>
        <w:rPr>
          <w:b/>
          <w:bCs/>
        </w:rPr>
        <w:t xml:space="preserve">Export Administration Regulations, 15 C.F.R. Parts 730–774 (EAR)</w:t>
      </w:r>
      <w:r>
        <w:t xml:space="preserve">, administered by BIS. Syria is a comprehensively embargoed destination under 15 C.F.R. Part 746 (Country Group E:1). See Part V.</w:t>
      </w:r>
    </w:p>
    <w:p>
      <w:pPr>
        <w:pStyle w:val="Compact"/>
        <w:numPr>
          <w:ilvl w:val="0"/>
          <w:numId w:val="1002"/>
        </w:numPr>
      </w:pPr>
      <w:r>
        <w:rPr>
          <w:b/>
          <w:bCs/>
        </w:rPr>
        <w:t xml:space="preserve">Recordkeeping:</w:t>
      </w:r>
      <w:r>
        <w:t xml:space="preserve"> </w:t>
      </w:r>
      <w:r>
        <w:t xml:space="preserve">31 C.F.R. § 501.601 (five-year retention).</w:t>
      </w:r>
    </w:p>
    <w:p>
      <w:pPr>
        <w:pStyle w:val="Compact"/>
        <w:numPr>
          <w:ilvl w:val="0"/>
          <w:numId w:val="1002"/>
        </w:numPr>
      </w:pPr>
      <w:r>
        <w:rPr>
          <w:b/>
          <w:bCs/>
        </w:rPr>
        <w:t xml:space="preserve">OFAC’s</w:t>
      </w:r>
      <w:r>
        <w:rPr>
          <w:b/>
          <w:bCs/>
        </w:rPr>
        <w:t xml:space="preserve"> </w:t>
      </w:r>
      <w:r>
        <w:rPr>
          <w:b/>
          <w:bCs/>
        </w:rPr>
        <w:t xml:space="preserve">“</w:t>
      </w:r>
      <w:r>
        <w:rPr>
          <w:b/>
          <w:bCs/>
        </w:rPr>
        <w:t xml:space="preserve">A Framework for OFAC Compliance Commitments</w:t>
      </w:r>
      <w:r>
        <w:rPr>
          <w:b/>
          <w:bCs/>
        </w:rPr>
        <w:t xml:space="preserve">”</w:t>
      </w:r>
      <w:r>
        <w:rPr>
          <w:b/>
          <w:bCs/>
        </w:rPr>
        <w:t xml:space="preserve"> </w:t>
      </w:r>
      <w:r>
        <w:rPr>
          <w:b/>
          <w:bCs/>
        </w:rPr>
        <w:t xml:space="preserve">(May 2019)</w:t>
      </w:r>
      <w:r>
        <w:t xml:space="preserve"> </w:t>
      </w:r>
      <w:r>
        <w:t xml:space="preserve">— the benchmark against which Meridian’s program was audited.</w:t>
      </w:r>
    </w:p>
    <w:p>
      <w:pPr>
        <w:pStyle w:val="FirstParagraph"/>
      </w:pPr>
      <w:r>
        <w:t xml:space="preserve">Because DCUH is an instrumentality of the Government of Syria, and because the transaction involves the export of goods and the supply of services to Syria,</w:t>
      </w:r>
      <w:r>
        <w:t xml:space="preserve"> </w:t>
      </w:r>
      <w:r>
        <w:rPr>
          <w:b/>
          <w:bCs/>
        </w:rPr>
        <w:t xml:space="preserve">specific OFAC authorization is required</w:t>
      </w:r>
      <w:r>
        <w:t xml:space="preserve">. We have confirmed that no general license under the SSR authorizes the proposed export to, or provision of services to, this governmental end-user. A specific license is therefore the appropriate authorization pathway.</w:t>
      </w:r>
    </w:p>
    <w:p>
      <w:r>
        <w:pict>
          <v:rect style="width:0;height:1.5pt" o:hralign="center" o:hrstd="t" o:hr="t"/>
        </w:pict>
      </w:r>
    </w:p>
    <w:bookmarkEnd w:id="23"/>
    <w:bookmarkStart w:id="24" w:name="Xdc08762588f73cd53c079ae0ae8341e51bcd1e7"/>
    <w:p>
      <w:pPr>
        <w:pStyle w:val="Heading2"/>
      </w:pPr>
      <w:r>
        <w:t xml:space="preserve">IV. ISSUE 1 — GOVERNMENTAL END-USER (DCUH / SYRIAN MINISTRY OF HEALTH)</w:t>
      </w:r>
    </w:p>
    <w:p>
      <w:pPr>
        <w:pStyle w:val="FirstParagraph"/>
      </w:pPr>
      <w:r>
        <w:rPr>
          <w:b/>
          <w:bCs/>
        </w:rPr>
        <w:t xml:space="preserve">Facts.</w:t>
      </w:r>
      <w:r>
        <w:t xml:space="preserve"> </w:t>
      </w:r>
      <w:r>
        <w:t xml:space="preserve">DCUH is a public teaching hospital operating under the administrative authority and budgetary oversight of the Syrian Ministry of Health and affiliated with the University of Damascus Faculty of Medicine. Neither DCUH nor the Ministry of Health is independently listed on the SDN List. However, as an instrumentality of the Government of Syria, DCUH falls within the scope of the blocking sanctions under E.O. 13582 and the SSR.</w:t>
      </w:r>
    </w:p>
    <w:p>
      <w:pPr>
        <w:pStyle w:val="BodyText"/>
      </w:pPr>
      <w:r>
        <w:rPr>
          <w:b/>
          <w:bCs/>
        </w:rPr>
        <w:t xml:space="preserve">Analysis.</w:t>
      </w:r>
      <w:r>
        <w:t xml:space="preserve"> </w:t>
      </w:r>
      <w:r>
        <w:t xml:space="preserve">The Government of Syria is comprehensively sanctioned under E.O. 13582. Transactions with instrumentalities of the Government of Syria — including public hospitals and ministries — are prohibited absent OFAC authorization. OFAC has, however, historically been willing to license humanitarian medical transactions involving governmental end-users in Syria under specific licenses, particularly where the goods are EAR99 medical items, the end-use is purely humanitarian, and the licensee has a compliance track record. Meridian’s prior license (SYR-2021-384712) authorized a comparable export to Al-Mujtahid Hospital, another public hospital affiliated with the Syrian Ministry of Health, on exactly this basis.</w:t>
      </w:r>
    </w:p>
    <w:p>
      <w:pPr>
        <w:pStyle w:val="BodyText"/>
      </w:pPr>
      <w:r>
        <w:rPr>
          <w:b/>
          <w:bCs/>
        </w:rPr>
        <w:t xml:space="preserve">Recommendation.</w:t>
      </w:r>
      <w:r>
        <w:t xml:space="preserve"> </w:t>
      </w:r>
      <w:r>
        <w:t xml:space="preserve">Proceed on a specific license theory. The application (Part V) discloses DCUH’s governmental status, acknowledges the E.O. 13582 nexus, and requests specific authorization. We do</w:t>
      </w:r>
      <w:r>
        <w:t xml:space="preserve"> </w:t>
      </w:r>
      <w:r>
        <w:rPr>
          <w:b/>
          <w:bCs/>
        </w:rPr>
        <w:t xml:space="preserve">not</w:t>
      </w:r>
      <w:r>
        <w:t xml:space="preserve"> </w:t>
      </w:r>
      <w:r>
        <w:t xml:space="preserve">recommend relying on any general license; none clearly reaches this end-user and these services. The humanitarian character of the goods, the WHO support, and the prior-license precedent are the principal favorable factors.</w:t>
      </w:r>
      <w:r>
        <w:t xml:space="preserve"> </w:t>
      </w:r>
      <w:r>
        <w:rPr>
          <w:b/>
          <w:bCs/>
        </w:rPr>
        <w:t xml:space="preserve">No restructuring required on this issue</w:t>
      </w:r>
      <w:r>
        <w:t xml:space="preserve">, but the application must — and does — address the governmental nexus head-on rather than glossing it.</w:t>
      </w:r>
    </w:p>
    <w:p>
      <w:r>
        <w:pict>
          <v:rect style="width:0;height:1.5pt" o:hralign="center" o:hrstd="t" o:hr="t"/>
        </w:pict>
      </w:r>
    </w:p>
    <w:bookmarkEnd w:id="24"/>
    <w:bookmarkStart w:id="25" w:name="X81a242aa13b64778bdf0ef76e867355b5a58525"/>
    <w:p>
      <w:pPr>
        <w:pStyle w:val="Heading2"/>
      </w:pPr>
      <w:r>
        <w:t xml:space="preserve">V. ISSUE 2 — PARALLEL BIS AUTHORIZATION UNDER THE EAR SYRIA EMBARGO</w:t>
      </w:r>
    </w:p>
    <w:p>
      <w:pPr>
        <w:pStyle w:val="FirstParagraph"/>
      </w:pPr>
      <w:r>
        <w:rPr>
          <w:b/>
          <w:bCs/>
        </w:rPr>
        <w:t xml:space="preserve">Facts.</w:t>
      </w:r>
      <w:r>
        <w:t xml:space="preserve"> </w:t>
      </w:r>
      <w:r>
        <w:t xml:space="preserve">Both physical products are classified EAR99. The client’s email characterizes EAR99 classification as making</w:t>
      </w:r>
      <w:r>
        <w:t xml:space="preserve"> </w:t>
      </w:r>
      <w:r>
        <w:t xml:space="preserve">“</w:t>
      </w:r>
      <w:r>
        <w:t xml:space="preserve">things easier on the export control side.</w:t>
      </w:r>
      <w:r>
        <w:t xml:space="preserve">”</w:t>
      </w:r>
      <w:r>
        <w:t xml:space="preserve"> </w:t>
      </w:r>
      <w:r>
        <w:t xml:space="preserve">This is only partially correct.</w:t>
      </w:r>
    </w:p>
    <w:p>
      <w:pPr>
        <w:pStyle w:val="BodyText"/>
      </w:pPr>
      <w:r>
        <w:rPr>
          <w:b/>
          <w:bCs/>
        </w:rPr>
        <w:t xml:space="preserve">Analysis.</w:t>
      </w:r>
      <w:r>
        <w:t xml:space="preserve"> </w:t>
      </w:r>
      <w:r>
        <w:t xml:space="preserve">EAR99 is an export control</w:t>
      </w:r>
      <w:r>
        <w:t xml:space="preserve"> </w:t>
      </w:r>
      <w:r>
        <w:rPr>
          <w:i/>
          <w:iCs/>
        </w:rPr>
        <w:t xml:space="preserve">classification</w:t>
      </w:r>
      <w:r>
        <w:t xml:space="preserve">, not an</w:t>
      </w:r>
      <w:r>
        <w:t xml:space="preserve"> </w:t>
      </w:r>
      <w:r>
        <w:rPr>
          <w:i/>
          <w:iCs/>
        </w:rPr>
        <w:t xml:space="preserve">authorization</w:t>
      </w:r>
      <w:r>
        <w:t xml:space="preserve">. Syria is a comprehensively embargoed destination under the EAR (15 C.F.R. Part 746; Country Group E:1). As a general matter, a BIS license is required to export or re-export items subject to the EAR — including EAR99 items — to Syria, with a general policy of denial, subject to limited exceptions for certain humanitarian items (e.g., food and medicine meeting specified eligibility criteria). The prior OFAC license expressly stated that it</w:t>
      </w:r>
      <w:r>
        <w:t xml:space="preserve"> </w:t>
      </w:r>
      <w:r>
        <w:t xml:space="preserve">“</w:t>
      </w:r>
      <w:r>
        <w:t xml:space="preserve">does not relieve the Licensee of any obligations under the EAR,</w:t>
      </w:r>
      <w:r>
        <w:t xml:space="preserve">”</w:t>
      </w:r>
      <w:r>
        <w:t xml:space="preserve"> </w:t>
      </w:r>
      <w:r>
        <w:t xml:space="preserve">and we have carried the same condition into the new application (Part XII.C, condition 10).</w:t>
      </w:r>
    </w:p>
    <w:p>
      <w:pPr>
        <w:pStyle w:val="BodyText"/>
      </w:pPr>
      <w:r>
        <w:t xml:space="preserve">The eligibility of these specific items for any EAR license exception (e.g., for medical devices or food/medicine) is not something we can assume. The CancerDetect RX-700 is an in vitro diagnostic reagent kit (HTS 3822.19) and the CalibPro 3100 is a laboratory instrument (HTS 9027.80); whether either qualifies for an available humanitarian license exception, or whether a separate BIS license application is required, must be confirmed. The CalibPro 3100’s embedded AES-128 encryption, even though below de minimis and not altering the EAR99 classification, should be documented in the BIS analysis (see Part VI).</w:t>
      </w:r>
    </w:p>
    <w:p>
      <w:pPr>
        <w:pStyle w:val="BodyText"/>
      </w:pPr>
      <w:r>
        <w:rPr>
          <w:b/>
          <w:bCs/>
        </w:rPr>
        <w:t xml:space="preserve">Recommendation.</w:t>
      </w:r>
      <w:r>
        <w:t xml:space="preserve"> </w:t>
      </w:r>
      <w:r>
        <w:t xml:space="preserve">In parallel with the OFAC application, Peggy’s team should confirm the BIS authorization pathway for these items to Syria — either (a) confirmation that a license exception applies, with the exception cited on shipping documents, or (b) preparation and filing of a BIS license application. The OFAC license, if issued, will not by itself authorize the export for EAR purposes.</w:t>
      </w:r>
      <w:r>
        <w:t xml:space="preserve"> </w:t>
      </w:r>
      <w:r>
        <w:rPr>
          <w:b/>
          <w:bCs/>
        </w:rPr>
        <w:t xml:space="preserve">Action item for Meridian’s regulatory/export-control team.</w:t>
      </w:r>
      <w:r>
        <w:t xml:space="preserve"> </w:t>
      </w:r>
      <w:r>
        <w:t xml:space="preserve">We can coordinate the BIS filing if you would like us to do so.</w:t>
      </w:r>
    </w:p>
    <w:p>
      <w:r>
        <w:pict>
          <v:rect style="width:0;height:1.5pt" o:hralign="center" o:hrstd="t" o:hr="t"/>
        </w:pict>
      </w:r>
    </w:p>
    <w:bookmarkEnd w:id="25"/>
    <w:bookmarkStart w:id="26" w:name="X2dd11d922947e1819e48eca33e4796f6d1985e5"/>
    <w:p>
      <w:pPr>
        <w:pStyle w:val="Heading2"/>
      </w:pPr>
      <w:r>
        <w:t xml:space="preserve">VI. ISSUE 3 — TECHNOLOGY TRANSFER, DEEMED EXPORT, AND FIRMWARE SCOPE</w:t>
      </w:r>
    </w:p>
    <w:p>
      <w:pPr>
        <w:pStyle w:val="FirstParagraph"/>
      </w:pPr>
      <w:r>
        <w:rPr>
          <w:b/>
          <w:bCs/>
        </w:rPr>
        <w:t xml:space="preserve">Facts.</w:t>
      </w:r>
      <w:r>
        <w:t xml:space="preserve"> </w:t>
      </w:r>
      <w:r>
        <w:t xml:space="preserve">The transaction includes 40 hours of remote training delivered by secure video link from Cambridge to DCUH personnel in Syria. The training curriculum (per the technical data sheets) includes: a</w:t>
      </w:r>
      <w:r>
        <w:t xml:space="preserve"> </w:t>
      </w:r>
      <w:r>
        <w:t xml:space="preserve">“</w:t>
      </w:r>
      <w:r>
        <w:t xml:space="preserve">detailed walkthrough of the CalibPro 3100 internal component layout using proprietary instrument schematics and engineering diagrams</w:t>
      </w:r>
      <w:r>
        <w:t xml:space="preserve">”</w:t>
      </w:r>
      <w:r>
        <w:t xml:space="preserve">; instruction on</w:t>
      </w:r>
      <w:r>
        <w:t xml:space="preserve"> </w:t>
      </w:r>
      <w:r>
        <w:t xml:space="preserve">“</w:t>
      </w:r>
      <w:r>
        <w:t xml:space="preserve">proprietary software documentation, including the CalibPro 3100 Software Reference Manual (document MBS-SRM-3100-v4.2, 287 pages)</w:t>
      </w:r>
      <w:r>
        <w:t xml:space="preserve">”</w:t>
      </w:r>
      <w:r>
        <w:t xml:space="preserve">; and guidance on calibration algorithm parameters and firmware diagnostic logs. The CalibPro 3100 contains factory-installed firmware v4.2.1 (not user-modifiable; updates only via Meridian-supplied authenticated USB package).</w:t>
      </w:r>
    </w:p>
    <w:p>
      <w:pPr>
        <w:pStyle w:val="BodyText"/>
      </w:pPr>
      <w:r>
        <w:rPr>
          <w:b/>
          <w:bCs/>
        </w:rPr>
        <w:t xml:space="preserve">Analysis.</w:t>
      </w:r>
      <w:r>
        <w:t xml:space="preserve"> </w:t>
      </w:r>
      <w:r>
        <w:t xml:space="preserve">Two distinct concerns:</w:t>
      </w:r>
    </w:p>
    <w:p>
      <w:pPr>
        <w:numPr>
          <w:ilvl w:val="0"/>
          <w:numId w:val="1003"/>
        </w:numPr>
      </w:pPr>
      <w:r>
        <w:rPr>
          <w:b/>
          <w:bCs/>
        </w:rPr>
        <w:t xml:space="preserve">OFAC — services to Syria.</w:t>
      </w:r>
      <w:r>
        <w:t xml:space="preserve"> </w:t>
      </w:r>
      <w:r>
        <w:t xml:space="preserve">The provision of services to Syria, including remote training and the electronic transmission of technical data and training materials to persons in Syria, is prohibited under the SSR absent authorization. The OFAC application must — and does — expressly request authorization for the Training Services and the associated electronic transmission of training materials (Part III, Part IV.C, Part XII.C condition 3). If the license is silent on services, the training would be unauthorized even if the goods export is licensed. This is a common drafting trap; we have addressed it.</w:t>
      </w:r>
    </w:p>
    <w:p>
      <w:pPr>
        <w:numPr>
          <w:ilvl w:val="0"/>
          <w:numId w:val="1003"/>
        </w:numPr>
      </w:pPr>
      <w:r>
        <w:rPr>
          <w:b/>
          <w:bCs/>
        </w:rPr>
        <w:t xml:space="preserve">EAR — export of technology / deemed export.</w:t>
      </w:r>
      <w:r>
        <w:t xml:space="preserve"> </w:t>
      </w:r>
      <w:r>
        <w:t xml:space="preserve">The release of</w:t>
      </w:r>
      <w:r>
        <w:t xml:space="preserve"> </w:t>
      </w:r>
      <w:r>
        <w:t xml:space="preserve">“</w:t>
      </w:r>
      <w:r>
        <w:t xml:space="preserve">technology</w:t>
      </w:r>
      <w:r>
        <w:t xml:space="preserve">”</w:t>
      </w:r>
      <w:r>
        <w:t xml:space="preserve"> </w:t>
      </w:r>
      <w:r>
        <w:t xml:space="preserve">(technical data) and</w:t>
      </w:r>
      <w:r>
        <w:t xml:space="preserve"> </w:t>
      </w:r>
      <w:r>
        <w:t xml:space="preserve">“</w:t>
      </w:r>
      <w:r>
        <w:t xml:space="preserve">software</w:t>
      </w:r>
      <w:r>
        <w:t xml:space="preserve">”</w:t>
      </w:r>
      <w:r>
        <w:t xml:space="preserve"> </w:t>
      </w:r>
      <w:r>
        <w:t xml:space="preserve">to persons in Syria — even by remote video — is an export of technology/software subject to the EAR to a Country Group E:1 destination, requiring BIS authorization under the Syria embargo regardless of the underlying items’ EAR99 classification. The proprietary schematics, the 287-page Software Reference Manual, and the calibration algorithm/threshold instruction all constitute</w:t>
      </w:r>
      <w:r>
        <w:t xml:space="preserve"> </w:t>
      </w:r>
      <w:r>
        <w:t xml:space="preserve">“</w:t>
      </w:r>
      <w:r>
        <w:t xml:space="preserve">technology</w:t>
      </w:r>
      <w:r>
        <w:t xml:space="preserve">”</w:t>
      </w:r>
      <w:r>
        <w:t xml:space="preserve"> </w:t>
      </w:r>
      <w:r>
        <w:t xml:space="preserve">subject to the EAR. The BIS analysis in Part V must therefore cover not only the physical goods but also the technology and software released during training. We recommend scoping the BIS authorization to cover the training technology transfer explicitly.</w:t>
      </w:r>
    </w:p>
    <w:p>
      <w:pPr>
        <w:numPr>
          <w:ilvl w:val="0"/>
          <w:numId w:val="1003"/>
        </w:numPr>
      </w:pPr>
      <w:r>
        <w:rPr>
          <w:b/>
          <w:bCs/>
        </w:rPr>
        <w:t xml:space="preserve">Firmware scope.</w:t>
      </w:r>
      <w:r>
        <w:t xml:space="preserve"> </w:t>
      </w:r>
      <w:r>
        <w:t xml:space="preserve">The factory-installed firmware v4.2.1 is integral to the instrument and travels with the goods; it is within the scope of the goods export. However,</w:t>
      </w:r>
      <w:r>
        <w:t xml:space="preserve"> </w:t>
      </w:r>
      <w:r>
        <w:rPr>
          <w:b/>
          <w:bCs/>
        </w:rPr>
        <w:t xml:space="preserve">any future firmware update, patch, or modification</w:t>
      </w:r>
      <w:r>
        <w:t xml:space="preserve"> </w:t>
      </w:r>
      <w:r>
        <w:t xml:space="preserve">is a separate transaction involving the export of software/technology to Syria and would require independent OFAC and BIS authorization. The technical data sheets already flag this, and we have built it into the proposed license conditions (Part XII.C, condition 11). Meridian does not provide over-the-air updates (USB-only), which helps contain this risk, but Meridian should adopt an internal control ensuring that no firmware update is provided to the DCUH units without separate authorization.</w:t>
      </w:r>
    </w:p>
    <w:p>
      <w:pPr>
        <w:pStyle w:val="FirstParagraph"/>
      </w:pPr>
      <w:r>
        <w:rPr>
          <w:b/>
          <w:bCs/>
        </w:rPr>
        <w:t xml:space="preserve">Recommendation.</w:t>
      </w:r>
      <w:r>
        <w:t xml:space="preserve"> </w:t>
      </w:r>
      <w:r>
        <w:t xml:space="preserve">The OFAC application covers the training and the factory firmware. Meridian should (a) ensure the parallel BIS authorization expressly covers the technology/software released during training, and (b) implement an internal control barring any post-export firmware update to the DCUH units absent separate authorization. No further OFAC restructuring required, but the technology-transfer dimension is a reason the application must be carefully scoped — which we have done.</w:t>
      </w:r>
    </w:p>
    <w:p>
      <w:r>
        <w:pict>
          <v:rect style="width:0;height:1.5pt" o:hralign="center" o:hrstd="t" o:hr="t"/>
        </w:pict>
      </w:r>
    </w:p>
    <w:bookmarkEnd w:id="26"/>
    <w:bookmarkStart w:id="27" w:name="X38ccdd05ca15e3734f689317af5acaf33b51d1f"/>
    <w:p>
      <w:pPr>
        <w:pStyle w:val="Heading2"/>
      </w:pPr>
      <w:r>
        <w:t xml:space="preserve">VII. ISSUE 4 — SDN-LISTED REMITTING BANK (CENTRAL OF CALVERLEY)</w:t>
      </w:r>
    </w:p>
    <w:p>
      <w:pPr>
        <w:pStyle w:val="FirstParagraph"/>
      </w:pPr>
      <w:r>
        <w:rPr>
          <w:b/>
          <w:bCs/>
        </w:rPr>
        <w:t xml:space="preserve">Facts.</w:t>
      </w:r>
      <w:r>
        <w:t xml:space="preserve"> </w:t>
      </w:r>
      <w:r>
        <w:t xml:space="preserve">The Purchase Order specifies 100% advance payment by wire transfer from DCUH’s account at the</w:t>
      </w:r>
      <w:r>
        <w:t xml:space="preserve"> </w:t>
      </w:r>
      <w:r>
        <w:rPr>
          <w:b/>
          <w:bCs/>
        </w:rPr>
        <w:t xml:space="preserve">Central Bank of Calverley (CBS)</w:t>
      </w:r>
      <w:r>
        <w:t xml:space="preserve"> </w:t>
      </w:r>
      <w:r>
        <w:t xml:space="preserve">to Meridian’s account at Harborview National Bank. CBS was added to the SDN List on August 10, 2011 pursuant to E.O. 13582.</w:t>
      </w:r>
    </w:p>
    <w:p>
      <w:pPr>
        <w:pStyle w:val="BodyText"/>
      </w:pPr>
      <w:r>
        <w:rPr>
          <w:b/>
          <w:bCs/>
        </w:rPr>
        <w:t xml:space="preserve">Analysis.</w:t>
      </w:r>
      <w:r>
        <w:t xml:space="preserve"> </w:t>
      </w:r>
      <w:r>
        <w:t xml:space="preserve">This is a blocking issue. A funds transfer routed through CBS would constitute a prohibited transaction with an SDN-listed person under the SSR. No U.S. financial institution (including Harborview National Bank) may process such a transfer absent OFAC authorization, and any funds received would be subject to blocking and potential forfeiture. Accepting payment through CBS would expose Meridian to significant civil and criminal enforcement risk under IEEPA and the SSR, notwithstanding any license issued for the goods export.</w:t>
      </w:r>
    </w:p>
    <w:p>
      <w:pPr>
        <w:pStyle w:val="BodyText"/>
      </w:pPr>
      <w:r>
        <w:t xml:space="preserve">Critically,</w:t>
      </w:r>
      <w:r>
        <w:t xml:space="preserve"> </w:t>
      </w:r>
      <w:r>
        <w:rPr>
          <w:b/>
          <w:bCs/>
        </w:rPr>
        <w:t xml:space="preserve">the prior license (SYR-2021-384712) expressly prohibited routing payment through CBS</w:t>
      </w:r>
      <w:r>
        <w:t xml:space="preserve"> </w:t>
      </w:r>
      <w:r>
        <w:t xml:space="preserve">and authorized payment via a non-SDN-listed Syrian commercial bank. OFAC is therefore already on record treating CBS as off-limits for this exact type of transaction, and any attempt to route payment through CBS now would be both a violation and a signal of non-compliance that could jeopardize the new application.</w:t>
      </w:r>
    </w:p>
    <w:p>
      <w:pPr>
        <w:pStyle w:val="BodyText"/>
      </w:pPr>
      <w:r>
        <w:rPr>
          <w:b/>
          <w:bCs/>
        </w:rPr>
        <w:t xml:space="preserve">Recommendation.</w:t>
      </w:r>
      <w:r>
        <w:t xml:space="preserve"> </w:t>
      </w:r>
      <w:r>
        <w:t xml:space="preserve">We have restructured the payment flow in the application (Part VII) to request authorization for receipt of payment by wire to Harborview National Bank from a</w:t>
      </w:r>
      <w:r>
        <w:t xml:space="preserve"> </w:t>
      </w:r>
      <w:r>
        <w:rPr>
          <w:b/>
          <w:bCs/>
        </w:rPr>
        <w:t xml:space="preserve">non-SDN-listed</w:t>
      </w:r>
      <w:r>
        <w:t xml:space="preserve"> </w:t>
      </w:r>
      <w:r>
        <w:t xml:space="preserve">financial institution, with mandatory pre-payment screening, an express prohibition on routing through CBS or any SDN-listed institution, and a reporting condition. Two compliant pathways are contemplated: (i) a non-SDN-listed Syrian commercial bank, or (ii) a third-country bank (e.g., in Turkey) at which DCUH or the Government of Syria maintains an account.</w:t>
      </w:r>
      <w:r>
        <w:t xml:space="preserve"> </w:t>
      </w:r>
      <w:r>
        <w:rPr>
          <w:b/>
          <w:bCs/>
        </w:rPr>
        <w:t xml:space="preserve">Action item for Meridian:</w:t>
      </w:r>
      <w:r>
        <w:t xml:space="preserve"> </w:t>
      </w:r>
      <w:r>
        <w:t xml:space="preserve">work with DCUH to identify a compliant remitting institution; have Peggy’s team screen it against all OFAC and restricted-party lists (including beneficial ownership) before any payment is accepted; and do not accept any payment that returns a match or that is routed through CBS. We also recommend that Meridian</w:t>
      </w:r>
      <w:r>
        <w:t xml:space="preserve"> </w:t>
      </w:r>
      <w:r>
        <w:rPr>
          <w:b/>
          <w:bCs/>
        </w:rPr>
        <w:t xml:space="preserve">not countersign/accept the Purchase Order</w:t>
      </w:r>
      <w:r>
        <w:t xml:space="preserve"> </w:t>
      </w:r>
      <w:r>
        <w:t xml:space="preserve">in its current form — the PO’s payment clause must be amended to specify the compliant remitting institution before Meridian accepts it. (The PO’s signature block for Meridian is currently blank, which gives you clean leverage to renegotiate this term.)</w:t>
      </w:r>
    </w:p>
    <w:p>
      <w:r>
        <w:pict>
          <v:rect style="width:0;height:1.5pt" o:hralign="center" o:hrstd="t" o:hr="t"/>
        </w:pict>
      </w:r>
    </w:p>
    <w:bookmarkEnd w:id="27"/>
    <w:bookmarkStart w:id="28" w:name="Xc523c152f098ec34587116e73ad6474ecf0ca3f"/>
    <w:p>
      <w:pPr>
        <w:pStyle w:val="Heading2"/>
      </w:pPr>
      <w:r>
        <w:t xml:space="preserve">VIII. ISSUE 5 — SDN-LISTED MINORITY SHAREHOLDER IN THE CUSTOMS AGENT (ARMPC / KHOURY)</w:t>
      </w:r>
    </w:p>
    <w:p>
      <w:pPr>
        <w:pStyle w:val="FirstParagraph"/>
      </w:pPr>
      <w:r>
        <w:rPr>
          <w:b/>
          <w:bCs/>
        </w:rPr>
        <w:t xml:space="preserve">Facts.</w:t>
      </w:r>
      <w:r>
        <w:t xml:space="preserve"> </w:t>
      </w:r>
      <w:r>
        <w:t xml:space="preserve">ARMPC (18 Barada Street, Floor 3, Damascus; Managing Director Tariq Nabil Hammoud) is designated in the Purchase Order as DCUH’s customs clearance and import logistics agent. ARMPC is not itself listed on the SDN List, and Hammoud returned no match. However, Meridian’s enhanced beneficial ownership screening (implemented January 2024) identified that</w:t>
      </w:r>
      <w:r>
        <w:t xml:space="preserve"> </w:t>
      </w:r>
      <w:r>
        <w:rPr>
          <w:b/>
          <w:bCs/>
        </w:rPr>
        <w:t xml:space="preserve">Samir Daoud Khoury</w:t>
      </w:r>
      <w:r>
        <w:t xml:space="preserve"> </w:t>
      </w:r>
      <w:r>
        <w:t xml:space="preserve">holds a 30% ownership interest in ARMPC. Khoury was added to the SDN List on April 15, 2024, on the basis of</w:t>
      </w:r>
      <w:r>
        <w:t xml:space="preserve"> </w:t>
      </w:r>
      <w:r>
        <w:t xml:space="preserve">“</w:t>
      </w:r>
      <w:r>
        <w:t xml:space="preserve">acting on behalf of a sanctioned Syrian military procurement network.</w:t>
      </w:r>
      <w:r>
        <w:t xml:space="preserve">”</w:t>
      </w:r>
      <w:r>
        <w:t xml:space="preserve"> </w:t>
      </w:r>
      <w:r>
        <w:t xml:space="preserve">(DOB: March 12, 1971; Syrian; Passport S-0048712.)</w:t>
      </w:r>
    </w:p>
    <w:p>
      <w:pPr>
        <w:pStyle w:val="BodyText"/>
      </w:pPr>
      <w:r>
        <w:rPr>
          <w:b/>
          <w:bCs/>
        </w:rPr>
        <w:t xml:space="preserve">Analysis.</w:t>
      </w:r>
    </w:p>
    <w:p>
      <w:pPr>
        <w:pStyle w:val="BodyText"/>
      </w:pPr>
      <w:r>
        <w:rPr>
          <w:i/>
          <w:iCs/>
        </w:rPr>
        <w:t xml:space="preserve">50 Percent Rule.</w:t>
      </w:r>
      <w:r>
        <w:t xml:space="preserve"> </w:t>
      </w:r>
      <w:r>
        <w:t xml:space="preserve">Under OFAC’s 50 Percent Rule, an entity is blocked only where SDN-listed persons own, individually or in the aggregate, 50% or more of the entity. Khoury’s 30% stake is below the threshold, so</w:t>
      </w:r>
      <w:r>
        <w:t xml:space="preserve"> </w:t>
      </w:r>
      <w:r>
        <w:rPr>
          <w:b/>
          <w:bCs/>
        </w:rPr>
        <w:t xml:space="preserve">ARMPC is not automatically a blocked entity</w:t>
      </w:r>
      <w:r>
        <w:t xml:space="preserve">. On a strict liability theory, transacting with ARMPC is not, by itself, a per se violation of the SSR.</w:t>
      </w:r>
    </w:p>
    <w:p>
      <w:pPr>
        <w:pStyle w:val="BodyText"/>
      </w:pPr>
      <w:r>
        <w:rPr>
          <w:i/>
          <w:iCs/>
        </w:rPr>
        <w:t xml:space="preserve">However — three serious problems:</w:t>
      </w:r>
    </w:p>
    <w:p>
      <w:pPr>
        <w:numPr>
          <w:ilvl w:val="0"/>
          <w:numId w:val="1004"/>
        </w:numPr>
      </w:pPr>
      <w:r>
        <w:rPr>
          <w:b/>
          <w:bCs/>
        </w:rPr>
        <w:t xml:space="preserve">Disclosure obligation / candor.</w:t>
      </w:r>
      <w:r>
        <w:t xml:space="preserve"> </w:t>
      </w:r>
      <w:r>
        <w:t xml:space="preserve">OFAC expects full and candid disclosure in license applications. Failure to disclose an SDN-listed shareholder of a transaction party — especially one Meridian actually identified through its own screening — would be a material omission that could result in denial, revocation, or enforcement action, and would undermine Meridian’s credibility given its</w:t>
      </w:r>
      <w:r>
        <w:t xml:space="preserve"> </w:t>
      </w:r>
      <w:r>
        <w:t xml:space="preserve">“</w:t>
      </w:r>
      <w:r>
        <w:t xml:space="preserve">clean record</w:t>
      </w:r>
      <w:r>
        <w:t xml:space="preserve">”</w:t>
      </w:r>
      <w:r>
        <w:t xml:space="preserve"> </w:t>
      </w:r>
      <w:r>
        <w:t xml:space="preserve">representations. We have disclosed the issue fully and voluntarily in the application (Part VIII).</w:t>
      </w:r>
    </w:p>
    <w:p>
      <w:pPr>
        <w:numPr>
          <w:ilvl w:val="0"/>
          <w:numId w:val="1004"/>
        </w:numPr>
      </w:pPr>
      <w:r>
        <w:rPr>
          <w:b/>
          <w:bCs/>
        </w:rPr>
        <w:t xml:space="preserve">Aggravating designation basis.</w:t>
      </w:r>
      <w:r>
        <w:t xml:space="preserve"> </w:t>
      </w:r>
      <w:r>
        <w:t xml:space="preserve">Khoury was designated for</w:t>
      </w:r>
      <w:r>
        <w:t xml:space="preserve"> </w:t>
      </w:r>
      <w:r>
        <w:t xml:space="preserve">“</w:t>
      </w:r>
      <w:r>
        <w:t xml:space="preserve">acting on behalf of a sanctioned Syrian military procurement network.</w:t>
      </w:r>
      <w:r>
        <w:t xml:space="preserve">”</w:t>
      </w:r>
      <w:r>
        <w:t xml:space="preserve"> </w:t>
      </w:r>
      <w:r>
        <w:t xml:space="preserve">This is not a routine designation; it ties ARMPC’s ownership to a military procurement network — precisely the kind of nexus OFAC scrutinizes most heavily in humanitarian-license reviews, where the central concern is diversion of goods to military or sanctioned end-uses. Even though ARMPC’s role here is limited to customs clearance (not procurement of the goods), OFAC may reasonably question whether involving an entity with this ownership profile creates diversion risk or confers benefit on a sanctioned network. This is the single factor most likely to slow or complicate OFAC’s review.</w:t>
      </w:r>
    </w:p>
    <w:p>
      <w:pPr>
        <w:numPr>
          <w:ilvl w:val="0"/>
          <w:numId w:val="1004"/>
        </w:numPr>
      </w:pPr>
      <w:r>
        <w:rPr>
          <w:b/>
          <w:bCs/>
        </w:rPr>
        <w:t xml:space="preserve">Benefit to an SDN.</w:t>
      </w:r>
      <w:r>
        <w:t xml:space="preserve"> </w:t>
      </w:r>
      <w:r>
        <w:t xml:space="preserve">Any fees paid to ARMPC would inure, in part, to Khoury as a 30% shareholder. Providing funds that benefit an SDN-listed person — even indirectly and below the 50% threshold — is a sensitive matter that OFAC may treat as a transaction</w:t>
      </w:r>
      <w:r>
        <w:t xml:space="preserve"> </w:t>
      </w:r>
      <w:r>
        <w:t xml:space="preserve">“</w:t>
      </w:r>
      <w:r>
        <w:t xml:space="preserve">involving</w:t>
      </w:r>
      <w:r>
        <w:t xml:space="preserve">”</w:t>
      </w:r>
      <w:r>
        <w:t xml:space="preserve"> </w:t>
      </w:r>
      <w:r>
        <w:t xml:space="preserve">an SDN, and that the prior license’s standard condition (no transaction involving an SDN or 50%-owned entity) does not cleanly permit. While the 50% Rule does not block ARMPC, OFAC retains discretion to condition or deny a license on this basis.</w:t>
      </w:r>
    </w:p>
    <w:p>
      <w:pPr>
        <w:pStyle w:val="FirstParagraph"/>
      </w:pPr>
      <w:r>
        <w:rPr>
          <w:b/>
          <w:bCs/>
        </w:rPr>
        <w:t xml:space="preserve">Recommendation.</w:t>
      </w:r>
      <w:r>
        <w:t xml:space="preserve"> </w:t>
      </w:r>
      <w:r>
        <w:t xml:space="preserve">We recommend, and the application leads with,</w:t>
      </w:r>
      <w:r>
        <w:t xml:space="preserve"> </w:t>
      </w:r>
      <w:r>
        <w:rPr>
          <w:b/>
          <w:bCs/>
        </w:rPr>
        <w:t xml:space="preserve">removal of ARMPC from the transaction and substitution of a clean customs clearance agent</w:t>
      </w:r>
      <w:r>
        <w:t xml:space="preserve"> </w:t>
      </w:r>
      <w:r>
        <w:t xml:space="preserve">with no SDN-listed ownership, principals, or other nexus. This is the cleanest path and the one most likely to result in timely issuance. The application requests that the license authorize Syrian customs clearance by a non-SDN agent to be identified and screened prior to shipment, with ARMPC and Khoury receiving no benefit.</w:t>
      </w:r>
    </w:p>
    <w:p>
      <w:pPr>
        <w:pStyle w:val="BodyText"/>
      </w:pPr>
      <w:r>
        <w:t xml:space="preserve">We have also included an</w:t>
      </w:r>
      <w:r>
        <w:t xml:space="preserve"> </w:t>
      </w:r>
      <w:r>
        <w:rPr>
          <w:b/>
          <w:bCs/>
        </w:rPr>
        <w:t xml:space="preserve">alternative request</w:t>
      </w:r>
      <w:r>
        <w:t xml:space="preserve"> </w:t>
      </w:r>
      <w:r>
        <w:t xml:space="preserve">(Part VIII.D) — that if no clean substitute can be identified, OFAC consider authorizing ARMPC’s limited, ministerial customs-clearance role subject to conditions ensuring no benefit to Khoury (arms-length market-rate fees only; certification of no distribution to Khoury; enhanced monitoring). We flag for you that this alternative carries materially elevated risk of delay or denial given the designation basis, and we recommend treating it as a true fallback only.</w:t>
      </w:r>
    </w:p>
    <w:p>
      <w:pPr>
        <w:pStyle w:val="BodyText"/>
      </w:pPr>
      <w:r>
        <w:rPr>
          <w:b/>
          <w:bCs/>
        </w:rPr>
        <w:t xml:space="preserve">Action items for Meridian:</w:t>
      </w:r>
    </w:p>
    <w:p>
      <w:pPr>
        <w:pStyle w:val="Compact"/>
        <w:numPr>
          <w:ilvl w:val="0"/>
          <w:numId w:val="1005"/>
        </w:numPr>
      </w:pPr>
      <w:r>
        <w:t xml:space="preserve">Immediately engage DCUH to identify a substitute Syrian customs clearance agent; have Peggy’s team screen the substitute (entity, principals, and beneficial owners) before engagement;</w:t>
      </w:r>
    </w:p>
    <w:p>
      <w:pPr>
        <w:pStyle w:val="Compact"/>
        <w:numPr>
          <w:ilvl w:val="0"/>
          <w:numId w:val="1005"/>
        </w:numPr>
      </w:pPr>
      <w:r>
        <w:t xml:space="preserve">Do not pay any fees to ARMPC and do not permit ARMPC to handle the shipment unless and until OFAC expressly authorizes its involvement (which we are not counting on);</w:t>
      </w:r>
    </w:p>
    <w:p>
      <w:pPr>
        <w:pStyle w:val="Compact"/>
        <w:numPr>
          <w:ilvl w:val="0"/>
          <w:numId w:val="1005"/>
        </w:numPr>
      </w:pPr>
      <w:r>
        <w:t xml:space="preserve">Amend the Purchase Order to replace ARMPC with the substitute agent before Meridian accepts the PO; and</w:t>
      </w:r>
    </w:p>
    <w:p>
      <w:pPr>
        <w:pStyle w:val="Compact"/>
        <w:numPr>
          <w:ilvl w:val="0"/>
          <w:numId w:val="1005"/>
        </w:numPr>
      </w:pPr>
      <w:r>
        <w:t xml:space="preserve">Document the substitution and the screening in the transaction file.</w:t>
      </w:r>
    </w:p>
    <w:p>
      <w:r>
        <w:pict>
          <v:rect style="width:0;height:1.5pt" o:hralign="center" o:hrstd="t" o:hr="t"/>
        </w:pict>
      </w:r>
    </w:p>
    <w:bookmarkEnd w:id="28"/>
    <w:bookmarkStart w:id="29" w:name="Xc4d516333f640da41072f98898635a012d14821"/>
    <w:p>
      <w:pPr>
        <w:pStyle w:val="Heading2"/>
      </w:pPr>
      <w:r>
        <w:t xml:space="preserve">IX. ISSUE 6 — BORDER CROSSING, ROUTING, AND DIVERSION DILIGENCE</w:t>
      </w:r>
    </w:p>
    <w:p>
      <w:pPr>
        <w:pStyle w:val="FirstParagraph"/>
      </w:pPr>
      <w:r>
        <w:rPr>
          <w:b/>
          <w:bCs/>
        </w:rPr>
        <w:t xml:space="preserve">Facts.</w:t>
      </w:r>
      <w:r>
        <w:t xml:space="preserve"> </w:t>
      </w:r>
      <w:r>
        <w:t xml:space="preserve">The shipping route contemplates re-export from Ankara, Turkey, through the</w:t>
      </w:r>
      <w:r>
        <w:t xml:space="preserve"> </w:t>
      </w:r>
      <w:r>
        <w:rPr>
          <w:b/>
          <w:bCs/>
        </w:rPr>
        <w:t xml:space="preserve">Bab al-Hawa border crossing</w:t>
      </w:r>
      <w:r>
        <w:t xml:space="preserve"> </w:t>
      </w:r>
      <w:r>
        <w:t xml:space="preserve">into Syria, then overland to Damascus. The WHO assessment describes DCUH as serving</w:t>
      </w:r>
      <w:r>
        <w:t xml:space="preserve"> </w:t>
      </w:r>
      <w:r>
        <w:t xml:space="preserve">“</w:t>
      </w:r>
      <w:r>
        <w:t xml:space="preserve">government-controlled areas</w:t>
      </w:r>
      <w:r>
        <w:t xml:space="preserve">”</w:t>
      </w:r>
      <w:r>
        <w:t xml:space="preserve"> </w:t>
      </w:r>
      <w:r>
        <w:t xml:space="preserve">of Syria.</w:t>
      </w:r>
    </w:p>
    <w:p>
      <w:pPr>
        <w:pStyle w:val="BodyText"/>
      </w:pPr>
      <w:r>
        <w:rPr>
          <w:b/>
          <w:bCs/>
        </w:rPr>
        <w:t xml:space="preserve">Analysis.</w:t>
      </w:r>
      <w:r>
        <w:t xml:space="preserve"> </w:t>
      </w:r>
      <w:r>
        <w:t xml:space="preserve">Two diligence points:</w:t>
      </w:r>
    </w:p>
    <w:p>
      <w:pPr>
        <w:numPr>
          <w:ilvl w:val="0"/>
          <w:numId w:val="1006"/>
        </w:numPr>
      </w:pPr>
      <w:r>
        <w:rPr>
          <w:b/>
          <w:bCs/>
        </w:rPr>
        <w:t xml:space="preserve">Crossing control and routing consistency.</w:t>
      </w:r>
      <w:r>
        <w:t xml:space="preserve"> </w:t>
      </w:r>
      <w:r>
        <w:t xml:space="preserve">Bab al-Hawa is a crossing whose controlling authority and operational status have shifted over the course of the conflict, and the route from a northwest crossing to Damascus (government-controlled) may traverse areas of varying control. We are not in a position to assert that the route is impracticable, and the documents you provided present it as an established corridor Meridian has used before. However, OFAC and BIS care about who controls the crossing and the in-country route, both for diversion-risk assessment and to confirm that the goods in fact reach the authorized end-user (DCUH) and are not diverted en route. The prior license used a</w:t>
      </w:r>
      <w:r>
        <w:t xml:space="preserve"> </w:t>
      </w:r>
      <w:r>
        <w:t xml:space="preserve">“</w:t>
      </w:r>
      <w:r>
        <w:t xml:space="preserve">Mersin → overland to Damascus</w:t>
      </w:r>
      <w:r>
        <w:t xml:space="preserve">”</w:t>
      </w:r>
      <w:r>
        <w:t xml:space="preserve"> </w:t>
      </w:r>
      <w:r>
        <w:t xml:space="preserve">route without specifying the crossing.</w:t>
      </w:r>
    </w:p>
    <w:p>
      <w:pPr>
        <w:numPr>
          <w:ilvl w:val="0"/>
          <w:numId w:val="1006"/>
        </w:numPr>
      </w:pPr>
      <w:r>
        <w:rPr>
          <w:b/>
          <w:bCs/>
        </w:rPr>
        <w:t xml:space="preserve">Diversion risk.</w:t>
      </w:r>
      <w:r>
        <w:t xml:space="preserve"> </w:t>
      </w:r>
      <w:r>
        <w:t xml:space="preserve">The combination of (a) an SDN-adjacent customs agent (now being removed), (b) a border crossing whose controlling authority should be verified, and (c) a governmental end-user in a comprehensively sanctioned jurisdiction makes robust diversion controls essential. This dovetails with the Graystone audit’s Finding 2 (end-use monitoring) and with OFAC’s expectations for licensees in comprehensively sanctioned jurisdictions.</w:t>
      </w:r>
    </w:p>
    <w:p>
      <w:pPr>
        <w:pStyle w:val="FirstParagraph"/>
      </w:pPr>
      <w:r>
        <w:rPr>
          <w:b/>
          <w:bCs/>
        </w:rPr>
        <w:t xml:space="preserve">Recommendation.</w:t>
      </w:r>
      <w:r>
        <w:t xml:space="preserve"> </w:t>
      </w:r>
      <w:r>
        <w:t xml:space="preserve">No change to the application’s route description is required at this time, but we recommend that, before shipment, Meridian (with Pinnacle and AMTW)</w:t>
      </w:r>
      <w:r>
        <w:t xml:space="preserve"> </w:t>
      </w:r>
      <w:r>
        <w:rPr>
          <w:b/>
          <w:bCs/>
        </w:rPr>
        <w:t xml:space="preserve">verify the operating status and controlling authority of the Bab al-Hawa crossing</w:t>
      </w:r>
      <w:r>
        <w:t xml:space="preserve"> </w:t>
      </w:r>
      <w:r>
        <w:t xml:space="preserve">and confirm that the in-country route to DCUH is consistent with delivery to a government-controlled end-user. The end-use monitoring plan in the application (Part XII.B) — delivery confirmation with photographic evidence, end-user non-diversion certificate, annual usage reporting, and a site-verification mechanism — is the principal mitigation and should be implemented rigorously. If the crossing or route proves problematic, we will report a material change to OFAC and propose an alternative routing.</w:t>
      </w:r>
    </w:p>
    <w:p>
      <w:r>
        <w:pict>
          <v:rect style="width:0;height:1.5pt" o:hralign="center" o:hrstd="t" o:hr="t"/>
        </w:pict>
      </w:r>
    </w:p>
    <w:bookmarkEnd w:id="29"/>
    <w:bookmarkStart w:id="30" w:name="X62757eec35b307b7326a45ba59ced0350b4adee"/>
    <w:p>
      <w:pPr>
        <w:pStyle w:val="Heading2"/>
      </w:pPr>
      <w:r>
        <w:t xml:space="preserve">X. ISSUE 7 — LICENSE TERM, TIMING, AND THE SEPTEMBER 1 TARGET</w:t>
      </w:r>
    </w:p>
    <w:p>
      <w:pPr>
        <w:pStyle w:val="FirstParagraph"/>
      </w:pPr>
      <w:r>
        <w:rPr>
          <w:b/>
          <w:bCs/>
        </w:rPr>
        <w:t xml:space="preserve">Facts.</w:t>
      </w:r>
      <w:r>
        <w:t xml:space="preserve"> </w:t>
      </w:r>
      <w:r>
        <w:t xml:space="preserve">The client would like a license effective date of September 1, 2024, and a term through February 28, 2026 (18 months). The client acknowledges OFAC processing can run 90–180 days.</w:t>
      </w:r>
    </w:p>
    <w:p>
      <w:pPr>
        <w:pStyle w:val="BodyText"/>
      </w:pPr>
      <w:r>
        <w:rPr>
          <w:b/>
          <w:bCs/>
        </w:rPr>
        <w:t xml:space="preserve">Analysis.</w:t>
      </w:r>
      <w:r>
        <w:t xml:space="preserve"> </w:t>
      </w:r>
      <w:r>
        <w:t xml:space="preserve">OFAC specific licenses are typically effective on the date of issuance; requesting a specific past or future</w:t>
      </w:r>
      <w:r>
        <w:t xml:space="preserve"> </w:t>
      </w:r>
      <w:r>
        <w:t xml:space="preserve">“</w:t>
      </w:r>
      <w:r>
        <w:t xml:space="preserve">effective date</w:t>
      </w:r>
      <w:r>
        <w:t xml:space="preserve">”</w:t>
      </w:r>
      <w:r>
        <w:t xml:space="preserve"> </w:t>
      </w:r>
      <w:r>
        <w:t xml:space="preserve">is unusual and OFAC generally will not backdate. We are filing today (July 8, 2024). If OFAC takes 90–180 days to process, issuance would fall roughly between early October 2024 and early January 2025. A September 1, 2024 effective date is therefore</w:t>
      </w:r>
      <w:r>
        <w:t xml:space="preserve"> </w:t>
      </w:r>
      <w:r>
        <w:rPr>
          <w:b/>
          <w:bCs/>
        </w:rPr>
        <w:t xml:space="preserve">likely not achievable</w:t>
      </w:r>
      <w:r>
        <w:t xml:space="preserve"> </w:t>
      </w:r>
      <w:r>
        <w:t xml:space="preserve">and should not be represented to DCUH as a commitment.</w:t>
      </w:r>
    </w:p>
    <w:p>
      <w:pPr>
        <w:pStyle w:val="BodyText"/>
      </w:pPr>
      <w:r>
        <w:rPr>
          <w:b/>
          <w:bCs/>
        </w:rPr>
        <w:t xml:space="preserve">Recommendation.</w:t>
      </w:r>
      <w:r>
        <w:t xml:space="preserve"> </w:t>
      </w:r>
      <w:r>
        <w:t xml:space="preserve">The application requests that the license be</w:t>
      </w:r>
      <w:r>
        <w:t xml:space="preserve"> </w:t>
      </w:r>
      <w:r>
        <w:rPr>
          <w:b/>
          <w:bCs/>
        </w:rPr>
        <w:t xml:space="preserve">effective upon issuance</w:t>
      </w:r>
      <w:r>
        <w:t xml:space="preserve"> </w:t>
      </w:r>
      <w:r>
        <w:t xml:space="preserve">and remain in effect</w:t>
      </w:r>
      <w:r>
        <w:t xml:space="preserve"> </w:t>
      </w:r>
      <w:r>
        <w:rPr>
          <w:b/>
          <w:bCs/>
        </w:rPr>
        <w:t xml:space="preserve">through February 28, 2026</w:t>
      </w:r>
      <w:r>
        <w:t xml:space="preserve">, and, in the alternative, that if issuance occurs after September 1, 2024, OFAC extend the expiration to provide a full 18-month window from issuance. This preserves the client’s 18-month operational need while accommodating OFAC’s actual processing timeline.</w:t>
      </w:r>
      <w:r>
        <w:t xml:space="preserve"> </w:t>
      </w:r>
      <w:r>
        <w:rPr>
          <w:b/>
          <w:bCs/>
        </w:rPr>
        <w:t xml:space="preserve">Action item:</w:t>
      </w:r>
      <w:r>
        <w:t xml:space="preserve"> </w:t>
      </w:r>
      <w:r>
        <w:t xml:space="preserve">reset internal and DCUH expectations — the shipment date will be driven by the issuance date, not by September 1. The 100% advance payment (15 business days pre-shipment) and the 6–8 week transit window should be planned backward from the actual issuance date.</w:t>
      </w:r>
    </w:p>
    <w:p>
      <w:r>
        <w:pict>
          <v:rect style="width:0;height:1.5pt" o:hralign="center" o:hrstd="t" o:hr="t"/>
        </w:pict>
      </w:r>
    </w:p>
    <w:bookmarkEnd w:id="30"/>
    <w:bookmarkStart w:id="31" w:name="X17977cef22aa5e61ced821a0c3d183567c661b1"/>
    <w:p>
      <w:pPr>
        <w:pStyle w:val="Heading2"/>
      </w:pPr>
      <w:r>
        <w:t xml:space="preserve">XI. ISSUE 8 — REPORTING, RECORDKEEPING, AND RE-SCREENING OBLIGATIONS</w:t>
      </w:r>
    </w:p>
    <w:p>
      <w:pPr>
        <w:pStyle w:val="FirstParagraph"/>
      </w:pPr>
      <w:r>
        <w:rPr>
          <w:b/>
          <w:bCs/>
        </w:rPr>
        <w:t xml:space="preserve">Analysis.</w:t>
      </w:r>
      <w:r>
        <w:t xml:space="preserve"> </w:t>
      </w:r>
      <w:r>
        <w:t xml:space="preserve">Consistent with the prior license and standard OFAC practice, we have proposed (Part XII.C) that any license include: 30-day post-shipment reporting (proof of delivery, shipping documents, end-user receipt confirmation, temperature data logs); 5-year recordkeeping under 31 C.F.R. § 501.601; annual usage reporting during the license term; implementation of the end-use monitoring plan; and prompt reporting of any material change in facts or circumstances. We have also committed to re-screening all transaction parties at 90-day intervals during the pendency of the application and immediately prior to any shipment, with prompt reporting of any new match.</w:t>
      </w:r>
    </w:p>
    <w:p>
      <w:pPr>
        <w:pStyle w:val="BodyText"/>
      </w:pPr>
      <w:r>
        <w:rPr>
          <w:b/>
          <w:bCs/>
        </w:rPr>
        <w:t xml:space="preserve">Recommendation.</w:t>
      </w:r>
      <w:r>
        <w:t xml:space="preserve"> </w:t>
      </w:r>
      <w:r>
        <w:t xml:space="preserve">These conditions are consistent with Meridian’s existing program and prior license performance and should present no difficulty. Two points to operationalize now:</w:t>
      </w:r>
    </w:p>
    <w:p>
      <w:pPr>
        <w:numPr>
          <w:ilvl w:val="0"/>
          <w:numId w:val="1007"/>
        </w:numPr>
      </w:pPr>
      <w:r>
        <w:rPr>
          <w:b/>
          <w:bCs/>
        </w:rPr>
        <w:t xml:space="preserve">Re-screening cadence.</w:t>
      </w:r>
      <w:r>
        <w:t xml:space="preserve"> </w:t>
      </w:r>
      <w:r>
        <w:t xml:space="preserve">Peggy’s team should calendar 90-day re-screens of all parties (including the substitute customs agent and the identified remitting bank once known) starting now, and a final screen immediately before each shipment. Any new match must be reported to us and to OFAC promptly and may require a license amendment.</w:t>
      </w:r>
    </w:p>
    <w:p>
      <w:pPr>
        <w:numPr>
          <w:ilvl w:val="0"/>
          <w:numId w:val="1007"/>
        </w:numPr>
      </w:pPr>
      <w:r>
        <w:rPr>
          <w:b/>
          <w:bCs/>
        </w:rPr>
        <w:t xml:space="preserve">Material-change reporting.</w:t>
      </w:r>
      <w:r>
        <w:t xml:space="preserve"> </w:t>
      </w:r>
      <w:r>
        <w:t xml:space="preserve">The substitution of the customs agent and the change of the remitting bank are themselves material changes from the Purchase Order as written. We have disclosed and proposed these in the application up front, so they are part of the licensed structure rather than post-issuance changes. Any</w:t>
      </w:r>
      <w:r>
        <w:t xml:space="preserve"> </w:t>
      </w:r>
      <w:r>
        <w:rPr>
          <w:i/>
          <w:iCs/>
        </w:rPr>
        <w:t xml:space="preserve">further</w:t>
      </w:r>
      <w:r>
        <w:t xml:space="preserve"> </w:t>
      </w:r>
      <w:r>
        <w:t xml:space="preserve">material change (e.g., a change in end-user, additional products, a route change, a new party) must be reported to OFAC and may require amendment.</w:t>
      </w:r>
    </w:p>
    <w:p>
      <w:r>
        <w:pict>
          <v:rect style="width:0;height:1.5pt" o:hralign="center" o:hrstd="t" o:hr="t"/>
        </w:pict>
      </w:r>
    </w:p>
    <w:bookmarkEnd w:id="31"/>
    <w:bookmarkStart w:id="35" w:name="xii.-risk-assessment-and-recommendations"/>
    <w:p>
      <w:pPr>
        <w:pStyle w:val="Heading2"/>
      </w:pPr>
      <w:r>
        <w:t xml:space="preserve">XII. RISK ASSESSMENT AND RECOMMENDATIONS</w:t>
      </w:r>
    </w:p>
    <w:bookmarkStart w:id="32" w:name="Xec29189673127b4486cbbec3c6a6d145f7e6af6"/>
    <w:p>
      <w:pPr>
        <w:pStyle w:val="Heading3"/>
      </w:pPr>
      <w:r>
        <w:t xml:space="preserve">A. Overall Risk Assessment: Moderate (trending favorable on issuance if restructuring items are resolved)</w:t>
      </w:r>
    </w:p>
    <w:p>
      <w:pPr>
        <w:pStyle w:val="FirstParagraph"/>
      </w:pPr>
      <w:r>
        <w:rPr>
          <w:b/>
          <w:bCs/>
        </w:rPr>
        <w:t xml:space="preserve">Favorable factors:</w:t>
      </w:r>
    </w:p>
    <w:p>
      <w:pPr>
        <w:pStyle w:val="Compact"/>
        <w:numPr>
          <w:ilvl w:val="0"/>
          <w:numId w:val="1008"/>
        </w:numPr>
      </w:pPr>
      <w:r>
        <w:t xml:space="preserve">Humanitarian EAR99 medical diagnostic goods with no dual-use concern;</w:t>
      </w:r>
    </w:p>
    <w:p>
      <w:pPr>
        <w:pStyle w:val="Compact"/>
        <w:numPr>
          <w:ilvl w:val="0"/>
          <w:numId w:val="1008"/>
        </w:numPr>
      </w:pPr>
      <w:r>
        <w:t xml:space="preserve">Direct implementation of WHO-recommended interventions at a named facility;</w:t>
      </w:r>
    </w:p>
    <w:p>
      <w:pPr>
        <w:pStyle w:val="Compact"/>
        <w:numPr>
          <w:ilvl w:val="0"/>
          <w:numId w:val="1008"/>
        </w:numPr>
      </w:pPr>
      <w:r>
        <w:t xml:space="preserve">FDA-cleared product with no functional substitute for the installed platform;</w:t>
      </w:r>
    </w:p>
    <w:p>
      <w:pPr>
        <w:pStyle w:val="Compact"/>
        <w:numPr>
          <w:ilvl w:val="0"/>
          <w:numId w:val="1008"/>
        </w:numPr>
      </w:pPr>
      <w:r>
        <w:t xml:space="preserve">Strong prior license history (SYR-2021-384712) with flawless performance;</w:t>
      </w:r>
    </w:p>
    <w:p>
      <w:pPr>
        <w:pStyle w:val="Compact"/>
        <w:numPr>
          <w:ilvl w:val="0"/>
          <w:numId w:val="1008"/>
        </w:numPr>
      </w:pPr>
      <w:r>
        <w:t xml:space="preserve">Mature compliance program, independently audited, with enhanced beneficial-ownership screening already in place;</w:t>
      </w:r>
    </w:p>
    <w:p>
      <w:pPr>
        <w:pStyle w:val="Compact"/>
        <w:numPr>
          <w:ilvl w:val="0"/>
          <w:numId w:val="1008"/>
        </w:numPr>
      </w:pPr>
      <w:r>
        <w:t xml:space="preserve">No enforcement history whatsoever;</w:t>
      </w:r>
    </w:p>
    <w:p>
      <w:pPr>
        <w:pStyle w:val="Compact"/>
        <w:numPr>
          <w:ilvl w:val="0"/>
          <w:numId w:val="1008"/>
        </w:numPr>
      </w:pPr>
      <w:r>
        <w:t xml:space="preserve">Remote-only training (no in-country travel) limits footprint and diversion risk.</w:t>
      </w:r>
    </w:p>
    <w:p>
      <w:pPr>
        <w:pStyle w:val="FirstParagraph"/>
      </w:pPr>
      <w:r>
        <w:rPr>
          <w:b/>
          <w:bCs/>
        </w:rPr>
        <w:t xml:space="preserve">Unfavorable / mitigating factors:</w:t>
      </w:r>
    </w:p>
    <w:p>
      <w:pPr>
        <w:pStyle w:val="Compact"/>
        <w:numPr>
          <w:ilvl w:val="0"/>
          <w:numId w:val="1009"/>
        </w:numPr>
      </w:pPr>
      <w:r>
        <w:t xml:space="preserve">SDN-listed remitting bank in the PO (CBS) —</w:t>
      </w:r>
      <w:r>
        <w:t xml:space="preserve"> </w:t>
      </w:r>
      <w:r>
        <w:rPr>
          <w:b/>
          <w:bCs/>
        </w:rPr>
        <w:t xml:space="preserve">being restructured</w:t>
      </w:r>
      <w:r>
        <w:t xml:space="preserve">;</w:t>
      </w:r>
    </w:p>
    <w:p>
      <w:pPr>
        <w:pStyle w:val="Compact"/>
        <w:numPr>
          <w:ilvl w:val="0"/>
          <w:numId w:val="1009"/>
        </w:numPr>
      </w:pPr>
      <w:r>
        <w:t xml:space="preserve">SDN-listed 30% shareholder in the designated customs agent, designated for ties to a</w:t>
      </w:r>
      <w:r>
        <w:t xml:space="preserve"> </w:t>
      </w:r>
      <w:r>
        <w:rPr>
          <w:b/>
          <w:bCs/>
        </w:rPr>
        <w:t xml:space="preserve">military procurement network</w:t>
      </w:r>
      <w:r>
        <w:t xml:space="preserve"> </w:t>
      </w:r>
      <w:r>
        <w:t xml:space="preserve">—</w:t>
      </w:r>
      <w:r>
        <w:t xml:space="preserve"> </w:t>
      </w:r>
      <w:r>
        <w:rPr>
          <w:b/>
          <w:bCs/>
        </w:rPr>
        <w:t xml:space="preserve">being restructured (ARMPC removed)</w:t>
      </w:r>
      <w:r>
        <w:t xml:space="preserve">;</w:t>
      </w:r>
    </w:p>
    <w:p>
      <w:pPr>
        <w:pStyle w:val="Compact"/>
        <w:numPr>
          <w:ilvl w:val="0"/>
          <w:numId w:val="1009"/>
        </w:numPr>
      </w:pPr>
      <w:r>
        <w:t xml:space="preserve">Governmental end-user in a comprehensively sanctioned jurisdiction (requires specific license; no general license available);</w:t>
      </w:r>
    </w:p>
    <w:p>
      <w:pPr>
        <w:pStyle w:val="Compact"/>
        <w:numPr>
          <w:ilvl w:val="0"/>
          <w:numId w:val="1009"/>
        </w:numPr>
      </w:pPr>
      <w:r>
        <w:t xml:space="preserve">Parallel BIS authorization required under the EAR Syria embargo (not yet confirmed);</w:t>
      </w:r>
    </w:p>
    <w:p>
      <w:pPr>
        <w:pStyle w:val="Compact"/>
        <w:numPr>
          <w:ilvl w:val="0"/>
          <w:numId w:val="1009"/>
        </w:numPr>
      </w:pPr>
      <w:r>
        <w:t xml:space="preserve">Technology-transfer dimension of the training requires careful scoping (addressed in application);</w:t>
      </w:r>
    </w:p>
    <w:p>
      <w:pPr>
        <w:pStyle w:val="Compact"/>
        <w:numPr>
          <w:ilvl w:val="0"/>
          <w:numId w:val="1009"/>
        </w:numPr>
      </w:pPr>
      <w:r>
        <w:t xml:space="preserve">Border-crossing/routing diligence outstanding;</w:t>
      </w:r>
    </w:p>
    <w:p>
      <w:pPr>
        <w:pStyle w:val="Compact"/>
        <w:numPr>
          <w:ilvl w:val="0"/>
          <w:numId w:val="1009"/>
        </w:numPr>
      </w:pPr>
      <w:r>
        <w:t xml:space="preserve">September 1 effective-date target likely unachievable.</w:t>
      </w:r>
    </w:p>
    <w:bookmarkEnd w:id="32"/>
    <w:bookmarkStart w:id="33" w:name="b.-priority-action-items-for-meridian"/>
    <w:p>
      <w:pPr>
        <w:pStyle w:val="Heading3"/>
      </w:pPr>
      <w:r>
        <w:t xml:space="preserve">B. Priority Action Items for Meridian</w:t>
      </w:r>
    </w:p>
    <w:p>
      <w:pPr>
        <w:numPr>
          <w:ilvl w:val="0"/>
          <w:numId w:val="1010"/>
        </w:numPr>
      </w:pPr>
      <w:r>
        <w:rPr>
          <w:b/>
          <w:bCs/>
        </w:rPr>
        <w:t xml:space="preserve">Remitting bank (highest priority).</w:t>
      </w:r>
      <w:r>
        <w:t xml:space="preserve"> </w:t>
      </w:r>
      <w:r>
        <w:t xml:space="preserve">Work with DCUH to identify a non-SDN-listed remitting institution; have Peggy’s team screen it (entity, principals, beneficial owners) before any payment is accepted; do not accept payment routed through CBS.</w:t>
      </w:r>
      <w:r>
        <w:t xml:space="preserve"> </w:t>
      </w:r>
      <w:r>
        <w:rPr>
          <w:b/>
          <w:bCs/>
        </w:rPr>
        <w:t xml:space="preserve">Do not countersign the PO</w:t>
      </w:r>
      <w:r>
        <w:t xml:space="preserve"> </w:t>
      </w:r>
      <w:r>
        <w:t xml:space="preserve">until the payment clause is amended to specify the compliant institution.</w:t>
      </w:r>
    </w:p>
    <w:p>
      <w:pPr>
        <w:numPr>
          <w:ilvl w:val="0"/>
          <w:numId w:val="1010"/>
        </w:numPr>
      </w:pPr>
      <w:r>
        <w:rPr>
          <w:b/>
          <w:bCs/>
        </w:rPr>
        <w:t xml:space="preserve">Customs agent (highest priority).</w:t>
      </w:r>
      <w:r>
        <w:t xml:space="preserve"> </w:t>
      </w:r>
      <w:r>
        <w:t xml:space="preserve">Work with DCUH to identify a substitute Syrian customs clearance agent with no SDN nexus; screen the substitute before engagement; do not pay fees to ARMPC; amend the PO to replace ARMPC before acceptance.</w:t>
      </w:r>
    </w:p>
    <w:p>
      <w:pPr>
        <w:numPr>
          <w:ilvl w:val="0"/>
          <w:numId w:val="1010"/>
        </w:numPr>
      </w:pPr>
      <w:r>
        <w:rPr>
          <w:b/>
          <w:bCs/>
        </w:rPr>
        <w:t xml:space="preserve">BIS authorization.</w:t>
      </w:r>
      <w:r>
        <w:t xml:space="preserve"> </w:t>
      </w:r>
      <w:r>
        <w:t xml:space="preserve">Have the regulatory/export-control team confirm the BIS pathway for the goods</w:t>
      </w:r>
      <w:r>
        <w:t xml:space="preserve"> </w:t>
      </w:r>
      <w:r>
        <w:rPr>
          <w:i/>
          <w:iCs/>
        </w:rPr>
        <w:t xml:space="preserve">and</w:t>
      </w:r>
      <w:r>
        <w:t xml:space="preserve"> </w:t>
      </w:r>
      <w:r>
        <w:t xml:space="preserve">the training technology/software to Syria (license exception vs. license application); coordinate with us if a BIS application is needed.</w:t>
      </w:r>
    </w:p>
    <w:p>
      <w:pPr>
        <w:numPr>
          <w:ilvl w:val="0"/>
          <w:numId w:val="1010"/>
        </w:numPr>
      </w:pPr>
      <w:r>
        <w:rPr>
          <w:b/>
          <w:bCs/>
        </w:rPr>
        <w:t xml:space="preserve">Firmware control.</w:t>
      </w:r>
      <w:r>
        <w:t xml:space="preserve"> </w:t>
      </w:r>
      <w:r>
        <w:t xml:space="preserve">Implement an internal control barring any post-export firmware update to the DCUH CalibPro units absent separate OFAC/BIS authorization.</w:t>
      </w:r>
    </w:p>
    <w:p>
      <w:pPr>
        <w:numPr>
          <w:ilvl w:val="0"/>
          <w:numId w:val="1010"/>
        </w:numPr>
      </w:pPr>
      <w:r>
        <w:rPr>
          <w:b/>
          <w:bCs/>
        </w:rPr>
        <w:t xml:space="preserve">End-use monitoring.</w:t>
      </w:r>
      <w:r>
        <w:t xml:space="preserve"> </w:t>
      </w:r>
      <w:r>
        <w:t xml:space="preserve">Operationalize the end-use monitoring plan (delivery confirmation with photos; end-user non-diversion certificate; annual usage reporting; site-verification mechanism) — obtain the end-user certificate from DCUH before shipment.</w:t>
      </w:r>
    </w:p>
    <w:p>
      <w:pPr>
        <w:numPr>
          <w:ilvl w:val="0"/>
          <w:numId w:val="1010"/>
        </w:numPr>
      </w:pPr>
      <w:r>
        <w:rPr>
          <w:b/>
          <w:bCs/>
        </w:rPr>
        <w:t xml:space="preserve">Re-screening.</w:t>
      </w:r>
      <w:r>
        <w:t xml:space="preserve"> </w:t>
      </w:r>
      <w:r>
        <w:t xml:space="preserve">Calendar 90-day re-screens of all parties now and a final screen before each shipment; report any new match to us and to OFAC.</w:t>
      </w:r>
    </w:p>
    <w:p>
      <w:pPr>
        <w:numPr>
          <w:ilvl w:val="0"/>
          <w:numId w:val="1010"/>
        </w:numPr>
      </w:pPr>
      <w:r>
        <w:rPr>
          <w:b/>
          <w:bCs/>
        </w:rPr>
        <w:t xml:space="preserve">Route diligence.</w:t>
      </w:r>
      <w:r>
        <w:t xml:space="preserve"> </w:t>
      </w:r>
      <w:r>
        <w:t xml:space="preserve">Before shipment, verify the operating status and controlling authority of the Bab al-Hawa crossing and the consistency of the in-country route with delivery to DCUH.</w:t>
      </w:r>
    </w:p>
    <w:p>
      <w:pPr>
        <w:numPr>
          <w:ilvl w:val="0"/>
          <w:numId w:val="1010"/>
        </w:numPr>
      </w:pPr>
      <w:r>
        <w:rPr>
          <w:b/>
          <w:bCs/>
        </w:rPr>
        <w:t xml:space="preserve">Expectations management.</w:t>
      </w:r>
      <w:r>
        <w:t xml:space="preserve"> </w:t>
      </w:r>
      <w:r>
        <w:t xml:space="preserve">Reset the September 1 effective-date expectation internally and with DCUH; plan shipment and payment backward from the actual issuance date.</w:t>
      </w:r>
    </w:p>
    <w:bookmarkEnd w:id="33"/>
    <w:bookmarkStart w:id="34" w:name="c.-likelihood-of-issuance"/>
    <w:p>
      <w:pPr>
        <w:pStyle w:val="Heading3"/>
      </w:pPr>
      <w:r>
        <w:t xml:space="preserve">C. Likelihood of Issuance</w:t>
      </w:r>
    </w:p>
    <w:p>
      <w:pPr>
        <w:pStyle w:val="FirstParagraph"/>
      </w:pPr>
      <w:r>
        <w:t xml:space="preserve">Subject to satisfactory resolution of the two restructuring items (compliant remitting bank; clean customs agent), we assess the likelihood of issuance as</w:t>
      </w:r>
      <w:r>
        <w:t xml:space="preserve"> </w:t>
      </w:r>
      <w:r>
        <w:rPr>
          <w:b/>
          <w:bCs/>
        </w:rPr>
        <w:t xml:space="preserve">reasonably good</w:t>
      </w:r>
      <w:r>
        <w:t xml:space="preserve">. The humanitarian character, WHO support, prior-license precedent, and compliance track record are strong. The principal residual uncertainty is how OFAC will weigh the Khoury designation basis (military procurement network) even after ARMPC is removed — OFAC may ask follow-up questions about how the substitute agent was selected and about diversion controls, which we should be prepared to answer promptly. We do not recommend filing the alternative (ARMPC-retained) structure as the primary request; the substitution approach gives the best chance of a timely, clean issuance.</w:t>
      </w:r>
    </w:p>
    <w:p>
      <w:r>
        <w:pict>
          <v:rect style="width:0;height:1.5pt" o:hralign="center" o:hrstd="t" o:hr="t"/>
        </w:pict>
      </w:r>
    </w:p>
    <w:bookmarkEnd w:id="34"/>
    <w:bookmarkEnd w:id="35"/>
    <w:bookmarkStart w:id="36" w:name="xiii.-next-steps"/>
    <w:p>
      <w:pPr>
        <w:pStyle w:val="Heading2"/>
      </w:pPr>
      <w:r>
        <w:t xml:space="preserve">XIII. NEXT STEPS</w:t>
      </w:r>
    </w:p>
    <w:p>
      <w:pPr>
        <w:pStyle w:val="Compact"/>
        <w:numPr>
          <w:ilvl w:val="0"/>
          <w:numId w:val="1011"/>
        </w:numPr>
      </w:pPr>
      <w:r>
        <w:rPr>
          <w:b/>
          <w:bCs/>
        </w:rPr>
        <w:t xml:space="preserve">Today (July 8, 2024):</w:t>
      </w:r>
      <w:r>
        <w:t xml:space="preserve"> </w:t>
      </w:r>
      <w:r>
        <w:t xml:space="preserve">We file the OFAC specific license application (with Exhibits A–G; Exhibits H–I to follow as the substitute agent and remitting bank are identified).</w:t>
      </w:r>
    </w:p>
    <w:p>
      <w:pPr>
        <w:pStyle w:val="Compact"/>
        <w:numPr>
          <w:ilvl w:val="0"/>
          <w:numId w:val="1011"/>
        </w:numPr>
      </w:pPr>
      <w:r>
        <w:rPr>
          <w:b/>
          <w:bCs/>
        </w:rPr>
        <w:t xml:space="preserve">Within 2 weeks:</w:t>
      </w:r>
      <w:r>
        <w:t xml:space="preserve"> </w:t>
      </w:r>
      <w:r>
        <w:t xml:space="preserve">Meridian identifies and screens a substitute customs agent and a compliant remitting bank; we submit Exhibits H and I and, if needed, a supplemental filing to OFAC naming the identified parties.</w:t>
      </w:r>
    </w:p>
    <w:p>
      <w:pPr>
        <w:pStyle w:val="Compact"/>
        <w:numPr>
          <w:ilvl w:val="0"/>
          <w:numId w:val="1011"/>
        </w:numPr>
      </w:pPr>
      <w:r>
        <w:rPr>
          <w:b/>
          <w:bCs/>
        </w:rPr>
        <w:t xml:space="preserve">In parallel:</w:t>
      </w:r>
      <w:r>
        <w:t xml:space="preserve"> </w:t>
      </w:r>
      <w:r>
        <w:t xml:space="preserve">Meridian’s regulatory team confirms the BIS authorization pathway; we coordinate any BIS filing.</w:t>
      </w:r>
    </w:p>
    <w:p>
      <w:pPr>
        <w:pStyle w:val="Compact"/>
        <w:numPr>
          <w:ilvl w:val="0"/>
          <w:numId w:val="1011"/>
        </w:numPr>
      </w:pPr>
      <w:r>
        <w:rPr>
          <w:b/>
          <w:bCs/>
        </w:rPr>
        <w:t xml:space="preserve">Ongoing:</w:t>
      </w:r>
      <w:r>
        <w:t xml:space="preserve"> </w:t>
      </w:r>
      <w:r>
        <w:t xml:space="preserve">90-day re-screens; prompt response to any OFAC questions; track issuance (est. Oct 2024 – Jan 2025).</w:t>
      </w:r>
    </w:p>
    <w:p>
      <w:pPr>
        <w:pStyle w:val="Compact"/>
        <w:numPr>
          <w:ilvl w:val="0"/>
          <w:numId w:val="1011"/>
        </w:numPr>
      </w:pPr>
      <w:r>
        <w:rPr>
          <w:b/>
          <w:bCs/>
        </w:rPr>
        <w:t xml:space="preserve">Upon issuance:</w:t>
      </w:r>
      <w:r>
        <w:t xml:space="preserve"> </w:t>
      </w:r>
      <w:r>
        <w:t xml:space="preserve">Verify license terms against the application; finalize the end-user certificate; schedule shipment and payment backward from issuance; implement the end-use monitoring plan.</w:t>
      </w:r>
    </w:p>
    <w:p>
      <w:pPr>
        <w:pStyle w:val="FirstParagraph"/>
      </w:pPr>
      <w:r>
        <w:t xml:space="preserve">Please let us know if you would like to discuss any of the foregoing, or if you would like us to coordinate the BIS filing or the DCUH negotiations on the payment and customs-agent terms. We are available at your convenience.</w:t>
      </w:r>
    </w:p>
    <w:p>
      <w:pPr>
        <w:pStyle w:val="BodyText"/>
      </w:pPr>
      <w:r>
        <w:rPr>
          <w:b/>
          <w:bCs/>
        </w:rPr>
        <w:t xml:space="preserve">Catherine R. Bellingham</w:t>
      </w:r>
      <w:r>
        <w:t xml:space="preserve"> </w:t>
      </w:r>
      <w:r>
        <w:t xml:space="preserve">Partner</w:t>
      </w:r>
      <w:r>
        <w:t xml:space="preserve"> </w:t>
      </w:r>
      <w:r>
        <w:t xml:space="preserve">Ashford &amp; Whitmore LLP</w:t>
      </w:r>
      <w:r>
        <w:t xml:space="preserve"> </w:t>
      </w:r>
      <w:r>
        <w:t xml:space="preserve">(202) 555-0147 | cbellingham@ashfordwhitmore.com</w:t>
      </w:r>
    </w:p>
    <w:p>
      <w:pPr>
        <w:pStyle w:val="BodyText"/>
      </w:pPr>
      <w:r>
        <w:rPr>
          <w:b/>
          <w:bCs/>
        </w:rPr>
        <w:t xml:space="preserve">David Osei-Mensah</w:t>
      </w:r>
      <w:r>
        <w:t xml:space="preserve"> </w:t>
      </w:r>
      <w:r>
        <w:t xml:space="preserve">Senior Associate</w:t>
      </w:r>
      <w:r>
        <w:t xml:space="preserve"> </w:t>
      </w:r>
      <w:r>
        <w:t xml:space="preserve">Ashford &amp; Whitmore LLP</w:t>
      </w:r>
      <w:r>
        <w:t xml:space="preserve"> </w:t>
      </w:r>
      <w:r>
        <w:t xml:space="preserve">(202) 555-0162 | doesei-mensah@ashfordwhitmore.com</w:t>
      </w:r>
    </w:p>
    <w:p>
      <w:pPr>
        <w:pStyle w:val="BodyText"/>
      </w:pPr>
      <w:r>
        <w:rPr>
          <w:i/>
          <w:iCs/>
        </w:rPr>
        <w:t xml:space="preserve">This memorandum is privileged and confidential. It is intended solely for the named recipients and may not be distributed further without the prior written consent of Ashford &amp; Whitmore LLP.</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Issues Memorandum — Proposed OFAC-Licensed Export of Cancer Diagnostic Products to Damascus Central University Hospital</dc:title>
  <dc:creator/>
  <cp:keywords/>
  <dcterms:created xsi:type="dcterms:W3CDTF">2026-06-28T21:52:56Z</dcterms:created>
  <dcterms:modified xsi:type="dcterms:W3CDTF">2026-06-28T21:52:56Z</dcterms:modified>
</cp:coreProperties>
</file>

<file path=docProps/custom.xml><?xml version="1.0" encoding="utf-8"?>
<Properties xmlns="http://schemas.openxmlformats.org/officeDocument/2006/custom-properties" xmlns:vt="http://schemas.openxmlformats.org/officeDocument/2006/docPropsVTypes"/>
</file>