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Application</w:t>
      </w:r>
      <w:r>
        <w:t xml:space="preserve"> </w:t>
      </w:r>
      <w:r>
        <w:t xml:space="preserve">for</w:t>
      </w:r>
      <w:r>
        <w:t xml:space="preserve"> </w:t>
      </w:r>
      <w:r>
        <w:t xml:space="preserve">Specific</w:t>
      </w:r>
      <w:r>
        <w:t xml:space="preserve"> </w:t>
      </w:r>
      <w:r>
        <w:t xml:space="preserve">License</w:t>
      </w:r>
      <w:r>
        <w:t xml:space="preserve"> </w:t>
      </w:r>
      <w:r>
        <w:t xml:space="preserve">—</w:t>
      </w:r>
      <w:r>
        <w:t xml:space="preserve"> </w:t>
      </w:r>
      <w:r>
        <w:t xml:space="preserve">Export</w:t>
      </w:r>
      <w:r>
        <w:t xml:space="preserve"> </w:t>
      </w:r>
      <w:r>
        <w:t xml:space="preserve">of</w:t>
      </w:r>
      <w:r>
        <w:t xml:space="preserve"> </w:t>
      </w:r>
      <w:r>
        <w:t xml:space="preserve">Cancer</w:t>
      </w:r>
      <w:r>
        <w:t xml:space="preserve"> </w:t>
      </w:r>
      <w:r>
        <w:t xml:space="preserve">Diagnostic</w:t>
      </w:r>
      <w:r>
        <w:t xml:space="preserve"> </w:t>
      </w:r>
      <w:r>
        <w:t xml:space="preserve">Products</w:t>
      </w:r>
      <w:r>
        <w:t xml:space="preserve"> </w:t>
      </w:r>
      <w:r>
        <w:t xml:space="preserve">and</w:t>
      </w:r>
      <w:r>
        <w:t xml:space="preserve"> </w:t>
      </w:r>
      <w:r>
        <w:t xml:space="preserve">Related</w:t>
      </w:r>
      <w:r>
        <w:t xml:space="preserve"> </w:t>
      </w:r>
      <w:r>
        <w:t xml:space="preserve">Training</w:t>
      </w:r>
      <w:r>
        <w:t xml:space="preserve"> </w:t>
      </w:r>
      <w:r>
        <w:t xml:space="preserve">Services</w:t>
      </w:r>
      <w:r>
        <w:t xml:space="preserve"> </w:t>
      </w:r>
      <w:r>
        <w:t xml:space="preserve">to</w:t>
      </w:r>
      <w:r>
        <w:t xml:space="preserve"> </w:t>
      </w:r>
      <w:r>
        <w:t xml:space="preserve">Damascus</w:t>
      </w:r>
      <w:r>
        <w:t xml:space="preserve"> </w:t>
      </w:r>
      <w:r>
        <w:t xml:space="preserve">Central</w:t>
      </w:r>
      <w:r>
        <w:t xml:space="preserve"> </w:t>
      </w:r>
      <w:r>
        <w:t xml:space="preserve">University</w:t>
      </w:r>
      <w:r>
        <w:t xml:space="preserve"> </w:t>
      </w:r>
      <w:r>
        <w:t xml:space="preserve">Hospital,</w:t>
      </w:r>
      <w:r>
        <w:t xml:space="preserve"> </w:t>
      </w:r>
      <w:r>
        <w:t xml:space="preserve">Syria</w:t>
      </w:r>
    </w:p>
    <w:p>
      <w:pPr>
        <w:pStyle w:val="Subtitle"/>
      </w:pPr>
      <w:r>
        <w:t xml:space="preserve">Syrian</w:t>
      </w:r>
      <w:r>
        <w:t xml:space="preserve"> </w:t>
      </w:r>
      <w:r>
        <w:t xml:space="preserve">Sanctions</w:t>
      </w:r>
      <w:r>
        <w:t xml:space="preserve"> </w:t>
      </w:r>
      <w:r>
        <w:t xml:space="preserve">Regulations,</w:t>
      </w:r>
      <w:r>
        <w:t xml:space="preserve"> </w:t>
      </w:r>
      <w:r>
        <w:t xml:space="preserve">31</w:t>
      </w:r>
      <w:r>
        <w:t xml:space="preserve"> </w:t>
      </w:r>
      <w:r>
        <w:t xml:space="preserve">C.F.R.</w:t>
      </w:r>
      <w:r>
        <w:t xml:space="preserve"> </w:t>
      </w:r>
      <w:r>
        <w:t xml:space="preserve">Part</w:t>
      </w:r>
      <w:r>
        <w:t xml:space="preserve"> </w:t>
      </w:r>
      <w:r>
        <w:t xml:space="preserve">542;</w:t>
      </w:r>
      <w:r>
        <w:t xml:space="preserve"> </w:t>
      </w:r>
      <w:r>
        <w:t xml:space="preserve">Executive</w:t>
      </w:r>
      <w:r>
        <w:t xml:space="preserve"> </w:t>
      </w:r>
      <w:r>
        <w:t xml:space="preserve">Order</w:t>
      </w:r>
      <w:r>
        <w:t xml:space="preserve"> </w:t>
      </w:r>
      <w:r>
        <w:t xml:space="preserve">13582</w:t>
      </w:r>
    </w:p>
    <w:bookmarkStart w:id="51" w:name="application-for-specific-license"/>
    <w:p>
      <w:pPr>
        <w:pStyle w:val="Heading1"/>
      </w:pPr>
      <w:r>
        <w:t xml:space="preserve">APPLICATION FOR SPECIFIC LICENSE</w:t>
      </w:r>
    </w:p>
    <w:p>
      <w:pPr>
        <w:pStyle w:val="FirstParagraph"/>
      </w:pPr>
      <w:r>
        <w:rPr>
          <w:b/>
          <w:bCs/>
        </w:rPr>
        <w:t xml:space="preserve">U.S. Department of the Treasury — Office of Foreign Assets Control</w:t>
      </w:r>
      <w:r>
        <w:t xml:space="preserve"> </w:t>
      </w:r>
      <w:r>
        <w:rPr>
          <w:b/>
          <w:bCs/>
        </w:rPr>
        <w:t xml:space="preserve">Licensing Division</w:t>
      </w:r>
      <w:r>
        <w:t xml:space="preserve"> </w:t>
      </w:r>
      <w:r>
        <w:rPr>
          <w:b/>
          <w:bCs/>
        </w:rPr>
        <w:t xml:space="preserve">1500 Pennsylvania Avenue NW, Washington, DC 20220</w:t>
      </w:r>
    </w:p>
    <w:p>
      <w:pPr>
        <w:pStyle w:val="BodyText"/>
      </w:pPr>
      <w:r>
        <w:rPr>
          <w:b/>
          <w:bCs/>
        </w:rPr>
        <w:t xml:space="preserve">Sanctions Program:</w:t>
      </w:r>
      <w:r>
        <w:t xml:space="preserve"> </w:t>
      </w:r>
      <w:r>
        <w:t xml:space="preserve">Syrian Sanctions Regulations, 31 C.F.R. Part 542; Executive Order 13582 of August 17, 2011</w:t>
      </w:r>
    </w:p>
    <w:p>
      <w:pPr>
        <w:pStyle w:val="BodyText"/>
      </w:pPr>
      <w:r>
        <w:rPr>
          <w:b/>
          <w:bCs/>
        </w:rPr>
        <w:t xml:space="preserve">Applicant:</w:t>
      </w:r>
      <w:r>
        <w:t xml:space="preserve"> </w:t>
      </w:r>
      <w:r>
        <w:t xml:space="preserve">Meridian Biotech Solutions, Inc.</w:t>
      </w:r>
    </w:p>
    <w:p>
      <w:pPr>
        <w:pStyle w:val="BodyText"/>
      </w:pPr>
      <w:r>
        <w:rPr>
          <w:b/>
          <w:bCs/>
        </w:rPr>
        <w:t xml:space="preserve">Submitted by Outside Counsel:</w:t>
      </w:r>
      <w:r>
        <w:t xml:space="preserve"> </w:t>
      </w:r>
      <w:r>
        <w:t xml:space="preserve">Ashford &amp; Whitmore LLP</w:t>
      </w:r>
    </w:p>
    <w:p>
      <w:pPr>
        <w:pStyle w:val="BodyText"/>
      </w:pPr>
      <w:r>
        <w:rPr>
          <w:b/>
          <w:bCs/>
        </w:rPr>
        <w:t xml:space="preserve">Date of Application:</w:t>
      </w:r>
      <w:r>
        <w:t xml:space="preserve"> </w:t>
      </w:r>
      <w:r>
        <w:t xml:space="preserve">July 8, 2024</w:t>
      </w:r>
    </w:p>
    <w:p>
      <w:r>
        <w:pict>
          <v:rect style="width:0;height:1.5pt" o:hralign="center" o:hrstd="t" o:hr="t"/>
        </w:pict>
      </w:r>
    </w:p>
    <w:bookmarkStart w:id="20" w:name="part-i-transmittal-cover-letter"/>
    <w:p>
      <w:pPr>
        <w:pStyle w:val="Heading2"/>
      </w:pPr>
      <w:r>
        <w:t xml:space="preserve">PART I — TRANSMITTAL / COVER LETTER</w:t>
      </w:r>
    </w:p>
    <w:p>
      <w:pPr>
        <w:pStyle w:val="FirstParagraph"/>
      </w:pPr>
      <w:r>
        <w:rPr>
          <w:b/>
          <w:bCs/>
        </w:rPr>
        <w:t xml:space="preserve">ASHFORD &amp; WHITMORE LLP</w:t>
      </w:r>
      <w:r>
        <w:t xml:space="preserve"> </w:t>
      </w:r>
      <w:r>
        <w:t xml:space="preserve">1700 K Street NW, Suite 950</w:t>
      </w:r>
      <w:r>
        <w:t xml:space="preserve"> </w:t>
      </w:r>
      <w:r>
        <w:t xml:space="preserve">Washington, DC 20006</w:t>
      </w:r>
    </w:p>
    <w:p>
      <w:pPr>
        <w:pStyle w:val="BodyText"/>
      </w:pPr>
      <w:r>
        <w:t xml:space="preserve">July 8, 2024</w:t>
      </w:r>
    </w:p>
    <w:p>
      <w:pPr>
        <w:pStyle w:val="BodyText"/>
      </w:pPr>
      <w:r>
        <w:rPr>
          <w:b/>
          <w:bCs/>
        </w:rPr>
        <w:t xml:space="preserve">VIA OFAC LICENSE APPLICATION PORTAL AND COURIER</w:t>
      </w:r>
    </w:p>
    <w:p>
      <w:pPr>
        <w:pStyle w:val="BodyText"/>
      </w:pPr>
      <w:r>
        <w:t xml:space="preserve">Licensing Division</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Re: Application for Specific License — Proposed Export of CancerDetect RX-700 Reagent Kits, CalibPro 3100 Calibration Units, and Related Remote Training Services to Damascus Central University Hospital, Damascus, Syria</w:t>
      </w:r>
    </w:p>
    <w:p>
      <w:pPr>
        <w:pStyle w:val="BodyText"/>
      </w:pPr>
      <w:r>
        <w:t xml:space="preserve">Dear Director of the Licensing Division:</w:t>
      </w:r>
    </w:p>
    <w:p>
      <w:pPr>
        <w:pStyle w:val="BodyText"/>
      </w:pPr>
      <w:r>
        <w:t xml:space="preserve">Ashford &amp; Whitmore LLP submits this application for a specific license on behalf of our client, 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pursuant to the Syrian Sanctions Regulations, 31 C.F.R. Part 542 (</w:t>
      </w:r>
      <w:r>
        <w:t xml:space="preserve">“</w:t>
      </w:r>
      <w:r>
        <w:t xml:space="preserve">SSR</w:t>
      </w:r>
      <w:r>
        <w:t xml:space="preserve">”</w:t>
      </w:r>
      <w:r>
        <w:t xml:space="preserve">), and Executive Order 13582 of August 17, 2011. The Applicant requests authorization to export certain humanitarian cancer diagnostic products and to provide related remote installation and calibration training services to Damascus Central University Hospital (</w:t>
      </w:r>
      <w:r>
        <w:t xml:space="preserve">“</w:t>
      </w:r>
      <w:r>
        <w:t xml:space="preserve">DCUH</w:t>
      </w:r>
      <w:r>
        <w:t xml:space="preserve">”</w:t>
      </w:r>
      <w:r>
        <w:t xml:space="preserve">) in Damascus, Syria.</w:t>
      </w:r>
    </w:p>
    <w:p>
      <w:pPr>
        <w:pStyle w:val="BodyText"/>
      </w:pPr>
      <w:r>
        <w:t xml:space="preserve">The proposed transaction involves the export of five hundred (500) CancerDetect RX-700 in vitro diagnostic reagent kits (for immunohistochemical detection of HER2, ER, and PR breast cancer biomarkers), four (4) CalibPro 3100 benchtop calibration units, and approximately forty (40) hours of remote installation and calibration training, with an aggregate transaction value of $1,280,000. All physical goods are classified EAR99 under the Commerce Control List. The goods are intended exclusively for clinical diagnostic use within the Oncology Department of DCUH, the largest remaining oncology referral center in Syria.</w:t>
      </w:r>
    </w:p>
    <w:p>
      <w:pPr>
        <w:pStyle w:val="BodyText"/>
      </w:pPr>
      <w:r>
        <w:t xml:space="preserve">This application is submitted in support of a humanitarian medical export. The World Health Organization Syria Country Office, in its</w:t>
      </w:r>
      <w:r>
        <w:t xml:space="preserve"> </w:t>
      </w:r>
      <w:r>
        <w:rPr>
          <w:i/>
          <w:iCs/>
        </w:rPr>
        <w:t xml:space="preserve">Comprehensive Health Needs Assessment: Syrian Arab Republic — 2024 Update</w:t>
      </w:r>
      <w:r>
        <w:t xml:space="preserve"> </w:t>
      </w:r>
      <w:r>
        <w:t xml:space="preserve">(January 2024), has identified cancer diagnostics as a critical gap in the Syrian health system and has named DCUH specifically as the principal remaining oncology referral center. The proposed transaction directly responds to the WHO’s recommendations for urgent procurement of validated immunohistochemistry reagent kits, replacement of calibration instruments, and remote technical training.</w:t>
      </w:r>
    </w:p>
    <w:p>
      <w:pPr>
        <w:pStyle w:val="BodyText"/>
      </w:pPr>
      <w:r>
        <w:t xml:space="preserve">The Applicant and its counsel have conducted a comprehensive sanctions and restricted-party screening of all transaction parties. This application discloses, in full and on a voluntary basis, two matters identified during screening that require OFAC’s attention: (i) the proposed remitting bank identified in the end-user’s purchase order, the Central Bank of Calverley, is designated on the Specially Designated Nationals and Blocked Persons List (</w:t>
      </w:r>
      <w:r>
        <w:t xml:space="preserve">“</w:t>
      </w:r>
      <w:r>
        <w:t xml:space="preserve">SDN List</w:t>
      </w:r>
      <w:r>
        <w:t xml:space="preserve">”</w:t>
      </w:r>
      <w:r>
        <w:t xml:space="preserve">); and (ii) a 30% shareholder of the end-user’s designated customs clearance agent, Al-Rashid Medical Procurement Company, is likewise designated on the SDN List. The Applicant has restructured the transaction to address both matters, as detailed in Parts VII and VIII below, and respectfully requests that any license issued be conditioned accordingly.</w:t>
      </w:r>
    </w:p>
    <w:p>
      <w:pPr>
        <w:pStyle w:val="BodyText"/>
      </w:pPr>
      <w:r>
        <w:t xml:space="preserve">The Applicant previously held OFAC Specific License No. SYR-2021-384712 (issued September 14, 2021; expired March 31, 2023), which authorized a comparable humanitarian export of tuberculosis diagnostic kits to a public hospital in Damascus. All authorized transactions under that license were completed by January 2023, with no violations, late filings, or deviations from license terms. The Applicant maintains an OFAC sanctions compliance program that has been in place since 2015 and was most recently independently audited in September 2023.</w:t>
      </w:r>
    </w:p>
    <w:p>
      <w:pPr>
        <w:pStyle w:val="BodyText"/>
      </w:pPr>
      <w:r>
        <w:t xml:space="preserve">We respectfully request that OFAC process this application as soon as practicable, given the humanitarian urgency described herein and the Applicant’s operational timeline. We are available to provide any additional information or documentation that OFAC may require, and to respond promptly to any questions from the Licensing Division.</w:t>
      </w:r>
    </w:p>
    <w:p>
      <w:pPr>
        <w:pStyle w:val="BodyText"/>
      </w:pPr>
      <w:r>
        <w:t xml:space="preserve">Respectfully submitted,</w:t>
      </w:r>
    </w:p>
    <w:p>
      <w:pPr>
        <w:pStyle w:val="BodyText"/>
      </w:pPr>
      <w:r>
        <w:rPr>
          <w:b/>
          <w:bCs/>
        </w:rPr>
        <w:t xml:space="preserve">Catherine R. Bellingham</w:t>
      </w:r>
      <w:r>
        <w:t xml:space="preserve"> </w:t>
      </w:r>
      <w:r>
        <w:t xml:space="preserve">Partner</w:t>
      </w:r>
      <w:r>
        <w:t xml:space="preserve"> </w:t>
      </w:r>
      <w:r>
        <w:t xml:space="preserve">Ashford &amp; Whitmore LLP</w:t>
      </w:r>
      <w:r>
        <w:t xml:space="preserve"> </w:t>
      </w:r>
      <w:r>
        <w:t xml:space="preserve">(202) 555-0147 | cbellingham@ashfordwhitmore.com</w:t>
      </w:r>
    </w:p>
    <w:p>
      <w:pPr>
        <w:pStyle w:val="BodyText"/>
      </w:pPr>
      <w:r>
        <w:rPr>
          <w:b/>
          <w:bCs/>
        </w:rPr>
        <w:t xml:space="preserve">David Osei-Mensah</w:t>
      </w:r>
      <w:r>
        <w:t xml:space="preserve"> </w:t>
      </w:r>
      <w:r>
        <w:t xml:space="preserve">Senior Associate</w:t>
      </w:r>
      <w:r>
        <w:t xml:space="preserve"> </w:t>
      </w:r>
      <w:r>
        <w:t xml:space="preserve">Ashford &amp; Whitmore LLP</w:t>
      </w:r>
      <w:r>
        <w:t xml:space="preserve"> </w:t>
      </w:r>
      <w:r>
        <w:t xml:space="preserve">(202) 555-0162 | doesei-mensah@ashfordwhitmore.com</w:t>
      </w:r>
    </w:p>
    <w:p>
      <w:pPr>
        <w:pStyle w:val="BodyText"/>
      </w:pPr>
      <w:r>
        <w:rPr>
          <w:i/>
          <w:iCs/>
        </w:rPr>
        <w:t xml:space="preserve">Enclosures: Application (Parts I–XIII); Exhibits A–I.</w:t>
      </w:r>
    </w:p>
    <w:p>
      <w:r>
        <w:pict>
          <v:rect style="width:0;height:1.5pt" o:hralign="center" o:hrstd="t" o:hr="t"/>
        </w:pict>
      </w:r>
    </w:p>
    <w:bookmarkEnd w:id="20"/>
    <w:bookmarkStart w:id="21" w:name="part-ii-applicant-information"/>
    <w:p>
      <w:pPr>
        <w:pStyle w:val="Heading2"/>
      </w:pPr>
      <w:r>
        <w:t xml:space="preserve">PART II — APPLICANT INFORMATION</w:t>
      </w:r>
    </w:p>
    <w:p>
      <w:pPr>
        <w:pStyle w:val="FirstParagraph"/>
      </w:pPr>
      <w:r>
        <w:rPr>
          <w:b/>
          <w:bCs/>
        </w:rPr>
        <w:t xml:space="preserve">1. Legal Name of Applicant.</w:t>
      </w:r>
      <w:r>
        <w:t xml:space="preserve"> </w:t>
      </w:r>
      <w:r>
        <w:t xml:space="preserve">Meridian Biotech Solutions, Inc.</w:t>
      </w:r>
    </w:p>
    <w:p>
      <w:pPr>
        <w:pStyle w:val="BodyText"/>
      </w:pPr>
      <w:r>
        <w:rPr>
          <w:b/>
          <w:bCs/>
        </w:rPr>
        <w:t xml:space="preserve">2. Entity Type and Jurisdiction.</w:t>
      </w:r>
      <w:r>
        <w:t xml:space="preserve"> </w:t>
      </w:r>
      <w:r>
        <w:t xml:space="preserve">Delaware C-Corporation.</w:t>
      </w:r>
    </w:p>
    <w:p>
      <w:pPr>
        <w:pStyle w:val="BodyText"/>
      </w:pPr>
      <w:r>
        <w:rPr>
          <w:b/>
          <w:bCs/>
        </w:rPr>
        <w:t xml:space="preserve">3. Principal Place of Business.</w:t>
      </w:r>
      <w:r>
        <w:t xml:space="preserve"> </w:t>
      </w:r>
      <w:r>
        <w:t xml:space="preserve">4200 Lakeshore Boulevard, Suite 800, Cambridge, MA 02142, United States of America.</w:t>
      </w:r>
    </w:p>
    <w:p>
      <w:pPr>
        <w:pStyle w:val="BodyText"/>
      </w:pPr>
      <w:r>
        <w:rPr>
          <w:b/>
          <w:bCs/>
        </w:rPr>
        <w:t xml:space="preserve">4. Employer Identification Number (EIN).</w:t>
      </w:r>
      <w:r>
        <w:t xml:space="preserve"> </w:t>
      </w:r>
      <w:r>
        <w:t xml:space="preserve">47-3928104.</w:t>
      </w:r>
    </w:p>
    <w:p>
      <w:pPr>
        <w:pStyle w:val="BodyText"/>
      </w:pPr>
      <w:r>
        <w:rPr>
          <w:b/>
          <w:bCs/>
        </w:rPr>
        <w:t xml:space="preserve">5. DUNS Number.</w:t>
      </w:r>
      <w:r>
        <w:t xml:space="preserve"> </w:t>
      </w:r>
      <w:r>
        <w:t xml:space="preserve">08-471-3920.</w:t>
      </w:r>
    </w:p>
    <w:p>
      <w:pPr>
        <w:pStyle w:val="BodyText"/>
      </w:pPr>
      <w:r>
        <w:rPr>
          <w:b/>
          <w:bCs/>
        </w:rPr>
        <w:t xml:space="preserve">6. Nature of Business.</w:t>
      </w:r>
      <w:r>
        <w:t xml:space="preserve"> </w:t>
      </w:r>
      <w:r>
        <w:t xml:space="preserve">Development and manufacture of in vitro diagnostic reagent kits, laboratory calibration instruments, and point-of-care testing platforms. Projected annual revenue for fiscal year 2024: approximately $482 million.</w:t>
      </w:r>
    </w:p>
    <w:p>
      <w:pPr>
        <w:pStyle w:val="BodyText"/>
      </w:pPr>
      <w:r>
        <w:rPr>
          <w:b/>
          <w:bCs/>
        </w:rPr>
        <w:t xml:space="preserve">7. Applicant Point of Contact.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Name</w:t>
            </w:r>
          </w:p>
        </w:tc>
        <w:tc>
          <w:tcPr/>
          <w:p>
            <w:pPr>
              <w:pStyle w:val="Compact"/>
              <w:jc w:val="left"/>
            </w:pPr>
            <w:r>
              <w:t xml:space="preserve">Jonathan D. Halsted</w:t>
            </w:r>
          </w:p>
        </w:tc>
      </w:tr>
      <w:tr>
        <w:tc>
          <w:tcPr/>
          <w:p>
            <w:pPr>
              <w:pStyle w:val="Compact"/>
              <w:jc w:val="left"/>
            </w:pPr>
            <w:r>
              <w:t xml:space="preserve">Title</w:t>
            </w:r>
          </w:p>
        </w:tc>
        <w:tc>
          <w:tcPr/>
          <w:p>
            <w:pPr>
              <w:pStyle w:val="Compact"/>
              <w:jc w:val="left"/>
            </w:pPr>
            <w:r>
              <w:t xml:space="preserve">General Counsel</w:t>
            </w:r>
          </w:p>
        </w:tc>
      </w:tr>
      <w:tr>
        <w:tc>
          <w:tcPr/>
          <w:p>
            <w:pPr>
              <w:pStyle w:val="Compact"/>
              <w:jc w:val="left"/>
            </w:pPr>
            <w:r>
              <w:t xml:space="preserve">Company</w:t>
            </w:r>
          </w:p>
        </w:tc>
        <w:tc>
          <w:tcPr/>
          <w:p>
            <w:pPr>
              <w:pStyle w:val="Compact"/>
              <w:jc w:val="left"/>
            </w:pPr>
            <w:r>
              <w:t xml:space="preserve">Meridian Biotech Solutions, Inc.</w:t>
            </w:r>
          </w:p>
        </w:tc>
      </w:tr>
      <w:tr>
        <w:tc>
          <w:tcPr/>
          <w:p>
            <w:pPr>
              <w:pStyle w:val="Compact"/>
              <w:jc w:val="left"/>
            </w:pPr>
            <w:r>
              <w:t xml:space="preserve">Address</w:t>
            </w:r>
          </w:p>
        </w:tc>
        <w:tc>
          <w:tcPr/>
          <w:p>
            <w:pPr>
              <w:pStyle w:val="Compact"/>
              <w:jc w:val="left"/>
            </w:pPr>
            <w:r>
              <w:t xml:space="preserve">4200 Lakeshore Boulevard, Suite 800, Cambridge, MA 02142</w:t>
            </w:r>
          </w:p>
        </w:tc>
      </w:tr>
      <w:tr>
        <w:tc>
          <w:tcPr/>
          <w:p>
            <w:pPr>
              <w:pStyle w:val="Compact"/>
              <w:jc w:val="left"/>
            </w:pPr>
            <w:r>
              <w:t xml:space="preserve">Telephone</w:t>
            </w:r>
          </w:p>
        </w:tc>
        <w:tc>
          <w:tcPr/>
          <w:p>
            <w:pPr>
              <w:pStyle w:val="Compact"/>
              <w:jc w:val="left"/>
            </w:pPr>
            <w:r>
              <w:t xml:space="preserve">(617) 555-0193</w:t>
            </w:r>
          </w:p>
        </w:tc>
      </w:tr>
      <w:tr>
        <w:tc>
          <w:tcPr/>
          <w:p>
            <w:pPr>
              <w:pStyle w:val="Compact"/>
              <w:jc w:val="left"/>
            </w:pPr>
            <w:r>
              <w:t xml:space="preserve">Email</w:t>
            </w:r>
          </w:p>
        </w:tc>
        <w:tc>
          <w:tcPr/>
          <w:p>
            <w:pPr>
              <w:pStyle w:val="Compact"/>
              <w:jc w:val="left"/>
            </w:pPr>
            <w:r>
              <w:t xml:space="preserve">jhalsted@meridianbiotech.com</w:t>
            </w:r>
          </w:p>
        </w:tc>
      </w:tr>
    </w:tbl>
    <w:p>
      <w:pPr>
        <w:pStyle w:val="BodyText"/>
      </w:pPr>
      <w:r>
        <w:rPr>
          <w:b/>
          <w:bCs/>
        </w:rPr>
        <w:t xml:space="preserve">8. Compliance Officer Point of Contact.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Name</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r>
      <w:tr>
        <w:tc>
          <w:tcPr/>
          <w:p>
            <w:pPr>
              <w:pStyle w:val="Compact"/>
              <w:jc w:val="left"/>
            </w:pPr>
            <w:r>
              <w:t xml:space="preserve">Title</w:t>
            </w:r>
          </w:p>
        </w:tc>
        <w:tc>
          <w:tcPr/>
          <w:p>
            <w:pPr>
              <w:pStyle w:val="Compact"/>
              <w:jc w:val="left"/>
            </w:pPr>
            <w:r>
              <w:t xml:space="preserve">Chief Compliance Officer</w:t>
            </w:r>
          </w:p>
        </w:tc>
      </w:tr>
      <w:tr>
        <w:tc>
          <w:tcPr/>
          <w:p>
            <w:pPr>
              <w:pStyle w:val="Compact"/>
              <w:jc w:val="left"/>
            </w:pPr>
            <w:r>
              <w:t xml:space="preserve">Company</w:t>
            </w:r>
          </w:p>
        </w:tc>
        <w:tc>
          <w:tcPr/>
          <w:p>
            <w:pPr>
              <w:pStyle w:val="Compact"/>
              <w:jc w:val="left"/>
            </w:pPr>
            <w:r>
              <w:t xml:space="preserve">Meridian Biotech Solutions, Inc.</w:t>
            </w:r>
          </w:p>
        </w:tc>
      </w:tr>
      <w:tr>
        <w:tc>
          <w:tcPr/>
          <w:p>
            <w:pPr>
              <w:pStyle w:val="Compact"/>
              <w:jc w:val="left"/>
            </w:pPr>
            <w:r>
              <w:t xml:space="preserve">Address</w:t>
            </w:r>
          </w:p>
        </w:tc>
        <w:tc>
          <w:tcPr/>
          <w:p>
            <w:pPr>
              <w:pStyle w:val="Compact"/>
              <w:jc w:val="left"/>
            </w:pPr>
            <w:r>
              <w:t xml:space="preserve">4200 Lakeshore Boulevard, Suite 800, Cambridge, MA 02142</w:t>
            </w:r>
          </w:p>
        </w:tc>
      </w:tr>
    </w:tbl>
    <w:p>
      <w:pPr>
        <w:pStyle w:val="BodyText"/>
      </w:pPr>
      <w:r>
        <w:rPr>
          <w:b/>
          <w:bCs/>
        </w:rPr>
        <w:t xml:space="preserve">9. Outside Counsel of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Firm</w:t>
            </w:r>
          </w:p>
        </w:tc>
        <w:tc>
          <w:tcPr/>
          <w:p>
            <w:pPr>
              <w:pStyle w:val="Compact"/>
              <w:jc w:val="left"/>
            </w:pPr>
            <w:r>
              <w:t xml:space="preserve">Ashford &amp; Whitmore LLP</w:t>
            </w:r>
          </w:p>
        </w:tc>
      </w:tr>
      <w:tr>
        <w:tc>
          <w:tcPr/>
          <w:p>
            <w:pPr>
              <w:pStyle w:val="Compact"/>
              <w:jc w:val="left"/>
            </w:pPr>
            <w:r>
              <w:t xml:space="preserve">Address</w:t>
            </w:r>
          </w:p>
        </w:tc>
        <w:tc>
          <w:tcPr/>
          <w:p>
            <w:pPr>
              <w:pStyle w:val="Compact"/>
              <w:jc w:val="left"/>
            </w:pPr>
            <w:r>
              <w:t xml:space="preserve">1700 K Street NW, Suite 950, Washington, DC 20006</w:t>
            </w:r>
          </w:p>
        </w:tc>
      </w:tr>
      <w:tr>
        <w:tc>
          <w:tcPr/>
          <w:p>
            <w:pPr>
              <w:pStyle w:val="Compact"/>
              <w:jc w:val="left"/>
            </w:pPr>
            <w:r>
              <w:t xml:space="preserve">Partner</w:t>
            </w:r>
          </w:p>
        </w:tc>
        <w:tc>
          <w:tcPr/>
          <w:p>
            <w:pPr>
              <w:pStyle w:val="Compact"/>
              <w:jc w:val="left"/>
            </w:pPr>
            <w:r>
              <w:t xml:space="preserve">Catherine R. Bellingham, Esq. — (202) 555-0147 — cbellingham@ashfordwhitmore.com</w:t>
            </w:r>
          </w:p>
        </w:tc>
      </w:tr>
      <w:tr>
        <w:tc>
          <w:tcPr/>
          <w:p>
            <w:pPr>
              <w:pStyle w:val="Compact"/>
              <w:jc w:val="left"/>
            </w:pPr>
            <w:r>
              <w:t xml:space="preserve">Senior Associate</w:t>
            </w:r>
          </w:p>
        </w:tc>
        <w:tc>
          <w:tcPr/>
          <w:p>
            <w:pPr>
              <w:pStyle w:val="Compact"/>
              <w:jc w:val="left"/>
            </w:pPr>
            <w:r>
              <w:t xml:space="preserve">David Osei-Mensah, Esq. — (202) 555-0162 — doesei-mensah@ashfordwhitmore.com</w:t>
            </w:r>
          </w:p>
        </w:tc>
      </w:tr>
    </w:tbl>
    <w:p>
      <w:pPr>
        <w:pStyle w:val="BodyText"/>
      </w:pPr>
      <w:r>
        <w:rPr>
          <w:b/>
          <w:bCs/>
        </w:rPr>
        <w:t xml:space="preserve">10. Applicant’s Senior Management.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Dr. Priya Ramaswamy</w:t>
            </w:r>
          </w:p>
        </w:tc>
        <w:tc>
          <w:tcPr/>
          <w:p>
            <w:pPr>
              <w:pStyle w:val="Compact"/>
              <w:jc w:val="left"/>
            </w:pPr>
            <w:r>
              <w:t xml:space="preserve">Chief Executive Officer</w:t>
            </w:r>
          </w:p>
        </w:tc>
      </w:tr>
      <w:tr>
        <w:tc>
          <w:tcPr/>
          <w:p>
            <w:pPr>
              <w:pStyle w:val="Compact"/>
              <w:jc w:val="left"/>
            </w:pPr>
            <w:r>
              <w:t xml:space="preserve">Jonathan D. Halsted</w:t>
            </w:r>
          </w:p>
        </w:tc>
        <w:tc>
          <w:tcPr/>
          <w:p>
            <w:pPr>
              <w:pStyle w:val="Compact"/>
              <w:jc w:val="left"/>
            </w:pPr>
            <w:r>
              <w:t xml:space="preserve">General Counsel</w:t>
            </w:r>
          </w:p>
        </w:tc>
      </w:tr>
      <w:tr>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c>
          <w:tcPr/>
          <w:p>
            <w:pPr>
              <w:pStyle w:val="Compact"/>
              <w:jc w:val="left"/>
            </w:pPr>
            <w:r>
              <w:t xml:space="preserve">Chief Compliance Officer</w:t>
            </w:r>
          </w:p>
        </w:tc>
      </w:tr>
    </w:tbl>
    <w:p>
      <w:r>
        <w:pict>
          <v:rect style="width:0;height:1.5pt" o:hralign="center" o:hrstd="t" o:hr="t"/>
        </w:pict>
      </w:r>
    </w:p>
    <w:bookmarkEnd w:id="21"/>
    <w:bookmarkStart w:id="22" w:name="X1128e810e899bcd09cd699b6c65d1154972895d"/>
    <w:p>
      <w:pPr>
        <w:pStyle w:val="Heading2"/>
      </w:pPr>
      <w:r>
        <w:t xml:space="preserve">PART III — SUMMARY OF THE REQUESTED AUTHORIZATION</w:t>
      </w:r>
    </w:p>
    <w:p>
      <w:pPr>
        <w:pStyle w:val="FirstParagraph"/>
      </w:pPr>
      <w:r>
        <w:t xml:space="preserve">Meridian requests a specific license authorizing, for an eighteen (18) month period, the following transaction, which would otherwise be prohibited under the SSR, 31 C.F.R. Part 542, and E.O. 13582:</w:t>
      </w:r>
    </w:p>
    <w:p>
      <w:pPr>
        <w:numPr>
          <w:ilvl w:val="0"/>
          <w:numId w:val="1001"/>
        </w:numPr>
      </w:pPr>
      <w:r>
        <w:t xml:space="preserve">The export from the United States to DCUH, Damascus, Syria, of 500 CancerDetect RX-700 Reagent Kits and 4 CalibPro 3100 Calibration Units (collectively, the</w:t>
      </w:r>
      <w:r>
        <w:t xml:space="preserve"> </w:t>
      </w:r>
      <w:r>
        <w:t xml:space="preserve">“</w:t>
      </w:r>
      <w:r>
        <w:t xml:space="preserve">Goods</w:t>
      </w:r>
      <w:r>
        <w:t xml:space="preserve">”</w:t>
      </w:r>
      <w:r>
        <w:t xml:space="preserve">), each classified EAR99;</w:t>
      </w:r>
    </w:p>
    <w:p>
      <w:pPr>
        <w:numPr>
          <w:ilvl w:val="0"/>
          <w:numId w:val="1001"/>
        </w:numPr>
      </w:pPr>
      <w:r>
        <w:t xml:space="preserve">The provision of approximately 40 hours of remote installation, calibration, and operator training services (the</w:t>
      </w:r>
      <w:r>
        <w:t xml:space="preserve"> </w:t>
      </w:r>
      <w:r>
        <w:t xml:space="preserve">“</w:t>
      </w:r>
      <w:r>
        <w:t xml:space="preserve">Training Services</w:t>
      </w:r>
      <w:r>
        <w:t xml:space="preserve">”</w:t>
      </w:r>
      <w:r>
        <w:t xml:space="preserve">) to DCUH laboratory personnel, delivered via secure video link from Meridian’s Cambridge, Massachusetts facility, with no travel by Meridian personnel to Syria or any intermediary country;</w:t>
      </w:r>
    </w:p>
    <w:p>
      <w:pPr>
        <w:numPr>
          <w:ilvl w:val="0"/>
          <w:numId w:val="1001"/>
        </w:numPr>
      </w:pPr>
      <w:r>
        <w:t xml:space="preserve">The receipt of payment for the Goods and Training Services in the aggregate amount of $1,280,000, by wire transfer to the Applicant’s account at Harborview National Bank, Boston, Massachusetts, originating from a non-SDN-listed financial institution and expressly</w:t>
      </w:r>
      <w:r>
        <w:t xml:space="preserve"> </w:t>
      </w:r>
      <w:r>
        <w:rPr>
          <w:b/>
          <w:bCs/>
        </w:rPr>
        <w:t xml:space="preserve">not</w:t>
      </w:r>
      <w:r>
        <w:t xml:space="preserve"> </w:t>
      </w:r>
      <w:r>
        <w:t xml:space="preserve">routed through the Central Bank of Calverley or any other SDN-listed institution; and</w:t>
      </w:r>
    </w:p>
    <w:p>
      <w:pPr>
        <w:numPr>
          <w:ilvl w:val="0"/>
          <w:numId w:val="1001"/>
        </w:numPr>
      </w:pPr>
      <w:r>
        <w:t xml:space="preserve">All incidental transactions necessary to effect the foregoing, including ocean and overland transportation, temporary warehousing in Turkey, customs clearance at the Syrian border, and final delivery to DCUH, performed by non-SDN-listed parties.</w:t>
      </w:r>
    </w:p>
    <w:p>
      <w:pPr>
        <w:pStyle w:val="FirstParagraph"/>
      </w:pPr>
      <w:r>
        <w:t xml:space="preserve">The Applicant respectfully requests that the license be effective upon the date of issuance and remain in effect through</w:t>
      </w:r>
      <w:r>
        <w:t xml:space="preserve"> </w:t>
      </w:r>
      <w:r>
        <w:rPr>
          <w:b/>
          <w:bCs/>
        </w:rPr>
        <w:t xml:space="preserve">February 28, 2026</w:t>
      </w:r>
      <w:r>
        <w:t xml:space="preserve">. In the event that issuance occurs after September 1, 2024, the Applicant respectfully requests that OFAC extend the expiration date so as to provide a full eighteen (18) month authorization window from the effective date, to afford adequate time to complete all shipments and the eight-week Training Services curriculum.</w:t>
      </w:r>
    </w:p>
    <w:p>
      <w:r>
        <w:pict>
          <v:rect style="width:0;height:1.5pt" o:hralign="center" o:hrstd="t" o:hr="t"/>
        </w:pict>
      </w:r>
    </w:p>
    <w:bookmarkEnd w:id="22"/>
    <w:bookmarkStart w:id="27" w:name="Xc2702c9780dc147b4de9398d26f78d1f2fe9ed8"/>
    <w:p>
      <w:pPr>
        <w:pStyle w:val="Heading2"/>
      </w:pPr>
      <w:r>
        <w:t xml:space="preserve">PART IV — DESCRIPTION OF THE GOODS AND SERVICES</w:t>
      </w:r>
    </w:p>
    <w:bookmarkStart w:id="23" w:name="a.-cancerdetect-rx-700-reagent-kit"/>
    <w:p>
      <w:pPr>
        <w:pStyle w:val="Heading3"/>
      </w:pPr>
      <w:r>
        <w:t xml:space="preserve">A. CancerDetect RX-700 Reagent Kit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Product</w:t>
            </w:r>
          </w:p>
        </w:tc>
        <w:tc>
          <w:tcPr/>
          <w:p>
            <w:pPr>
              <w:pStyle w:val="Compact"/>
              <w:jc w:val="left"/>
            </w:pPr>
            <w:r>
              <w:t xml:space="preserve">CancerDetect RX-700 Reagent Kit</w:t>
            </w:r>
          </w:p>
        </w:tc>
      </w:tr>
      <w:tr>
        <w:tc>
          <w:tcPr/>
          <w:p>
            <w:pPr>
              <w:pStyle w:val="Compact"/>
              <w:jc w:val="left"/>
            </w:pPr>
            <w:r>
              <w:t xml:space="preserve">Type</w:t>
            </w:r>
          </w:p>
        </w:tc>
        <w:tc>
          <w:tcPr/>
          <w:p>
            <w:pPr>
              <w:pStyle w:val="Compact"/>
              <w:jc w:val="left"/>
            </w:pPr>
            <w:r>
              <w:t xml:space="preserve">In vitro diagnostic (IVD) reagent kit for immunohistochemical (IHC) staining of formalin-fixed, paraffin-embedded tissue biopsies</w:t>
            </w:r>
          </w:p>
        </w:tc>
      </w:tr>
      <w:tr>
        <w:tc>
          <w:tcPr/>
          <w:p>
            <w:pPr>
              <w:pStyle w:val="Compact"/>
              <w:jc w:val="left"/>
            </w:pPr>
            <w:r>
              <w:t xml:space="preserve">Intended use</w:t>
            </w:r>
          </w:p>
        </w:tc>
        <w:tc>
          <w:tcPr/>
          <w:p>
            <w:pPr>
              <w:pStyle w:val="Compact"/>
              <w:jc w:val="left"/>
            </w:pPr>
            <w:r>
              <w:t xml:space="preserve">Identification and semi-quantitative assessment of breast cancer biomarkers HER2, ER, and PR</w:t>
            </w:r>
          </w:p>
        </w:tc>
      </w:tr>
      <w:tr>
        <w:tc>
          <w:tcPr/>
          <w:p>
            <w:pPr>
              <w:pStyle w:val="Compact"/>
              <w:jc w:val="left"/>
            </w:pPr>
            <w:r>
              <w:t xml:space="preserve">Regulatory status</w:t>
            </w:r>
          </w:p>
        </w:tc>
        <w:tc>
          <w:tcPr/>
          <w:p>
            <w:pPr>
              <w:pStyle w:val="Compact"/>
              <w:jc w:val="left"/>
            </w:pPr>
            <w:r>
              <w:t xml:space="preserve">FDA 510(k) cleared (clearance no. K213847)</w:t>
            </w:r>
          </w:p>
        </w:tc>
      </w:tr>
      <w:tr>
        <w:tc>
          <w:tcPr/>
          <w:p>
            <w:pPr>
              <w:pStyle w:val="Compact"/>
              <w:jc w:val="left"/>
            </w:pPr>
            <w:r>
              <w:t xml:space="preserve">Compatible platform</w:t>
            </w:r>
          </w:p>
        </w:tc>
        <w:tc>
          <w:tcPr/>
          <w:p>
            <w:pPr>
              <w:pStyle w:val="Compact"/>
              <w:jc w:val="left"/>
            </w:pPr>
            <w:r>
              <w:t xml:space="preserve">Ventana BenchMark XT automated staining system (the platform installed at DCUH)</w:t>
            </w:r>
          </w:p>
        </w:tc>
      </w:tr>
      <w:tr>
        <w:tc>
          <w:tcPr/>
          <w:p>
            <w:pPr>
              <w:pStyle w:val="Compact"/>
              <w:jc w:val="left"/>
            </w:pPr>
            <w:r>
              <w:t xml:space="preserve">Quantity</w:t>
            </w:r>
          </w:p>
        </w:tc>
        <w:tc>
          <w:tcPr/>
          <w:p>
            <w:pPr>
              <w:pStyle w:val="Compact"/>
              <w:jc w:val="left"/>
            </w:pPr>
            <w:r>
              <w:t xml:space="preserve">500 kits</w:t>
            </w:r>
          </w:p>
        </w:tc>
      </w:tr>
      <w:tr>
        <w:tc>
          <w:tcPr/>
          <w:p>
            <w:pPr>
              <w:pStyle w:val="Compact"/>
              <w:jc w:val="left"/>
            </w:pPr>
            <w:r>
              <w:t xml:space="preserve">Unit price</w:t>
            </w:r>
          </w:p>
        </w:tc>
        <w:tc>
          <w:tcPr/>
          <w:p>
            <w:pPr>
              <w:pStyle w:val="Compact"/>
              <w:jc w:val="left"/>
            </w:pPr>
            <w:r>
              <w:t xml:space="preserve">$2,340.00</w:t>
            </w:r>
          </w:p>
        </w:tc>
      </w:tr>
      <w:tr>
        <w:tc>
          <w:tcPr/>
          <w:p>
            <w:pPr>
              <w:pStyle w:val="Compact"/>
              <w:jc w:val="left"/>
            </w:pPr>
            <w:r>
              <w:t xml:space="preserve">Subtotal</w:t>
            </w:r>
          </w:p>
        </w:tc>
        <w:tc>
          <w:tcPr/>
          <w:p>
            <w:pPr>
              <w:pStyle w:val="Compact"/>
              <w:jc w:val="left"/>
            </w:pPr>
            <w:r>
              <w:t xml:space="preserve">$1,170,000.00</w:t>
            </w:r>
          </w:p>
        </w:tc>
      </w:tr>
      <w:tr>
        <w:tc>
          <w:tcPr/>
          <w:p>
            <w:pPr>
              <w:pStyle w:val="Compact"/>
              <w:jc w:val="left"/>
            </w:pPr>
            <w:r>
              <w:t xml:space="preserve">ECCN</w:t>
            </w:r>
          </w:p>
        </w:tc>
        <w:tc>
          <w:tcPr/>
          <w:p>
            <w:pPr>
              <w:pStyle w:val="Compact"/>
              <w:jc w:val="left"/>
            </w:pPr>
            <w:r>
              <w:t xml:space="preserve">EAR99</w:t>
            </w:r>
          </w:p>
        </w:tc>
      </w:tr>
      <w:tr>
        <w:tc>
          <w:tcPr/>
          <w:p>
            <w:pPr>
              <w:pStyle w:val="Compact"/>
              <w:jc w:val="left"/>
            </w:pPr>
            <w:r>
              <w:t xml:space="preserve">HTS Code</w:t>
            </w:r>
          </w:p>
        </w:tc>
        <w:tc>
          <w:tcPr/>
          <w:p>
            <w:pPr>
              <w:pStyle w:val="Compact"/>
              <w:jc w:val="left"/>
            </w:pPr>
            <w:r>
              <w:t xml:space="preserve">3822.19.5000</w:t>
            </w:r>
          </w:p>
        </w:tc>
      </w:tr>
      <w:tr>
        <w:tc>
          <w:tcPr/>
          <w:p>
            <w:pPr>
              <w:pStyle w:val="Compact"/>
              <w:jc w:val="left"/>
            </w:pPr>
            <w:r>
              <w:t xml:space="preserve">Manufacturing site</w:t>
            </w:r>
          </w:p>
        </w:tc>
        <w:tc>
          <w:tcPr/>
          <w:p>
            <w:pPr>
              <w:pStyle w:val="Compact"/>
              <w:jc w:val="left"/>
            </w:pPr>
            <w:r>
              <w:t xml:space="preserve">Meridian Biotech Solutions, Inc., Cambridge, MA (ISO 13485-certified)</w:t>
            </w:r>
          </w:p>
        </w:tc>
      </w:tr>
      <w:tr>
        <w:tc>
          <w:tcPr/>
          <w:p>
            <w:pPr>
              <w:pStyle w:val="Compact"/>
              <w:jc w:val="left"/>
            </w:pPr>
            <w:r>
              <w:t xml:space="preserve">Shelf life</w:t>
            </w:r>
          </w:p>
        </w:tc>
        <w:tc>
          <w:tcPr/>
          <w:p>
            <w:pPr>
              <w:pStyle w:val="Compact"/>
              <w:jc w:val="left"/>
            </w:pPr>
            <w:r>
              <w:t xml:space="preserve">18 months from manufacture</w:t>
            </w:r>
          </w:p>
        </w:tc>
      </w:tr>
      <w:tr>
        <w:tc>
          <w:tcPr/>
          <w:p>
            <w:pPr>
              <w:pStyle w:val="Compact"/>
              <w:jc w:val="left"/>
            </w:pPr>
            <w:r>
              <w:t xml:space="preserve">Storage / handling</w:t>
            </w:r>
          </w:p>
        </w:tc>
        <w:tc>
          <w:tcPr/>
          <w:p>
            <w:pPr>
              <w:pStyle w:val="Compact"/>
              <w:jc w:val="left"/>
            </w:pPr>
            <w:r>
              <w:t xml:space="preserve">Cold-chain required; 2–8 °C throughout transit and storage; do not freeze</w:t>
            </w:r>
          </w:p>
        </w:tc>
      </w:tr>
      <w:tr>
        <w:tc>
          <w:tcPr/>
          <w:p>
            <w:pPr>
              <w:pStyle w:val="Compact"/>
              <w:jc w:val="left"/>
            </w:pPr>
            <w:r>
              <w:t xml:space="preserve">Kit capacity</w:t>
            </w:r>
          </w:p>
        </w:tc>
        <w:tc>
          <w:tcPr/>
          <w:p>
            <w:pPr>
              <w:pStyle w:val="Compact"/>
              <w:jc w:val="left"/>
            </w:pPr>
            <w:r>
              <w:t xml:space="preserve">Each kit processes approximately 10 tissue samples; 500 kits ≈ 15 months of DCUH diagnostic demand</w:t>
            </w:r>
          </w:p>
        </w:tc>
      </w:tr>
      <w:tr>
        <w:tc>
          <w:tcPr/>
          <w:p>
            <w:pPr>
              <w:pStyle w:val="Compact"/>
              <w:jc w:val="left"/>
            </w:pPr>
            <w:r>
              <w:t xml:space="preserve">Estimated shipment weight</w:t>
            </w:r>
          </w:p>
        </w:tc>
        <w:tc>
          <w:tcPr/>
          <w:p>
            <w:pPr>
              <w:pStyle w:val="Compact"/>
              <w:jc w:val="left"/>
            </w:pPr>
            <w:r>
              <w:t xml:space="preserve">Approximately 1,500 kg</w:t>
            </w:r>
          </w:p>
        </w:tc>
      </w:tr>
    </w:tbl>
    <w:p>
      <w:pPr>
        <w:pStyle w:val="BodyText"/>
      </w:pPr>
      <w:r>
        <w:t xml:space="preserve">The CancerDetect RX-700 is the only FDA-cleared reagent kit validated for the Ventana BenchMark XT platform already installed at DCUH. No functionally equivalent substitute product is available to DCUH. The kit does not contain controlled technology or components and presents no dual-use concern.</w:t>
      </w:r>
    </w:p>
    <w:bookmarkEnd w:id="23"/>
    <w:bookmarkStart w:id="24" w:name="b.-calibpro-3100-calibration-unit"/>
    <w:p>
      <w:pPr>
        <w:pStyle w:val="Heading3"/>
      </w:pPr>
      <w:r>
        <w:t xml:space="preserve">B. CalibPro 3100 Calibration Unit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Product</w:t>
            </w:r>
          </w:p>
        </w:tc>
        <w:tc>
          <w:tcPr/>
          <w:p>
            <w:pPr>
              <w:pStyle w:val="Compact"/>
              <w:jc w:val="left"/>
            </w:pPr>
            <w:r>
              <w:t xml:space="preserve">CalibPro 3100 Calibration Unit</w:t>
            </w:r>
          </w:p>
        </w:tc>
      </w:tr>
      <w:tr>
        <w:tc>
          <w:tcPr/>
          <w:p>
            <w:pPr>
              <w:pStyle w:val="Compact"/>
              <w:jc w:val="left"/>
            </w:pPr>
            <w:r>
              <w:t xml:space="preserve">Type</w:t>
            </w:r>
          </w:p>
        </w:tc>
        <w:tc>
          <w:tcPr/>
          <w:p>
            <w:pPr>
              <w:pStyle w:val="Compact"/>
              <w:jc w:val="left"/>
            </w:pPr>
            <w:r>
              <w:t xml:space="preserve">Benchtop laboratory calibration instrument; required companion device used to validate CancerDetect RX-700 kit performance prior to clinical use</w:t>
            </w:r>
          </w:p>
        </w:tc>
      </w:tr>
      <w:tr>
        <w:tc>
          <w:tcPr/>
          <w:p>
            <w:pPr>
              <w:pStyle w:val="Compact"/>
              <w:jc w:val="left"/>
            </w:pPr>
            <w:r>
              <w:t xml:space="preserve">Quantity</w:t>
            </w:r>
          </w:p>
        </w:tc>
        <w:tc>
          <w:tcPr/>
          <w:p>
            <w:pPr>
              <w:pStyle w:val="Compact"/>
              <w:jc w:val="left"/>
            </w:pPr>
            <w:r>
              <w:t xml:space="preserve">4 units</w:t>
            </w:r>
          </w:p>
        </w:tc>
      </w:tr>
      <w:tr>
        <w:tc>
          <w:tcPr/>
          <w:p>
            <w:pPr>
              <w:pStyle w:val="Compact"/>
              <w:jc w:val="left"/>
            </w:pPr>
            <w:r>
              <w:t xml:space="preserve">Unit price</w:t>
            </w:r>
          </w:p>
        </w:tc>
        <w:tc>
          <w:tcPr/>
          <w:p>
            <w:pPr>
              <w:pStyle w:val="Compact"/>
              <w:jc w:val="left"/>
            </w:pPr>
            <w:r>
              <w:t xml:space="preserve">$18,750.00</w:t>
            </w:r>
          </w:p>
        </w:tc>
      </w:tr>
      <w:tr>
        <w:tc>
          <w:tcPr/>
          <w:p>
            <w:pPr>
              <w:pStyle w:val="Compact"/>
              <w:jc w:val="left"/>
            </w:pPr>
            <w:r>
              <w:t xml:space="preserve">Subtotal</w:t>
            </w:r>
          </w:p>
        </w:tc>
        <w:tc>
          <w:tcPr/>
          <w:p>
            <w:pPr>
              <w:pStyle w:val="Compact"/>
              <w:jc w:val="left"/>
            </w:pPr>
            <w:r>
              <w:t xml:space="preserve">$75,000.00</w:t>
            </w:r>
          </w:p>
        </w:tc>
      </w:tr>
      <w:tr>
        <w:tc>
          <w:tcPr/>
          <w:p>
            <w:pPr>
              <w:pStyle w:val="Compact"/>
              <w:jc w:val="left"/>
            </w:pPr>
            <w:r>
              <w:t xml:space="preserve">ECCN</w:t>
            </w:r>
          </w:p>
        </w:tc>
        <w:tc>
          <w:tcPr/>
          <w:p>
            <w:pPr>
              <w:pStyle w:val="Compact"/>
              <w:jc w:val="left"/>
            </w:pPr>
            <w:r>
              <w:t xml:space="preserve">EAR99</w:t>
            </w:r>
          </w:p>
        </w:tc>
      </w:tr>
      <w:tr>
        <w:tc>
          <w:tcPr/>
          <w:p>
            <w:pPr>
              <w:pStyle w:val="Compact"/>
              <w:jc w:val="left"/>
            </w:pPr>
            <w:r>
              <w:t xml:space="preserve">HTS Code</w:t>
            </w:r>
          </w:p>
        </w:tc>
        <w:tc>
          <w:tcPr/>
          <w:p>
            <w:pPr>
              <w:pStyle w:val="Compact"/>
              <w:jc w:val="left"/>
            </w:pPr>
            <w:r>
              <w:t xml:space="preserve">9027.80.4530</w:t>
            </w:r>
          </w:p>
        </w:tc>
      </w:tr>
      <w:tr>
        <w:tc>
          <w:tcPr/>
          <w:p>
            <w:pPr>
              <w:pStyle w:val="Compact"/>
              <w:jc w:val="left"/>
            </w:pPr>
            <w:r>
              <w:t xml:space="preserve">Power supply</w:t>
            </w:r>
          </w:p>
        </w:tc>
        <w:tc>
          <w:tcPr/>
          <w:p>
            <w:pPr>
              <w:pStyle w:val="Compact"/>
              <w:jc w:val="left"/>
            </w:pPr>
            <w:r>
              <w:t xml:space="preserve">220V / 50 Hz AC (compatible with Syrian and Turkish grids)</w:t>
            </w:r>
          </w:p>
        </w:tc>
      </w:tr>
      <w:tr>
        <w:tc>
          <w:tcPr/>
          <w:p>
            <w:pPr>
              <w:pStyle w:val="Compact"/>
              <w:jc w:val="left"/>
            </w:pPr>
            <w:r>
              <w:t xml:space="preserve">Weight</w:t>
            </w:r>
          </w:p>
        </w:tc>
        <w:tc>
          <w:tcPr/>
          <w:p>
            <w:pPr>
              <w:pStyle w:val="Compact"/>
              <w:jc w:val="left"/>
            </w:pPr>
            <w:r>
              <w:t xml:space="preserve">23 kg per unit (92 kg total)</w:t>
            </w:r>
          </w:p>
        </w:tc>
      </w:tr>
      <w:tr>
        <w:tc>
          <w:tcPr/>
          <w:p>
            <w:pPr>
              <w:pStyle w:val="Compact"/>
              <w:jc w:val="left"/>
            </w:pPr>
            <w:r>
              <w:t xml:space="preserve">Connectivity</w:t>
            </w:r>
          </w:p>
        </w:tc>
        <w:tc>
          <w:tcPr/>
          <w:p>
            <w:pPr>
              <w:pStyle w:val="Compact"/>
              <w:jc w:val="left"/>
            </w:pPr>
            <w:r>
              <w:t xml:space="preserve">USB 2.0 only; no wireless or network connectivity</w:t>
            </w:r>
          </w:p>
        </w:tc>
      </w:tr>
      <w:tr>
        <w:tc>
          <w:tcPr/>
          <w:p>
            <w:pPr>
              <w:pStyle w:val="Compact"/>
              <w:jc w:val="left"/>
            </w:pPr>
            <w:r>
              <w:t xml:space="preserve">Embedded firmware</w:t>
            </w:r>
          </w:p>
        </w:tc>
        <w:tc>
          <w:tcPr/>
          <w:p>
            <w:pPr>
              <w:pStyle w:val="Compact"/>
              <w:jc w:val="left"/>
            </w:pPr>
            <w:r>
              <w:t xml:space="preserve">Version 4.2.1 (factory-installed; not user-modifiable)</w:t>
            </w:r>
          </w:p>
        </w:tc>
      </w:tr>
      <w:tr>
        <w:tc>
          <w:tcPr/>
          <w:p>
            <w:pPr>
              <w:pStyle w:val="Compact"/>
              <w:jc w:val="left"/>
            </w:pPr>
            <w:r>
              <w:t xml:space="preserve">Encryption</w:t>
            </w:r>
          </w:p>
        </w:tc>
        <w:tc>
          <w:tcPr/>
          <w:p>
            <w:pPr>
              <w:pStyle w:val="Compact"/>
              <w:jc w:val="left"/>
            </w:pPr>
            <w:r>
              <w:t xml:space="preserve">AES-128 used solely for internal data-integrity verification of calibration results; below EAR de minimis thresholds; does not alter EAR99 classification</w:t>
            </w:r>
          </w:p>
        </w:tc>
      </w:tr>
      <w:tr>
        <w:tc>
          <w:tcPr/>
          <w:p>
            <w:pPr>
              <w:pStyle w:val="Compact"/>
              <w:jc w:val="left"/>
            </w:pPr>
            <w:r>
              <w:t xml:space="preserve">Operational lifespan</w:t>
            </w:r>
          </w:p>
        </w:tc>
        <w:tc>
          <w:tcPr/>
          <w:p>
            <w:pPr>
              <w:pStyle w:val="Compact"/>
              <w:jc w:val="left"/>
            </w:pPr>
            <w:r>
              <w:t xml:space="preserve">Approximately 7 years with annual preventive maintenance</w:t>
            </w:r>
          </w:p>
        </w:tc>
      </w:tr>
    </w:tbl>
    <w:p>
      <w:pPr>
        <w:pStyle w:val="BodyText"/>
      </w:pPr>
      <w:r>
        <w:t xml:space="preserve">The CalibPro 3100 contains no controlled technology. The embedded firmware is integral to the instrument’s operation, is not separately exportable, and is not user-modifiable. Any firmware update, patch, or modification beyond the factory-installed version 4.2.1 constitutes a separate transaction and is</w:t>
      </w:r>
      <w:r>
        <w:t xml:space="preserve"> </w:t>
      </w:r>
      <w:r>
        <w:rPr>
          <w:b/>
          <w:bCs/>
        </w:rPr>
        <w:t xml:space="preserve">not</w:t>
      </w:r>
      <w:r>
        <w:t xml:space="preserve"> </w:t>
      </w:r>
      <w:r>
        <w:t xml:space="preserve">requested under this application; such updates would require physical USB media delivery and independent U.S. government authorization.</w:t>
      </w:r>
    </w:p>
    <w:bookmarkEnd w:id="24"/>
    <w:bookmarkStart w:id="25" w:name="Xa06cb82f3f2f17d80a12b10b033ff3f05aa0f07"/>
    <w:p>
      <w:pPr>
        <w:pStyle w:val="Heading3"/>
      </w:pPr>
      <w:r>
        <w:t xml:space="preserve">C. Remote Installation and Calibration Training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Service</w:t>
            </w:r>
          </w:p>
        </w:tc>
        <w:tc>
          <w:tcPr/>
          <w:p>
            <w:pPr>
              <w:pStyle w:val="Compact"/>
              <w:jc w:val="left"/>
            </w:pPr>
            <w:r>
              <w:t xml:space="preserve">Remote installation guidance, calibration verification, and operator training</w:t>
            </w:r>
          </w:p>
        </w:tc>
      </w:tr>
      <w:tr>
        <w:tc>
          <w:tcPr/>
          <w:p>
            <w:pPr>
              <w:pStyle w:val="Compact"/>
              <w:jc w:val="left"/>
            </w:pPr>
            <w:r>
              <w:t xml:space="preserve">Delivery method</w:t>
            </w:r>
          </w:p>
        </w:tc>
        <w:tc>
          <w:tcPr/>
          <w:p>
            <w:pPr>
              <w:pStyle w:val="Compact"/>
              <w:jc w:val="left"/>
            </w:pPr>
            <w:r>
              <w:t xml:space="preserve">Secure video link from Meridian’s Cambridge, MA facility; no personnel travel to Syria or any intermediary country</w:t>
            </w:r>
          </w:p>
        </w:tc>
      </w:tr>
      <w:tr>
        <w:tc>
          <w:tcPr/>
          <w:p>
            <w:pPr>
              <w:pStyle w:val="Compact"/>
              <w:jc w:val="left"/>
            </w:pPr>
            <w:r>
              <w:t xml:space="preserve">Duration</w:t>
            </w:r>
          </w:p>
        </w:tc>
        <w:tc>
          <w:tcPr/>
          <w:p>
            <w:pPr>
              <w:pStyle w:val="Compact"/>
              <w:jc w:val="left"/>
            </w:pPr>
            <w:r>
              <w:t xml:space="preserve">40 hours over 8 weeks (approximately 5 hours/week)</w:t>
            </w:r>
          </w:p>
        </w:tc>
      </w:tr>
      <w:tr>
        <w:tc>
          <w:tcPr/>
          <w:p>
            <w:pPr>
              <w:pStyle w:val="Compact"/>
              <w:jc w:val="left"/>
            </w:pPr>
            <w:r>
              <w:t xml:space="preserve">Instructors</w:t>
            </w:r>
          </w:p>
        </w:tc>
        <w:tc>
          <w:tcPr/>
          <w:p>
            <w:pPr>
              <w:pStyle w:val="Compact"/>
              <w:jc w:val="left"/>
            </w:pPr>
            <w:r>
              <w:t xml:space="preserve">2–3 Meridian Field Applications Scientists and 1 calibration engineer</w:t>
            </w:r>
          </w:p>
        </w:tc>
      </w:tr>
      <w:tr>
        <w:tc>
          <w:tcPr/>
          <w:p>
            <w:pPr>
              <w:pStyle w:val="Compact"/>
              <w:jc w:val="left"/>
            </w:pPr>
            <w:r>
              <w:t xml:space="preserve">Fee</w:t>
            </w:r>
          </w:p>
        </w:tc>
        <w:tc>
          <w:tcPr/>
          <w:p>
            <w:pPr>
              <w:pStyle w:val="Compact"/>
              <w:jc w:val="left"/>
            </w:pPr>
            <w:r>
              <w:t xml:space="preserve">$35,000.00 (flat fee, lump sum)</w:t>
            </w:r>
          </w:p>
        </w:tc>
      </w:tr>
      <w:tr>
        <w:tc>
          <w:tcPr/>
          <w:p>
            <w:pPr>
              <w:pStyle w:val="Compact"/>
              <w:jc w:val="left"/>
            </w:pPr>
            <w:r>
              <w:t xml:space="preserve">Participants</w:t>
            </w:r>
          </w:p>
        </w:tc>
        <w:tc>
          <w:tcPr/>
          <w:p>
            <w:pPr>
              <w:pStyle w:val="Compact"/>
              <w:jc w:val="left"/>
            </w:pPr>
            <w:r>
              <w:t xml:space="preserve">Minimum 2, maximum 6 DCUH laboratory personnel</w:t>
            </w:r>
          </w:p>
        </w:tc>
      </w:tr>
      <w:tr>
        <w:tc>
          <w:tcPr/>
          <w:p>
            <w:pPr>
              <w:pStyle w:val="Compact"/>
              <w:jc w:val="left"/>
            </w:pPr>
            <w:r>
              <w:t xml:space="preserve">Language</w:t>
            </w:r>
          </w:p>
        </w:tc>
        <w:tc>
          <w:tcPr/>
          <w:p>
            <w:pPr>
              <w:pStyle w:val="Compact"/>
              <w:jc w:val="left"/>
            </w:pPr>
            <w:r>
              <w:t xml:space="preserve">English instruction; Arabic-language summary handouts provided per module</w:t>
            </w:r>
          </w:p>
        </w:tc>
      </w:tr>
      <w:tr>
        <w:tc>
          <w:tcPr/>
          <w:p>
            <w:pPr>
              <w:pStyle w:val="Compact"/>
              <w:jc w:val="left"/>
            </w:pPr>
            <w:r>
              <w:t xml:space="preserve">Certification</w:t>
            </w:r>
          </w:p>
        </w:tc>
        <w:tc>
          <w:tcPr/>
          <w:p>
            <w:pPr>
              <w:pStyle w:val="Compact"/>
              <w:jc w:val="left"/>
            </w:pPr>
            <w:r>
              <w:t xml:space="preserve">Meridian Certified Operator credential (valid 2 years) upon completion</w:t>
            </w:r>
          </w:p>
        </w:tc>
      </w:tr>
    </w:tbl>
    <w:p>
      <w:pPr>
        <w:pStyle w:val="BodyText"/>
      </w:pPr>
      <w:r>
        <w:t xml:space="preserve">The Training Services curriculum comprises six modules: (1) System Unpacking and Physical Setup (4 hrs); (2) Instrument Schematics Review (6 hrs); (3) Software Diagnostic Interface Training (8 hrs); (4) Reagent Kit Calibration Protocol (10 hrs); (5) Clinical Workflow Integration (8 hrs); and (6) Ongoing Maintenance and Troubleshooting (4 hrs). The training is delivered entirely remotely; no Meridian personnel will enter Syria or any intermediary country. The Applicant requests that the license expressly authorize the provision of these Training Services, including the electronic transmission of associated training materials, to DCUH personnel.</w:t>
      </w:r>
    </w:p>
    <w:bookmarkEnd w:id="25"/>
    <w:bookmarkStart w:id="26" w:name="d.-aggregate-transaction-value"/>
    <w:p>
      <w:pPr>
        <w:pStyle w:val="Heading3"/>
      </w:pPr>
      <w:r>
        <w:t xml:space="preserve">D. Aggregate Transaction Value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Subtotal</w:t>
            </w:r>
          </w:p>
        </w:tc>
      </w:tr>
      <w:tr>
        <w:tc>
          <w:tcPr/>
          <w:p>
            <w:pPr>
              <w:pStyle w:val="Compact"/>
              <w:jc w:val="left"/>
            </w:pPr>
            <w:r>
              <w:t xml:space="preserve">CancerDetect RX-700 Reagent Kit</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r>
      <w:tr>
        <w:tc>
          <w:tcPr/>
          <w:p>
            <w:pPr>
              <w:pStyle w:val="Compact"/>
              <w:jc w:val="left"/>
            </w:pPr>
            <w:r>
              <w:t xml:space="preserve">CalibPro 3100 Calibration Unit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r>
      <w:tr>
        <w:tc>
          <w:tcPr/>
          <w:p>
            <w:pPr>
              <w:pStyle w:val="Compact"/>
              <w:jc w:val="left"/>
            </w:pPr>
            <w:r>
              <w:t xml:space="preserve">Remote Installation &amp; Calibration Training</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$1,280,000.00</w:t>
            </w:r>
          </w:p>
        </w:tc>
      </w:tr>
    </w:tbl>
    <w:p>
      <w:r>
        <w:pict>
          <v:rect style="width:0;height:1.5pt" o:hralign="center" o:hrstd="t" o:hr="t"/>
        </w:pict>
      </w:r>
    </w:p>
    <w:bookmarkEnd w:id="26"/>
    <w:bookmarkEnd w:id="27"/>
    <w:bookmarkStart w:id="31" w:name="part-v-end-user-and-end-use"/>
    <w:p>
      <w:pPr>
        <w:pStyle w:val="Heading2"/>
      </w:pPr>
      <w:r>
        <w:t xml:space="preserve">PART V — END-USER AND END-USE</w:t>
      </w:r>
    </w:p>
    <w:bookmarkStart w:id="28" w:name="a.-end-user"/>
    <w:p>
      <w:pPr>
        <w:pStyle w:val="Heading3"/>
      </w:pPr>
      <w:r>
        <w:t xml:space="preserve">A. End-User</w:t>
      </w:r>
    </w:p>
    <w:p>
      <w:pPr>
        <w:pStyle w:val="FirstParagraph"/>
      </w:pPr>
      <w:r>
        <w:rPr>
          <w:b/>
          <w:bCs/>
        </w:rPr>
        <w:t xml:space="preserve">Damascus Central University Hospital (</w:t>
      </w:r>
      <w:r>
        <w:rPr>
          <w:b/>
          <w:bCs/>
        </w:rPr>
        <w:t xml:space="preserve">“</w:t>
      </w:r>
      <w:r>
        <w:rPr>
          <w:b/>
          <w:bCs/>
        </w:rPr>
        <w:t xml:space="preserve">DCUH</w:t>
      </w:r>
      <w:r>
        <w:rPr>
          <w:b/>
          <w:bCs/>
        </w:rPr>
        <w:t xml:space="preserve">”</w:t>
      </w:r>
      <w:r>
        <w:rPr>
          <w:b/>
          <w:b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Al-Mazzeh Highway, Building 7, Damascus, Syrian Arab Republic</w:t>
            </w:r>
          </w:p>
        </w:tc>
      </w:tr>
      <w:tr>
        <w:tc>
          <w:tcPr/>
          <w:p>
            <w:pPr>
              <w:pStyle w:val="Compact"/>
              <w:jc w:val="left"/>
            </w:pPr>
            <w:r>
              <w:t xml:space="preserve">Status</w:t>
            </w:r>
          </w:p>
        </w:tc>
        <w:tc>
          <w:tcPr/>
          <w:p>
            <w:pPr>
              <w:pStyle w:val="Compact"/>
              <w:jc w:val="left"/>
            </w:pPr>
            <w:r>
              <w:t xml:space="preserve">Public teaching hospital; instrumentality of the Government of Syria operating under the administrative authority and budgetary oversight of the Syrian Ministry of Health; affiliated with the University of Damascus, Faculty of Medicine</w:t>
            </w:r>
          </w:p>
        </w:tc>
      </w:tr>
      <w:tr>
        <w:tc>
          <w:tcPr/>
          <w:p>
            <w:pPr>
              <w:pStyle w:val="Compact"/>
              <w:jc w:val="left"/>
            </w:pPr>
            <w:r>
              <w:t xml:space="preserve">Hospital Director</w:t>
            </w:r>
          </w:p>
        </w:tc>
        <w:tc>
          <w:tcPr/>
          <w:p>
            <w:pPr>
              <w:pStyle w:val="Compact"/>
              <w:jc w:val="left"/>
            </w:pPr>
            <w:r>
              <w:t xml:space="preserve">Dr. Faisal Kareem Al-Masri</w:t>
            </w:r>
          </w:p>
        </w:tc>
      </w:tr>
      <w:tr>
        <w:tc>
          <w:tcPr/>
          <w:p>
            <w:pPr>
              <w:pStyle w:val="Compact"/>
              <w:jc w:val="left"/>
            </w:pPr>
            <w:r>
              <w:t xml:space="preserve">Receiving department</w:t>
            </w:r>
          </w:p>
        </w:tc>
        <w:tc>
          <w:tcPr/>
          <w:p>
            <w:pPr>
              <w:pStyle w:val="Compact"/>
              <w:jc w:val="left"/>
            </w:pPr>
            <w:r>
              <w:t xml:space="preserve">Oncology Department</w:t>
            </w:r>
          </w:p>
        </w:tc>
      </w:tr>
      <w:tr>
        <w:tc>
          <w:tcPr/>
          <w:p>
            <w:pPr>
              <w:pStyle w:val="Compact"/>
              <w:jc w:val="left"/>
            </w:pPr>
            <w:r>
              <w:t xml:space="preserve">Capacity</w:t>
            </w:r>
          </w:p>
        </w:tc>
        <w:tc>
          <w:tcPr/>
          <w:p>
            <w:pPr>
              <w:pStyle w:val="Compact"/>
              <w:jc w:val="left"/>
            </w:pPr>
            <w:r>
              <w:t xml:space="preserve">140-bed oncology ward; processes approximately 3,800 tissue biopsies per year</w:t>
            </w:r>
          </w:p>
        </w:tc>
      </w:tr>
      <w:tr>
        <w:tc>
          <w:tcPr/>
          <w:p>
            <w:pPr>
              <w:pStyle w:val="Compact"/>
              <w:jc w:val="left"/>
            </w:pPr>
            <w:r>
              <w:t xml:space="preserve">Installed platform</w:t>
            </w:r>
          </w:p>
        </w:tc>
        <w:tc>
          <w:tcPr/>
          <w:p>
            <w:pPr>
              <w:pStyle w:val="Compact"/>
              <w:jc w:val="left"/>
            </w:pPr>
            <w:r>
              <w:t xml:space="preserve">Ventana BenchMark XT automated staining system</w:t>
            </w:r>
          </w:p>
        </w:tc>
      </w:tr>
    </w:tbl>
    <w:p>
      <w:pPr>
        <w:pStyle w:val="BodyText"/>
      </w:pPr>
      <w:r>
        <w:t xml:space="preserve">DCUH is not independently listed on the SDN List or any other restricted-party list. The Applicant acknowledges that, as a public hospital operating under the Syrian Ministry of Health, DCUH is an instrumentality of the Government of Syria, which is comprehensively sanctioned under E.O. 13582 and the SSR. The Applicant accordingly requests specific authorization for this transaction involving a governmental end-user. No general license is available that would authorize the proposed export to, or the provision of services to, this end-user.</w:t>
      </w:r>
    </w:p>
    <w:bookmarkEnd w:id="28"/>
    <w:bookmarkStart w:id="29" w:name="b.-end-use"/>
    <w:p>
      <w:pPr>
        <w:pStyle w:val="Heading3"/>
      </w:pPr>
      <w:r>
        <w:t xml:space="preserve">B. End-Use</w:t>
      </w:r>
    </w:p>
    <w:p>
      <w:pPr>
        <w:pStyle w:val="FirstParagraph"/>
      </w:pPr>
      <w:r>
        <w:t xml:space="preserve">The Goods and Training Services are intended exclusively for clinical diagnostic use within the Oncology Department of DCUH. Specifically:</w:t>
      </w:r>
    </w:p>
    <w:p>
      <w:pPr>
        <w:pStyle w:val="Compact"/>
        <w:numPr>
          <w:ilvl w:val="0"/>
          <w:numId w:val="1002"/>
        </w:numPr>
      </w:pPr>
      <w:r>
        <w:t xml:space="preserve">The CancerDetect RX-700 Reagent Kits will be used for immunohistochemical staining of tissue biopsy samples to identify breast cancer biomarkers (HER2, ER, and PR) in patients referred to DCUH for oncological diagnosis;</w:t>
      </w:r>
    </w:p>
    <w:p>
      <w:pPr>
        <w:pStyle w:val="Compact"/>
        <w:numPr>
          <w:ilvl w:val="0"/>
          <w:numId w:val="1002"/>
        </w:numPr>
      </w:pPr>
      <w:r>
        <w:t xml:space="preserve">The CalibPro 3100 Calibration Units will be used to validate and calibrate the reagent kits for use with the Ventana BenchMark XT platform installed in the DCUH Oncology Laboratory; and</w:t>
      </w:r>
    </w:p>
    <w:p>
      <w:pPr>
        <w:pStyle w:val="Compact"/>
        <w:numPr>
          <w:ilvl w:val="0"/>
          <w:numId w:val="1002"/>
        </w:numPr>
      </w:pPr>
      <w:r>
        <w:t xml:space="preserve">The Training Services will enable DCUH laboratory personnel to install, calibrate, and operate the CalibPro 3100 units in accordance with manufacturer specifications.</w:t>
      </w:r>
    </w:p>
    <w:p>
      <w:pPr>
        <w:pStyle w:val="FirstParagraph"/>
      </w:pPr>
      <w:r>
        <w:t xml:space="preserve">The requested quantity of 500 reagent kits is anticipated to meet DCUH’s diagnostic needs for approximately 15 months, based on the hospital’s annual biopsy volume of approximately 3,800 samples and a processing capacity of approximately 10 samples per kit.</w:t>
      </w:r>
    </w:p>
    <w:bookmarkEnd w:id="29"/>
    <w:bookmarkStart w:id="30" w:name="X9a89efb9c21acbce6a7f7429c96de0d324913cf"/>
    <w:p>
      <w:pPr>
        <w:pStyle w:val="Heading3"/>
      </w:pPr>
      <w:r>
        <w:t xml:space="preserve">C. End-Use Assurances and Non-Diversion Commitments</w:t>
      </w:r>
    </w:p>
    <w:p>
      <w:pPr>
        <w:pStyle w:val="FirstParagraph"/>
      </w:pPr>
      <w:r>
        <w:t xml:space="preserve">DCUH has confirmed, in its Purchase Order (Exhibit A), that the Goods will not be re-exported, diverted, or transferred to any third party without the prior written consent of the Applicant and in compliance with all applicable laws, and that the Goods shall remain at all times within the custody and control of DCUH and be used solely for the clinical diagnostic purposes described above. The Applicant will obtain from DCUH, prior to shipment, a written end-user certificate and non-diversion commitment in a form acceptable to OFAC, and will implement the end-use monitoring plan described in Part XII.</w:t>
      </w:r>
    </w:p>
    <w:p>
      <w:r>
        <w:pict>
          <v:rect style="width:0;height:1.5pt" o:hralign="center" o:hrstd="t" o:hr="t"/>
        </w:pict>
      </w:r>
    </w:p>
    <w:bookmarkEnd w:id="30"/>
    <w:bookmarkEnd w:id="31"/>
    <w:bookmarkStart w:id="32" w:name="X23e7937b5b42048b018247dc4690d86af81059f"/>
    <w:p>
      <w:pPr>
        <w:pStyle w:val="Heading2"/>
      </w:pPr>
      <w:r>
        <w:t xml:space="preserve">PART VI — ALL PARTIES TO THE TRANSACTION; SCREENING RESULTS</w:t>
      </w:r>
    </w:p>
    <w:p>
      <w:pPr>
        <w:pStyle w:val="FirstParagraph"/>
      </w:pPr>
      <w:r>
        <w:t xml:space="preserve">The Applicant’s Compliance Department conducted a comprehensive sanctions and restricted-party screening on June 3, 2024 (finalized June 10, 2024), against the OFAC SDN List, the OFAC Consolidated Sanctions List (including the Non-SDN Menu-Based Sanctions List), the OFAC Sectoral Sanctions Identifications (SSI) List, the BIS Entity List, the BIS Denied Persons List, the BIS Unverified List, and the United Nations Consolidated Sanctions List. Screening covered all transaction parties, their directors, principals, officers, and — through Meridian’s enhanced real-time beneficial ownership screening platform (implemented January 2024) — their beneficial owners. The complete screening memorandum is provided as Exhibit 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Principal(s) Screened</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4200 Lakeshore Blvd., Suite 800, Cambridge, MA 02142</w:t>
            </w:r>
          </w:p>
        </w:tc>
        <w:tc>
          <w:tcPr/>
          <w:p>
            <w:pPr>
              <w:pStyle w:val="Compact"/>
              <w:jc w:val="left"/>
            </w:pPr>
            <w:r>
              <w:t xml:space="preserve">Dr. Priya Ramaswamy (CEO); Jonathan D. Halsted (GC); Margaret Dunleavy (CCO)</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Al-Mazzeh Highway, Bldg. 7, Damascus, Syria</w:t>
            </w:r>
          </w:p>
        </w:tc>
        <w:tc>
          <w:tcPr/>
          <w:p>
            <w:pPr>
              <w:pStyle w:val="Compact"/>
              <w:jc w:val="left"/>
            </w:pPr>
            <w:r>
              <w:t xml:space="preserve">Dr. Faisal Kareem Al-Masri (Hospital Director)</w:t>
            </w:r>
          </w:p>
        </w:tc>
        <w:tc>
          <w:tcPr/>
          <w:p>
            <w:pPr>
              <w:pStyle w:val="Compact"/>
              <w:jc w:val="left"/>
            </w:pPr>
            <w:r>
              <w:t xml:space="preserve">No independent listing (governmental instrumentality; see Part V)</w:t>
            </w:r>
          </w:p>
        </w:tc>
      </w:tr>
      <w:tr>
        <w:tc>
          <w:tcPr/>
          <w:p>
            <w:pPr>
              <w:pStyle w:val="Compact"/>
              <w:jc w:val="left"/>
            </w:pPr>
            <w:r>
              <w:t xml:space="preserve">Syrian Ministry of Health</w:t>
            </w:r>
          </w:p>
        </w:tc>
        <w:tc>
          <w:tcPr/>
          <w:p>
            <w:pPr>
              <w:pStyle w:val="Compact"/>
              <w:jc w:val="left"/>
            </w:pPr>
            <w:r>
              <w:t xml:space="preserve">Governmental authority over DCUH</w:t>
            </w:r>
          </w:p>
        </w:tc>
        <w:tc>
          <w:tcPr/>
          <w:p>
            <w:pPr>
              <w:pStyle w:val="Compact"/>
              <w:jc w:val="left"/>
            </w:pPr>
            <w:r>
              <w:t xml:space="preserve">Damascus, Syria</w:t>
            </w:r>
          </w:p>
        </w:tc>
        <w:tc>
          <w:tcPr/>
          <w:p>
            <w:pPr>
              <w:pStyle w:val="Compact"/>
              <w:jc w:val="left"/>
            </w:pPr>
            <w:r>
              <w:t xml:space="preserve">N/A</w:t>
            </w:r>
          </w:p>
        </w:tc>
        <w:tc>
          <w:tcPr/>
          <w:p>
            <w:pPr>
              <w:pStyle w:val="Compact"/>
              <w:jc w:val="left"/>
            </w:pPr>
            <w:r>
              <w:t xml:space="preserve">No independent listing (ministry of the Government of Syria; sanctioned under E.O. 13582)</w:t>
            </w:r>
          </w:p>
        </w:tc>
      </w:tr>
      <w:tr>
        <w:tc>
          <w:tcPr/>
          <w:p>
            <w:pPr>
              <w:pStyle w:val="Compact"/>
              <w:jc w:val="left"/>
            </w:pPr>
            <w:r>
              <w:t xml:space="preserve">Al-Rashid Medical Procurement Company (ARMPC)</w:t>
            </w:r>
          </w:p>
        </w:tc>
        <w:tc>
          <w:tcPr/>
          <w:p>
            <w:pPr>
              <w:pStyle w:val="Compact"/>
              <w:jc w:val="left"/>
            </w:pPr>
            <w:r>
              <w:t xml:space="preserve">Customs clearance / import logistics agent (proposed; to be replaced — see Part VIII)</w:t>
            </w:r>
          </w:p>
        </w:tc>
        <w:tc>
          <w:tcPr/>
          <w:p>
            <w:pPr>
              <w:pStyle w:val="Compact"/>
              <w:jc w:val="left"/>
            </w:pPr>
            <w:r>
              <w:t xml:space="preserve">18 Barada Street, Floor 3, Damascus, Syria</w:t>
            </w:r>
          </w:p>
        </w:tc>
        <w:tc>
          <w:tcPr/>
          <w:p>
            <w:pPr>
              <w:pStyle w:val="Compact"/>
              <w:jc w:val="left"/>
            </w:pPr>
            <w:r>
              <w:t xml:space="preserve">Tariq Nabil Hammoud (Managing Director)</w:t>
            </w:r>
          </w:p>
        </w:tc>
        <w:tc>
          <w:tcPr/>
          <w:p>
            <w:pPr>
              <w:pStyle w:val="Compact"/>
              <w:jc w:val="left"/>
            </w:pPr>
            <w:r>
              <w:t xml:space="preserve">No entity match; no match on Hammoud;</w:t>
            </w:r>
            <w:r>
              <w:t xml:space="preserve"> </w:t>
            </w:r>
            <w:r>
              <w:rPr>
                <w:b/>
                <w:bCs/>
              </w:rPr>
              <w:t xml:space="preserve">30% shareholder Samir Daoud Khoury is SDN-listed</w:t>
            </w:r>
            <w:r>
              <w:t xml:space="preserve"> </w:t>
            </w:r>
            <w:r>
              <w:t xml:space="preserve">(see Part VIII)</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Applicant’s U.S. receiving bank</w:t>
            </w:r>
          </w:p>
        </w:tc>
        <w:tc>
          <w:tcPr/>
          <w:p>
            <w:pPr>
              <w:pStyle w:val="Compact"/>
              <w:jc w:val="left"/>
            </w:pPr>
            <w:r>
              <w:t xml:space="preserve">Boston, MA</w:t>
            </w:r>
          </w:p>
        </w:tc>
        <w:tc>
          <w:tcPr/>
          <w:p>
            <w:pPr>
              <w:pStyle w:val="Compact"/>
              <w:jc w:val="left"/>
            </w:pPr>
            <w:r>
              <w:t xml:space="preserve">N/A</w:t>
            </w:r>
          </w:p>
        </w:tc>
        <w:tc>
          <w:tcPr/>
          <w:p>
            <w:pPr>
              <w:pStyle w:val="Compact"/>
              <w:jc w:val="left"/>
            </w:pPr>
            <w:r>
              <w:t xml:space="preserve">No Match</w:t>
            </w:r>
          </w:p>
        </w:tc>
      </w:tr>
      <w:tr>
        <w:tc>
          <w:tcPr/>
          <w:p>
            <w:pPr>
              <w:pStyle w:val="Compact"/>
              <w:jc w:val="left"/>
            </w:pPr>
            <w:r>
              <w:t xml:space="preserve">Central Bank of Calverley (CBS)</w:t>
            </w:r>
          </w:p>
        </w:tc>
        <w:tc>
          <w:tcPr/>
          <w:p>
            <w:pPr>
              <w:pStyle w:val="Compact"/>
              <w:jc w:val="left"/>
            </w:pPr>
            <w:r>
              <w:t xml:space="preserve">Remitting bank identified in Purchase Order</w:t>
            </w:r>
          </w:p>
        </w:tc>
        <w:tc>
          <w:tcPr/>
          <w:p>
            <w:pPr>
              <w:pStyle w:val="Compact"/>
              <w:jc w:val="left"/>
            </w:pPr>
            <w:r>
              <w:t xml:space="preserve">Damascus, Syria</w:t>
            </w:r>
          </w:p>
        </w:tc>
        <w:tc>
          <w:tcPr/>
          <w:p>
            <w:pPr>
              <w:pStyle w:val="Compact"/>
              <w:jc w:val="left"/>
            </w:pPr>
            <w:r>
              <w:t xml:space="preserve">N/A</w:t>
            </w:r>
          </w:p>
        </w:tc>
        <w:tc>
          <w:tcPr/>
          <w:p>
            <w:pPr>
              <w:pStyle w:val="Compact"/>
              <w:jc w:val="left"/>
            </w:pPr>
            <w:r>
              <w:rPr>
                <w:b/>
                <w:bCs/>
              </w:rPr>
              <w:t xml:space="preserve">SDN-LISTED</w:t>
            </w:r>
            <w:r>
              <w:t xml:space="preserve"> </w:t>
            </w:r>
            <w:r>
              <w:t xml:space="preserve">(added Aug. 10, 2011, E.O. 13582) — to be replaced (see Part VII)</w:t>
            </w:r>
          </w:p>
        </w:tc>
      </w:tr>
    </w:tbl>
    <w:p>
      <w:pPr>
        <w:pStyle w:val="BodyText"/>
      </w:pPr>
      <w:r>
        <w:t xml:space="preserve">All parties other than those expressly flagged above screened clean. The Applicant will re-screen all transaction parties at 90-day intervals during the pendency of this application and immediately prior to any shipment if a license is granted, and will promptly report any new match to OFAC.</w:t>
      </w:r>
    </w:p>
    <w:p>
      <w:r>
        <w:pict>
          <v:rect style="width:0;height:1.5pt" o:hralign="center" o:hrstd="t" o:hr="t"/>
        </w:pict>
      </w:r>
    </w:p>
    <w:bookmarkEnd w:id="32"/>
    <w:bookmarkStart w:id="36" w:name="X75c41af12a469ac00603cd5ce134a82be93be26"/>
    <w:p>
      <w:pPr>
        <w:pStyle w:val="Heading2"/>
      </w:pPr>
      <w:r>
        <w:t xml:space="preserve">PART VII — PAYMENT TERMS AND THE CENTRAL BANK OF CALVERLEY ISSUE</w:t>
      </w:r>
    </w:p>
    <w:bookmarkStart w:id="33" w:name="a.-the-issue"/>
    <w:p>
      <w:pPr>
        <w:pStyle w:val="Heading3"/>
      </w:pPr>
      <w:r>
        <w:t xml:space="preserve">A. The Issue</w:t>
      </w:r>
    </w:p>
    <w:p>
      <w:pPr>
        <w:pStyle w:val="FirstParagraph"/>
      </w:pPr>
      <w:r>
        <w:t xml:space="preserve">The DCUH Purchase Order (Exhibit A) specifies that payment be made by 100% advance wire transfer from DCUH’s account at the</w:t>
      </w:r>
      <w:r>
        <w:t xml:space="preserve"> </w:t>
      </w:r>
      <w:r>
        <w:rPr>
          <w:b/>
          <w:bCs/>
        </w:rPr>
        <w:t xml:space="preserve">Central Bank of Calverley (</w:t>
      </w:r>
      <w:r>
        <w:rPr>
          <w:b/>
          <w:bCs/>
        </w:rPr>
        <w:t xml:space="preserve">“</w:t>
      </w:r>
      <w:r>
        <w:rPr>
          <w:b/>
          <w:bCs/>
        </w:rPr>
        <w:t xml:space="preserve">CBS</w:t>
      </w:r>
      <w:r>
        <w:rPr>
          <w:b/>
          <w:bCs/>
        </w:rPr>
        <w:t xml:space="preserve">”</w:t>
      </w:r>
      <w:r>
        <w:rPr>
          <w:b/>
          <w:bCs/>
        </w:rPr>
        <w:t xml:space="preserve">)</w:t>
      </w:r>
      <w:r>
        <w:t xml:space="preserve"> </w:t>
      </w:r>
      <w:r>
        <w:t xml:space="preserve">to the Applicant’s account at Harborview National Bank, Boston, Massachusetts (Account No. 7821-4490-3361). CBS is designated on the SDN List (added August 10, 2011, pursuant to E.O. 13582). A funds transfer routed through CBS would constitute a prohibited transaction with a blocked person under the SSR, and any such funds received by a U.S. person would be subject to blocking. The Applicant will not accept, and no U.S. financial institution will be asked to process, any payment routed through CBS or any other SDN-listed institution.</w:t>
      </w:r>
    </w:p>
    <w:bookmarkEnd w:id="33"/>
    <w:bookmarkStart w:id="34" w:name="Xd4738ce53b5f7c2c9afc1d11350ae0312213ef9"/>
    <w:p>
      <w:pPr>
        <w:pStyle w:val="Heading3"/>
      </w:pPr>
      <w:r>
        <w:t xml:space="preserve">B. Proposed Alternative Payment Arrangement</w:t>
      </w:r>
    </w:p>
    <w:p>
      <w:pPr>
        <w:pStyle w:val="FirstParagraph"/>
      </w:pPr>
      <w:r>
        <w:t xml:space="preserve">The Applicant has restructured the payment flow to eliminate any involvement of CBS or any SDN-listed institution. The Applicant respectfully requests that the license authorize receipt of payment by wire transfer to the Applicant’s account at Harborview National Bank, Boston, Massachusetts (Account No. 7821-4490-3361), originating from</w:t>
      </w:r>
      <w:r>
        <w:t xml:space="preserve"> </w:t>
      </w:r>
      <w:r>
        <w:rPr>
          <w:b/>
          <w:bCs/>
        </w:rPr>
        <w:t xml:space="preserve">a non-SDN-listed financial institution</w:t>
      </w:r>
      <w:r>
        <w:t xml:space="preserve">, on the following terms:</w:t>
      </w:r>
    </w:p>
    <w:p>
      <w:pPr>
        <w:numPr>
          <w:ilvl w:val="0"/>
          <w:numId w:val="1003"/>
        </w:numPr>
      </w:pPr>
      <w:r>
        <w:t xml:space="preserve">Payment shall be initiated by DCUH from an account held at a financial institution that is not designated on the SDN List or any other OFAC restricted-party list, and that is not owned 50% or more, individually or in the aggregate, by one or more SDN-listed persons;</w:t>
      </w:r>
    </w:p>
    <w:p>
      <w:pPr>
        <w:numPr>
          <w:ilvl w:val="0"/>
          <w:numId w:val="1003"/>
        </w:numPr>
      </w:pPr>
      <w:r>
        <w:t xml:space="preserve">The specific remitting institution will be identified and screened by the Applicant’s Compliance Department against all applicable OFAC and restricted-party lists</w:t>
      </w:r>
      <w:r>
        <w:t xml:space="preserve"> </w:t>
      </w:r>
      <w:r>
        <w:rPr>
          <w:b/>
          <w:bCs/>
        </w:rPr>
        <w:t xml:space="preserve">prior to the initiation of each payment</w:t>
      </w:r>
      <w:r>
        <w:t xml:space="preserve">, and the Applicant will not accept any payment from an institution that returns a positive match;</w:t>
      </w:r>
    </w:p>
    <w:p>
      <w:pPr>
        <w:numPr>
          <w:ilvl w:val="0"/>
          <w:numId w:val="1003"/>
        </w:numPr>
      </w:pPr>
      <w:r>
        <w:t xml:space="preserve">No payment shall be routed, directly or indirectly, through the Central Bank of Calverley or any other SDN-listed institution, correspondent, or intermediary;</w:t>
      </w:r>
    </w:p>
    <w:p>
      <w:pPr>
        <w:numPr>
          <w:ilvl w:val="0"/>
          <w:numId w:val="1003"/>
        </w:numPr>
      </w:pPr>
      <w:r>
        <w:t xml:space="preserve">The Applicant will provide OFAC with the name and screening results of the identified remitting institution upon request; and</w:t>
      </w:r>
    </w:p>
    <w:p>
      <w:pPr>
        <w:numPr>
          <w:ilvl w:val="0"/>
          <w:numId w:val="1003"/>
        </w:numPr>
      </w:pPr>
      <w:r>
        <w:t xml:space="preserve">The Applicant will report each payment received under the license in the post-shipment reports described in Part XII.</w:t>
      </w:r>
    </w:p>
    <w:p>
      <w:pPr>
        <w:pStyle w:val="FirstParagraph"/>
      </w:pPr>
      <w:r>
        <w:t xml:space="preserve">The Applicant is actively working with DCUH to identify a compliant remitting institution. Based on the Applicant’s prior licensing experience (see Part IX), the Applicant anticipates that payment can be effected through either (i) a non-SDN-listed Syrian commercial bank, or (ii) a financial institution located in a third country (e.g., Turkey) at which DCUH or the Government of Syria maintains an account, in each case subject to satisfactory screening. The Applicant requests that the license be drafted to accommodate either compliant pathway, conditioned on the pre-payment screening described above.</w:t>
      </w:r>
    </w:p>
    <w:bookmarkEnd w:id="34"/>
    <w:bookmarkStart w:id="35" w:name="c.-payment-timing"/>
    <w:p>
      <w:pPr>
        <w:pStyle w:val="Heading3"/>
      </w:pPr>
      <w:r>
        <w:t xml:space="preserve">C. Payment Timing</w:t>
      </w:r>
    </w:p>
    <w:p>
      <w:pPr>
        <w:pStyle w:val="FirstParagraph"/>
      </w:pPr>
      <w:r>
        <w:t xml:space="preserve">Consistent with the Purchase Order, payment will be remitted in full (100% advance) no later than fifteen (15) business days prior to the scheduled shipment date from the United States, and in any event only after the license has been issued and the remitting institution has been screened.</w:t>
      </w:r>
    </w:p>
    <w:p>
      <w:r>
        <w:pict>
          <v:rect style="width:0;height:1.5pt" o:hralign="center" o:hrstd="t" o:hr="t"/>
        </w:pict>
      </w:r>
    </w:p>
    <w:bookmarkEnd w:id="35"/>
    <w:bookmarkEnd w:id="36"/>
    <w:bookmarkStart w:id="41" w:name="part-viii-the-armpc-khoury-sdn-issue"/>
    <w:p>
      <w:pPr>
        <w:pStyle w:val="Heading2"/>
      </w:pPr>
      <w:r>
        <w:t xml:space="preserve">PART VIII — THE ARMPC / KHOURY SDN ISSUE</w:t>
      </w:r>
    </w:p>
    <w:bookmarkStart w:id="37" w:name="a.-the-issue-1"/>
    <w:p>
      <w:pPr>
        <w:pStyle w:val="Heading3"/>
      </w:pPr>
      <w:r>
        <w:t xml:space="preserve">A. The Issue</w:t>
      </w:r>
    </w:p>
    <w:p>
      <w:pPr>
        <w:pStyle w:val="FirstParagraph"/>
      </w:pPr>
      <w:r>
        <w:t xml:space="preserve">The DCUH Purchase Order designates</w:t>
      </w:r>
      <w:r>
        <w:t xml:space="preserve"> </w:t>
      </w:r>
      <w:r>
        <w:rPr>
          <w:b/>
          <w:bCs/>
        </w:rPr>
        <w:t xml:space="preserve">Al-Rashid Medical Procurement Company (</w:t>
      </w:r>
      <w:r>
        <w:rPr>
          <w:b/>
          <w:bCs/>
        </w:rPr>
        <w:t xml:space="preserve">“</w:t>
      </w:r>
      <w:r>
        <w:rPr>
          <w:b/>
          <w:bCs/>
        </w:rPr>
        <w:t xml:space="preserve">ARMPC</w:t>
      </w:r>
      <w:r>
        <w:rPr>
          <w:b/>
          <w:bCs/>
        </w:rPr>
        <w:t xml:space="preserve">”</w:t>
      </w:r>
      <w:r>
        <w:rPr>
          <w:b/>
          <w:bCs/>
        </w:rPr>
        <w:t xml:space="preserve">)</w:t>
      </w:r>
      <w:r>
        <w:t xml:space="preserve"> </w:t>
      </w:r>
      <w:r>
        <w:t xml:space="preserve">as the customs clearance and import logistics agent responsible for receiving shipments at the Syrian border and coordinating in-country delivery to DCUH. ARMPC itself is not listed on the SDN List or any other restricted-party list, and ARMPC’s Managing Director, Tariq Nabil Hammoud, returned no match upon screening.</w:t>
      </w:r>
    </w:p>
    <w:p>
      <w:pPr>
        <w:pStyle w:val="BodyText"/>
      </w:pPr>
      <w:r>
        <w:t xml:space="preserve">However, through the Applicant’s enhanced beneficial ownership screening platform, the Compliance Department identified that</w:t>
      </w:r>
      <w:r>
        <w:t xml:space="preserve"> </w:t>
      </w:r>
      <w:r>
        <w:rPr>
          <w:b/>
          <w:bCs/>
        </w:rPr>
        <w:t xml:space="preserve">Samir Daoud Khoury</w:t>
      </w:r>
      <w:r>
        <w:t xml:space="preserve"> </w:t>
      </w:r>
      <w:r>
        <w:t xml:space="preserve">holds a 30% ownership interest in ARMPC. Mr. Khoury is designated on the SDN List. The listing details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Name</w:t>
            </w:r>
          </w:p>
        </w:tc>
        <w:tc>
          <w:tcPr/>
          <w:p>
            <w:pPr>
              <w:pStyle w:val="Compact"/>
              <w:jc w:val="left"/>
            </w:pPr>
            <w:r>
              <w:t xml:space="preserve">KHOURY, Samir Daoud</w:t>
            </w:r>
          </w:p>
        </w:tc>
      </w:tr>
      <w:tr>
        <w:tc>
          <w:tcPr/>
          <w:p>
            <w:pPr>
              <w:pStyle w:val="Compact"/>
              <w:jc w:val="left"/>
            </w:pPr>
            <w:r>
              <w:t xml:space="preserve">Date of birth</w:t>
            </w:r>
          </w:p>
        </w:tc>
        <w:tc>
          <w:tcPr/>
          <w:p>
            <w:pPr>
              <w:pStyle w:val="Compact"/>
              <w:jc w:val="left"/>
            </w:pPr>
            <w:r>
              <w:t xml:space="preserve">March 12, 1971</w:t>
            </w:r>
          </w:p>
        </w:tc>
      </w:tr>
      <w:tr>
        <w:tc>
          <w:tcPr/>
          <w:p>
            <w:pPr>
              <w:pStyle w:val="Compact"/>
              <w:jc w:val="left"/>
            </w:pPr>
            <w:r>
              <w:t xml:space="preserve">Nationality</w:t>
            </w:r>
          </w:p>
        </w:tc>
        <w:tc>
          <w:tcPr/>
          <w:p>
            <w:pPr>
              <w:pStyle w:val="Compact"/>
              <w:jc w:val="left"/>
            </w:pPr>
            <w:r>
              <w:t xml:space="preserve">Syria</w:t>
            </w:r>
          </w:p>
        </w:tc>
      </w:tr>
      <w:tr>
        <w:tc>
          <w:tcPr/>
          <w:p>
            <w:pPr>
              <w:pStyle w:val="Compact"/>
              <w:jc w:val="left"/>
            </w:pPr>
            <w:r>
              <w:t xml:space="preserve">Passport No.</w:t>
            </w:r>
          </w:p>
        </w:tc>
        <w:tc>
          <w:tcPr/>
          <w:p>
            <w:pPr>
              <w:pStyle w:val="Compact"/>
              <w:jc w:val="left"/>
            </w:pPr>
            <w:r>
              <w:t xml:space="preserve">S-0048712</w:t>
            </w:r>
          </w:p>
        </w:tc>
      </w:tr>
      <w:tr>
        <w:tc>
          <w:tcPr/>
          <w:p>
            <w:pPr>
              <w:pStyle w:val="Compact"/>
              <w:jc w:val="left"/>
            </w:pPr>
            <w:r>
              <w:t xml:space="preserve">SDN List addition date</w:t>
            </w:r>
          </w:p>
        </w:tc>
        <w:tc>
          <w:tcPr/>
          <w:p>
            <w:pPr>
              <w:pStyle w:val="Compact"/>
              <w:jc w:val="left"/>
            </w:pPr>
            <w:r>
              <w:t xml:space="preserve">April 15, 2024</w:t>
            </w:r>
          </w:p>
        </w:tc>
      </w:tr>
      <w:tr>
        <w:tc>
          <w:tcPr/>
          <w:p>
            <w:pPr>
              <w:pStyle w:val="Compact"/>
              <w:jc w:val="left"/>
            </w:pPr>
            <w:r>
              <w:t xml:space="preserve">Basis for designation</w:t>
            </w:r>
          </w:p>
        </w:tc>
        <w:tc>
          <w:tcPr/>
          <w:p>
            <w:pPr>
              <w:pStyle w:val="Compact"/>
              <w:jc w:val="left"/>
            </w:pPr>
            <w:r>
              <w:t xml:space="preserve">Acting on behalf of a sanctioned Syrian military procurement network</w:t>
            </w:r>
          </w:p>
        </w:tc>
      </w:tr>
    </w:tbl>
    <w:bookmarkEnd w:id="37"/>
    <w:bookmarkStart w:id="38" w:name="b.-50-percent-rule-analysis"/>
    <w:p>
      <w:pPr>
        <w:pStyle w:val="Heading3"/>
      </w:pPr>
      <w:r>
        <w:t xml:space="preserve">B. 50 Percent Rule Analysis</w:t>
      </w:r>
    </w:p>
    <w:p>
      <w:pPr>
        <w:pStyle w:val="FirstParagraph"/>
      </w:pPr>
      <w:r>
        <w:t xml:space="preserve">Under OFAC’s 50 Percent Rule, an entity is considered blocked only where one or more SDN-listed persons own, individually or in the aggregate, 50% or more of the entity. Mr. Khoury’s 30% ownership stake in ARMPC falls below the 50% blocking threshold; accordingly, ARMPC is not automatically considered a blocked entity under the Rule. The Applicant nonetheless recognizes that the involvement of an SDN-listed shareholder in a transaction counterparty — particularly one designated for acting on behalf of a sanctioned Syrian military procurement network — presents elevated sanctions and reputational risk and warrants full disclosure to OFAC.</w:t>
      </w:r>
    </w:p>
    <w:bookmarkEnd w:id="38"/>
    <w:bookmarkStart w:id="39" w:name="c.-proposed-mitigation-removal-of-armpc"/>
    <w:p>
      <w:pPr>
        <w:pStyle w:val="Heading3"/>
      </w:pPr>
      <w:r>
        <w:t xml:space="preserve">C. Proposed Mitigation — Removal of ARMPC</w:t>
      </w:r>
    </w:p>
    <w:p>
      <w:pPr>
        <w:pStyle w:val="FirstParagraph"/>
      </w:pPr>
      <w:r>
        <w:t xml:space="preserve">The Applicant has determined that ARMPC will</w:t>
      </w:r>
      <w:r>
        <w:t xml:space="preserve"> </w:t>
      </w:r>
      <w:r>
        <w:rPr>
          <w:b/>
          <w:bCs/>
        </w:rPr>
        <w:t xml:space="preserve">not</w:t>
      </w:r>
      <w:r>
        <w:t xml:space="preserve"> </w:t>
      </w:r>
      <w:r>
        <w:t xml:space="preserve">participate in the transaction as currently structured. The Applicant is working with DCUH to identify and substitute an alternative customs clearance and import logistics agent within Syria that has no SDN-listed ownership, principals, or other sanctions nexus. The Applicant respectfully requests that the license authorize the transaction on the basis that Syrian customs clearance and in-country delivery will be performed by a non-SDN-listed agent to be identified and screened prior to shipment, in accordance with the following conditions:</w:t>
      </w:r>
    </w:p>
    <w:p>
      <w:pPr>
        <w:numPr>
          <w:ilvl w:val="0"/>
          <w:numId w:val="1004"/>
        </w:numPr>
      </w:pPr>
      <w:r>
        <w:t xml:space="preserve">The customs clearance and import logistics agent will be identified and screened by the Applicant’s Compliance Department against all applicable OFAC and restricted-party lists, including beneficial ownership screening,</w:t>
      </w:r>
      <w:r>
        <w:t xml:space="preserve"> </w:t>
      </w:r>
      <w:r>
        <w:rPr>
          <w:b/>
          <w:bCs/>
        </w:rPr>
        <w:t xml:space="preserve">prior to the engagement of that agent and prior to any shipment</w:t>
      </w:r>
      <w:r>
        <w:t xml:space="preserve">;</w:t>
      </w:r>
    </w:p>
    <w:p>
      <w:pPr>
        <w:numPr>
          <w:ilvl w:val="0"/>
          <w:numId w:val="1004"/>
        </w:numPr>
      </w:pPr>
      <w:r>
        <w:t xml:space="preserve">The agent will not be an SDN-listed person, an entity owned 50% or more (individually or in the aggregate) by one or more SDN-listed persons, or an entity in which any SDN-listed person holds any ownership interest;</w:t>
      </w:r>
    </w:p>
    <w:p>
      <w:pPr>
        <w:numPr>
          <w:ilvl w:val="0"/>
          <w:numId w:val="1004"/>
        </w:numPr>
      </w:pPr>
      <w:r>
        <w:t xml:space="preserve">ARMPC and Samir Daoud Khoury will not receive any benefit, payment, or compensation in connection with the transaction; and</w:t>
      </w:r>
    </w:p>
    <w:p>
      <w:pPr>
        <w:numPr>
          <w:ilvl w:val="0"/>
          <w:numId w:val="1004"/>
        </w:numPr>
      </w:pPr>
      <w:r>
        <w:t xml:space="preserve">The Applicant will provide OFAC with the name and screening results of the substitute agent upon request.</w:t>
      </w:r>
    </w:p>
    <w:bookmarkEnd w:id="39"/>
    <w:bookmarkStart w:id="40" w:name="d.-alternative-request"/>
    <w:p>
      <w:pPr>
        <w:pStyle w:val="Heading3"/>
      </w:pPr>
      <w:r>
        <w:t xml:space="preserve">D. Alternative Request</w:t>
      </w:r>
    </w:p>
    <w:p>
      <w:pPr>
        <w:pStyle w:val="FirstParagraph"/>
      </w:pPr>
      <w:r>
        <w:t xml:space="preserve">In the event that, despite good-faith efforts, no substitute customs clearance agent without any SDN ownership nexus can be identified, the Applicant respectfully requests, in the alternative, that OFAC consider authorizing ARMPC’s limited customs-clearance role on a strictly ministerial basis, subject to such conditions as OFAC may impose to ensure that no benefit accrues to Mr. Khoury or to any sanctioned Syrian military procurement network, including without limitation: (i) payment of arms-length, market-rate customs clearance fees only, with no premium or benefit to any ARMPC shareholder; (ii) a certification from ARMPC that no portion of the fees will be distributed to Mr. Khoury; and (iii) enhanced end-use monitoring and reporting. The Applicant recognizes that this alternative request presents elevated risk and accordingly leads with the substitution approach described in Part VIII.C.</w:t>
      </w:r>
    </w:p>
    <w:p>
      <w:r>
        <w:pict>
          <v:rect style="width:0;height:1.5pt" o:hralign="center" o:hrstd="t" o:hr="t"/>
        </w:pict>
      </w:r>
    </w:p>
    <w:bookmarkEnd w:id="40"/>
    <w:bookmarkEnd w:id="41"/>
    <w:bookmarkStart w:id="42" w:name="part-ix-prior-ofac-license-history"/>
    <w:p>
      <w:pPr>
        <w:pStyle w:val="Heading2"/>
      </w:pPr>
      <w:r>
        <w:t xml:space="preserve">PART IX — PRIOR OFAC LICENSE HISTORY</w:t>
      </w:r>
    </w:p>
    <w:p>
      <w:pPr>
        <w:pStyle w:val="FirstParagraph"/>
      </w:pPr>
      <w:r>
        <w:t xml:space="preserve">The Applicant previously held</w:t>
      </w:r>
      <w:r>
        <w:t xml:space="preserve"> </w:t>
      </w:r>
      <w:r>
        <w:rPr>
          <w:b/>
          <w:bCs/>
        </w:rPr>
        <w:t xml:space="preserve">OFAC Specific License No. SYR-2021-384712</w:t>
      </w:r>
      <w:r>
        <w:t xml:space="preserve">, issued September 14, 2021, and expired March 31, 2023. A copy is provided as Exhibit F. That license authorized the export of 200 TBDetect Pro-200 tuberculosis diagnostic reagent kits (total value $340,000; EAR99; HTS 3822.19.5000) to Al-Mujtahid Hospital, a public hospital in Damascus affiliated with the Syrian Ministry of Health, for humanitarian medical use.</w:t>
      </w:r>
    </w:p>
    <w:p>
      <w:pPr>
        <w:pStyle w:val="BodyText"/>
      </w:pPr>
      <w:r>
        <w:t xml:space="preserve">Key features of the prior license and the Applicant’s performance under it:</w:t>
      </w:r>
    </w:p>
    <w:p>
      <w:pPr>
        <w:pStyle w:val="Compact"/>
        <w:numPr>
          <w:ilvl w:val="0"/>
          <w:numId w:val="1005"/>
        </w:numPr>
      </w:pPr>
      <w:r>
        <w:rPr>
          <w:b/>
          <w:bCs/>
        </w:rPr>
        <w:t xml:space="preserve">All authorized transactions were completed by January 2023</w:t>
      </w:r>
      <w:r>
        <w:t xml:space="preserve">, well in advance of the March 31, 2023 expiration date;</w:t>
      </w:r>
    </w:p>
    <w:p>
      <w:pPr>
        <w:pStyle w:val="Compact"/>
        <w:numPr>
          <w:ilvl w:val="0"/>
          <w:numId w:val="1005"/>
        </w:numPr>
      </w:pPr>
      <w:r>
        <w:rPr>
          <w:b/>
          <w:bCs/>
        </w:rPr>
        <w:t xml:space="preserve">No violations, late filings, or deviations</w:t>
      </w:r>
      <w:r>
        <w:t xml:space="preserve"> </w:t>
      </w:r>
      <w:r>
        <w:t xml:space="preserve">from license terms occurred;</w:t>
      </w:r>
    </w:p>
    <w:p>
      <w:pPr>
        <w:pStyle w:val="Compact"/>
        <w:numPr>
          <w:ilvl w:val="0"/>
          <w:numId w:val="1005"/>
        </w:numPr>
      </w:pPr>
      <w:r>
        <w:t xml:space="preserve">The prior license</w:t>
      </w:r>
      <w:r>
        <w:t xml:space="preserve"> </w:t>
      </w:r>
      <w:r>
        <w:rPr>
          <w:b/>
          <w:bCs/>
        </w:rPr>
        <w:t xml:space="preserve">expressly prohibited routing payment through the Central Bank of Calverley or any SDN-listed institution</w:t>
      </w:r>
      <w:r>
        <w:t xml:space="preserve">, and authorized payment via wire transfer from a non-SDN-listed Syrian commercial bank to the Applicant’s account at Harborview National Bank — a structure the Applicant replicated and improved upon in Part VII above;</w:t>
      </w:r>
    </w:p>
    <w:p>
      <w:pPr>
        <w:pStyle w:val="Compact"/>
        <w:numPr>
          <w:ilvl w:val="0"/>
          <w:numId w:val="1005"/>
        </w:numPr>
      </w:pPr>
      <w:r>
        <w:t xml:space="preserve">The prior license required 30-day post-shipment reporting and 5-year recordkeeping, both of which the Applicant satisfied; and</w:t>
      </w:r>
    </w:p>
    <w:p>
      <w:pPr>
        <w:pStyle w:val="Compact"/>
        <w:numPr>
          <w:ilvl w:val="0"/>
          <w:numId w:val="1005"/>
        </w:numPr>
      </w:pPr>
      <w:r>
        <w:t xml:space="preserve">The prior license prohibited any transaction involving an SDN-listed person or any entity 50% or more owned by SDN-listed persons.</w:t>
      </w:r>
    </w:p>
    <w:p>
      <w:pPr>
        <w:pStyle w:val="FirstParagraph"/>
      </w:pPr>
      <w:r>
        <w:t xml:space="preserve">The Applicant has no record of OFAC violations, civil monetary penalties, cautionary letters, warning letters, findings of violation, or voluntary self-disclosures. The Applicant’s prior license history demonstrates a demonstrated capacity to administer OFAC-licensed transactions in comprehensively sanctioned jurisdictions in full compliance with license conditions.</w:t>
      </w:r>
    </w:p>
    <w:p>
      <w:r>
        <w:pict>
          <v:rect style="width:0;height:1.5pt" o:hralign="center" o:hrstd="t" o:hr="t"/>
        </w:pict>
      </w:r>
    </w:p>
    <w:bookmarkEnd w:id="42"/>
    <w:bookmarkStart w:id="43" w:name="part-x-shipping-route-and-logistics"/>
    <w:p>
      <w:pPr>
        <w:pStyle w:val="Heading2"/>
      </w:pPr>
      <w:r>
        <w:t xml:space="preserve">PART X — SHIPPING ROUTE AND LOGISTICS</w:t>
      </w:r>
    </w:p>
    <w:p>
      <w:pPr>
        <w:pStyle w:val="FirstParagraph"/>
      </w:pPr>
      <w:r>
        <w:t xml:space="preserve">The Applicant will ship the Goods from its Cambridge, Massachusetts facility to DCUH in Damascus via the following five-leg route, developed by Pinnacle Freight International, Inc. (Exhibit 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Mode</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w:t>
            </w:r>
          </w:p>
        </w:tc>
        <w:tc>
          <w:tcPr/>
          <w:p>
            <w:pPr>
              <w:pStyle w:val="Compact"/>
              <w:jc w:val="left"/>
            </w:pPr>
            <w:r>
              <w:t xml:space="preserve">Refrigerated truck (domestic)</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w:t>
            </w:r>
          </w:p>
        </w:tc>
        <w:tc>
          <w:tcPr/>
          <w:p>
            <w:pPr>
              <w:pStyle w:val="Compact"/>
              <w:jc w:val="left"/>
            </w:pPr>
            <w:r>
              <w:t xml:space="preserve">Ocean freight (reefer container, 2–8 °C)</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(AMTW)</w:t>
            </w:r>
          </w:p>
        </w:tc>
        <w:tc>
          <w:tcPr/>
          <w:p>
            <w:pPr>
              <w:pStyle w:val="Compact"/>
              <w:jc w:val="left"/>
            </w:pPr>
            <w:r>
              <w:t xml:space="preserve">Refrigerated truck; temporary warehousing</w:t>
            </w:r>
          </w:p>
        </w:tc>
        <w:tc>
          <w:tcPr/>
          <w:p>
            <w:pPr>
              <w:pStyle w:val="Compact"/>
              <w:jc w:val="left"/>
            </w:pPr>
            <w:r>
              <w:t xml:space="preserve">7–12 days (incl. warehousing)</w:t>
            </w:r>
          </w:p>
        </w:tc>
      </w:tr>
      <w:tr>
        <w:tc>
          <w:tcPr/>
          <w:p>
            <w:pPr>
              <w:pStyle w:val="Compact"/>
              <w:jc w:val="left"/>
            </w:pPr>
            <w:r>
              <w:t xml:space="preserve">4</w:t>
            </w:r>
          </w:p>
        </w:tc>
        <w:tc>
          <w:tcPr/>
          <w:p>
            <w:pPr>
              <w:pStyle w:val="Compact"/>
              <w:jc w:val="left"/>
            </w:pPr>
            <w:r>
              <w:t xml:space="preserve">Ankara → Bab al-Hawa border crossing</w:t>
            </w:r>
          </w:p>
        </w:tc>
        <w:tc>
          <w:tcPr/>
          <w:p>
            <w:pPr>
              <w:pStyle w:val="Compact"/>
              <w:jc w:val="left"/>
            </w:pPr>
            <w:r>
              <w:t xml:space="preserve">Refrigerated truck (re-export from Turkey)</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(DCUH)</w:t>
            </w:r>
          </w:p>
        </w:tc>
        <w:tc>
          <w:tcPr/>
          <w:p>
            <w:pPr>
              <w:pStyle w:val="Compact"/>
              <w:jc w:val="left"/>
            </w:pPr>
            <w:r>
              <w:t xml:space="preserve">Overland; Syrian customs clearance and final delivery</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pPr>
          </w:p>
        </w:tc>
        <w:tc>
          <w:tcPr/>
          <w:p>
            <w:pPr>
              <w:pStyle w:val="Compact"/>
              <w:jc w:val="left"/>
            </w:pPr>
            <w:r>
              <w:rPr>
                <w:b/>
                <w:bCs/>
              </w:rPr>
              <w:t xml:space="preserve">30–42 days (~4–6 weeks); plan for 6–8 weeks</w:t>
            </w:r>
          </w:p>
        </w:tc>
      </w:tr>
    </w:tbl>
    <w:p>
      <w:pPr>
        <w:pStyle w:val="BodyText"/>
      </w:pPr>
      <w:r>
        <w:rPr>
          <w:b/>
          <w:bCs/>
        </w:rPr>
        <w:t xml:space="preserve">Incoterms:</w:t>
      </w:r>
      <w:r>
        <w:t xml:space="preserve"> </w:t>
      </w:r>
      <w:r>
        <w:t xml:space="preserve">DAP — Damascus, Syrian Arab Republic (Incoterms 2020).</w:t>
      </w:r>
    </w:p>
    <w:p>
      <w:pPr>
        <w:pStyle w:val="BodyText"/>
      </w:pPr>
      <w:r>
        <w:rPr>
          <w:b/>
          <w:bCs/>
        </w:rPr>
        <w:t xml:space="preserve">Cold-chain management.</w:t>
      </w:r>
      <w:r>
        <w:t xml:space="preserve"> </w:t>
      </w:r>
      <w:r>
        <w:t xml:space="preserve">The CancerDetect RX-700 Reagent Kits require uninterrupted maintenance at 2–8 °C throughout transit and storage. All kits will be shipped in validated insulated containers with calibrated digital temperature data loggers recording at 15-minute intervals. The ocean-leg reefer container will be set to 4 °C ± 2 °C with remote performance monitoring. The AMTW facility in Ankara maintains a dedicated cold-storage facility rated for pharmaceutical products. Any temperature excursion (above 8 °C or below 2 °C for more than 60 consecutive minutes) will trigger immediate notification and a product integrity assessment. All temperature data logs will be compiled and provided to the Applicant upon delivery.</w:t>
      </w:r>
    </w:p>
    <w:p>
      <w:pPr>
        <w:pStyle w:val="BodyText"/>
      </w:pPr>
      <w:r>
        <w:rPr>
          <w:b/>
          <w:bCs/>
        </w:rPr>
        <w:t xml:space="preserve">Logistics parties.</w:t>
      </w:r>
      <w:r>
        <w:t xml:space="preserve"> </w:t>
      </w:r>
      <w:r>
        <w:t xml:space="preserve">Pinnacle Freight International, Inc. (U.S. freight forwarder) and Ankara Medical Transit Warehouse LLC (Turkish intermediary warehouse) each screened clean against all applicable sanctions and restricted-party lists, as did their respective principals, Lisa Marchetti and Elif Yılmaz. Syrian customs clearance and in-country delivery will be performed by a non-SDN-listed substitute agent as described in Part VIII; ARMPC will not participate.</w:t>
      </w:r>
    </w:p>
    <w:p>
      <w:pPr>
        <w:pStyle w:val="BodyText"/>
      </w:pPr>
      <w:r>
        <w:rPr>
          <w:b/>
          <w:bCs/>
        </w:rPr>
        <w:t xml:space="preserve">Diversion controls.</w:t>
      </w:r>
      <w:r>
        <w:t xml:space="preserve"> </w:t>
      </w:r>
      <w:r>
        <w:t xml:space="preserve">The Goods will be shipped directly to DCUH and will remain at all times within DCUH’s custody and control. The Applicant will obtain shipping documentation (bill of lading, commercial invoice, packing list, certificate of origin) and proof of delivery to DCUH, and will retain all such records for not less than five years.</w:t>
      </w:r>
    </w:p>
    <w:p>
      <w:r>
        <w:pict>
          <v:rect style="width:0;height:1.5pt" o:hralign="center" o:hrstd="t" o:hr="t"/>
        </w:pict>
      </w:r>
    </w:p>
    <w:bookmarkEnd w:id="43"/>
    <w:bookmarkStart w:id="44" w:name="part-xi-humanitarian-justification"/>
    <w:p>
      <w:pPr>
        <w:pStyle w:val="Heading2"/>
      </w:pPr>
      <w:r>
        <w:t xml:space="preserve">PART XI — HUMANITARIAN JUSTIFICATION</w:t>
      </w:r>
    </w:p>
    <w:p>
      <w:pPr>
        <w:pStyle w:val="FirstParagraph"/>
      </w:pPr>
      <w:r>
        <w:t xml:space="preserve">The proposed transaction is a humanitarian medical export that directly responds to an identified critical health need in Syria. The World Health Organization Syria Country Office, in its</w:t>
      </w:r>
      <w:r>
        <w:t xml:space="preserve"> </w:t>
      </w:r>
      <w:r>
        <w:rPr>
          <w:i/>
          <w:iCs/>
        </w:rPr>
        <w:t xml:space="preserve">Comprehensive Health Needs Assessment: Syrian Arab Republic — 2024 Update</w:t>
      </w:r>
      <w:r>
        <w:t xml:space="preserve"> </w:t>
      </w:r>
      <w:r>
        <w:t xml:space="preserve">(January 2024; WHO Ref. No. WHO-SYR/HNA/2024-01), Section 4.7 (Exhibit E), makes the following findings:</w:t>
      </w:r>
    </w:p>
    <w:p>
      <w:pPr>
        <w:pStyle w:val="Compact"/>
        <w:numPr>
          <w:ilvl w:val="0"/>
          <w:numId w:val="1006"/>
        </w:numPr>
      </w:pPr>
      <w:r>
        <w:rPr>
          <w:b/>
          <w:bCs/>
        </w:rPr>
        <w:t xml:space="preserve">Cancer incidence</w:t>
      </w:r>
      <w:r>
        <w:t xml:space="preserve"> </w:t>
      </w:r>
      <w:r>
        <w:t xml:space="preserve">in Syria is estimated at approximately 22,000–25,000 new cases per year. Breast cancer is the most prevalent malignancy among Syrian women, accounting for approximately 33% of all female cancer diagnoses;</w:t>
      </w:r>
    </w:p>
    <w:p>
      <w:pPr>
        <w:pStyle w:val="Compact"/>
        <w:numPr>
          <w:ilvl w:val="0"/>
          <w:numId w:val="1006"/>
        </w:numPr>
      </w:pPr>
      <w:r>
        <w:rPr>
          <w:b/>
          <w:bCs/>
        </w:rPr>
        <w:t xml:space="preserve">Diagnostic infrastructure has collapsed.</w:t>
      </w:r>
      <w:r>
        <w:t xml:space="preserve"> </w:t>
      </w:r>
      <w:r>
        <w:t xml:space="preserve">Prior to 2011, Syria maintained approximately 14 functioning immunohistochemistry laboratories; as of January 2024, only three remain partially operational, and none at full pre-conflict capacity;</w:t>
      </w:r>
    </w:p>
    <w:p>
      <w:pPr>
        <w:pStyle w:val="Compact"/>
        <w:numPr>
          <w:ilvl w:val="0"/>
          <w:numId w:val="1006"/>
        </w:numPr>
      </w:pPr>
      <w:r>
        <w:rPr>
          <w:b/>
          <w:bCs/>
        </w:rPr>
        <w:t xml:space="preserve">DCUH is the largest and most important remaining oncology referral center in Syria</w:t>
      </w:r>
      <w:r>
        <w:t xml:space="preserve">, operating a 140-bed oncology ward and processing approximately 3,800 tissue biopsies per year — the substantial majority of the country’s cancer diagnostic workload;</w:t>
      </w:r>
    </w:p>
    <w:p>
      <w:pPr>
        <w:pStyle w:val="Compact"/>
        <w:numPr>
          <w:ilvl w:val="0"/>
          <w:numId w:val="1006"/>
        </w:numPr>
      </w:pPr>
      <w:r>
        <w:rPr>
          <w:b/>
          <w:bCs/>
        </w:rPr>
        <w:t xml:space="preserve">The diagnostic backlog at DCUH exceeds 14 months</w:t>
      </w:r>
      <w:r>
        <w:t xml:space="preserve">, forcing oncologists to initiate empiric chemotherapy without biomarker confirmation, resulting in suboptimal treatment, avoidable drug toxicity, and inefficient use of scarce pharmaceutical supplies;</w:t>
      </w:r>
    </w:p>
    <w:p>
      <w:pPr>
        <w:pStyle w:val="Compact"/>
        <w:numPr>
          <w:ilvl w:val="0"/>
          <w:numId w:val="1006"/>
        </w:numPr>
      </w:pPr>
      <w:r>
        <w:rPr>
          <w:b/>
          <w:bCs/>
        </w:rPr>
        <w:t xml:space="preserve">Five-year breast cancer survival in Syria has declined from approximately 62% (pre-2011) to approximately 38%</w:t>
      </w:r>
      <w:r>
        <w:t xml:space="preserve">, attributable in significant part to prolonged diagnostic delays and the inability to perform biomarker-guided treatment selection;</w:t>
      </w:r>
    </w:p>
    <w:p>
      <w:pPr>
        <w:pStyle w:val="Compact"/>
        <w:numPr>
          <w:ilvl w:val="0"/>
          <w:numId w:val="1006"/>
        </w:numPr>
      </w:pPr>
      <w:r>
        <w:rPr>
          <w:b/>
          <w:bCs/>
        </w:rPr>
        <w:t xml:space="preserve">DCUH’s existing calibration equipment is non-functional or beyond serviceable life</w:t>
      </w:r>
      <w:r>
        <w:t xml:space="preserve">, and no replacement units have been procured in recent years, undermining confidence in any diagnostic results the laboratory can produce.</w:t>
      </w:r>
    </w:p>
    <w:p>
      <w:pPr>
        <w:pStyle w:val="FirstParagraph"/>
      </w:pPr>
      <w:r>
        <w:t xml:space="preserve">The WHO assessment expressly recommends: (1) urgent procurement of validated IHC reagent kits compatible with existing tissue processing equipment at DCUH, with priority given to HER2/ER/PR breast cancer biomarker panels; (2) replacement and provision of laboratory calibration instruments; (3) technical training support for laboratory personnel, including remote training modalities; and (4) international coordination to facilitate humanitarian exemptions and licensing for the import of essential medical diagnostic supplies into Syria.</w:t>
      </w:r>
    </w:p>
    <w:p>
      <w:pPr>
        <w:pStyle w:val="BodyText"/>
      </w:pPr>
      <w:r>
        <w:t xml:space="preserve">The proposed transaction implements each of these recommendations. The CancerDetect RX-700 is the only FDA-cleared reagent kit validated for the Ventana BenchMark XT platform already installed at DCUH, meaning there is no functionally equivalent substitute. The CalibPro 3100 units will restore the quality-assurance capacity that the WHO identifies as essential to reliable diagnostic results. The remote Training Services will build local capacity without any in-country travel. The requested quantity of 500 kits will meet approximately 15 months of DCUH’s diagnostic demand and is expected to materially reduce the 14-month diagnostic backlog.</w:t>
      </w:r>
    </w:p>
    <w:p>
      <w:pPr>
        <w:pStyle w:val="BodyText"/>
      </w:pPr>
      <w:r>
        <w:t xml:space="preserve">The Applicant respectfully submits that the humanitarian benefits of this transaction — restoring cancer diagnostic capacity at Syria’s principal remaining oncology referral center, with direct life-saving impact for thousands of patients annually — strongly favor issuance of the requested specific license.</w:t>
      </w:r>
    </w:p>
    <w:p>
      <w:r>
        <w:pict>
          <v:rect style="width:0;height:1.5pt" o:hralign="center" o:hrstd="t" o:hr="t"/>
        </w:pict>
      </w:r>
    </w:p>
    <w:bookmarkEnd w:id="44"/>
    <w:bookmarkStart w:id="48" w:name="X1c0471ffca19cc0903986779caeeb1994510572"/>
    <w:p>
      <w:pPr>
        <w:pStyle w:val="Heading2"/>
      </w:pPr>
      <w:r>
        <w:t xml:space="preserve">PART XII — COMPLIANCE PROGRAM, END-USE MONITORING, AND PROPOSED LICENSE CONDITIONS</w:t>
      </w:r>
    </w:p>
    <w:bookmarkStart w:id="45" w:name="X9c348546f3bbf03d9b5c8e2a9635ed0e5f47ebd"/>
    <w:p>
      <w:pPr>
        <w:pStyle w:val="Heading3"/>
      </w:pPr>
      <w:r>
        <w:t xml:space="preserve">A. The Applicant’s OFAC Compliance Program</w:t>
      </w:r>
    </w:p>
    <w:p>
      <w:pPr>
        <w:pStyle w:val="FirstParagraph"/>
      </w:pPr>
      <w:r>
        <w:t xml:space="preserve">The Applicant maintains an OFAC sanctions compliance program that has been in place since 2015 and that was most recently independently audited by Graystone Compliance Partners LLC in September 2023 (Exhibit G). The program received an overall rating of</w:t>
      </w:r>
      <w:r>
        <w:t xml:space="preserve"> </w:t>
      </w:r>
      <w:r>
        <w:t xml:space="preserve">“</w:t>
      </w:r>
      <w:r>
        <w:t xml:space="preserve">Satisfactory with Recommendations.</w:t>
      </w:r>
      <w:r>
        <w:t xml:space="preserve">”</w:t>
      </w:r>
      <w:r>
        <w:t xml:space="preserve"> </w:t>
      </w:r>
      <w:r>
        <w:t xml:space="preserve">Program features include:</w:t>
      </w:r>
    </w:p>
    <w:p>
      <w:pPr>
        <w:pStyle w:val="Compact"/>
        <w:numPr>
          <w:ilvl w:val="0"/>
          <w:numId w:val="1007"/>
        </w:numPr>
      </w:pPr>
      <w:r>
        <w:rPr>
          <w:b/>
          <w:bCs/>
        </w:rPr>
        <w:t xml:space="preserve">Management commitment.</w:t>
      </w:r>
      <w:r>
        <w:t xml:space="preserve"> </w:t>
      </w:r>
      <w:r>
        <w:t xml:space="preserve">Visible executive support from the CEO and General Counsel; the Chief Compliance Officer reports to the General Counsel and maintains a standing quarterly briefing to the Board’s Audit Committee;</w:t>
      </w:r>
    </w:p>
    <w:p>
      <w:pPr>
        <w:pStyle w:val="Compact"/>
        <w:numPr>
          <w:ilvl w:val="0"/>
          <w:numId w:val="1007"/>
        </w:numPr>
      </w:pPr>
      <w:r>
        <w:rPr>
          <w:b/>
          <w:bCs/>
        </w:rPr>
        <w:t xml:space="preserve">Written policies.</w:t>
      </w:r>
      <w:r>
        <w:t xml:space="preserve"> </w:t>
      </w:r>
      <w:r>
        <w:t xml:space="preserve">A comprehensive Sanctions Compliance Manual (last updated March 2023) covering OFAC, BIS/EAR, and anti-boycott requirements, including the export of physical goods and the provision of remote technical services, with clear escalation procedures;</w:t>
      </w:r>
    </w:p>
    <w:p>
      <w:pPr>
        <w:pStyle w:val="Compact"/>
        <w:numPr>
          <w:ilvl w:val="0"/>
          <w:numId w:val="1007"/>
        </w:numPr>
      </w:pPr>
      <w:r>
        <w:rPr>
          <w:b/>
          <w:bCs/>
        </w:rPr>
        <w:t xml:space="preserve">Screening protocols.</w:t>
      </w:r>
      <w:r>
        <w:t xml:space="preserve"> </w:t>
      </w:r>
      <w:r>
        <w:t xml:space="preserve">Automated screening of all counterparties, end-users, intermediaries, freight forwarders, and financial institutions against the SDN List, the Consolidated Screening List, EU sanctions lists, and UN sanctions lists, conducted at transaction initiation and at each material milestone (shipment and payment). In January 2024, the Applicant implemented</w:t>
      </w:r>
      <w:r>
        <w:t xml:space="preserve"> </w:t>
      </w:r>
      <w:r>
        <w:rPr>
          <w:b/>
          <w:bCs/>
        </w:rPr>
        <w:t xml:space="preserve">enhanced real-time beneficial ownership screening</w:t>
      </w:r>
      <w:r>
        <w:t xml:space="preserve"> </w:t>
      </w:r>
      <w:r>
        <w:t xml:space="preserve">pursuant to the Graystone audit’s high-priority recommendation — the enhancement that identified the ARMPC/Khoury issue disclosed in Part VIII;</w:t>
      </w:r>
    </w:p>
    <w:p>
      <w:pPr>
        <w:pStyle w:val="Compact"/>
        <w:numPr>
          <w:ilvl w:val="0"/>
          <w:numId w:val="1007"/>
        </w:numPr>
      </w:pPr>
      <w:r>
        <w:rPr>
          <w:b/>
          <w:bCs/>
        </w:rPr>
        <w:t xml:space="preserve">Training.</w:t>
      </w:r>
      <w:r>
        <w:t xml:space="preserve"> </w:t>
      </w:r>
      <w:r>
        <w:t xml:space="preserve">Annual OFAC and sanctions compliance training completed by 97% of relevant personnel in fiscal year 2023, with targeted supplemental training for international sales, logistics, and finance teams;</w:t>
      </w:r>
    </w:p>
    <w:p>
      <w:pPr>
        <w:pStyle w:val="Compact"/>
        <w:numPr>
          <w:ilvl w:val="0"/>
          <w:numId w:val="1007"/>
        </w:numPr>
      </w:pPr>
      <w:r>
        <w:rPr>
          <w:b/>
          <w:bCs/>
        </w:rPr>
        <w:t xml:space="preserve">Recordkeeping.</w:t>
      </w:r>
      <w:r>
        <w:t xml:space="preserve"> </w:t>
      </w:r>
      <w:r>
        <w:t xml:space="preserve">Transaction files maintained for a minimum of five years in accordance with 31 C.F.R. § 501.601, with electronic backup and indexed retrieval; and</w:t>
      </w:r>
    </w:p>
    <w:p>
      <w:pPr>
        <w:pStyle w:val="Compact"/>
        <w:numPr>
          <w:ilvl w:val="0"/>
          <w:numId w:val="1007"/>
        </w:numPr>
      </w:pPr>
      <w:r>
        <w:rPr>
          <w:b/>
          <w:bCs/>
        </w:rPr>
        <w:t xml:space="preserve">No enforcement history.</w:t>
      </w:r>
      <w:r>
        <w:t xml:space="preserve"> </w:t>
      </w:r>
      <w:r>
        <w:t xml:space="preserve">No OFAC violations, civil monetary penalties, cautionary letters, warning letters, findings of violation, or voluntary self-disclosures.</w:t>
      </w:r>
    </w:p>
    <w:bookmarkEnd w:id="45"/>
    <w:bookmarkStart w:id="46" w:name="b.-end-use-monitoring-plan"/>
    <w:p>
      <w:pPr>
        <w:pStyle w:val="Heading3"/>
      </w:pPr>
      <w:r>
        <w:t xml:space="preserve">B. End-Use Monitoring Plan</w:t>
      </w:r>
    </w:p>
    <w:p>
      <w:pPr>
        <w:pStyle w:val="FirstParagraph"/>
      </w:pPr>
      <w:r>
        <w:t xml:space="preserve">Consistent with the Graystone audit’s recommendation regarding end-use monitoring for licensed transactions, the Applicant will implement the following written end-use monitoring plan for any license issued:</w:t>
      </w:r>
    </w:p>
    <w:p>
      <w:pPr>
        <w:pStyle w:val="Compact"/>
        <w:numPr>
          <w:ilvl w:val="0"/>
          <w:numId w:val="1008"/>
        </w:numPr>
      </w:pPr>
      <w:r>
        <w:rPr>
          <w:b/>
          <w:bCs/>
        </w:rPr>
        <w:t xml:space="preserve">Delivery confirmation.</w:t>
      </w:r>
      <w:r>
        <w:t xml:space="preserve"> </w:t>
      </w:r>
      <w:r>
        <w:t xml:space="preserve">Photographic or documentary evidence of receipt of the Goods at DCUH, signed by an authorized DCUH representative, submitted to OFAC within 30 days of delivery;</w:t>
      </w:r>
    </w:p>
    <w:p>
      <w:pPr>
        <w:pStyle w:val="Compact"/>
        <w:numPr>
          <w:ilvl w:val="0"/>
          <w:numId w:val="1008"/>
        </w:numPr>
      </w:pPr>
      <w:r>
        <w:rPr>
          <w:b/>
          <w:bCs/>
        </w:rPr>
        <w:t xml:space="preserve">End-user certificate / non-diversion commitment.</w:t>
      </w:r>
      <w:r>
        <w:t xml:space="preserve"> </w:t>
      </w:r>
      <w:r>
        <w:t xml:space="preserve">A written end-user certificate and non-diversion commitment executed by DCUH prior to shipment, confirming that the Goods will remain within DCUH’s custody and control and will be used solely for the stated clinical diagnostic purposes;</w:t>
      </w:r>
    </w:p>
    <w:p>
      <w:pPr>
        <w:pStyle w:val="Compact"/>
        <w:numPr>
          <w:ilvl w:val="0"/>
          <w:numId w:val="1008"/>
        </w:numPr>
      </w:pPr>
      <w:r>
        <w:rPr>
          <w:b/>
          <w:bCs/>
        </w:rPr>
        <w:t xml:space="preserve">Periodic usage reporting.</w:t>
      </w:r>
      <w:r>
        <w:t xml:space="preserve"> </w:t>
      </w:r>
      <w:r>
        <w:t xml:space="preserve">Annual usage reporting from DCUH during the license term, confirming continued possession and use of the Goods for the authorized purpose;</w:t>
      </w:r>
    </w:p>
    <w:p>
      <w:pPr>
        <w:pStyle w:val="Compact"/>
        <w:numPr>
          <w:ilvl w:val="0"/>
          <w:numId w:val="1008"/>
        </w:numPr>
      </w:pPr>
      <w:r>
        <w:rPr>
          <w:b/>
          <w:bCs/>
        </w:rPr>
        <w:t xml:space="preserve">Site verification.</w:t>
      </w:r>
      <w:r>
        <w:t xml:space="preserve"> </w:t>
      </w:r>
      <w:r>
        <w:t xml:space="preserve">A mechanism for site verification (remote or in-person, as feasible) to confirm the continued presence and authorized use of the Goods; and</w:t>
      </w:r>
    </w:p>
    <w:p>
      <w:pPr>
        <w:pStyle w:val="Compact"/>
        <w:numPr>
          <w:ilvl w:val="0"/>
          <w:numId w:val="1008"/>
        </w:numPr>
      </w:pPr>
      <w:r>
        <w:rPr>
          <w:b/>
          <w:bCs/>
        </w:rPr>
        <w:t xml:space="preserve">Re-screening.</w:t>
      </w:r>
      <w:r>
        <w:t xml:space="preserve"> </w:t>
      </w:r>
      <w:r>
        <w:t xml:space="preserve">Re-screening of all transaction parties at 90-day intervals during the pendency of the application and immediately prior to any shipment, with prompt reporting of any new match to OFAC.</w:t>
      </w:r>
    </w:p>
    <w:bookmarkEnd w:id="46"/>
    <w:bookmarkStart w:id="47" w:name="c.-proposed-license-conditions"/>
    <w:p>
      <w:pPr>
        <w:pStyle w:val="Heading3"/>
      </w:pPr>
      <w:r>
        <w:t xml:space="preserve">C. Proposed License Conditions</w:t>
      </w:r>
    </w:p>
    <w:p>
      <w:pPr>
        <w:pStyle w:val="FirstParagraph"/>
      </w:pPr>
      <w:r>
        <w:t xml:space="preserve">The Applicant respectfully proposes that the license be subject to conditions consistent with the Applicant’s prior license (SYR-2021-384712) and the foregoing, including:</w:t>
      </w:r>
    </w:p>
    <w:p>
      <w:pPr>
        <w:pStyle w:val="Compact"/>
        <w:numPr>
          <w:ilvl w:val="0"/>
          <w:numId w:val="1009"/>
        </w:numPr>
      </w:pPr>
      <w:r>
        <w:t xml:space="preserve">The license authorizes only the specific transaction described herein; no other transactions with Syria or the Government of Syria are authorized;</w:t>
      </w:r>
    </w:p>
    <w:p>
      <w:pPr>
        <w:pStyle w:val="Compact"/>
        <w:numPr>
          <w:ilvl w:val="0"/>
          <w:numId w:val="1009"/>
        </w:numPr>
      </w:pPr>
      <w:r>
        <w:t xml:space="preserve">The Goods shall be delivered solely to DCUH and shall not be diverted, re-exported, or transferred to any other party or end-user within Syria or any other country without prior written OFAC authorization;</w:t>
      </w:r>
    </w:p>
    <w:p>
      <w:pPr>
        <w:pStyle w:val="Compact"/>
        <w:numPr>
          <w:ilvl w:val="0"/>
          <w:numId w:val="1009"/>
        </w:numPr>
      </w:pPr>
      <w:r>
        <w:t xml:space="preserve">The Training Services shall be provided solely to DCUH laboratory personnel via remote video link; no Meridian personnel shall travel to Syria or any intermediary country;</w:t>
      </w:r>
    </w:p>
    <w:p>
      <w:pPr>
        <w:pStyle w:val="Compact"/>
        <w:numPr>
          <w:ilvl w:val="0"/>
          <w:numId w:val="1009"/>
        </w:numPr>
      </w:pPr>
      <w:r>
        <w:t xml:space="preserve">No transaction shall involve any SDN-listed person, or any entity owned 50% or more (individually or in the aggregate) by one or more SDN-listed persons; ARMPC and Samir Daoud Khoury shall not participate in or benefit from the transaction;</w:t>
      </w:r>
    </w:p>
    <w:p>
      <w:pPr>
        <w:pStyle w:val="Compact"/>
        <w:numPr>
          <w:ilvl w:val="0"/>
          <w:numId w:val="1009"/>
        </w:numPr>
      </w:pPr>
      <w:r>
        <w:t xml:space="preserve">Payment shall be received only by wire transfer to the Applicant’s account at Harborview National Bank from a non-SDN-listed financial institution, and shall not be routed, directly or indirectly, through the Central Bank of Calverley or any other SDN-listed institution; the remitting institution shall be screened prior to each payment;</w:t>
      </w:r>
    </w:p>
    <w:p>
      <w:pPr>
        <w:pStyle w:val="Compact"/>
        <w:numPr>
          <w:ilvl w:val="0"/>
          <w:numId w:val="1009"/>
        </w:numPr>
      </w:pPr>
      <w:r>
        <w:t xml:space="preserve">The customs clearance and import logistics agent within Syria shall be a non-SDN-listed party identified and screened prior to engagement and prior to shipment;</w:t>
      </w:r>
    </w:p>
    <w:p>
      <w:pPr>
        <w:pStyle w:val="Compact"/>
        <w:numPr>
          <w:ilvl w:val="0"/>
          <w:numId w:val="1009"/>
        </w:numPr>
      </w:pPr>
      <w:r>
        <w:t xml:space="preserve">The Applicant shall maintain complete records of all transactions conducted pursuant to the license for not less than five (5) years from the date of the last transaction, in accordance with 31 C.F.R. § 501.601;</w:t>
      </w:r>
    </w:p>
    <w:p>
      <w:pPr>
        <w:pStyle w:val="Compact"/>
        <w:numPr>
          <w:ilvl w:val="0"/>
          <w:numId w:val="1009"/>
        </w:numPr>
      </w:pPr>
      <w:r>
        <w:t xml:space="preserve">The Applicant shall submit a written report to OFAC within thirty (30) days of completion of each shipment, including proof of delivery, copies of shipping documents, confirmation of end-user receipt, and temperature data logs;</w:t>
      </w:r>
    </w:p>
    <w:p>
      <w:pPr>
        <w:pStyle w:val="Compact"/>
        <w:numPr>
          <w:ilvl w:val="0"/>
          <w:numId w:val="1009"/>
        </w:numPr>
      </w:pPr>
      <w:r>
        <w:t xml:space="preserve">The Applicant shall implement the end-use monitoring plan described in Part XII.B and shall provide annual usage reports during the license term;</w:t>
      </w:r>
    </w:p>
    <w:p>
      <w:pPr>
        <w:pStyle w:val="Compact"/>
        <w:numPr>
          <w:ilvl w:val="0"/>
          <w:numId w:val="1009"/>
        </w:numPr>
      </w:pPr>
      <w:r>
        <w:t xml:space="preserve">The license does not relieve the Applicant of any obligations under the Export Administration Regulations (EAR), 15 C.F.R. Parts 730–774, administered by BIS, and the Applicant will obtain any required BIS authorization in parallel;</w:t>
      </w:r>
    </w:p>
    <w:p>
      <w:pPr>
        <w:pStyle w:val="Compact"/>
        <w:numPr>
          <w:ilvl w:val="0"/>
          <w:numId w:val="1009"/>
        </w:numPr>
      </w:pPr>
      <w:r>
        <w:t xml:space="preserve">Any firmware update, patch, or modification to the CalibPro 3100 beyond the factory-installed version 4.2.1 is not authorized under this license and would require independent authorization; and</w:t>
      </w:r>
    </w:p>
    <w:p>
      <w:pPr>
        <w:pStyle w:val="Compact"/>
        <w:numPr>
          <w:ilvl w:val="0"/>
          <w:numId w:val="1009"/>
        </w:numPr>
      </w:pPr>
      <w:r>
        <w:t xml:space="preserve">Any material change in the facts or circumstances described in this application shall be reported to OFAC promptly and may require amendment or reissuance of the license.</w:t>
      </w:r>
    </w:p>
    <w:p>
      <w:r>
        <w:pict>
          <v:rect style="width:0;height:1.5pt" o:hralign="center" o:hrstd="t" o:hr="t"/>
        </w:pict>
      </w:r>
    </w:p>
    <w:bookmarkEnd w:id="47"/>
    <w:bookmarkEnd w:id="48"/>
    <w:bookmarkStart w:id="49" w:name="part-xiii-exhibits-and-enclosures"/>
    <w:p>
      <w:pPr>
        <w:pStyle w:val="Heading2"/>
      </w:pPr>
      <w:r>
        <w:t xml:space="preserve">PART XIII — EXHIBITS AND ENCLOSURES</w:t>
      </w:r>
    </w:p>
    <w:p>
      <w:pPr>
        <w:pStyle w:val="FirstParagraph"/>
      </w:pPr>
      <w:r>
        <w:t xml:space="preserve">The following exhibits are submitted with this application:</w:t>
      </w:r>
    </w:p>
    <w:p>
      <w:pPr>
        <w:pStyle w:val="Compact"/>
        <w:numPr>
          <w:ilvl w:val="0"/>
          <w:numId w:val="1010"/>
        </w:numPr>
      </w:pPr>
      <w:r>
        <w:rPr>
          <w:b/>
          <w:bCs/>
        </w:rPr>
        <w:t xml:space="preserve">Exhibit A</w:t>
      </w:r>
      <w:r>
        <w:t xml:space="preserve"> </w:t>
      </w:r>
      <w:r>
        <w:t xml:space="preserve">— Damascus Central University Hospital Purchase Order No. PO-DCUH-2024-0743, dated June 17, 2024 (certified English translation).</w:t>
      </w:r>
    </w:p>
    <w:p>
      <w:pPr>
        <w:pStyle w:val="Compact"/>
        <w:numPr>
          <w:ilvl w:val="0"/>
          <w:numId w:val="1010"/>
        </w:numPr>
      </w:pPr>
      <w:r>
        <w:rPr>
          <w:b/>
          <w:bCs/>
        </w:rPr>
        <w:t xml:space="preserve">Exhibit B</w:t>
      </w:r>
      <w:r>
        <w:t xml:space="preserve"> </w:t>
      </w:r>
      <w:r>
        <w:t xml:space="preserve">— Compliance Screening Memorandum, prepared by Margaret</w:t>
      </w:r>
      <w:r>
        <w:t xml:space="preserve"> </w:t>
      </w:r>
      <w:r>
        <w:t xml:space="preserve">“</w:t>
      </w:r>
      <w:r>
        <w:t xml:space="preserve">Peggy</w:t>
      </w:r>
      <w:r>
        <w:t xml:space="preserve">”</w:t>
      </w:r>
      <w:r>
        <w:t xml:space="preserve"> </w:t>
      </w:r>
      <w:r>
        <w:t xml:space="preserve">Dunleavy, Chief Compliance Officer, Meridian Biotech Solutions, Inc., dated June 10, 2024.</w:t>
      </w:r>
    </w:p>
    <w:p>
      <w:pPr>
        <w:pStyle w:val="Compact"/>
        <w:numPr>
          <w:ilvl w:val="0"/>
          <w:numId w:val="1010"/>
        </w:numPr>
      </w:pPr>
      <w:r>
        <w:rPr>
          <w:b/>
          <w:bCs/>
        </w:rPr>
        <w:t xml:space="preserve">Exhibit C</w:t>
      </w:r>
      <w:r>
        <w:t xml:space="preserve"> </w:t>
      </w:r>
      <w:r>
        <w:t xml:space="preserve">— Combined Product Technical Data Sheet, Document No. TDS-2024-0347, Revision Date March 15, 2024 (CancerDetect RX-700; CalibPro 3100; Training Services curriculum).</w:t>
      </w:r>
    </w:p>
    <w:p>
      <w:pPr>
        <w:pStyle w:val="Compact"/>
        <w:numPr>
          <w:ilvl w:val="0"/>
          <w:numId w:val="1010"/>
        </w:numPr>
      </w:pPr>
      <w:r>
        <w:rPr>
          <w:b/>
          <w:bCs/>
        </w:rPr>
        <w:t xml:space="preserve">Exhibit D</w:t>
      </w:r>
      <w:r>
        <w:t xml:space="preserve"> </w:t>
      </w:r>
      <w:r>
        <w:t xml:space="preserve">— Proposed Shipping Route and Logistics Plan, prepared by Pinnacle Freight International, Inc., dated June 25, 2024.</w:t>
      </w:r>
    </w:p>
    <w:p>
      <w:pPr>
        <w:pStyle w:val="Compact"/>
        <w:numPr>
          <w:ilvl w:val="0"/>
          <w:numId w:val="1010"/>
        </w:numPr>
      </w:pPr>
      <w:r>
        <w:rPr>
          <w:b/>
          <w:bCs/>
        </w:rPr>
        <w:t xml:space="preserve">Exhibit E</w:t>
      </w:r>
      <w:r>
        <w:t xml:space="preserve"> </w:t>
      </w:r>
      <w:r>
        <w:t xml:space="preserve">— World Health Organization, Syria Country Office,</w:t>
      </w:r>
      <w:r>
        <w:t xml:space="preserve"> </w:t>
      </w:r>
      <w:r>
        <w:rPr>
          <w:i/>
          <w:iCs/>
        </w:rPr>
        <w:t xml:space="preserve">Comprehensive Health Needs Assessment: Syrian Arab Republic — 2024 Update</w:t>
      </w:r>
      <w:r>
        <w:t xml:space="preserve"> </w:t>
      </w:r>
      <w:r>
        <w:t xml:space="preserve">(January 2024), Section 4.7 (Oncology and Cancer Diagnostics Capacity), WHO Ref. No. WHO-SYR/HNA/2024-01.</w:t>
      </w:r>
    </w:p>
    <w:p>
      <w:pPr>
        <w:pStyle w:val="Compact"/>
        <w:numPr>
          <w:ilvl w:val="0"/>
          <w:numId w:val="1010"/>
        </w:numPr>
      </w:pPr>
      <w:r>
        <w:rPr>
          <w:b/>
          <w:bCs/>
        </w:rPr>
        <w:t xml:space="preserve">Exhibit F</w:t>
      </w:r>
      <w:r>
        <w:t xml:space="preserve"> </w:t>
      </w:r>
      <w:r>
        <w:t xml:space="preserve">— OFAC Specific License No. SYR-2021-384712, issued September 14, 2021 (expired March 31, 2023).</w:t>
      </w:r>
    </w:p>
    <w:p>
      <w:pPr>
        <w:pStyle w:val="Compact"/>
        <w:numPr>
          <w:ilvl w:val="0"/>
          <w:numId w:val="1010"/>
        </w:numPr>
      </w:pPr>
      <w:r>
        <w:rPr>
          <w:b/>
          <w:bCs/>
        </w:rPr>
        <w:t xml:space="preserve">Exhibit G</w:t>
      </w:r>
      <w:r>
        <w:t xml:space="preserve"> </w:t>
      </w:r>
      <w:r>
        <w:t xml:space="preserve">— Graystone Compliance Partners LLC, Executive Summary — OFAC Sanctions Compliance Program Audit, Report Date September 29, 2023.</w:t>
      </w:r>
    </w:p>
    <w:p>
      <w:pPr>
        <w:pStyle w:val="Compact"/>
        <w:numPr>
          <w:ilvl w:val="0"/>
          <w:numId w:val="1010"/>
        </w:numPr>
      </w:pPr>
      <w:r>
        <w:rPr>
          <w:b/>
          <w:bCs/>
        </w:rPr>
        <w:t xml:space="preserve">Exhibit H</w:t>
      </w:r>
      <w:r>
        <w:t xml:space="preserve"> </w:t>
      </w:r>
      <w:r>
        <w:t xml:space="preserve">— End-Use Monitoring and Non-Diversion Plan (to be provided upon request).</w:t>
      </w:r>
    </w:p>
    <w:p>
      <w:pPr>
        <w:pStyle w:val="Compact"/>
        <w:numPr>
          <w:ilvl w:val="0"/>
          <w:numId w:val="1010"/>
        </w:numPr>
      </w:pPr>
      <w:r>
        <w:rPr>
          <w:b/>
          <w:bCs/>
        </w:rPr>
        <w:t xml:space="preserve">Exhibit I</w:t>
      </w:r>
      <w:r>
        <w:t xml:space="preserve"> </w:t>
      </w:r>
      <w:r>
        <w:t xml:space="preserve">— Confirmation of Identified Non-SDN Remitting Institution and Substitute Customs Clearance Agent (to be provided upon identification and screening).</w:t>
      </w:r>
    </w:p>
    <w:p>
      <w:r>
        <w:pict>
          <v:rect style="width:0;height:1.5pt" o:hralign="center" o:hrstd="t" o:hr="t"/>
        </w:pict>
      </w:r>
    </w:p>
    <w:bookmarkEnd w:id="49"/>
    <w:bookmarkStart w:id="50" w:name="certification"/>
    <w:p>
      <w:pPr>
        <w:pStyle w:val="Heading2"/>
      </w:pPr>
      <w:r>
        <w:t xml:space="preserve">CERTIFICATION</w:t>
      </w:r>
    </w:p>
    <w:p>
      <w:pPr>
        <w:pStyle w:val="FirstParagraph"/>
      </w:pPr>
      <w:r>
        <w:t xml:space="preserve">The Applicant certifies that the information set forth in this application is true, complete, and accurate to the best of its knowledge and belief, and that the Applicant will conduct the authorized transaction, if any license is granted, in full compliance with all applicable laws and regulations and with all conditions of the license. The Applicant understands that any willful false statement or omission of material fact may subject the Applicant and its officers, employees, and agents to civil and criminal penalties, and may result in denial, suspension, or revocation of any license issued.</w:t>
      </w:r>
    </w:p>
    <w:p>
      <w:pPr>
        <w:pStyle w:val="BodyText"/>
      </w:pPr>
      <w:r>
        <w:rPr>
          <w:b/>
          <w:bCs/>
        </w:rPr>
        <w:t xml:space="preserve">MERIDIAN BIOTECH SOLUTIONS, INC.</w:t>
      </w:r>
    </w:p>
    <w:p>
      <w:pPr>
        <w:pStyle w:val="BodyText"/>
      </w:pPr>
      <w:r>
        <w:t xml:space="preserve">By: _______________________________</w:t>
      </w:r>
    </w:p>
    <w:p>
      <w:pPr>
        <w:pStyle w:val="BodyText"/>
      </w:pPr>
      <w:r>
        <w:t xml:space="preserve">Name: Jonathan D. Halsted</w:t>
      </w:r>
    </w:p>
    <w:p>
      <w:pPr>
        <w:pStyle w:val="BodyText"/>
      </w:pPr>
      <w:r>
        <w:t xml:space="preserve">Title: General Counsel</w:t>
      </w:r>
    </w:p>
    <w:p>
      <w:pPr>
        <w:pStyle w:val="BodyText"/>
      </w:pPr>
      <w:r>
        <w:t xml:space="preserve">Date: July 8, 2024</w:t>
      </w:r>
    </w:p>
    <w:p>
      <w:pPr>
        <w:pStyle w:val="BodyText"/>
      </w:pPr>
      <w:r>
        <w:rPr>
          <w:b/>
          <w:bCs/>
        </w:rPr>
        <w:t xml:space="preserve">Prepared and submitted by:</w:t>
      </w:r>
    </w:p>
    <w:p>
      <w:pPr>
        <w:pStyle w:val="BodyText"/>
      </w:pPr>
      <w:r>
        <w:t xml:space="preserve">Ashford &amp; Whitmore LLP</w:t>
      </w:r>
      <w:r>
        <w:t xml:space="preserve"> </w:t>
      </w:r>
      <w:r>
        <w:t xml:space="preserve">1700 K Street NW, Suite 950</w:t>
      </w:r>
      <w:r>
        <w:t xml:space="preserve"> </w:t>
      </w:r>
      <w:r>
        <w:t xml:space="preserve">Washington, DC 20006</w:t>
      </w:r>
    </w:p>
    <w:p>
      <w:pPr>
        <w:pStyle w:val="BodyText"/>
      </w:pPr>
      <w:r>
        <w:t xml:space="preserve">Catherine R. Bellingham, Partner</w:t>
      </w:r>
      <w:r>
        <w:t xml:space="preserve"> </w:t>
      </w:r>
      <w:r>
        <w:t xml:space="preserve">David Osei-Mensah, Senior Associate</w:t>
      </w:r>
    </w:p>
    <w:p>
      <w:pPr>
        <w:pStyle w:val="BodyText"/>
      </w:pPr>
      <w:r>
        <w:rPr>
          <w:i/>
          <w:iCs/>
        </w:rPr>
        <w:t xml:space="preserve">This application is submitted in anticipation of OFAC action and contains confidential and proprietary information. The Applicant requests that OFAC accord this submission confidential treatment consistent with applicable law.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Specific License — Export of Cancer Diagnostic Products and Related Training Services to Damascus Central University Hospital, Syria</dc:title>
  <dc:creator/>
  <cp:keywords/>
  <dcterms:created xsi:type="dcterms:W3CDTF">2026-06-28T21:52:56Z</dcterms:created>
  <dcterms:modified xsi:type="dcterms:W3CDTF">2026-06-28T21:52:56Z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Syrian Sanctions Regulations, 31 C.F.R. Part 542; Executive Order 13582</vt:lpwstr>
  </property>
</Properties>
</file>