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1e55b44c0e0d56b1643971a9648e95cffc8ab0"/>
    <w:p>
      <w:pPr>
        <w:pStyle w:val="Heading1"/>
      </w:pPr>
      <w:r>
        <w:t xml:space="preserve">PRIVILEGED AND CONFIDENTIAL — ATTORNEY-CLIENT COMMUNICATION / ATTORNEY WORK PRODUCT</w:t>
      </w:r>
    </w:p>
    <w:p>
      <w:pPr>
        <w:pStyle w:val="FirstParagraph"/>
      </w:pPr>
      <w:r>
        <w:br/>
      </w:r>
    </w:p>
    <w:p>
      <w:pPr>
        <w:pStyle w:val="BodyText"/>
      </w:pPr>
      <w:r>
        <w:rPr>
          <w:b/>
          <w:bCs/>
        </w:rPr>
        <w:t xml:space="preserve">MEMORANDUM</w:t>
      </w:r>
    </w:p>
    <w:p>
      <w:pPr>
        <w:pStyle w:val="BodyText"/>
      </w:pPr>
      <w:r>
        <w:br/>
      </w:r>
    </w:p>
    <w:p>
      <w:pPr>
        <w:pStyle w:val="BodyText"/>
      </w:pPr>
      <w:r>
        <w:rPr>
          <w:b/>
          <w:bCs/>
        </w:rPr>
        <w:t xml:space="preserve">TO:</w:t>
      </w:r>
      <w:r>
        <w:t xml:space="preserve"> </w:t>
      </w:r>
      <w:r>
        <w:t xml:space="preserve">Jonathan D. Halsted, General Counsel, Meridian Biotech Solutions, Inc.</w:t>
      </w:r>
      <w:r>
        <w:br/>
      </w:r>
      <w:r>
        <w:rPr>
          <w:b/>
          <w:bCs/>
        </w:rPr>
        <w:t xml:space="preserve">CC:</w:t>
      </w:r>
      <w:r>
        <w:t xml:space="preserve"> </w:t>
      </w:r>
      <w:r>
        <w:t xml:space="preserve">Margaret</w:t>
      </w:r>
      <w:r>
        <w:t xml:space="preserve"> </w:t>
      </w:r>
      <w:r>
        <w:t xml:space="preserve">“</w:t>
      </w:r>
      <w:r>
        <w:t xml:space="preserve">Peggy</w:t>
      </w:r>
      <w:r>
        <w:t xml:space="preserve">”</w:t>
      </w:r>
      <w:r>
        <w:t xml:space="preserve"> </w:t>
      </w:r>
      <w:r>
        <w:t xml:space="preserve">Dunleavy, Chief Compliance Officer, Meridian Biotech Solutions, Inc.; Dr. Priya Ramaswamy, Chief Executive Officer, Meridian Biotech Solutions, Inc.</w:t>
      </w:r>
      <w:r>
        <w:br/>
      </w:r>
      <w:r>
        <w:rPr>
          <w:b/>
          <w:bCs/>
        </w:rPr>
        <w:t xml:space="preserve">FROM:</w:t>
      </w:r>
      <w:r>
        <w:t xml:space="preserve"> </w:t>
      </w:r>
      <w:r>
        <w:t xml:space="preserve">Catherine R. Bellingham, Partner; David Osei-Mensah, Senior Associate — Ashford &amp; Whitmore LLP</w:t>
      </w:r>
      <w:r>
        <w:br/>
      </w:r>
      <w:r>
        <w:rPr>
          <w:b/>
          <w:bCs/>
        </w:rPr>
        <w:t xml:space="preserve">DATE:</w:t>
      </w:r>
      <w:r>
        <w:t xml:space="preserve"> </w:t>
      </w:r>
      <w:r>
        <w:t xml:space="preserve">June 28, 2024</w:t>
      </w:r>
      <w:r>
        <w:br/>
      </w:r>
      <w:r>
        <w:rPr>
          <w:b/>
          <w:bCs/>
        </w:rPr>
        <w:t xml:space="preserve">RE:</w:t>
      </w:r>
      <w:r>
        <w:t xml:space="preserve"> </w:t>
      </w:r>
      <w:r>
        <w:t xml:space="preserve">Legal Issues Analysis — Proposed OFAC-Licensed Export of Cancer Diagnostic Supplies to Damascus Central University Hospital, Syria</w:t>
      </w:r>
    </w:p>
    <w:p>
      <w:pPr>
        <w:pStyle w:val="BodyText"/>
      </w:pPr>
      <w:r>
        <w:br/>
      </w:r>
    </w:p>
    <w:p>
      <w:pPr>
        <w:pStyle w:val="BodyText"/>
      </w:pPr>
      <w:r>
        <w:rPr>
          <w:b/>
          <w:bCs/>
        </w:rPr>
        <w:t xml:space="preserve">PRIVILEGE NOTE.</w:t>
      </w:r>
      <w:r>
        <w:t xml:space="preserve"> </w:t>
      </w:r>
      <w:r>
        <w:t xml:space="preserve">This memorandum is prepared by Ashford &amp; Whitmore LLP in its capacity as outside counsel to Meridian Biotech Solutions, Inc. (</w:t>
      </w:r>
      <w:r>
        <w:t xml:space="preserve">“</w:t>
      </w:r>
      <w:r>
        <w:t xml:space="preserve">Meridian</w:t>
      </w:r>
      <w:r>
        <w:t xml:space="preserve">”</w:t>
      </w:r>
      <w:r>
        <w:t xml:space="preserve">) for the purpose of providing legal advice in connection with the proposed transaction described below. It is protected by the attorney-client privilege and the attorney work product doctrine. It should not be distributed beyond the named recipients without the prior written consent of the General Counsel.</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You have asked us to analyze the legal issues presented by Meridian’s proposed export of cancer diagnostic reagent kits, laboratory calibration instruments, and related remote training services to Damascus Central University Hospital (</w:t>
      </w:r>
      <w:r>
        <w:t xml:space="preserve">“</w:t>
      </w:r>
      <w:r>
        <w:t xml:space="preserve">DCUH</w:t>
      </w:r>
      <w:r>
        <w:t xml:space="preserve">”</w:t>
      </w:r>
      <w:r>
        <w:t xml:space="preserve">) in Damascus, Syria (the</w:t>
      </w:r>
      <w:r>
        <w:t xml:space="preserve"> </w:t>
      </w:r>
      <w:r>
        <w:t xml:space="preserve">“</w:t>
      </w:r>
      <w:r>
        <w:t xml:space="preserve">Proposed Transaction</w:t>
      </w:r>
      <w:r>
        <w:t xml:space="preserve">”</w:t>
      </w:r>
      <w:r>
        <w:t xml:space="preserve">), and to prepare a specific license application to the U.S. Department of the Treasury, Office of Foreign Assets Control (</w:t>
      </w:r>
      <w:r>
        <w:t xml:space="preserve">“</w:t>
      </w:r>
      <w:r>
        <w:t xml:space="preserve">OFAC</w:t>
      </w:r>
      <w:r>
        <w:t xml:space="preserve">”</w:t>
      </w:r>
      <w:r>
        <w:t xml:space="preserve">). This memorandum identifies the principal legal and compliance issues, provides our preliminary analysis and recommendations, and sets out the action items required to finalize and file the application. The specific license application is being prepared concurrently and is transmitted under separate cover.</w:t>
      </w:r>
    </w:p>
    <w:p>
      <w:pPr>
        <w:pStyle w:val="BodyText"/>
      </w:pPr>
      <w:r>
        <w:t xml:space="preserve">Our analysis is based on the following source materials, which we have reviewed: (i) your email of June 24, 2024 summarizing the transaction; (ii) the Compliance Screening Memorandum prepared by Peggy Dunleavy, dated June 10, 2024; (iii) DCUH Purchase Order No. PO-DCUH-2024-0743, dated June 17, 2024; (iv) the Product Technical Data Sheets (TDS-2024-0347); (v) the Shipping and Logistics Plan prepared by Pinnacle Freight International, Inc., dated June 25, 2024; (vi) the WHO Syria Country Office Comprehensive Health Needs Assessment (January 2024), Section 4.7; (vii) prior OFAC Specific License No. SYR-2021-384712; and (viii) the Graystone Compliance Partners LLC audit executive summary, dated September 29, 2023.</w:t>
      </w:r>
    </w:p>
    <w:p>
      <w:r>
        <w:pict>
          <v:rect style="width:0;height:1.5pt" o:hralign="center" o:hrstd="t" o:hr="t"/>
        </w:pict>
      </w:r>
    </w:p>
    <w:bookmarkEnd w:id="20"/>
    <w:bookmarkStart w:id="21" w:name="Xe8e1db4af47fe3894a31a828fb76710daa6f185"/>
    <w:p>
      <w:pPr>
        <w:pStyle w:val="Heading2"/>
      </w:pPr>
      <w:r>
        <w:t xml:space="preserve">II. Executive Summary of Issues and Recommendations</w:t>
      </w:r>
    </w:p>
    <w:p>
      <w:pPr>
        <w:pStyle w:val="FirstParagraph"/>
      </w:pPr>
      <w:r>
        <w:t xml:space="preserve">The Proposed Transaction is a humanitarian export of essential cancer diagnostic supplies to the principal remaining oncology referral center in Syria. The humanitarian case is strong and well-documented, and Meridian’s prior specific licensing history and compliance program are favorable. The transaction is, however, presumptively prohibited under the Syrian Sanctions Regulations, 31 C.F.R. Part 542 (</w:t>
      </w:r>
      <w:r>
        <w:t xml:space="preserve">“</w:t>
      </w:r>
      <w:r>
        <w:t xml:space="preserve">SySR</w:t>
      </w:r>
      <w:r>
        <w:t xml:space="preserve">”</w:t>
      </w:r>
      <w:r>
        <w:t xml:space="preserve">), and requires a specific license. Two matters identified during pre-application screening — both involving parties named in the DCUH Purchase Order — present material compliance hurdles that must be resolved before filing:</w:t>
      </w:r>
    </w:p>
    <w:p>
      <w:pPr>
        <w:numPr>
          <w:ilvl w:val="0"/>
          <w:numId w:val="1001"/>
        </w:numPr>
      </w:pPr>
      <w:r>
        <w:rPr>
          <w:b/>
          <w:bCs/>
        </w:rPr>
        <w:t xml:space="preserve">SDN-adjacent customs agent.</w:t>
      </w:r>
      <w:r>
        <w:t xml:space="preserve"> </w:t>
      </w:r>
      <w:r>
        <w:t xml:space="preserve">The Purchase Order names Al-Rashid Medical Procurement Company (</w:t>
      </w:r>
      <w:r>
        <w:t xml:space="preserve">“</w:t>
      </w:r>
      <w:r>
        <w:t xml:space="preserve">ARMPC</w:t>
      </w:r>
      <w:r>
        <w:t xml:space="preserve">”</w:t>
      </w:r>
      <w:r>
        <w:t xml:space="preserve">) as the Syrian customs clearance agent. ARMPC’s 30% shareholder, Samir Daoud Khoury, is designated on the SDN List (added April 15, 2024, for acting on behalf of a sanctioned Syrian military procurement network). Although ARMPC is not blocked under OFAC’s 50 Percent Rule (Khoury’s stake is below 50%), the involvement of an SDN-listed shareholder — particularly one designated in connection with a military procurement network — presents serious risk, including the risk of indirect benefit to an SDN.</w:t>
      </w:r>
      <w:r>
        <w:t xml:space="preserve"> </w:t>
      </w:r>
      <w:r>
        <w:rPr>
          <w:b/>
          <w:bCs/>
        </w:rPr>
        <w:t xml:space="preserve">Recommendation: remove ARMPC from the transaction structure and substitute a pre-cleared alternative agent.</w:t>
      </w:r>
      <w:r>
        <w:t xml:space="preserve"> </w:t>
      </w:r>
      <w:r>
        <w:t xml:space="preserve">Disclose the matter fully to OFAC.</w:t>
      </w:r>
    </w:p>
    <w:p>
      <w:pPr>
        <w:numPr>
          <w:ilvl w:val="0"/>
          <w:numId w:val="1001"/>
        </w:numPr>
      </w:pPr>
      <w:r>
        <w:rPr>
          <w:b/>
          <w:bCs/>
        </w:rPr>
        <w:t xml:space="preserve">SDN-listed remitting bank.</w:t>
      </w:r>
      <w:r>
        <w:t xml:space="preserve"> </w:t>
      </w:r>
      <w:r>
        <w:t xml:space="preserve">The Purchase Order names the Central Bank of Calverley (</w:t>
      </w:r>
      <w:r>
        <w:t xml:space="preserve">“</w:t>
      </w:r>
      <w:r>
        <w:t xml:space="preserve">CBS</w:t>
      </w:r>
      <w:r>
        <w:t xml:space="preserve">”</w:t>
      </w:r>
      <w:r>
        <w:t xml:space="preserve">) as the remitting bank. CBS has been on the SDN List since August 10, 2011. Payment through CBS is prohibited.</w:t>
      </w:r>
      <w:r>
        <w:t xml:space="preserve"> </w:t>
      </w:r>
      <w:r>
        <w:rPr>
          <w:b/>
          <w:bCs/>
        </w:rPr>
        <w:t xml:space="preserve">Recommendation: restructure payment through a non-SDN-listed Syrian commercial bank</w:t>
      </w:r>
      <w:r>
        <w:t xml:space="preserve">, consistent with the mechanism authorized under Meridian’s prior license (SYR-2021-384712), which expressly prohibited routing through CBS.</w:t>
      </w:r>
    </w:p>
    <w:p>
      <w:pPr>
        <w:pStyle w:val="FirstParagraph"/>
      </w:pPr>
      <w:r>
        <w:t xml:space="preserve">With these two mitigations, the Proposed Transaction as restructured involves no SDN-listed party. Additional issues addressed below include the governmental end-user authorization framework; product classification, technology transfer, and deemed-export considerations arising from the embedded firmware and remote training; transaction structure and routing (including the contrast with the prior license’s no-intermediary condition and the Bab al-Hawa routing); end-use monitoring and diversion risk; license scope, term, and conditions; timing; and ongoing re-screening obligations.</w:t>
      </w:r>
    </w:p>
    <w:p>
      <w:pPr>
        <w:pStyle w:val="BodyText"/>
      </w:pPr>
      <w:r>
        <w:rPr>
          <w:b/>
          <w:bCs/>
        </w:rPr>
        <w:t xml:space="preserve">Bottom line.</w:t>
      </w:r>
      <w:r>
        <w:t xml:space="preserve"> </w:t>
      </w:r>
      <w:r>
        <w:t xml:space="preserve">We recommend proceeding with preparation and filing of the specific license application on a restructured basis (alternative non-SDN bank; alternative pre-cleared customs agent; full disclosure of both SDN matters), targeting a license effective September 1, 2024 through February 28, 2026. We assess the likelihood of issuance as reasonable, contingent on satisfactory resolution of the two SDN matters and a clean end-use monitoring plan.</w:t>
      </w:r>
    </w:p>
    <w:p>
      <w:r>
        <w:pict>
          <v:rect style="width:0;height:1.5pt" o:hralign="center" o:hrstd="t" o:hr="t"/>
        </w:pict>
      </w:r>
    </w:p>
    <w:bookmarkEnd w:id="21"/>
    <w:bookmarkStart w:id="22" w:name="Xb9deed86143ab3653e50fb2b158e977788e2cdd"/>
    <w:p>
      <w:pPr>
        <w:pStyle w:val="Heading2"/>
      </w:pPr>
      <w:r>
        <w:t xml:space="preserve">III. Issue 1 — Authorization Framework: Specific License Required</w:t>
      </w:r>
    </w:p>
    <w:p>
      <w:pPr>
        <w:pStyle w:val="FirstParagraph"/>
      </w:pPr>
      <w:r>
        <w:rPr>
          <w:b/>
          <w:bCs/>
        </w:rPr>
        <w:t xml:space="preserve">Facts.</w:t>
      </w:r>
      <w:r>
        <w:t xml:space="preserve"> </w:t>
      </w:r>
      <w:r>
        <w:t xml:space="preserve">DCUH is a public teaching hospital affiliated with the University of Damascus, Faculty of Medicine, and operates under the administrative authority and budgetary oversight of the Syrian Ministry of Health. As a public hospital, DCUH is an instrumentality of the Government of Syria. The goods (EAR99) and services (remote training) are to be exported/supplied from the United States to Syria.</w:t>
      </w:r>
    </w:p>
    <w:p>
      <w:pPr>
        <w:pStyle w:val="BodyText"/>
      </w:pPr>
      <w:r>
        <w:rPr>
          <w:b/>
          <w:bCs/>
        </w:rPr>
        <w:t xml:space="preserve">Analysis.</w:t>
      </w:r>
      <w:r>
        <w:t xml:space="preserve"> </w:t>
      </w:r>
      <w:r>
        <w:t xml:space="preserve">The Proposed Transaction is presumptively prohibited under at least two provisions of the SySR:</w:t>
      </w:r>
    </w:p>
    <w:p>
      <w:pPr>
        <w:pStyle w:val="Compact"/>
        <w:numPr>
          <w:ilvl w:val="0"/>
          <w:numId w:val="1002"/>
        </w:numPr>
      </w:pPr>
      <w:r>
        <w:rPr>
          <w:b/>
          <w:bCs/>
        </w:rPr>
        <w:t xml:space="preserve">31 C.F.R. § 542.201</w:t>
      </w:r>
      <w:r>
        <w:t xml:space="preserve"> </w:t>
      </w:r>
      <w:r>
        <w:t xml:space="preserve">prohibits the exportation, re-exportation, sale, or supply, directly or indirectly, from the United States, or by a United States person, wherever located, of any goods, services, or technology to Syria. The export of the reagent kits and calibration units, and the provision of the remote training services, fall squarely within this prohibition.</w:t>
      </w:r>
    </w:p>
    <w:p>
      <w:pPr>
        <w:pStyle w:val="Compact"/>
        <w:numPr>
          <w:ilvl w:val="0"/>
          <w:numId w:val="1002"/>
        </w:numPr>
      </w:pPr>
      <w:r>
        <w:rPr>
          <w:b/>
          <w:bCs/>
        </w:rPr>
        <w:t xml:space="preserve">31 C.F.R. § 542.211</w:t>
      </w:r>
      <w:r>
        <w:t xml:space="preserve"> </w:t>
      </w:r>
      <w:r>
        <w:t xml:space="preserve">prohibits transactions involving the Government of Syria. The Government of Syria is blocked under Executive Order 13582 of August 17, 2011, and the SySR defines the Government of Syria broadly to include the state and its agencies, instrumentalities, and controlled entities. Because DCUH is an instrumentality of the Government of Syria, transactions with DCUH are prohibited under § 542.211 absent authorization.</w:t>
      </w:r>
    </w:p>
    <w:p>
      <w:pPr>
        <w:pStyle w:val="FirstParagraph"/>
      </w:pPr>
      <w:r>
        <w:rPr>
          <w:b/>
          <w:bCs/>
        </w:rPr>
        <w:t xml:space="preserve">General license analysis.</w:t>
      </w:r>
      <w:r>
        <w:t xml:space="preserve"> </w:t>
      </w:r>
      <w:r>
        <w:t xml:space="preserve">Part 542, Subpart C contains certain general licenses (e.g., for certain nongovernmental organization activities, informational materials, personal remittances, telecommunications, and certain exports of food and medicine). None of these general licenses squarely authorizes a</w:t>
      </w:r>
      <w:r>
        <w:t xml:space="preserve"> </w:t>
      </w:r>
      <w:r>
        <w:rPr>
          <w:b/>
          <w:bCs/>
        </w:rPr>
        <w:t xml:space="preserve">commercial sale of medical devices and related services by a for-profit U.S. company to an instrumentality of the Government of Syria</w:t>
      </w:r>
      <w:r>
        <w:t xml:space="preserve">, and none would authorize transactions involving SDN-listed or SDN-adjacent parties. Accordingly, a</w:t>
      </w:r>
      <w:r>
        <w:t xml:space="preserve"> </w:t>
      </w:r>
      <w:r>
        <w:rPr>
          <w:b/>
          <w:bCs/>
        </w:rPr>
        <w:t xml:space="preserve">specific license is required</w:t>
      </w:r>
      <w:r>
        <w:t xml:space="preserve">. This conclusion is consistent with Meridian’s prior transaction, which required Specific License SYR-2021-384712 for the export of diagnostic kits to a Syrian public hospital.</w:t>
      </w:r>
    </w:p>
    <w:p>
      <w:pPr>
        <w:pStyle w:val="BodyText"/>
      </w:pPr>
      <w:r>
        <w:rPr>
          <w:b/>
          <w:bCs/>
        </w:rPr>
        <w:t xml:space="preserve">Recommendation.</w:t>
      </w:r>
      <w:r>
        <w:t xml:space="preserve"> </w:t>
      </w:r>
      <w:r>
        <w:t xml:space="preserve">Proceed by specific license. We will confirm, prior to filing, that no subsequently issued or amended general license covers the Proposed Transaction, but we do not expect one to. The application should frame the request under E.O. 13582 and 31 C.F.R. Part 542 and should emphasize the humanitarian purpose, which OFAC has historically been willing to license for governmental end-users in Syria under appropriate authorizations and conditions.</w:t>
      </w:r>
    </w:p>
    <w:p>
      <w:r>
        <w:pict>
          <v:rect style="width:0;height:1.5pt" o:hralign="center" o:hrstd="t" o:hr="t"/>
        </w:pict>
      </w:r>
    </w:p>
    <w:bookmarkEnd w:id="22"/>
    <w:bookmarkStart w:id="23" w:name="X6ea1888c0e179735735a837acab28a3dc18561b"/>
    <w:p>
      <w:pPr>
        <w:pStyle w:val="Heading2"/>
      </w:pPr>
      <w:r>
        <w:t xml:space="preserve">IV. Issue 2 — SDN-Adjacent Customs Agent: ARMPC and Samir Daoud Khoury</w:t>
      </w:r>
    </w:p>
    <w:p>
      <w:pPr>
        <w:pStyle w:val="FirstParagraph"/>
      </w:pPr>
      <w:r>
        <w:rPr>
          <w:b/>
          <w:bCs/>
        </w:rPr>
        <w:t xml:space="preserve">Facts.</w:t>
      </w:r>
      <w:r>
        <w:t xml:space="preserve"> </w:t>
      </w:r>
      <w:r>
        <w:t xml:space="preserve">The DCUH Purchase Order names ARMPC (18 Barada Street, Floor 3, Damascus; Managing Director Tariq Nabil Hammoud) as the customs clearance and import logistics agent. ARMPC is not on the SDN List, and Mr. Hammoud returned no matches. However, Meridian’s enhanced beneficial ownership screening (implemented January 2024) identified that</w:t>
      </w:r>
      <w:r>
        <w:t xml:space="preserve"> </w:t>
      </w:r>
      <w:r>
        <w:rPr>
          <w:b/>
          <w:bCs/>
        </w:rPr>
        <w:t xml:space="preserve">Samir Daoud Khoury</w:t>
      </w:r>
      <w:r>
        <w:t xml:space="preserve"> </w:t>
      </w:r>
      <w:r>
        <w:t xml:space="preserve">holds a 30% ownership interest in ARMPC and is designated on the SDN List (DOB March 12, 1971; Syrian; Passport S-0048712; added April 15, 2024; basis: acting on behalf of a sanctioned Syrian military procurement network).</w:t>
      </w:r>
    </w:p>
    <w:p>
      <w:pPr>
        <w:pStyle w:val="BodyText"/>
      </w:pPr>
      <w:r>
        <w:rPr>
          <w:b/>
          <w:bCs/>
        </w:rPr>
        <w:t xml:space="preserve">Analysis.</w:t>
      </w:r>
    </w:p>
    <w:p>
      <w:pPr>
        <w:pStyle w:val="Compact"/>
        <w:numPr>
          <w:ilvl w:val="0"/>
          <w:numId w:val="1003"/>
        </w:numPr>
      </w:pPr>
      <w:r>
        <w:rPr>
          <w:b/>
          <w:bCs/>
        </w:rPr>
        <w:t xml:space="preserve">50 Percent Rule.</w:t>
      </w:r>
      <w:r>
        <w:t xml:space="preserve"> </w:t>
      </w:r>
      <w:r>
        <w:t xml:space="preserve">Under OFAC’s 50 Percent Rule (see OFAC,</w:t>
      </w:r>
      <w:r>
        <w:t xml:space="preserve"> </w:t>
      </w:r>
      <w:r>
        <w:rPr>
          <w:i/>
          <w:iCs/>
        </w:rPr>
        <w:t xml:space="preserve">Revised Guidance on Entities Owned by Persons Whose Property and Interests in Property Are Blocked</w:t>
      </w:r>
      <w:r>
        <w:t xml:space="preserve"> </w:t>
      </w:r>
      <w:r>
        <w:t xml:space="preserve">(Aug. 13, 2014)), an entity is blocked only where SDN-listed persons own, individually or in the aggregate, 50% or more of the entity. At 30%, Khoury’s stake is below the threshold, so ARMPC is</w:t>
      </w:r>
      <w:r>
        <w:t xml:space="preserve"> </w:t>
      </w:r>
      <w:r>
        <w:rPr>
          <w:b/>
          <w:bCs/>
        </w:rPr>
        <w:t xml:space="preserve">not automatically a blocked entity</w:t>
      </w:r>
      <w:r>
        <w:t xml:space="preserve">. A transaction with ARMPC is therefore not prohibited</w:t>
      </w:r>
      <w:r>
        <w:t xml:space="preserve"> </w:t>
      </w:r>
      <w:r>
        <w:rPr>
          <w:i/>
          <w:iCs/>
        </w:rPr>
        <w:t xml:space="preserve">solely</w:t>
      </w:r>
      <w:r>
        <w:t xml:space="preserve"> </w:t>
      </w:r>
      <w:r>
        <w:t xml:space="preserve">by virtue of the 50 Percent Rule.</w:t>
      </w:r>
    </w:p>
    <w:p>
      <w:pPr>
        <w:pStyle w:val="Compact"/>
        <w:numPr>
          <w:ilvl w:val="0"/>
          <w:numId w:val="1003"/>
        </w:numPr>
      </w:pPr>
      <w:r>
        <w:rPr>
          <w:b/>
          <w:bCs/>
        </w:rPr>
        <w:t xml:space="preserve">Indirect-benefit risk.</w:t>
      </w:r>
      <w:r>
        <w:t xml:space="preserve"> </w:t>
      </w:r>
      <w:r>
        <w:t xml:space="preserve">The 50 Percent Rule does not, however, immunize transactions with sub-50%-owned entities. OFAC guidance warns that transacting with entities in which SDN-listed persons hold significant minority interests may present elevated sanctions risk. The more serious concern here is that any payment of customs clearance fees to ARMPC could inure to Khoury’s benefit as a 30% equity holder, which could be characterized as a prohibited transaction with, or provision of funds to, an SDN-listed person. The fact that Khoury was designated for</w:t>
      </w:r>
      <w:r>
        <w:t xml:space="preserve"> </w:t>
      </w:r>
      <w:r>
        <w:t xml:space="preserve">“</w:t>
      </w:r>
      <w:r>
        <w:t xml:space="preserve">acting on behalf of a sanctioned Syrian military procurement network</w:t>
      </w:r>
      <w:r>
        <w:t xml:space="preserve">”</w:t>
      </w:r>
      <w:r>
        <w:t xml:space="preserve"> </w:t>
      </w:r>
      <w:r>
        <w:t xml:space="preserve">materially heightens this concern and, in our judgment, makes OFAC highly unlikely to authorize ARMPC’s participation.</w:t>
      </w:r>
    </w:p>
    <w:p>
      <w:pPr>
        <w:pStyle w:val="Compact"/>
        <w:numPr>
          <w:ilvl w:val="0"/>
          <w:numId w:val="1003"/>
        </w:numPr>
      </w:pPr>
      <w:r>
        <w:rPr>
          <w:b/>
          <w:bCs/>
        </w:rPr>
        <w:t xml:space="preserve">Disclosure obligation.</w:t>
      </w:r>
      <w:r>
        <w:t xml:space="preserve"> </w:t>
      </w:r>
      <w:r>
        <w:t xml:space="preserve">Regardless of the 50 Percent Rule analysis, OFAC license applications require complete disclosure of all parties to the proposed transaction. The involvement of an SDN-listed shareholder in a counterparty is a material fact that must be disclosed.</w:t>
      </w:r>
    </w:p>
    <w:p>
      <w:pPr>
        <w:pStyle w:val="FirstParagraph"/>
      </w:pPr>
      <w:r>
        <w:rPr>
          <w:b/>
          <w:bCs/>
        </w:rPr>
        <w:t xml:space="preserve">Options considered.</w:t>
      </w:r>
    </w:p>
    <w:p>
      <w:pPr>
        <w:pStyle w:val="Compact"/>
        <w:numPr>
          <w:ilvl w:val="0"/>
          <w:numId w:val="1004"/>
        </w:numPr>
      </w:pPr>
      <w:r>
        <w:rPr>
          <w:b/>
          <w:bCs/>
        </w:rPr>
        <w:t xml:space="preserve">Remove ARMPC; substitute a pre-cleared agent (recommended).</w:t>
      </w:r>
      <w:r>
        <w:t xml:space="preserve"> </w:t>
      </w:r>
      <w:r>
        <w:t xml:space="preserve">Meridian works with DCUH to designate an alternative Syrian customs clearance agent that screens clean, including beneficial ownership. The alternative agent’s identity is submitted to OFAC for confirmation prior to shipment. This eliminates the SDN nexus entirely and is, in our view, the only approach with a strong prospect of approval.</w:t>
      </w:r>
    </w:p>
    <w:p>
      <w:pPr>
        <w:pStyle w:val="Compact"/>
        <w:numPr>
          <w:ilvl w:val="0"/>
          <w:numId w:val="1004"/>
        </w:numPr>
      </w:pPr>
      <w:r>
        <w:rPr>
          <w:b/>
          <w:bCs/>
        </w:rPr>
        <w:t xml:space="preserve">Seek specific authorization for ARMPC’s limited role.</w:t>
      </w:r>
      <w:r>
        <w:t xml:space="preserve"> </w:t>
      </w:r>
      <w:r>
        <w:t xml:space="preserve">We could request that OFAC authorize ARMPC’s customs-clearance function subject to conditions (e.g., arm’s-length fees, certification that Khoury receives no benefit). We do</w:t>
      </w:r>
      <w:r>
        <w:t xml:space="preserve"> </w:t>
      </w:r>
      <w:r>
        <w:rPr>
          <w:b/>
          <w:bCs/>
        </w:rPr>
        <w:t xml:space="preserve">not</w:t>
      </w:r>
      <w:r>
        <w:t xml:space="preserve"> </w:t>
      </w:r>
      <w:r>
        <w:t xml:space="preserve">recommend this as a primary strategy. Given the basis of Khoury’s designation (military procurement network), OFAC is likely to view ARMPC’s involvement unfavorably, and pursuing this path risks delay or denial and could draw heightened scrutiny to the application as a whole.</w:t>
      </w:r>
    </w:p>
    <w:p>
      <w:pPr>
        <w:pStyle w:val="Compact"/>
        <w:numPr>
          <w:ilvl w:val="0"/>
          <w:numId w:val="1004"/>
        </w:numPr>
      </w:pPr>
      <w:r>
        <w:rPr>
          <w:b/>
          <w:bCs/>
        </w:rPr>
        <w:t xml:space="preserve">Direct delivery without a Syrian customs agent.</w:t>
      </w:r>
      <w:r>
        <w:t xml:space="preserve"> </w:t>
      </w:r>
      <w:r>
        <w:t xml:space="preserve">Not practically feasible; Syrian customs clearance requires a local agent.</w:t>
      </w:r>
    </w:p>
    <w:p>
      <w:pPr>
        <w:pStyle w:val="FirstParagraph"/>
      </w:pPr>
      <w:r>
        <w:rPr>
          <w:b/>
          <w:bCs/>
        </w:rPr>
        <w:t xml:space="preserve">Recommendation.</w:t>
      </w:r>
      <w:r>
        <w:t xml:space="preserve"> </w:t>
      </w:r>
      <w:r>
        <w:t xml:space="preserve">Adopt Option 1. The application will disclose the ARMPC/Khoury matter in full, present the 50 Percent Rule analysis, and state that ARMPC will not participate and that an alternative pre-cleared agent will be confirmed to OFAC prior to shipment. The requested license conditions will expressly exclude ARMPC, Khoury, and any SDN-listed or 50%-or-greater SDN-owned party.</w:t>
      </w:r>
    </w:p>
    <w:p>
      <w:pPr>
        <w:pStyle w:val="BodyText"/>
      </w:pPr>
      <w:r>
        <w:rPr>
          <w:b/>
          <w:bCs/>
        </w:rPr>
        <w:t xml:space="preserve">Action item.</w:t>
      </w:r>
      <w:r>
        <w:t xml:space="preserve"> </w:t>
      </w:r>
      <w:r>
        <w:t xml:space="preserve">Peggy’s team to identify and screen at least one alternative Syrian customs clearance agent (with beneficial ownership screening) and provide the name, address, principals, and ownership structure to us for inclusion in the application or for pre-shipment confirmation to OFAC.</w:t>
      </w:r>
    </w:p>
    <w:p>
      <w:r>
        <w:pict>
          <v:rect style="width:0;height:1.5pt" o:hralign="center" o:hrstd="t" o:hr="t"/>
        </w:pict>
      </w:r>
    </w:p>
    <w:bookmarkEnd w:id="23"/>
    <w:bookmarkStart w:id="24" w:name="X68bf45033137f1a87a6ea8c2598c5e30da4eee5"/>
    <w:p>
      <w:pPr>
        <w:pStyle w:val="Heading2"/>
      </w:pPr>
      <w:r>
        <w:t xml:space="preserve">V. Issue 3 — SDN-Listed Remitting Bank: Central Bank of Calverley</w:t>
      </w:r>
    </w:p>
    <w:p>
      <w:pPr>
        <w:pStyle w:val="FirstParagraph"/>
      </w:pPr>
      <w:r>
        <w:rPr>
          <w:b/>
          <w:bCs/>
        </w:rPr>
        <w:t xml:space="preserve">Facts.</w:t>
      </w:r>
      <w:r>
        <w:t xml:space="preserve"> </w:t>
      </w:r>
      <w:r>
        <w:t xml:space="preserve">The Purchase Order specifies 100% advance wire transfer from DCUH’s account at the Central Bank of Calverley (</w:t>
      </w:r>
      <w:r>
        <w:t xml:space="preserve">“</w:t>
      </w:r>
      <w:r>
        <w:t xml:space="preserve">CBS</w:t>
      </w:r>
      <w:r>
        <w:t xml:space="preserve">”</w:t>
      </w:r>
      <w:r>
        <w:t xml:space="preserve">), Damascus, to Meridian’s account at Harborview National Bank, Boston. CBS is designated on the SDN List (added August 10, 2011, pursuant to E.O. 13582).</w:t>
      </w:r>
    </w:p>
    <w:p>
      <w:pPr>
        <w:pStyle w:val="BodyText"/>
      </w:pPr>
      <w:r>
        <w:rPr>
          <w:b/>
          <w:bCs/>
        </w:rPr>
        <w:t xml:space="preserve">Analysis.</w:t>
      </w:r>
      <w:r>
        <w:t xml:space="preserve"> </w:t>
      </w:r>
      <w:r>
        <w:t xml:space="preserve">Payment routed through CBS would constitute a prohibited transaction with a blocked person under the SySR. No U.S. financial institution may process a funds transfer originating from CBS absent specific authorization, and any such funds received would be subject to blocking. This is a hard prohibition and cannot be cured by disclosure alone; the payment channel must be changed.</w:t>
      </w:r>
    </w:p>
    <w:p>
      <w:pPr>
        <w:pStyle w:val="BodyText"/>
      </w:pPr>
      <w:r>
        <w:rPr>
          <w:b/>
          <w:bCs/>
        </w:rPr>
        <w:t xml:space="preserve">Precedent.</w:t>
      </w:r>
      <w:r>
        <w:t xml:space="preserve"> </w:t>
      </w:r>
      <w:r>
        <w:t xml:space="preserve">Meridian’s prior license (SYR-2021-384712) authorized payment via a non-SDN-listed Syrian commercial bank and</w:t>
      </w:r>
      <w:r>
        <w:t xml:space="preserve"> </w:t>
      </w:r>
      <w:r>
        <w:rPr>
          <w:b/>
          <w:bCs/>
        </w:rPr>
        <w:t xml:space="preserve">expressly prohibited</w:t>
      </w:r>
      <w:r>
        <w:t xml:space="preserve"> </w:t>
      </w:r>
      <w:r>
        <w:t xml:space="preserve">routing through CBS. This establishes a workable precedent and a structure OFAC has already approved for Meridian.</w:t>
      </w:r>
    </w:p>
    <w:p>
      <w:pPr>
        <w:pStyle w:val="BodyText"/>
      </w:pPr>
      <w:r>
        <w:rPr>
          <w:b/>
          <w:bCs/>
        </w:rPr>
        <w:t xml:space="preserve">Recommendation.</w:t>
      </w:r>
      <w:r>
        <w:t xml:space="preserve"> </w:t>
      </w:r>
      <w:r>
        <w:t xml:space="preserve">Restructure payment through a non-SDN-listed Syrian commercial bank, to be identified and confirmed to OFAC prior to the first wire. The application will (i) disclose that the Purchase Order named CBS, (ii) explain that CBS is SDN-listed and will not be used, and (iii) request license conditions authorizing payment only via a non-SDN-listed financial institution and prohibiting routing through CBS or any other SDN-listed person or entity. We will need to confirm that the alternative bank can effectuate a USD wire to Harborview National Bank and that the bank (and its principals/owners) screen clean.</w:t>
      </w:r>
    </w:p>
    <w:p>
      <w:pPr>
        <w:pStyle w:val="BodyText"/>
      </w:pPr>
      <w:r>
        <w:rPr>
          <w:b/>
          <w:bCs/>
        </w:rPr>
        <w:t xml:space="preserve">Action item.</w:t>
      </w:r>
      <w:r>
        <w:t xml:space="preserve"> </w:t>
      </w:r>
      <w:r>
        <w:t xml:space="preserve">Peggy’s team, in coordination with DCUH and Harborview National Bank, to identify a non-SDN-listed Syrian commercial bank capable of remitting the payment, screen it (including beneficial ownership), and provide details to us. We should also confirm with Harborview National Bank that it will accept and process the incoming wire once the source bank is confirmed non-SDN.</w:t>
      </w:r>
    </w:p>
    <w:p>
      <w:r>
        <w:pict>
          <v:rect style="width:0;height:1.5pt" o:hralign="center" o:hrstd="t" o:hr="t"/>
        </w:pict>
      </w:r>
    </w:p>
    <w:bookmarkEnd w:id="24"/>
    <w:bookmarkStart w:id="25" w:name="Xdddb58fe280b2724101b60b2d4a028aae22d976"/>
    <w:p>
      <w:pPr>
        <w:pStyle w:val="Heading2"/>
      </w:pPr>
      <w:r>
        <w:t xml:space="preserve">VI. Issue 4 — Product Classification, Technology Transfer, and Deemed Exports</w:t>
      </w:r>
    </w:p>
    <w:p>
      <w:pPr>
        <w:pStyle w:val="FirstParagraph"/>
      </w:pPr>
      <w:r>
        <w:rPr>
          <w:b/>
          <w:bCs/>
        </w:rPr>
        <w:t xml:space="preserve">Facts.</w:t>
      </w:r>
      <w:r>
        <w:t xml:space="preserve"> </w:t>
      </w:r>
      <w:r>
        <w:t xml:space="preserve">Both physical products are classified EAR99. The CalibPro 3100 contains embedded firmware (version 4.2.1) employing AES-128 encryption limited to internal data-integrity verification (below EAR de minimis thresholds; does not alter EAR99 classification). The remote training (40 hours over 8 weeks) includes modules on instrument schematics, the software diagnostic interface, firmware diagnostic logs, calibration algorithm parameters, and a 287-page Software Reference Manual.</w:t>
      </w:r>
    </w:p>
    <w:p>
      <w:pPr>
        <w:pStyle w:val="BodyText"/>
      </w:pPr>
      <w:r>
        <w:rPr>
          <w:b/>
          <w:bCs/>
        </w:rPr>
        <w:t xml:space="preserve">Analysis.</w:t>
      </w:r>
    </w:p>
    <w:p>
      <w:pPr>
        <w:pStyle w:val="Compact"/>
        <w:numPr>
          <w:ilvl w:val="0"/>
          <w:numId w:val="1005"/>
        </w:numPr>
      </w:pPr>
      <w:r>
        <w:rPr>
          <w:b/>
          <w:bCs/>
        </w:rPr>
        <w:t xml:space="preserve">EAR classification.</w:t>
      </w:r>
      <w:r>
        <w:t xml:space="preserve"> </w:t>
      </w:r>
      <w:r>
        <w:t xml:space="preserve">EAR99 classification means no BIS export license is required on export-control grounds. The firmware’s encryption functionality is limited to internal data authentication and does not exceed EAR de minimis thresholds, so it does not trigger Category 5, Part 2 encryption controls. This is consistent with the Graystone audit’s Finding 3 (documentation of embedded software/firmware/encryption in sanctions risk assessments), which Meridian is implementing.</w:t>
      </w:r>
    </w:p>
    <w:p>
      <w:pPr>
        <w:pStyle w:val="Compact"/>
        <w:numPr>
          <w:ilvl w:val="0"/>
          <w:numId w:val="1005"/>
        </w:numPr>
      </w:pPr>
      <w:r>
        <w:rPr>
          <w:b/>
          <w:bCs/>
        </w:rPr>
        <w:t xml:space="preserve">OFAC authorization for services/technology.</w:t>
      </w:r>
      <w:r>
        <w:t xml:space="preserve"> </w:t>
      </w:r>
      <w:r>
        <w:t xml:space="preserve">Even though the items are EAR99, the</w:t>
      </w:r>
      <w:r>
        <w:t xml:space="preserve"> </w:t>
      </w:r>
      <w:r>
        <w:rPr>
          <w:b/>
          <w:bCs/>
        </w:rPr>
        <w:t xml:space="preserve">provision of services and technology to Syria is prohibited under 31 C.F.R. § 542.201</w:t>
      </w:r>
      <w:r>
        <w:t xml:space="preserve"> </w:t>
      </w:r>
      <w:r>
        <w:t xml:space="preserve">and requires OFAC authorization. The remote training is a</w:t>
      </w:r>
      <w:r>
        <w:t xml:space="preserve"> </w:t>
      </w:r>
      <w:r>
        <w:t xml:space="preserve">“</w:t>
      </w:r>
      <w:r>
        <w:t xml:space="preserve">service</w:t>
      </w:r>
      <w:r>
        <w:t xml:space="preserve">”</w:t>
      </w:r>
      <w:r>
        <w:t xml:space="preserve"> </w:t>
      </w:r>
      <w:r>
        <w:t xml:space="preserve">and involves the release of</w:t>
      </w:r>
      <w:r>
        <w:t xml:space="preserve"> </w:t>
      </w:r>
      <w:r>
        <w:t xml:space="preserve">“</w:t>
      </w:r>
      <w:r>
        <w:t xml:space="preserve">technology</w:t>
      </w:r>
      <w:r>
        <w:t xml:space="preserve">”</w:t>
      </w:r>
      <w:r>
        <w:t xml:space="preserve"> </w:t>
      </w:r>
      <w:r>
        <w:t xml:space="preserve">(technical data) and technical assistance. The application must expressly request authorization for the training services, not only the physical goods.</w:t>
      </w:r>
    </w:p>
    <w:p>
      <w:pPr>
        <w:pStyle w:val="Compact"/>
        <w:numPr>
          <w:ilvl w:val="0"/>
          <w:numId w:val="1005"/>
        </w:numPr>
      </w:pPr>
      <w:r>
        <w:rPr>
          <w:b/>
          <w:bCs/>
        </w:rPr>
        <w:t xml:space="preserve">Deemed exports.</w:t>
      </w:r>
      <w:r>
        <w:t xml:space="preserve"> </w:t>
      </w:r>
      <w:r>
        <w:t xml:space="preserve">Under the EAR, the release of technology to a foreign national is a deemed export to that person’s country of nationality. Because the technology at issue is EAR99, no BIS deemed-export license is required. OFAC authorization for the service to Syria is nonetheless required, as noted above.</w:t>
      </w:r>
    </w:p>
    <w:p>
      <w:pPr>
        <w:pStyle w:val="Compact"/>
        <w:numPr>
          <w:ilvl w:val="0"/>
          <w:numId w:val="1005"/>
        </w:numPr>
      </w:pPr>
      <w:r>
        <w:rPr>
          <w:b/>
          <w:bCs/>
        </w:rPr>
        <w:t xml:space="preserve">Firmware updates.</w:t>
      </w:r>
      <w:r>
        <w:t xml:space="preserve"> </w:t>
      </w:r>
      <w:r>
        <w:t xml:space="preserve">The technical data sheet expressly states that any firmware update, patch, or modification beyond version 4.2.1 is a separate transaction that may require independent export authorization, and that Meridian does not provide over-the-air updates (updates require physical USB media). This is an important scope limitation. We recommend the license authorize only the factory-installed firmware version 4.2.1 and expressly exclude firmware updates, which would require a separate authorization.</w:t>
      </w:r>
    </w:p>
    <w:p>
      <w:pPr>
        <w:pStyle w:val="FirstParagraph"/>
      </w:pPr>
      <w:r>
        <w:rPr>
          <w:b/>
          <w:bCs/>
        </w:rPr>
        <w:t xml:space="preserve">Recommendation.</w:t>
      </w:r>
      <w:r>
        <w:t xml:space="preserve"> </w:t>
      </w:r>
      <w:r>
        <w:t xml:space="preserve">The application requests authorization for (a) the physical goods and (b) the remote training services, and expressly limits firmware to version 4.2.1, excluding any future update. We should ensure the training curriculum materials (including the Software Reference Manual and schematics) are described accurately in the application so that OFAC can assess the technology transfer. We do not anticipate a BIS license requirement, but we will note the EAR99 classification and the firmware/encryption analysis for completeness.</w:t>
      </w:r>
    </w:p>
    <w:p>
      <w:pPr>
        <w:pStyle w:val="BodyText"/>
      </w:pPr>
      <w:r>
        <w:rPr>
          <w:b/>
          <w:bCs/>
        </w:rPr>
        <w:t xml:space="preserve">Action item.</w:t>
      </w:r>
      <w:r>
        <w:t xml:space="preserve"> </w:t>
      </w:r>
      <w:r>
        <w:t xml:space="preserve">Confirm with Meridian’s engineering/regulatory team that no element of the training curriculum or accompanying documentation would, if assessed separately, exceed EAR99 (e.g., confirm the Software Reference Manual does not contain controlled technical data beyond what is incidental to an EAR99 item).</w:t>
      </w:r>
    </w:p>
    <w:p>
      <w:r>
        <w:pict>
          <v:rect style="width:0;height:1.5pt" o:hralign="center" o:hrstd="t" o:hr="t"/>
        </w:pict>
      </w:r>
    </w:p>
    <w:bookmarkEnd w:id="25"/>
    <w:bookmarkStart w:id="26" w:name="X5d1007c3aeb0573e0c31ebddbeba6bcdd3400a9"/>
    <w:p>
      <w:pPr>
        <w:pStyle w:val="Heading2"/>
      </w:pPr>
      <w:r>
        <w:t xml:space="preserve">VII. Issue 5 — Transaction Structure, Intermediaries, and Routing</w:t>
      </w:r>
    </w:p>
    <w:p>
      <w:pPr>
        <w:pStyle w:val="FirstParagraph"/>
      </w:pPr>
      <w:r>
        <w:rPr>
          <w:b/>
          <w:bCs/>
        </w:rPr>
        <w:t xml:space="preserve">Facts.</w:t>
      </w:r>
      <w:r>
        <w:t xml:space="preserve"> </w:t>
      </w:r>
      <w:r>
        <w:t xml:space="preserve">The Proposed Transaction involves three intermediaries: Pinnacle Freight International (U.S. freight forwarder), Ankara Medical Transit Warehouse LLC (</w:t>
      </w:r>
      <w:r>
        <w:t xml:space="preserve">“</w:t>
      </w:r>
      <w:r>
        <w:t xml:space="preserve">AMTW,</w:t>
      </w:r>
      <w:r>
        <w:t xml:space="preserve">”</w:t>
      </w:r>
      <w:r>
        <w:t xml:space="preserve"> </w:t>
      </w:r>
      <w:r>
        <w:t xml:space="preserve">Turkish warehouse), and ARMPC (Syrian customs agent). The shipping route is Cambridge, MA → Port Newark → Mersin Port, Turkey → Ankara (AMTW warehousing) → Bab al-Hawa border crossing → Damascus. Estimated transit 30–42 days (plan for 6–8 weeks). The reagent kits require uninterrupted 2–8°C cold-chain throughout.</w:t>
      </w:r>
    </w:p>
    <w:p>
      <w:pPr>
        <w:pStyle w:val="BodyText"/>
      </w:pPr>
      <w:r>
        <w:rPr>
          <w:b/>
          <w:bCs/>
        </w:rPr>
        <w:t xml:space="preserve">Analysis.</w:t>
      </w:r>
    </w:p>
    <w:p>
      <w:pPr>
        <w:pStyle w:val="Compact"/>
        <w:numPr>
          <w:ilvl w:val="0"/>
          <w:numId w:val="1006"/>
        </w:numPr>
      </w:pPr>
      <w:r>
        <w:rPr>
          <w:b/>
          <w:bCs/>
        </w:rPr>
        <w:t xml:space="preserve">Contrast with prior license.</w:t>
      </w:r>
      <w:r>
        <w:t xml:space="preserve"> </w:t>
      </w:r>
      <w:r>
        <w:t xml:space="preserve">Meridian’s prior license (SYR-2021-384712) authorized</w:t>
      </w:r>
      <w:r>
        <w:t xml:space="preserve"> </w:t>
      </w:r>
      <w:r>
        <w:rPr>
          <w:b/>
          <w:bCs/>
        </w:rPr>
        <w:t xml:space="preserve">direct shipment to the end-user with no procurement intermediary</w:t>
      </w:r>
      <w:r>
        <w:t xml:space="preserve"> </w:t>
      </w:r>
      <w:r>
        <w:t xml:space="preserve">(</w:t>
      </w:r>
      <w:r>
        <w:t xml:space="preserve">“</w:t>
      </w:r>
      <w:r>
        <w:t xml:space="preserve">No procurement agent, distributor, or other intermediary is authorized under this license</w:t>
      </w:r>
      <w:r>
        <w:t xml:space="preserve">”</w:t>
      </w:r>
      <w:r>
        <w:t xml:space="preserve">) and a simpler Mersin → Damascus overland route. The current structure adds an Ankara warehousing leg and the Bab al-Hawa crossing, and introduces multiple intermediaries. OFAC generally prefers minimal intermediaries in comprehensively sanctioned jurisdictions, and the prior license’s no-intermediary condition is a useful benchmark. The application should justify each intermediary and confirm each is screened clean. Pinnacle and AMTW are clean; ARMPC is not (see Issue 2) and is being removed.</w:t>
      </w:r>
    </w:p>
    <w:p>
      <w:pPr>
        <w:pStyle w:val="Compact"/>
        <w:numPr>
          <w:ilvl w:val="0"/>
          <w:numId w:val="1006"/>
        </w:numPr>
      </w:pPr>
      <w:r>
        <w:rPr>
          <w:b/>
          <w:bCs/>
        </w:rPr>
        <w:t xml:space="preserve">Bab al-Hawa routing.</w:t>
      </w:r>
      <w:r>
        <w:t xml:space="preserve"> </w:t>
      </w:r>
      <w:r>
        <w:t xml:space="preserve">The Bab al-Hawa border crossing is located in northwest Syria and has been the subject of U.N. Security Council humanitarian cross-border authorizations directed at deliveries</w:t>
      </w:r>
      <w:r>
        <w:t xml:space="preserve"> </w:t>
      </w:r>
      <w:r>
        <w:rPr>
          <w:b/>
          <w:bCs/>
        </w:rPr>
        <w:t xml:space="preserve">to</w:t>
      </w:r>
      <w:r>
        <w:t xml:space="preserve"> </w:t>
      </w:r>
      <w:r>
        <w:t xml:space="preserve">northwest Syria, not transit</w:t>
      </w:r>
      <w:r>
        <w:t xml:space="preserve"> </w:t>
      </w:r>
      <w:r>
        <w:rPr>
          <w:b/>
          <w:bCs/>
        </w:rPr>
        <w:t xml:space="preserve">through</w:t>
      </w:r>
      <w:r>
        <w:t xml:space="preserve"> </w:t>
      </w:r>
      <w:r>
        <w:t xml:space="preserve">it to government-controlled Damascus. Routing goods from Bab al-Hawa to Damascus (government-controlled) entails crossing conflict lines and multiple checkpoints, which raises (a)</w:t>
      </w:r>
      <w:r>
        <w:t xml:space="preserve"> </w:t>
      </w:r>
      <w:r>
        <w:rPr>
          <w:b/>
          <w:bCs/>
        </w:rPr>
        <w:t xml:space="preserve">diversion and security risk</w:t>
      </w:r>
      <w:r>
        <w:t xml:space="preserve"> </w:t>
      </w:r>
      <w:r>
        <w:t xml:space="preserve">and (b) a question whether the routing is the most appropriate. We do not read the SySR to prohibit this routing per se (the prohibition is on the export/supply to Syria, which the license would authorize), but OFAC may scrutinize the route. The application should describe the route transparently and explain the cold-chain and security controls.</w:t>
      </w:r>
    </w:p>
    <w:p>
      <w:pPr>
        <w:pStyle w:val="Compact"/>
        <w:numPr>
          <w:ilvl w:val="0"/>
          <w:numId w:val="1006"/>
        </w:numPr>
      </w:pPr>
      <w:r>
        <w:rPr>
          <w:b/>
          <w:bCs/>
        </w:rPr>
        <w:t xml:space="preserve">Cold-chain and diversion.</w:t>
      </w:r>
      <w:r>
        <w:t xml:space="preserve"> </w:t>
      </w:r>
      <w:r>
        <w:t xml:space="preserve">The longer and more complex the route, the greater the cold-chain integrity and diversion risk. The 6–8 week window and multiple handoffs (ocean → truck → warehouse → truck → border → truck) increase exposure. The application should describe the cold-chain protocol in detail (it does) and the end-use monitoring plan (see Issue 6).</w:t>
      </w:r>
    </w:p>
    <w:p>
      <w:pPr>
        <w:pStyle w:val="Compact"/>
        <w:numPr>
          <w:ilvl w:val="0"/>
          <w:numId w:val="1006"/>
        </w:numPr>
      </w:pPr>
      <w:r>
        <w:rPr>
          <w:b/>
          <w:bCs/>
        </w:rPr>
        <w:t xml:space="preserve">Alternative routing.</w:t>
      </w:r>
      <w:r>
        <w:t xml:space="preserve"> </w:t>
      </w:r>
      <w:r>
        <w:t xml:space="preserve">We should consider whether a more direct route (e.g., Mersin → Damascus overland, as in the prior license, or another crossing) would reduce risk and simplify the application. This is a logistics judgment for Meridian and Pinnacle, but we flag it for evaluation.</w:t>
      </w:r>
    </w:p>
    <w:p>
      <w:pPr>
        <w:pStyle w:val="FirstParagraph"/>
      </w:pPr>
      <w:r>
        <w:rPr>
          <w:b/>
          <w:bCs/>
        </w:rPr>
        <w:t xml:space="preserve">Recommendation.</w:t>
      </w:r>
      <w:r>
        <w:t xml:space="preserve"> </w:t>
      </w:r>
      <w:r>
        <w:t xml:space="preserve">Proceed with the described route but (i) remove ARMPC and substitute a pre-cleared agent; (ii) evaluate with Pinnacle whether a more direct route is feasible and would reduce risk; (iii) describe the route and cold-chain controls transparently in the application; and (iv) build the end-use monitoring plan around the multi-leg, cross-conflict-line delivery. If a more direct route is selected, update the application and Exhibit D accordingly.</w:t>
      </w:r>
    </w:p>
    <w:p>
      <w:pPr>
        <w:pStyle w:val="BodyText"/>
      </w:pPr>
      <w:r>
        <w:rPr>
          <w:b/>
          <w:bCs/>
        </w:rPr>
        <w:t xml:space="preserve">Action item.</w:t>
      </w:r>
      <w:r>
        <w:t xml:space="preserve"> </w:t>
      </w:r>
      <w:r>
        <w:t xml:space="preserve">Jon/Lisa Marchetti to evaluate whether a direct Mersin → Damascus route (or alternative crossing) is feasible and whether the Ankara warehousing leg is necessary, and to advise us so we can finalize the routing description.</w:t>
      </w:r>
    </w:p>
    <w:p>
      <w:r>
        <w:pict>
          <v:rect style="width:0;height:1.5pt" o:hralign="center" o:hrstd="t" o:hr="t"/>
        </w:pict>
      </w:r>
    </w:p>
    <w:bookmarkEnd w:id="26"/>
    <w:bookmarkStart w:id="27" w:name="X3c9bb6665af8a84969ad645cca0a0cf31034f45"/>
    <w:p>
      <w:pPr>
        <w:pStyle w:val="Heading2"/>
      </w:pPr>
      <w:r>
        <w:t xml:space="preserve">VIII. Issue 6 — End-Use Monitoring and Diversion Risk</w:t>
      </w:r>
    </w:p>
    <w:p>
      <w:pPr>
        <w:pStyle w:val="FirstParagraph"/>
      </w:pPr>
      <w:r>
        <w:rPr>
          <w:b/>
          <w:bCs/>
        </w:rPr>
        <w:t xml:space="preserve">Facts.</w:t>
      </w:r>
      <w:r>
        <w:t xml:space="preserve"> </w:t>
      </w:r>
      <w:r>
        <w:t xml:space="preserve">The Graystone audit (Finding 2, Medium priority) noted that post-delivery end-use monitoring for the prior licensed transaction was limited to confirming delivery receipt, with no ongoing monitoring to verify that goods remained with the authorized end-user or were used for the stated humanitarian purpose. The audit recommended a written end-use monitoring plan including (a) delivery confirmation with photographic or documentary evidence, (b) an end-user certificate or non-diversion commitment, (c) periodic usage reporting at no less than annual intervals, and (d) a site-verification mechanism (remote or in-person, as feasible).</w:t>
      </w:r>
    </w:p>
    <w:p>
      <w:pPr>
        <w:pStyle w:val="BodyText"/>
      </w:pPr>
      <w:r>
        <w:rPr>
          <w:b/>
          <w:bCs/>
        </w:rPr>
        <w:t xml:space="preserve">Analysis.</w:t>
      </w:r>
      <w:r>
        <w:t xml:space="preserve"> </w:t>
      </w:r>
      <w:r>
        <w:t xml:space="preserve">OFAC expects licensees operating under specific licenses for comprehensively sanctioned jurisdictions to implement robust end-use monitoring to prevent diversion. The governmental end-user, the SDN-adjacent customs agent (now removed), the cross-conflict-line routing, and the high value of the goods ($1.28 million) all heighten diversion risk. A strong, documented end-use monitoring plan will both satisfy OFAC expectations and address the Graystone audit recommendation. The fact that the goods are specialized IHC reagent kits validated only for the Ventana BenchMark XT platform already installed at DCUH — and that there is no substitute product — meaningfully limits practical diversion risk, because the kits are not readily usable or resalable outside a compatible laboratory. This is a favorable factor we will emphasize.</w:t>
      </w:r>
    </w:p>
    <w:p>
      <w:pPr>
        <w:pStyle w:val="BodyText"/>
      </w:pPr>
      <w:r>
        <w:rPr>
          <w:b/>
          <w:bCs/>
        </w:rPr>
        <w:t xml:space="preserve">Recommendation.</w:t>
      </w:r>
      <w:r>
        <w:t xml:space="preserve"> </w:t>
      </w:r>
      <w:r>
        <w:t xml:space="preserve">Incorporate a written end-use monitoring plan as a proposed license condition and as an undertaking in the application, including: (a) delivery confirmation with photographic/documentary evidence and temperature data-logger records; (b) a standalone end-user certificate and non-diversion commitment executed by DCUH (Exhibit H) prior to first shipment; (c) periodic usage reporting at no less than annual intervals (DCUH processes ~3,800 biopsies/year; 500 kits ≈ 15 months of use, providing a natural usage metric); (d) a site-verification mechanism (remote verification via the secure video link already used for training, or in-person if feasible); and (e) immediate notification to OFAC of any suspected diversion. The 30-day post-shipment reporting condition (mirroring the prior license) should also be included.</w:t>
      </w:r>
    </w:p>
    <w:p>
      <w:pPr>
        <w:pStyle w:val="BodyText"/>
      </w:pPr>
      <w:r>
        <w:rPr>
          <w:b/>
          <w:bCs/>
        </w:rPr>
        <w:t xml:space="preserve">Action item.</w:t>
      </w:r>
      <w:r>
        <w:t xml:space="preserve"> </w:t>
      </w:r>
      <w:r>
        <w:t xml:space="preserve">Peggy to prepare the end-use monitoring plan and the form of end-user certificate/non-diversion commitment for DCUH execution, for our review and inclusion as Exhibit H.</w:t>
      </w:r>
    </w:p>
    <w:p>
      <w:r>
        <w:pict>
          <v:rect style="width:0;height:1.5pt" o:hralign="center" o:hrstd="t" o:hr="t"/>
        </w:pict>
      </w:r>
    </w:p>
    <w:bookmarkEnd w:id="27"/>
    <w:bookmarkStart w:id="28" w:name="X481ad46ad4ff8b46f0c2ba13f0c9e86a55c02e2"/>
    <w:p>
      <w:pPr>
        <w:pStyle w:val="Heading2"/>
      </w:pPr>
      <w:r>
        <w:t xml:space="preserve">IX. Issue 7 — License Scope, Term, and Conditions</w:t>
      </w:r>
    </w:p>
    <w:p>
      <w:pPr>
        <w:pStyle w:val="FirstParagraph"/>
      </w:pPr>
      <w:r>
        <w:rPr>
          <w:b/>
          <w:bCs/>
        </w:rPr>
        <w:t xml:space="preserve">Requested term.</w:t>
      </w:r>
      <w:r>
        <w:t xml:space="preserve"> </w:t>
      </w:r>
      <w:r>
        <w:t xml:space="preserve">Meridian requests a license effective September 1, 2024 through February 28, 2026 (18 months). The prior license ran approximately 18 months (September 14, 2021 – March 31, 2023). An 18-month term is reasonable to accommodate OFAC processing, cold-chain logistics, the 6–8 week transit, the 8-week training, and potential multiple shipments, while remaining within the 18-month reagent shelf life. We will request the 18-month term; OFAC may grant a shorter term, in which case we will plan shipments accordingly.</w:t>
      </w:r>
    </w:p>
    <w:p>
      <w:pPr>
        <w:pStyle w:val="BodyText"/>
      </w:pPr>
      <w:r>
        <w:rPr>
          <w:b/>
          <w:bCs/>
        </w:rPr>
        <w:t xml:space="preserve">Scope.</w:t>
      </w:r>
      <w:r>
        <w:t xml:space="preserve"> </w:t>
      </w:r>
      <w:r>
        <w:t xml:space="preserve">The application requests authorization for the full quantities (500 kits; 4 units; 40 training hours) with shipments in one or more lots, given cold-chain and reefer capacity constraints. We will request a total aggregate value cap of $1,280,000.</w:t>
      </w:r>
    </w:p>
    <w:p>
      <w:pPr>
        <w:pStyle w:val="BodyText"/>
      </w:pPr>
      <w:r>
        <w:rPr>
          <w:b/>
          <w:bCs/>
        </w:rPr>
        <w:t xml:space="preserve">Conditions.</w:t>
      </w:r>
      <w:r>
        <w:t xml:space="preserve"> </w:t>
      </w:r>
      <w:r>
        <w:t xml:space="preserve">We recommend the license include conditions mirroring the prior license and addressing the issues above: non-diversion; 5-year recordkeeping under 31 C.F.R. § 501.601; 30-day post-shipment reports; no SDN or 50%-or-greater SDN-owned party involvement; express exclusion of ARMPC, Khoury, and CBS; customs clearance only by a pre-cleared, OFAC-confirmed agent; payment only via a non-SDN-listed bank; firmware limited to version 4.2.1; no U.S.-person travel to Syria; EAR compliance; material-change reporting; no transfer/assignment; and the end-use monitoring and re-screening undertakings.</w:t>
      </w:r>
    </w:p>
    <w:p>
      <w:pPr>
        <w:pStyle w:val="BodyText"/>
      </w:pPr>
      <w:r>
        <w:rPr>
          <w:b/>
          <w:bCs/>
        </w:rPr>
        <w:t xml:space="preserve">Recommendation.</w:t>
      </w:r>
      <w:r>
        <w:t xml:space="preserve"> </w:t>
      </w:r>
      <w:r>
        <w:t xml:space="preserve">Proceed with the requested terms and conditions as drafted in the application. We will be prepared to negotiate conditions with OFAC’s licensing analyst.</w:t>
      </w:r>
    </w:p>
    <w:p>
      <w:r>
        <w:pict>
          <v:rect style="width:0;height:1.5pt" o:hralign="center" o:hrstd="t" o:hr="t"/>
        </w:pict>
      </w:r>
    </w:p>
    <w:bookmarkEnd w:id="28"/>
    <w:bookmarkStart w:id="29" w:name="x.-issue-8-timing-and-processing-risk"/>
    <w:p>
      <w:pPr>
        <w:pStyle w:val="Heading2"/>
      </w:pPr>
      <w:r>
        <w:t xml:space="preserve">X. Issue 8 — Timing and Processing Risk</w:t>
      </w:r>
    </w:p>
    <w:p>
      <w:pPr>
        <w:pStyle w:val="FirstParagraph"/>
      </w:pPr>
      <w:r>
        <w:rPr>
          <w:b/>
          <w:bCs/>
        </w:rPr>
        <w:t xml:space="preserve">Facts.</w:t>
      </w:r>
      <w:r>
        <w:t xml:space="preserve"> </w:t>
      </w:r>
      <w:r>
        <w:t xml:space="preserve">Meridian targets a license effective date of September 1, 2024. OFAC processing typically runs 90–180 days. The engagement letter was signed May 20, 2024; the PO arrived June 17; the screening memo was finalized June 10; the shipping plan arrived June 25.</w:t>
      </w:r>
    </w:p>
    <w:p>
      <w:pPr>
        <w:pStyle w:val="BodyText"/>
      </w:pPr>
      <w:r>
        <w:rPr>
          <w:b/>
          <w:bCs/>
        </w:rPr>
        <w:t xml:space="preserve">Analysis.</w:t>
      </w:r>
      <w:r>
        <w:t xml:space="preserve"> </w:t>
      </w:r>
      <w:r>
        <w:t xml:space="preserve">Filing in early July 2024 gives roughly 60 days before the target September 1 effective date — well within the 90–180 day processing window, meaning the license may not be issued by September 1. This is a timing risk. The application should request the September 1 effective date but Meridian should plan for the possibility that the license issues later. Because the goods are not yet shipped and payment is 100% advance (15 business days pre-shipment), a modest slippage in the effective date is manageable, but it will push shipment and delivery later. The 18-month reagent shelf life provides some buffer, but cold-chain and shelf-life constraints mean we should not assume unlimited flexibility.</w:t>
      </w:r>
    </w:p>
    <w:p>
      <w:pPr>
        <w:pStyle w:val="BodyText"/>
      </w:pPr>
      <w:r>
        <w:rPr>
          <w:b/>
          <w:bCs/>
        </w:rPr>
        <w:t xml:space="preserve">Recommendation.</w:t>
      </w:r>
      <w:r>
        <w:t xml:space="preserve"> </w:t>
      </w:r>
      <w:r>
        <w:t xml:space="preserve">File as soon as the two SDN matters are satisfactorily addressed (alternative bank and agent identified and screened) and the end-use monitoring plan and end-user certificate form are ready. Do not delay filing for the September 1 target; file when complete. We will request the September 1 effective date and a 18-month term, and will keep Meridian informed of OFAC’s processing status. If OFAC indicates conditions or questions, we will respond promptly to minimize delay.</w:t>
      </w:r>
    </w:p>
    <w:p>
      <w:pPr>
        <w:pStyle w:val="BodyText"/>
      </w:pPr>
      <w:r>
        <w:rPr>
          <w:b/>
          <w:bCs/>
        </w:rPr>
        <w:t xml:space="preserve">Action item.</w:t>
      </w:r>
      <w:r>
        <w:t xml:space="preserve"> </w:t>
      </w:r>
      <w:r>
        <w:t xml:space="preserve">Target filing within approximately 7–10 days, contingent on receipt of the alternative bank/agent information and the end-use monitoring plan.</w:t>
      </w:r>
    </w:p>
    <w:p>
      <w:r>
        <w:pict>
          <v:rect style="width:0;height:1.5pt" o:hralign="center" o:hrstd="t" o:hr="t"/>
        </w:pict>
      </w:r>
    </w:p>
    <w:bookmarkEnd w:id="29"/>
    <w:bookmarkStart w:id="30" w:name="Xe8529743b31eba6f30fb23096c10580468b396c"/>
    <w:p>
      <w:pPr>
        <w:pStyle w:val="Heading2"/>
      </w:pPr>
      <w:r>
        <w:t xml:space="preserve">XI. Issue 9 — Ongoing Compliance and Re-Screening Obligations</w:t>
      </w:r>
    </w:p>
    <w:p>
      <w:pPr>
        <w:pStyle w:val="FirstParagraph"/>
      </w:pPr>
      <w:r>
        <w:rPr>
          <w:b/>
          <w:bCs/>
        </w:rPr>
        <w:t xml:space="preserve">Facts.</w:t>
      </w:r>
      <w:r>
        <w:t xml:space="preserve"> </w:t>
      </w:r>
      <w:r>
        <w:t xml:space="preserve">The Graystone audit (Finding 1, High priority) recommended real-time beneficial ownership screening; Meridian implemented this in January 2024, and it is the capability that identified the ARMPC/Khoury matter. The compliance screening memo recommends re-screening all parties at 90-day intervals during the pendency of the application and immediately prior to any shipment.</w:t>
      </w:r>
    </w:p>
    <w:p>
      <w:pPr>
        <w:pStyle w:val="BodyText"/>
      </w:pPr>
      <w:r>
        <w:rPr>
          <w:b/>
          <w:bCs/>
        </w:rPr>
        <w:t xml:space="preserve">Analysis.</w:t>
      </w:r>
      <w:r>
        <w:t xml:space="preserve"> </w:t>
      </w:r>
      <w:r>
        <w:t xml:space="preserve">Given the SDN-adjacent findings and the comprehensively sanctioned jurisdiction, robust ongoing screening is essential. SDN designations can change; a party that is clean today may be designated tomorrow (as Khoury was, on April 15, 2024 — after any onboarding screen would have been completed). The 90-day re-screening cadence and immediate pre-shipment re-screen are appropriate and should be reflected as undertakings in the application and as internal policy.</w:t>
      </w:r>
    </w:p>
    <w:p>
      <w:pPr>
        <w:pStyle w:val="BodyText"/>
      </w:pPr>
      <w:r>
        <w:rPr>
          <w:b/>
          <w:bCs/>
        </w:rPr>
        <w:t xml:space="preserve">Recommendation.</w:t>
      </w:r>
      <w:r>
        <w:t xml:space="preserve"> </w:t>
      </w:r>
      <w:r>
        <w:t xml:space="preserve">Include re-screening undertakings in the application (90-day intervals during pendency; immediately prior to each shipment; prompt reporting of any status change). Internally, Peggy’s team should calendar the re-screening dates and maintain an audit trail. We also recommend that Meridian’s compliance platform be configured to alert on any SDN List update affecting a transaction party in real time, consistent with the Graystone recommendation.</w:t>
      </w:r>
    </w:p>
    <w:p>
      <w:r>
        <w:pict>
          <v:rect style="width:0;height:1.5pt" o:hralign="center" o:hrstd="t" o:hr="t"/>
        </w:pict>
      </w:r>
    </w:p>
    <w:bookmarkEnd w:id="30"/>
    <w:bookmarkStart w:id="31" w:name="X7cd6ff9b81f5e6b064f446ee5904732e984b9ac"/>
    <w:p>
      <w:pPr>
        <w:pStyle w:val="Heading2"/>
      </w:pPr>
      <w:r>
        <w:t xml:space="preserve">XII. Recommended Action Items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w:t>
            </w:r>
          </w:p>
        </w:tc>
        <w:tc>
          <w:tcPr/>
          <w:p>
            <w:pPr>
              <w:pStyle w:val="Compact"/>
              <w:jc w:val="left"/>
            </w:pPr>
            <w:r>
              <w:t xml:space="preserve">Identify and screen (incl. beneficial ownership) at least one alternative Syrian customs clearance agent to replace ARMPC; provide details to us</w:t>
            </w:r>
          </w:p>
        </w:tc>
        <w:tc>
          <w:tcPr/>
          <w:p>
            <w:pPr>
              <w:pStyle w:val="Compact"/>
              <w:jc w:val="left"/>
            </w:pPr>
            <w:r>
              <w:t xml:space="preserve">Peggy Dunleavy / Compliance</w:t>
            </w:r>
          </w:p>
        </w:tc>
        <w:tc>
          <w:tcPr/>
          <w:p>
            <w:pPr>
              <w:pStyle w:val="Compact"/>
              <w:jc w:val="left"/>
            </w:pPr>
            <w:r>
              <w:t xml:space="preserve">Within 5 business days</w:t>
            </w:r>
          </w:p>
        </w:tc>
      </w:tr>
      <w:tr>
        <w:tc>
          <w:tcPr/>
          <w:p>
            <w:pPr>
              <w:pStyle w:val="Compact"/>
              <w:jc w:val="left"/>
            </w:pPr>
            <w:r>
              <w:t xml:space="preserve">2</w:t>
            </w:r>
          </w:p>
        </w:tc>
        <w:tc>
          <w:tcPr/>
          <w:p>
            <w:pPr>
              <w:pStyle w:val="Compact"/>
              <w:jc w:val="left"/>
            </w:pPr>
            <w:r>
              <w:t xml:space="preserve">Identify and screen a non-SDN-listed Syrian commercial bank for the payment channel; confirm with Harborview National Bank that it will process the incoming wire</w:t>
            </w:r>
          </w:p>
        </w:tc>
        <w:tc>
          <w:tcPr/>
          <w:p>
            <w:pPr>
              <w:pStyle w:val="Compact"/>
              <w:jc w:val="left"/>
            </w:pPr>
            <w:r>
              <w:t xml:space="preserve">Peggy / Treasury ops / Harborview</w:t>
            </w:r>
          </w:p>
        </w:tc>
        <w:tc>
          <w:tcPr/>
          <w:p>
            <w:pPr>
              <w:pStyle w:val="Compact"/>
              <w:jc w:val="left"/>
            </w:pPr>
            <w:r>
              <w:t xml:space="preserve">Within 5 business days</w:t>
            </w:r>
          </w:p>
        </w:tc>
      </w:tr>
      <w:tr>
        <w:tc>
          <w:tcPr/>
          <w:p>
            <w:pPr>
              <w:pStyle w:val="Compact"/>
              <w:jc w:val="left"/>
            </w:pPr>
            <w:r>
              <w:t xml:space="preserve">3</w:t>
            </w:r>
          </w:p>
        </w:tc>
        <w:tc>
          <w:tcPr/>
          <w:p>
            <w:pPr>
              <w:pStyle w:val="Compact"/>
              <w:jc w:val="left"/>
            </w:pPr>
            <w:r>
              <w:t xml:space="preserve">Prepare the written end-use monitoring plan and the form of end-user certificate / non-diversion commitment for DCUH execution</w:t>
            </w:r>
          </w:p>
        </w:tc>
        <w:tc>
          <w:tcPr/>
          <w:p>
            <w:pPr>
              <w:pStyle w:val="Compact"/>
              <w:jc w:val="left"/>
            </w:pPr>
            <w:r>
              <w:t xml:space="preserve">Peggy / Compliance</w:t>
            </w:r>
          </w:p>
        </w:tc>
        <w:tc>
          <w:tcPr/>
          <w:p>
            <w:pPr>
              <w:pStyle w:val="Compact"/>
              <w:jc w:val="left"/>
            </w:pPr>
            <w:r>
              <w:t xml:space="preserve">Within 7 business days</w:t>
            </w:r>
          </w:p>
        </w:tc>
      </w:tr>
      <w:tr>
        <w:tc>
          <w:tcPr/>
          <w:p>
            <w:pPr>
              <w:pStyle w:val="Compact"/>
              <w:jc w:val="left"/>
            </w:pPr>
            <w:r>
              <w:t xml:space="preserve">4</w:t>
            </w:r>
          </w:p>
        </w:tc>
        <w:tc>
          <w:tcPr/>
          <w:p>
            <w:pPr>
              <w:pStyle w:val="Compact"/>
              <w:jc w:val="left"/>
            </w:pPr>
            <w:r>
              <w:t xml:space="preserve">Evaluate with Pinnacle whether a more direct route (Mersin → Damascus, or alternative crossing) is feasible and whether the Ankara leg is necessary</w:t>
            </w:r>
          </w:p>
        </w:tc>
        <w:tc>
          <w:tcPr/>
          <w:p>
            <w:pPr>
              <w:pStyle w:val="Compact"/>
              <w:jc w:val="left"/>
            </w:pPr>
            <w:r>
              <w:t xml:space="preserve">Jon Halsted / Lisa Marchetti</w:t>
            </w:r>
          </w:p>
        </w:tc>
        <w:tc>
          <w:tcPr/>
          <w:p>
            <w:pPr>
              <w:pStyle w:val="Compact"/>
              <w:jc w:val="left"/>
            </w:pPr>
            <w:r>
              <w:t xml:space="preserve">Within 5 business days</w:t>
            </w:r>
          </w:p>
        </w:tc>
      </w:tr>
      <w:tr>
        <w:tc>
          <w:tcPr/>
          <w:p>
            <w:pPr>
              <w:pStyle w:val="Compact"/>
              <w:jc w:val="left"/>
            </w:pPr>
            <w:r>
              <w:t xml:space="preserve">5</w:t>
            </w:r>
          </w:p>
        </w:tc>
        <w:tc>
          <w:tcPr/>
          <w:p>
            <w:pPr>
              <w:pStyle w:val="Compact"/>
              <w:jc w:val="left"/>
            </w:pPr>
            <w:r>
              <w:t xml:space="preserve">Confirm with engineering/regulatory that no training curriculum material or documentation exceeds EAR99</w:t>
            </w:r>
          </w:p>
        </w:tc>
        <w:tc>
          <w:tcPr/>
          <w:p>
            <w:pPr>
              <w:pStyle w:val="Compact"/>
              <w:jc w:val="left"/>
            </w:pPr>
            <w:r>
              <w:t xml:space="preserve">Jon / Regulatory</w:t>
            </w:r>
          </w:p>
        </w:tc>
        <w:tc>
          <w:tcPr/>
          <w:p>
            <w:pPr>
              <w:pStyle w:val="Compact"/>
              <w:jc w:val="left"/>
            </w:pPr>
            <w:r>
              <w:t xml:space="preserve">Within 5 business days</w:t>
            </w:r>
          </w:p>
        </w:tc>
      </w:tr>
      <w:tr>
        <w:tc>
          <w:tcPr/>
          <w:p>
            <w:pPr>
              <w:pStyle w:val="Compact"/>
              <w:jc w:val="left"/>
            </w:pPr>
            <w:r>
              <w:t xml:space="preserve">6</w:t>
            </w:r>
          </w:p>
        </w:tc>
        <w:tc>
          <w:tcPr/>
          <w:p>
            <w:pPr>
              <w:pStyle w:val="Compact"/>
              <w:jc w:val="left"/>
            </w:pPr>
            <w:r>
              <w:t xml:space="preserve">Obtain a copy of prior license SYR-2021-384712 and the Graystone audit for exhibits (if not already in hand)</w:t>
            </w:r>
          </w:p>
        </w:tc>
        <w:tc>
          <w:tcPr/>
          <w:p>
            <w:pPr>
              <w:pStyle w:val="Compact"/>
              <w:jc w:val="left"/>
            </w:pPr>
            <w:r>
              <w:t xml:space="preserve">Jon / Peggy</w:t>
            </w:r>
          </w:p>
        </w:tc>
        <w:tc>
          <w:tcPr/>
          <w:p>
            <w:pPr>
              <w:pStyle w:val="Compact"/>
              <w:jc w:val="left"/>
            </w:pPr>
            <w:r>
              <w:t xml:space="preserve">Within 3 business days</w:t>
            </w:r>
          </w:p>
        </w:tc>
      </w:tr>
      <w:tr>
        <w:tc>
          <w:tcPr/>
          <w:p>
            <w:pPr>
              <w:pStyle w:val="Compact"/>
              <w:jc w:val="left"/>
            </w:pPr>
            <w:r>
              <w:t xml:space="preserve">7</w:t>
            </w:r>
          </w:p>
        </w:tc>
        <w:tc>
          <w:tcPr/>
          <w:p>
            <w:pPr>
              <w:pStyle w:val="Compact"/>
              <w:jc w:val="left"/>
            </w:pPr>
            <w:r>
              <w:t xml:space="preserve">Finalize and file the specific license application once items 1–3 are resolved</w:t>
            </w:r>
          </w:p>
        </w:tc>
        <w:tc>
          <w:tcPr/>
          <w:p>
            <w:pPr>
              <w:pStyle w:val="Compact"/>
              <w:jc w:val="left"/>
            </w:pPr>
            <w:r>
              <w:t xml:space="preserve">Ashford &amp; Whitmore</w:t>
            </w:r>
          </w:p>
        </w:tc>
        <w:tc>
          <w:tcPr/>
          <w:p>
            <w:pPr>
              <w:pStyle w:val="Compact"/>
              <w:jc w:val="left"/>
            </w:pPr>
            <w:r>
              <w:t xml:space="preserve">Within 7–10 days</w:t>
            </w:r>
          </w:p>
        </w:tc>
      </w:tr>
      <w:tr>
        <w:tc>
          <w:tcPr/>
          <w:p>
            <w:pPr>
              <w:pStyle w:val="Compact"/>
              <w:jc w:val="left"/>
            </w:pPr>
            <w:r>
              <w:t xml:space="preserve">8</w:t>
            </w:r>
          </w:p>
        </w:tc>
        <w:tc>
          <w:tcPr/>
          <w:p>
            <w:pPr>
              <w:pStyle w:val="Compact"/>
              <w:jc w:val="left"/>
            </w:pPr>
            <w:r>
              <w:t xml:space="preserve">Calendar 90-day re-screening of all parties during pendency and pre-shipment re-screen</w:t>
            </w:r>
          </w:p>
        </w:tc>
        <w:tc>
          <w:tcPr/>
          <w:p>
            <w:pPr>
              <w:pStyle w:val="Compact"/>
              <w:jc w:val="left"/>
            </w:pPr>
            <w:r>
              <w:t xml:space="preserve">Peggy / Compliance</w:t>
            </w:r>
          </w:p>
        </w:tc>
        <w:tc>
          <w:tcPr/>
          <w:p>
            <w:pPr>
              <w:pStyle w:val="Compact"/>
              <w:jc w:val="left"/>
            </w:pPr>
            <w:r>
              <w:t xml:space="preserve">Ongoing</w:t>
            </w:r>
          </w:p>
        </w:tc>
      </w:tr>
    </w:tbl>
    <w:p>
      <w:r>
        <w:pict>
          <v:rect style="width:0;height:1.5pt" o:hralign="center" o:hrstd="t" o:hr="t"/>
        </w:pict>
      </w:r>
    </w:p>
    <w:bookmarkEnd w:id="31"/>
    <w:bookmarkStart w:id="32" w:name="Xbc7d36077e4095126cc01d4ce52a8652f62d0ca"/>
    <w:p>
      <w:pPr>
        <w:pStyle w:val="Heading2"/>
      </w:pPr>
      <w:r>
        <w:t xml:space="preserve">XIII. Open Information Requests to Client</w:t>
      </w:r>
    </w:p>
    <w:p>
      <w:pPr>
        <w:pStyle w:val="FirstParagraph"/>
      </w:pPr>
      <w:r>
        <w:t xml:space="preserve">To finalize the application, we request the following from Meridian:</w:t>
      </w:r>
    </w:p>
    <w:p>
      <w:pPr>
        <w:pStyle w:val="Compact"/>
        <w:numPr>
          <w:ilvl w:val="0"/>
          <w:numId w:val="1007"/>
        </w:numPr>
      </w:pPr>
      <w:r>
        <w:rPr>
          <w:b/>
          <w:bCs/>
        </w:rPr>
        <w:t xml:space="preserve">Alternative customs agent.</w:t>
      </w:r>
      <w:r>
        <w:t xml:space="preserve"> </w:t>
      </w:r>
      <w:r>
        <w:t xml:space="preserve">Name, address, principals, and beneficial ownership structure of the proposed replacement for ARMPC, plus screening results.</w:t>
      </w:r>
    </w:p>
    <w:p>
      <w:pPr>
        <w:pStyle w:val="Compact"/>
        <w:numPr>
          <w:ilvl w:val="0"/>
          <w:numId w:val="1007"/>
        </w:numPr>
      </w:pPr>
      <w:r>
        <w:rPr>
          <w:b/>
          <w:bCs/>
        </w:rPr>
        <w:t xml:space="preserve">Alternative remitting bank.</w:t>
      </w:r>
      <w:r>
        <w:t xml:space="preserve"> </w:t>
      </w:r>
      <w:r>
        <w:t xml:space="preserve">Name, address, and screening results (including beneficial ownership) of the proposed non-SDN-listed Syrian commercial bank, and confirmation from Harborview National Bank that it will accept the wire.</w:t>
      </w:r>
    </w:p>
    <w:p>
      <w:pPr>
        <w:pStyle w:val="Compact"/>
        <w:numPr>
          <w:ilvl w:val="0"/>
          <w:numId w:val="1007"/>
        </w:numPr>
      </w:pPr>
      <w:r>
        <w:rPr>
          <w:b/>
          <w:bCs/>
        </w:rPr>
        <w:t xml:space="preserve">End-use monitoring plan and end-user certificate form.</w:t>
      </w:r>
      <w:r>
        <w:t xml:space="preserve"> </w:t>
      </w:r>
      <w:r>
        <w:t xml:space="preserve">Drafts for our review.</w:t>
      </w:r>
    </w:p>
    <w:p>
      <w:pPr>
        <w:pStyle w:val="Compact"/>
        <w:numPr>
          <w:ilvl w:val="0"/>
          <w:numId w:val="1007"/>
        </w:numPr>
      </w:pPr>
      <w:r>
        <w:rPr>
          <w:b/>
          <w:bCs/>
        </w:rPr>
        <w:t xml:space="preserve">Routing decision.</w:t>
      </w:r>
      <w:r>
        <w:t xml:space="preserve"> </w:t>
      </w:r>
      <w:r>
        <w:t xml:space="preserve">Confirmation of the final shipping route (including whether the Ankara warehousing leg and Bab al-Hawa crossing will be used, or a more direct route).</w:t>
      </w:r>
    </w:p>
    <w:p>
      <w:pPr>
        <w:pStyle w:val="Compact"/>
        <w:numPr>
          <w:ilvl w:val="0"/>
          <w:numId w:val="1007"/>
        </w:numPr>
      </w:pPr>
      <w:r>
        <w:rPr>
          <w:b/>
          <w:bCs/>
        </w:rPr>
        <w:t xml:space="preserve">Training documentation confirmation.</w:t>
      </w:r>
      <w:r>
        <w:t xml:space="preserve"> </w:t>
      </w:r>
      <w:r>
        <w:t xml:space="preserve">Confirmation that the Software Reference Manual and schematics do not contain controlled technical data beyond EAR99.</w:t>
      </w:r>
    </w:p>
    <w:p>
      <w:pPr>
        <w:pStyle w:val="Compact"/>
        <w:numPr>
          <w:ilvl w:val="0"/>
          <w:numId w:val="1007"/>
        </w:numPr>
      </w:pPr>
      <w:r>
        <w:rPr>
          <w:b/>
          <w:bCs/>
        </w:rPr>
        <w:t xml:space="preserve">Exhibits.</w:t>
      </w:r>
      <w:r>
        <w:t xml:space="preserve"> </w:t>
      </w:r>
      <w:r>
        <w:t xml:space="preserve">Copies of the prior license (SYR-2021-384712) and the Graystone audit executive summary if not already transmitted.</w:t>
      </w:r>
    </w:p>
    <w:p>
      <w:pPr>
        <w:pStyle w:val="Compact"/>
        <w:numPr>
          <w:ilvl w:val="0"/>
          <w:numId w:val="1007"/>
        </w:numPr>
      </w:pPr>
      <w:r>
        <w:rPr>
          <w:b/>
          <w:bCs/>
        </w:rPr>
        <w:t xml:space="preserve">Signatory.</w:t>
      </w:r>
      <w:r>
        <w:t xml:space="preserve"> </w:t>
      </w:r>
      <w:r>
        <w:t xml:space="preserve">Confirmation of the individual authorized to execute the application and certifications on behalf of Meridian.</w:t>
      </w:r>
    </w:p>
    <w:p>
      <w:pPr>
        <w:pStyle w:val="FirstParagraph"/>
      </w:pPr>
      <w:r>
        <w:t xml:space="preserve">We will revise the application to incorporate the foregoing as it is received and will provide a final pre-filing draft for your review. Please contact us with any questions.</w:t>
      </w:r>
    </w:p>
    <w:p>
      <w:pPr>
        <w:pStyle w:val="BodyText"/>
      </w:pPr>
      <w:r>
        <w:br/>
      </w:r>
    </w:p>
    <w:p>
      <w:pPr>
        <w:pStyle w:val="BodyText"/>
      </w:pPr>
      <w:r>
        <w:rPr>
          <w:b/>
          <w:bCs/>
        </w:rPr>
        <w:t xml:space="preserve">Ashford &amp; Whitmore LLP</w:t>
      </w:r>
    </w:p>
    <w:p>
      <w:pPr>
        <w:pStyle w:val="BodyText"/>
      </w:pPr>
      <w:r>
        <w:br/>
      </w:r>
    </w:p>
    <w:p>
      <w:pPr>
        <w:pStyle w:val="BodyText"/>
      </w:pPr>
      <w:r>
        <w:t xml:space="preserve">Catherine R. Bellingham, Partner | cbellingham@ashfordwhitmore.com | (202) 555-7700</w:t>
      </w:r>
      <w:r>
        <w:br/>
      </w:r>
      <w:r>
        <w:t xml:space="preserve">David Osei-Mensah, Senior Associate | doesei-mensah@ashfordwhitmore.com | (202) 555-7720</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2026-06-29T00:53:55Z</dcterms:created>
  <dcterms:modified xsi:type="dcterms:W3CDTF">2026-06-29T00:53:55Z</dcterms:modified>
</cp:coreProperties>
</file>

<file path=docProps/custom.xml><?xml version="1.0" encoding="utf-8"?>
<Properties xmlns="http://schemas.openxmlformats.org/officeDocument/2006/custom-properties" xmlns:vt="http://schemas.openxmlformats.org/officeDocument/2006/docPropsVTypes"/>
</file>