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pplication-for-specific-license"/>
    <w:p>
      <w:pPr>
        <w:pStyle w:val="Heading1"/>
      </w:pPr>
      <w:r>
        <w:t xml:space="preserve">APPLICATION FOR SPECIFIC LICENSE</w:t>
      </w:r>
    </w:p>
    <w:p>
      <w:pPr>
        <w:pStyle w:val="FirstParagraph"/>
      </w:pPr>
      <w:r>
        <w:rPr>
          <w:b/>
          <w:bCs/>
        </w:rPr>
        <w:t xml:space="preserve">U.S. Department of the Treasury</w:t>
      </w:r>
      <w:r>
        <w:br/>
      </w:r>
      <w:r>
        <w:rPr>
          <w:b/>
          <w:bCs/>
        </w:rPr>
        <w:t xml:space="preserve">Office of Foreign Assets Control</w:t>
      </w:r>
      <w:r>
        <w:br/>
      </w:r>
      <w:r>
        <w:rPr>
          <w:b/>
          <w:bCs/>
        </w:rPr>
        <w:t xml:space="preserve">Licensing Division</w:t>
      </w:r>
      <w:r>
        <w:br/>
      </w:r>
      <w:r>
        <w:rPr>
          <w:b/>
          <w:bCs/>
        </w:rPr>
        <w:t xml:space="preserve">1500 Pennsylvania Avenue NW, Washington, DC 20220</w:t>
      </w:r>
    </w:p>
    <w:p>
      <w:pPr>
        <w:pStyle w:val="BodyText"/>
      </w:pPr>
      <w:r>
        <w:br/>
      </w:r>
    </w:p>
    <w:p>
      <w:pPr>
        <w:pStyle w:val="BodyText"/>
      </w:pPr>
      <w:r>
        <w:rPr>
          <w:b/>
          <w:bCs/>
        </w:rPr>
        <w:t xml:space="preserve">ASHFORD &amp; WHITMORE LLP</w:t>
      </w:r>
      <w:r>
        <w:br/>
      </w:r>
      <w:r>
        <w:t xml:space="preserve">1700 K Street NW, Suite 950, Washington, DC 20006</w:t>
      </w:r>
      <w:r>
        <w:br/>
      </w:r>
      <w:r>
        <w:t xml:space="preserve">Telephone: (202) 555-7700 | Facsimile: (202) 555-7701</w:t>
      </w:r>
    </w:p>
    <w:p>
      <w:pPr>
        <w:pStyle w:val="BodyText"/>
      </w:pPr>
      <w:r>
        <w:br/>
      </w:r>
    </w:p>
    <w:p>
      <w:pPr>
        <w:pStyle w:val="BodyText"/>
      </w:pPr>
      <w:r>
        <w:rPr>
          <w:b/>
          <w:bCs/>
        </w:rPr>
        <w:t xml:space="preserve">July 1, 2024</w:t>
      </w:r>
    </w:p>
    <w:p>
      <w:pPr>
        <w:pStyle w:val="BodyText"/>
      </w:pPr>
      <w:r>
        <w:br/>
      </w:r>
    </w:p>
    <w:p>
      <w:pPr>
        <w:pStyle w:val="BodyText"/>
      </w:pPr>
      <w:r>
        <w:rPr>
          <w:b/>
          <w:bCs/>
        </w:rPr>
        <w:t xml:space="preserve">VIA OFAC LICENSING APPLICATION PORTAL AND COURIER</w:t>
      </w:r>
    </w:p>
    <w:p>
      <w:pPr>
        <w:pStyle w:val="BodyText"/>
      </w:pPr>
      <w:r>
        <w:br/>
      </w:r>
    </w:p>
    <w:p>
      <w:pPr>
        <w:pStyle w:val="BodyText"/>
      </w:pPr>
      <w:r>
        <w:rPr>
          <w:b/>
          <w:bCs/>
        </w:rPr>
        <w:t xml:space="preserve">Director</w:t>
      </w:r>
      <w:r>
        <w:br/>
      </w:r>
      <w:r>
        <w:t xml:space="preserve">Licensing Division</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br/>
      </w:r>
    </w:p>
    <w:p>
      <w:pPr>
        <w:pStyle w:val="BodyText"/>
      </w:pPr>
      <w:r>
        <w:rPr>
          <w:b/>
          <w:bCs/>
        </w:rPr>
        <w:t xml:space="preserve">Re: Application for Specific License Under the Syrian Sanctions Regulations, 31 C.F.R. Part 542 — Proposed Export of Cancer Diagnostic Reagent Kits, Calibration Instruments, and Related Remote Training Services to Damascus Central University Hospital, Damascus, Syria</w:t>
      </w:r>
    </w:p>
    <w:p>
      <w:pPr>
        <w:pStyle w:val="BodyText"/>
      </w:pPr>
      <w:r>
        <w:br/>
      </w:r>
    </w:p>
    <w:p>
      <w:pPr>
        <w:pStyle w:val="BodyText"/>
      </w:pPr>
      <w:r>
        <w:t xml:space="preserve">Dear Director:</w:t>
      </w:r>
    </w:p>
    <w:p>
      <w:pPr>
        <w:pStyle w:val="BodyText"/>
      </w:pPr>
      <w:r>
        <w:t xml:space="preserve">Pursuant to the authority of the International Emergency Economic Powers Act, 50 U.S.C. §§ 1701–1706, Executive Order 13582 of August 17, 2011, and the Syrian Sanctions Regulations, 31 C.F.R. Part 542 (the</w:t>
      </w:r>
      <w:r>
        <w:t xml:space="preserve"> </w:t>
      </w:r>
      <w:r>
        <w:t xml:space="preserve">“</w:t>
      </w:r>
      <w:r>
        <w:t xml:space="preserve">Syrian Sanctions Regulations</w:t>
      </w:r>
      <w:r>
        <w:t xml:space="preserve">”</w:t>
      </w:r>
      <w:r>
        <w:t xml:space="preserve"> </w:t>
      </w:r>
      <w:r>
        <w:t xml:space="preserve">or</w:t>
      </w:r>
      <w:r>
        <w:t xml:space="preserve"> </w:t>
      </w:r>
      <w:r>
        <w:t xml:space="preserve">“</w:t>
      </w:r>
      <w:r>
        <w:t xml:space="preserve">SySR</w:t>
      </w:r>
      <w:r>
        <w:t xml:space="preserve">”</w:t>
      </w:r>
      <w:r>
        <w:t xml:space="preserve">), the undersigned outside counsel hereby submits, on behalf of our client</w:t>
      </w:r>
      <w:r>
        <w:t xml:space="preserve"> </w:t>
      </w:r>
      <w:r>
        <w:rPr>
          <w:b/>
          <w:bCs/>
        </w:rPr>
        <w:t xml:space="preserve">Meridian Biotech Solutions, Inc.</w:t>
      </w:r>
      <w:r>
        <w:t xml:space="preserve"> </w:t>
      </w:r>
      <w:r>
        <w:t xml:space="preserve">(</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an application for a specific license authorizing the export to, and related transactions involving,</w:t>
      </w:r>
      <w:r>
        <w:t xml:space="preserve"> </w:t>
      </w:r>
      <w:r>
        <w:rPr>
          <w:b/>
          <w:bCs/>
        </w:rPr>
        <w:t xml:space="preserve">Damascus Central University Hospital</w:t>
      </w:r>
      <w:r>
        <w:t xml:space="preserve"> </w:t>
      </w:r>
      <w:r>
        <w:t xml:space="preserve">(</w:t>
      </w:r>
      <w:r>
        <w:t xml:space="preserve">“</w:t>
      </w:r>
      <w:r>
        <w:t xml:space="preserve">DCUH</w:t>
      </w:r>
      <w:r>
        <w:t xml:space="preserve">”</w:t>
      </w:r>
      <w:r>
        <w:t xml:space="preserve">) in Damascus, Syria, of cancer diagnostic reagent kits, laboratory calibration instruments, and associated remote installation and calibration training services (the</w:t>
      </w:r>
      <w:r>
        <w:t xml:space="preserve"> </w:t>
      </w:r>
      <w:r>
        <w:t xml:space="preserve">“</w:t>
      </w:r>
      <w:r>
        <w:t xml:space="preserve">Proposed Transaction</w:t>
      </w:r>
      <w:r>
        <w:t xml:space="preserve">”</w:t>
      </w:r>
      <w:r>
        <w:t xml:space="preserve">). The Proposed Transaction would otherwise be prohibited under 31 C.F.R. § 542.201 (prohibiting the exportation, re-exportation, sale, or supply of goods, services, or technology to Syria) and 31 C.F.R. § 542.211 (prohibiting transactions with the Government of Syria, of which DCUH is an instrumentality).</w:t>
      </w:r>
    </w:p>
    <w:p>
      <w:pPr>
        <w:pStyle w:val="BodyText"/>
      </w:pPr>
      <w:r>
        <w:t xml:space="preserve">This application sets forth (i) the identity of the Applicant; (ii) a complete description of the Proposed Transaction, including the goods and services, the end-user and end-use, the transaction parties, the shipping route, and the payment terms; (iii) the humanitarian justification for the Proposed Transaction; (iv) the Applicant’s prior OFAC licensing history; (v) the Applicant’s OFAC compliance program; (vi) full and transparent disclosure of two sanctions-related matters identified during pre-application screening, together with the mitigation measures the Applicant has adopted; and (vii) the specific license terms, scope, and conditions requested. A list of supporting exhibits is provided at Section XV.</w:t>
      </w:r>
    </w:p>
    <w:p>
      <w:pPr>
        <w:pStyle w:val="BodyText"/>
      </w:pPr>
      <w:r>
        <w:t xml:space="preserve">Meridian respectfully requests that OFAC issue a specific license authorizing the Proposed Transaction for a term of eighteen (18) months, effective September 1, 2024 through February 28, 2026.</w:t>
      </w:r>
    </w:p>
    <w:p>
      <w:r>
        <w:pict>
          <v:rect style="width:0;height:1.5pt" o:hralign="center" o:hrstd="t" o:hr="t"/>
        </w:pict>
      </w:r>
    </w:p>
    <w:bookmarkStart w:id="20" w:name="i.-applicant-information"/>
    <w:p>
      <w:pPr>
        <w:pStyle w:val="Heading2"/>
      </w:pPr>
      <w:r>
        <w:t xml:space="preserve">I.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Meridian Biotech Solutions,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4200 Lakeshore Boulevard, Suite 800, Cambridge, MA 02142</w:t>
            </w:r>
          </w:p>
        </w:tc>
      </w:tr>
      <w:tr>
        <w:tc>
          <w:tcPr/>
          <w:p>
            <w:pPr>
              <w:pStyle w:val="Compact"/>
              <w:jc w:val="left"/>
            </w:pPr>
            <w:r>
              <w:rPr>
                <w:b/>
                <w:bCs/>
              </w:rPr>
              <w:t xml:space="preserve">Employer Identification Number (EIN)</w:t>
            </w:r>
          </w:p>
        </w:tc>
        <w:tc>
          <w:tcPr/>
          <w:p>
            <w:pPr>
              <w:pStyle w:val="Compact"/>
              <w:jc w:val="left"/>
            </w:pPr>
            <w:r>
              <w:t xml:space="preserve">47-3928104</w:t>
            </w:r>
          </w:p>
        </w:tc>
      </w:tr>
      <w:tr>
        <w:tc>
          <w:tcPr/>
          <w:p>
            <w:pPr>
              <w:pStyle w:val="Compact"/>
              <w:jc w:val="left"/>
            </w:pPr>
            <w:r>
              <w:rPr>
                <w:b/>
                <w:bCs/>
              </w:rPr>
              <w:t xml:space="preserve">DUNS Number</w:t>
            </w:r>
          </w:p>
        </w:tc>
        <w:tc>
          <w:tcPr/>
          <w:p>
            <w:pPr>
              <w:pStyle w:val="Compact"/>
              <w:jc w:val="left"/>
            </w:pPr>
            <w:r>
              <w:t xml:space="preserve">08-471-3920</w:t>
            </w:r>
          </w:p>
        </w:tc>
      </w:tr>
      <w:tr>
        <w:tc>
          <w:tcPr/>
          <w:p>
            <w:pPr>
              <w:pStyle w:val="Compact"/>
              <w:jc w:val="left"/>
            </w:pPr>
            <w:r>
              <w:rPr>
                <w:b/>
                <w:bCs/>
              </w:rPr>
              <w:t xml:space="preserve">Business</w:t>
            </w:r>
          </w:p>
        </w:tc>
        <w:tc>
          <w:tcPr/>
          <w:p>
            <w:pPr>
              <w:pStyle w:val="Compact"/>
              <w:jc w:val="left"/>
            </w:pPr>
            <w:r>
              <w:t xml:space="preserve">Development and manufacture of in vitro diagnostic reagent kits, laboratory calibration instruments, and point-of-care testing platforms</w:t>
            </w:r>
          </w:p>
        </w:tc>
      </w:tr>
      <w:tr>
        <w:tc>
          <w:tcPr/>
          <w:p>
            <w:pPr>
              <w:pStyle w:val="Compact"/>
              <w:jc w:val="left"/>
            </w:pPr>
            <w:r>
              <w:rPr>
                <w:b/>
                <w:bCs/>
              </w:rPr>
              <w:t xml:space="preserve">Projected FY2024 Revenue</w:t>
            </w:r>
          </w:p>
        </w:tc>
        <w:tc>
          <w:tcPr/>
          <w:p>
            <w:pPr>
              <w:pStyle w:val="Compact"/>
              <w:jc w:val="left"/>
            </w:pPr>
            <w:r>
              <w:t xml:space="preserve">Approximately $482 million</w:t>
            </w:r>
          </w:p>
        </w:tc>
      </w:tr>
      <w:tr>
        <w:tc>
          <w:tcPr/>
          <w:p>
            <w:pPr>
              <w:pStyle w:val="Compact"/>
              <w:jc w:val="left"/>
            </w:pPr>
            <w:r>
              <w:rPr>
                <w:b/>
                <w:bCs/>
              </w:rPr>
              <w:t xml:space="preserve">Chief Executive Officer</w:t>
            </w:r>
          </w:p>
        </w:tc>
        <w:tc>
          <w:tcPr/>
          <w:p>
            <w:pPr>
              <w:pStyle w:val="Compact"/>
              <w:jc w:val="left"/>
            </w:pPr>
            <w:r>
              <w:t xml:space="preserve">Dr. Priya Ramaswamy</w:t>
            </w:r>
          </w:p>
        </w:tc>
      </w:tr>
      <w:tr>
        <w:tc>
          <w:tcPr/>
          <w:p>
            <w:pPr>
              <w:pStyle w:val="Compact"/>
              <w:jc w:val="left"/>
            </w:pPr>
            <w:r>
              <w:rPr>
                <w:b/>
                <w:bCs/>
              </w:rPr>
              <w:t xml:space="preserve">General Counsel / Point of Contact</w:t>
            </w:r>
          </w:p>
        </w:tc>
        <w:tc>
          <w:tcPr/>
          <w:p>
            <w:pPr>
              <w:pStyle w:val="Compact"/>
              <w:jc w:val="left"/>
            </w:pPr>
            <w:r>
              <w:t xml:space="preserve">Jonathan D. Halsted, (617) 555-0193, jhalsted@meridianbiotech.com</w:t>
            </w:r>
          </w:p>
        </w:tc>
      </w:tr>
      <w:tr>
        <w:tc>
          <w:tcPr/>
          <w:p>
            <w:pPr>
              <w:pStyle w:val="Compact"/>
              <w:jc w:val="left"/>
            </w:pPr>
            <w:r>
              <w:rPr>
                <w:b/>
                <w:bCs/>
              </w:rPr>
              <w:t xml:space="preserve">Chief Compliance Officer</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r>
      <w:tr>
        <w:tc>
          <w:tcPr/>
          <w:p>
            <w:pPr>
              <w:pStyle w:val="Compact"/>
              <w:jc w:val="left"/>
            </w:pPr>
            <w:r>
              <w:rPr>
                <w:b/>
                <w:bCs/>
              </w:rPr>
              <w:t xml:space="preserve">Outside Counsel of Record</w:t>
            </w:r>
          </w:p>
        </w:tc>
        <w:tc>
          <w:tcPr/>
          <w:p>
            <w:pPr>
              <w:pStyle w:val="Compact"/>
              <w:jc w:val="left"/>
            </w:pPr>
            <w:r>
              <w:t xml:space="preserve">Ashford &amp; Whitmore LLP, 1700 K Street NW, Suite 950, Washington, DC 20006; Catherine R. Bellingham, Esq., Partner; David Osei-Mensah, Esq., Senior Associate</w:t>
            </w:r>
          </w:p>
        </w:tc>
      </w:tr>
    </w:tbl>
    <w:p>
      <w:pPr>
        <w:pStyle w:val="BodyText"/>
      </w:pPr>
      <w:r>
        <w:t xml:space="preserve">Meridian is a U.S.-headquartered medical diagnostics manufacturer with no ownership, control, or affiliation by or with any person or entity appearing on the Specially Designated Nationals and Blocked Persons List (</w:t>
      </w:r>
      <w:r>
        <w:t xml:space="preserve">“</w:t>
      </w:r>
      <w:r>
        <w:t xml:space="preserve">SDN List</w:t>
      </w:r>
      <w:r>
        <w:t xml:space="preserve">”</w:t>
      </w:r>
      <w:r>
        <w:t xml:space="preserve">) or any other OFAC or U.S. Department of Commerce, Bureau of Industry and Security (</w:t>
      </w:r>
      <w:r>
        <w:t xml:space="preserve">“</w:t>
      </w:r>
      <w:r>
        <w:t xml:space="preserve">BIS</w:t>
      </w:r>
      <w:r>
        <w:t xml:space="preserve">”</w:t>
      </w:r>
      <w:r>
        <w:t xml:space="preserve">) restricted-party list. Meridian has no history of OFAC violations, civil monetary penalties, cautionary or warning letters, findings of violation, or voluntary self-disclosures.</w:t>
      </w:r>
    </w:p>
    <w:p>
      <w:r>
        <w:pict>
          <v:rect style="width:0;height:1.5pt" o:hralign="center" o:hrstd="t" o:hr="t"/>
        </w:pict>
      </w:r>
    </w:p>
    <w:bookmarkEnd w:id="20"/>
    <w:bookmarkStart w:id="21" w:name="Xc0b5ec8497ec440d3e8e1cce93e1c02b6cfae2c"/>
    <w:p>
      <w:pPr>
        <w:pStyle w:val="Heading2"/>
      </w:pPr>
      <w:r>
        <w:t xml:space="preserve">II. Description of the Proposed Transaction</w:t>
      </w:r>
    </w:p>
    <w:p>
      <w:pPr>
        <w:pStyle w:val="FirstParagraph"/>
      </w:pPr>
      <w:r>
        <w:t xml:space="preserve">Meridian proposes to export to DCUH, and to provide related remote training services to DCUH laboratory personnel, the following goods and services, with a total aggregate transaction value of</w:t>
      </w:r>
      <w:r>
        <w:t xml:space="preserve"> </w:t>
      </w:r>
      <w:r>
        <w:rPr>
          <w:b/>
          <w:bCs/>
        </w:rPr>
        <w:t xml:space="preserve">$1,280,000</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c>
          <w:tcPr/>
          <w:p>
            <w:pPr>
              <w:pStyle w:val="Compact"/>
              <w:jc w:val="left"/>
            </w:pPr>
            <w:r>
              <w:t xml:space="preserve">ECCN</w:t>
            </w:r>
          </w:p>
        </w:tc>
        <w:tc>
          <w:tcPr/>
          <w:p>
            <w:pPr>
              <w:pStyle w:val="Compact"/>
              <w:jc w:val="left"/>
            </w:pPr>
            <w:r>
              <w:t xml:space="preserve">HTS Code</w:t>
            </w:r>
          </w:p>
        </w:tc>
      </w:tr>
      <w:tr>
        <w:tc>
          <w:tcPr/>
          <w:p>
            <w:pPr>
              <w:pStyle w:val="Compact"/>
              <w:jc w:val="left"/>
            </w:pPr>
            <w:r>
              <w:t xml:space="preserve">1</w:t>
            </w:r>
          </w:p>
        </w:tc>
        <w:tc>
          <w:tcPr/>
          <w:p>
            <w:pPr>
              <w:pStyle w:val="Compact"/>
              <w:jc w:val="left"/>
            </w:pPr>
            <w:r>
              <w:t xml:space="preserve">CancerDetect RX-700 Reagent Kit (in vitro diagnostic reagent kit for immunohistochemical staining of breast cancer biomarkers HER2, ER, PR)</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 (benchtop laboratory calibration instrument)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3</w:t>
            </w:r>
          </w:p>
        </w:tc>
        <w:tc>
          <w:tcPr/>
          <w:p>
            <w:pPr>
              <w:pStyle w:val="Compact"/>
              <w:jc w:val="left"/>
            </w:pPr>
            <w:r>
              <w:t xml:space="preserve">Remote Installation &amp; Calibration Training (40 hours over 8 weeks via secure video link)</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N/A (services)</w:t>
            </w:r>
          </w:p>
        </w:tc>
        <w:tc>
          <w:tcPr/>
          <w:p>
            <w:pPr>
              <w:pStyle w:val="Compact"/>
              <w:jc w:val="left"/>
            </w:pPr>
            <w:r>
              <w:t xml:space="preserve">N/A</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c>
          <w:tcPr/>
          <w:p>
            <w:pPr>
              <w:pStyle w:val="Compact"/>
            </w:pPr>
          </w:p>
        </w:tc>
        <w:tc>
          <w:tcPr/>
          <w:p>
            <w:pPr>
              <w:pStyle w:val="Compact"/>
            </w:pPr>
          </w:p>
        </w:tc>
      </w:tr>
    </w:tbl>
    <w:p>
      <w:pPr>
        <w:pStyle w:val="BodyText"/>
      </w:pPr>
      <w:r>
        <w:t xml:space="preserve">The goods are manufactured exclusively at Meridian’s ISO 13485-certified facility in Cambridge, Massachusetts. The Proposed Transaction is a single, integrated commercial sale to DCUH pursuant to DCUH Purchase Order No. PO-DCUH-2024-0743, dated June 17, 2024 (Exhibit A). Meridian requests authorization to ship the authorized quantities in one or more lots, as cold-chain logistics capacity and reefer container availability may require.</w:t>
      </w:r>
    </w:p>
    <w:p>
      <w:r>
        <w:pict>
          <v:rect style="width:0;height:1.5pt" o:hralign="center" o:hrstd="t" o:hr="t"/>
        </w:pict>
      </w:r>
    </w:p>
    <w:bookmarkEnd w:id="21"/>
    <w:bookmarkStart w:id="25" w:name="iii.-the-goods-and-services"/>
    <w:p>
      <w:pPr>
        <w:pStyle w:val="Heading2"/>
      </w:pPr>
      <w:r>
        <w:t xml:space="preserve">III. The Goods and Services</w:t>
      </w:r>
    </w:p>
    <w:bookmarkStart w:id="22" w:name="cancerdetect-rx-700-reagent-kit"/>
    <w:p>
      <w:pPr>
        <w:pStyle w:val="Heading3"/>
      </w:pPr>
      <w:r>
        <w:t xml:space="preserve">3.1 CancerDetect RX-700 Reagent Kit</w:t>
      </w:r>
    </w:p>
    <w:p>
      <w:pPr>
        <w:pStyle w:val="FirstParagraph"/>
      </w:pPr>
      <w:r>
        <w:t xml:space="preserve">The CancerDetect RX-700 is an in vitro diagnostic (</w:t>
      </w:r>
      <w:r>
        <w:t xml:space="preserve">“</w:t>
      </w:r>
      <w:r>
        <w:t xml:space="preserve">IVD</w:t>
      </w:r>
      <w:r>
        <w:t xml:space="preserve">”</w:t>
      </w:r>
      <w:r>
        <w:t xml:space="preserve">) reagent kit for the immunohistochemical (</w:t>
      </w:r>
      <w:r>
        <w:t xml:space="preserve">“</w:t>
      </w:r>
      <w:r>
        <w:t xml:space="preserve">IHC</w:t>
      </w:r>
      <w:r>
        <w:t xml:space="preserve">”</w:t>
      </w:r>
      <w:r>
        <w:t xml:space="preserve">) staining of formalin-fixed, paraffin-embedded tissue biopsies, used for the identification and semi-quantitative assessment of breast cancer biomarkers — specifically HER2 (human epidermal growth factor receptor 2), ER (estrogen receptor), and PR (progesterone receptor). The kit is FDA 510(k) cleared (clearance number K213847) and has been validated for use with the Ventana BenchMark XT automated staining system, which is the platform currently installed at DCUH. Each kit processes approximately ten (10) tissue samples. The kit is classified</w:t>
      </w:r>
      <w:r>
        <w:t xml:space="preserve"> </w:t>
      </w:r>
      <w:r>
        <w:rPr>
          <w:b/>
          <w:bCs/>
        </w:rPr>
        <w:t xml:space="preserve">EAR99</w:t>
      </w:r>
      <w:r>
        <w:t xml:space="preserve"> </w:t>
      </w:r>
      <w:r>
        <w:t xml:space="preserve">under the Commerce Control List and carries HTS code 3822.19.5000. The kit contains no controlled technology or components. The kits require cold-chain handling at 2–8°C throughout transport and storage, have an 18-month shelf life from manufacture, and weigh approximately 1.8 kg per kit (approximately 1,500 kg total for 500 kits). Full specifications are provided at Exhibit C.</w:t>
      </w:r>
    </w:p>
    <w:bookmarkEnd w:id="22"/>
    <w:bookmarkStart w:id="23" w:name="calibpro-3100-calibration-unit"/>
    <w:p>
      <w:pPr>
        <w:pStyle w:val="Heading3"/>
      </w:pPr>
      <w:r>
        <w:t xml:space="preserve">3.2 CalibPro 3100 Calibration Unit</w:t>
      </w:r>
    </w:p>
    <w:p>
      <w:pPr>
        <w:pStyle w:val="FirstParagraph"/>
      </w:pPr>
      <w:r>
        <w:t xml:space="preserve">The CalibPro 3100 is a benchtop laboratory calibration instrument used to validate CancerDetect RX-700 reagent kit performance — including sensitivity, specificity, and staining uniformity — before clinical deployment. It is a required companion device to the reagent kits. The unit is classified</w:t>
      </w:r>
      <w:r>
        <w:t xml:space="preserve"> </w:t>
      </w:r>
      <w:r>
        <w:rPr>
          <w:b/>
          <w:bCs/>
        </w:rPr>
        <w:t xml:space="preserve">EAR99</w:t>
      </w:r>
      <w:r>
        <w:t xml:space="preserve"> </w:t>
      </w:r>
      <w:r>
        <w:t xml:space="preserve">under the Commerce Control List and carries HTS code 9027.80.4530. Each unit weighs 23 kg (92 kg total for four units) and operates on a 220V / 50 Hz power supply, compatible with the Syrian electrical grid. The unit contains embedded firmware (version 4.2.1) residing on a dedicated microcontroller. The firmware is not user-modifiable; firmware updates can be applied only via a Meridian-supplied authenticated package delivered on physical USB media. The firmware employs AES-128 encryption limited to internal data-integrity verification of calibration results; this encryption functionality does not exceed EAR de minimis thresholds for encryption items and does not alter the EAR99 classification. The unit has no wireless or network connectivity; data export is via a USB 2.0 port only. Full specifications are provided at Exhibit C.</w:t>
      </w:r>
    </w:p>
    <w:p>
      <w:pPr>
        <w:pStyle w:val="BodyText"/>
      </w:pPr>
      <w:r>
        <w:rPr>
          <w:b/>
          <w:bCs/>
        </w:rPr>
        <w:t xml:space="preserve">Important limitation requested.</w:t>
      </w:r>
      <w:r>
        <w:t xml:space="preserve"> </w:t>
      </w:r>
      <w:r>
        <w:t xml:space="preserve">Meridian expressly requests that any license issued in connection with this application authorize only the export of the CalibPro 3100 units with the factory-installed firmware version 4.2.1. Any subsequent firmware update, patch, or modification constitutes a separate transaction involving the transfer of additional technology and is</w:t>
      </w:r>
      <w:r>
        <w:t xml:space="preserve"> </w:t>
      </w:r>
      <w:r>
        <w:rPr>
          <w:b/>
          <w:bCs/>
        </w:rPr>
        <w:t xml:space="preserve">not</w:t>
      </w:r>
      <w:r>
        <w:t xml:space="preserve"> </w:t>
      </w:r>
      <w:r>
        <w:t xml:space="preserve">requested or authorized under this application; Meridian will seek independent authorization before providing any such update to units exported to Syria.</w:t>
      </w:r>
    </w:p>
    <w:bookmarkEnd w:id="23"/>
    <w:bookmarkStart w:id="24" w:name="Xfa962f2f01c414a0bec12ac55627239197e8269"/>
    <w:p>
      <w:pPr>
        <w:pStyle w:val="Heading3"/>
      </w:pPr>
      <w:r>
        <w:t xml:space="preserve">3.3 Remote Installation and Calibration Training</w:t>
      </w:r>
    </w:p>
    <w:p>
      <w:pPr>
        <w:pStyle w:val="FirstParagraph"/>
      </w:pPr>
      <w:r>
        <w:t xml:space="preserve">Meridian will provide approximately forty (40) hours of live remote installation guidance, calibration verification, and operator training, delivered over eight (8) weeks (approximately five hours per week) via secure video conferencing link from Meridian’s Field Applications Science team at its Cambridge, Massachusetts headquarters.</w:t>
      </w:r>
      <w:r>
        <w:t xml:space="preserve"> </w:t>
      </w:r>
      <w:r>
        <w:rPr>
          <w:b/>
          <w:bCs/>
        </w:rPr>
        <w:t xml:space="preserve">No Meridian personnel will travel to Syria or to any intermediary country.</w:t>
      </w:r>
      <w:r>
        <w:t xml:space="preserve"> </w:t>
      </w:r>
      <w:r>
        <w:t xml:space="preserve">The training curriculum comprises six modules covering system unpacking and setup, instrument schematics review, software diagnostic interface training, reagent kit calibration protocol, clinical workflow integration, and ongoing maintenance and troubleshooting. The flat fee for the complete training curriculum is $35,000. Training will be delivered in English, with Arabic-language summary handouts provided for each module. A minimum of two and maximum of six DCUH laboratory personnel will participate. Full curriculum details are provided at Exhibit C.</w:t>
      </w:r>
    </w:p>
    <w:p>
      <w:r>
        <w:pict>
          <v:rect style="width:0;height:1.5pt" o:hralign="center" o:hrstd="t" o:hr="t"/>
        </w:pict>
      </w:r>
    </w:p>
    <w:bookmarkEnd w:id="24"/>
    <w:bookmarkEnd w:id="25"/>
    <w:bookmarkStart w:id="29" w:name="iv.-end-user-and-end-use"/>
    <w:p>
      <w:pPr>
        <w:pStyle w:val="Heading2"/>
      </w:pPr>
      <w:r>
        <w:t xml:space="preserve">IV. End-User and End-Use</w:t>
      </w:r>
    </w:p>
    <w:bookmarkStart w:id="26" w:name="the-end-user"/>
    <w:p>
      <w:pPr>
        <w:pStyle w:val="Heading3"/>
      </w:pPr>
      <w:r>
        <w:t xml:space="preserve">4.1 The End-User</w:t>
      </w:r>
    </w:p>
    <w:p>
      <w:pPr>
        <w:pStyle w:val="FirstParagraph"/>
      </w:pPr>
      <w:r>
        <w:t xml:space="preserve">The sole end-user of the goods and services is</w:t>
      </w:r>
      <w:r>
        <w:t xml:space="preserve"> </w:t>
      </w:r>
      <w:r>
        <w:rPr>
          <w:b/>
          <w:bCs/>
        </w:rPr>
        <w:t xml:space="preserve">Damascus Central University Hospital</w:t>
      </w:r>
      <w:r>
        <w:t xml:space="preserve"> </w:t>
      </w:r>
      <w:r>
        <w:t xml:space="preserve">(</w:t>
      </w:r>
      <w:r>
        <w:t xml:space="preserve">“</w:t>
      </w:r>
      <w:r>
        <w:t xml:space="preserve">DCUH</w:t>
      </w:r>
      <w:r>
        <w:t xml:space="preserve">”</w:t>
      </w:r>
      <w:r>
        <w:t xml:space="preserve">) (Arabic:</w:t>
      </w:r>
      <w:r>
        <w:t xml:space="preserve"> </w:t>
      </w:r>
      <w:r>
        <w:rPr>
          <w:i/>
          <w:iCs/>
        </w:rPr>
        <w:t xml:space="preserve">Mustashfa Dimashq al-Markazi al-Jami’i</w:t>
      </w:r>
      <w:r>
        <w:t xml:space="preserve">), Al-Mazzeh Highway, Building 7, Damascus, Syrian Arab Republic. DCUH is a public teaching hospital affiliated with the University of Damascus, Faculty of Medicine, and operates under the administrative authority and budgetary oversight of the Syrian Ministry of Health. DCUH is directed by</w:t>
      </w:r>
      <w:r>
        <w:t xml:space="preserve"> </w:t>
      </w:r>
      <w:r>
        <w:rPr>
          <w:b/>
          <w:bCs/>
        </w:rPr>
        <w:t xml:space="preserve">Dr. Faisal Kareem Al-Masri</w:t>
      </w:r>
      <w:r>
        <w:t xml:space="preserve">, Hospital Director. DCUH operates a 140-bed oncology ward and is the largest remaining oncology referral center in Syria, processing approximately 3,800 tissue biopsies per year. DCUH is not independently listed on the SDN List or any other restricted-party list. As a public hospital operating under the Syrian Ministry of Health, DCUH is an instrumentality of the Government of Syria; the Proposed Transaction therefore requires specific OFAC authorization under 31 C.F.R. § 542.211.</w:t>
      </w:r>
    </w:p>
    <w:bookmarkEnd w:id="26"/>
    <w:bookmarkStart w:id="27" w:name="end-use"/>
    <w:p>
      <w:pPr>
        <w:pStyle w:val="Heading3"/>
      </w:pPr>
      <w:r>
        <w:t xml:space="preserve">4.2 End-Use</w:t>
      </w:r>
    </w:p>
    <w:p>
      <w:pPr>
        <w:pStyle w:val="FirstParagraph"/>
      </w:pPr>
      <w:r>
        <w:t xml:space="preserve">The goods and services are intended exclusively for clinical diagnostic use within the Oncology Department of DCUH. The CancerDetect RX-700 reagent kits will be used for IHC staining of tissue biopsy samples to identify breast cancer biomarkers (HER2, ER, PR) in patients referred to DCUH for oncological diagnosis. The CalibPro 3100 calibration units are required to validate and calibrate the reagent kits for use with the Ventana BenchMark XT tissue processing equipment installed at the DCUH Oncology Laboratory. The training services will enable DCUH laboratory personnel to install, calibrate, and operate the CalibPro 3100 units in accordance with manufacturer specifications. The requested quantity of 500 reagent kits is anticipated to meet DCUH’s diagnostic needs for approximately fifteen (15) months.</w:t>
      </w:r>
    </w:p>
    <w:bookmarkEnd w:id="27"/>
    <w:bookmarkStart w:id="28" w:name="non-diversion-and-end-use-assurances"/>
    <w:p>
      <w:pPr>
        <w:pStyle w:val="Heading3"/>
      </w:pPr>
      <w:r>
        <w:t xml:space="preserve">4.3 Non-Diversion and End-Use Assurances</w:t>
      </w:r>
    </w:p>
    <w:p>
      <w:pPr>
        <w:pStyle w:val="FirstParagraph"/>
      </w:pPr>
      <w:r>
        <w:t xml:space="preserve">DCUH has confirmed in its Purchase Order that the goods will not be re-exported, diverted, or transferred to any third party without the prior written consent of Meridian and in compliance with all applicable laws, and that the goods shall remain at all times within the custody and control of DCUH and be used solely for the clinical diagnostic purposes described above. Meridian will obtain from DCUH, prior to the first shipment, a standalone end-user certificate and non-diversion commitment in a form acceptable to OFAC (Exhibit H, to be provided), and will implement the end-use monitoring plan described at Section XIII.</w:t>
      </w:r>
    </w:p>
    <w:p>
      <w:r>
        <w:pict>
          <v:rect style="width:0;height:1.5pt" o:hralign="center" o:hrstd="t" o:hr="t"/>
        </w:pict>
      </w:r>
    </w:p>
    <w:bookmarkEnd w:id="28"/>
    <w:bookmarkEnd w:id="29"/>
    <w:bookmarkStart w:id="30" w:name="v.-humanitarian-justification"/>
    <w:p>
      <w:pPr>
        <w:pStyle w:val="Heading2"/>
      </w:pPr>
      <w:r>
        <w:t xml:space="preserve">V. Humanitarian Justification</w:t>
      </w:r>
    </w:p>
    <w:p>
      <w:pPr>
        <w:pStyle w:val="FirstParagraph"/>
      </w:pPr>
      <w:r>
        <w:t xml:space="preserve">The Proposed Transaction is a humanitarian export of essential cancer diagnostic supplies to the principal remaining oncology referral center in Syria. The humanitarian need is documented in the</w:t>
      </w:r>
      <w:r>
        <w:t xml:space="preserve"> </w:t>
      </w:r>
      <w:r>
        <w:rPr>
          <w:b/>
          <w:bCs/>
        </w:rPr>
        <w:t xml:space="preserve">World Health Organization Syria Country Office, Comprehensive Health Needs Assessment: Syrian Arab Republic — 2024 Update</w:t>
      </w:r>
      <w:r>
        <w:t xml:space="preserve"> </w:t>
      </w:r>
      <w:r>
        <w:t xml:space="preserve">(January 2024), Section 4.7 (WHO Reference No. WHO-SYR/HNA/2024-01) (Exhibit E), which identifies cancer diagnostics as a</w:t>
      </w:r>
      <w:r>
        <w:t xml:space="preserve"> </w:t>
      </w:r>
      <w:r>
        <w:rPr>
          <w:b/>
          <w:bCs/>
        </w:rPr>
        <w:t xml:space="preserve">critical gap</w:t>
      </w:r>
      <w:r>
        <w:t xml:space="preserve"> </w:t>
      </w:r>
      <w:r>
        <w:t xml:space="preserve">in the Syrian health system and specifically names DCUH. The WHO assessment establishes, among other things, that:</w:t>
      </w:r>
    </w:p>
    <w:p>
      <w:pPr>
        <w:pStyle w:val="Compact"/>
        <w:numPr>
          <w:ilvl w:val="0"/>
          <w:numId w:val="1001"/>
        </w:numPr>
      </w:pPr>
      <w:r>
        <w:t xml:space="preserve">Cancer incidence in Syria is estimated at approximately 22,000–25,000 new cases per year. Breast cancer is the most prevalent malignancy among Syrian women, accounting for approximately 33% of all female cancer diagnoses; HER2, ER, and PR biomarker testing directly determines eligibility for targeted therapies and guides treatment selection.</w:t>
      </w:r>
    </w:p>
    <w:p>
      <w:pPr>
        <w:pStyle w:val="Compact"/>
        <w:numPr>
          <w:ilvl w:val="0"/>
          <w:numId w:val="1001"/>
        </w:numPr>
      </w:pPr>
      <w:r>
        <w:t xml:space="preserve">Of approximately 14 functioning immunohistochemistry laboratories in Syria prior to 2011, only three remain partially operational as of January 2024, and none at full pre-conflict capacity.</w:t>
      </w:r>
    </w:p>
    <w:p>
      <w:pPr>
        <w:pStyle w:val="Compact"/>
        <w:numPr>
          <w:ilvl w:val="0"/>
          <w:numId w:val="1001"/>
        </w:numPr>
      </w:pPr>
      <w:r>
        <w:t xml:space="preserve">DCUH is the largest and most important remaining oncology referral center in Syria, operating a 140-bed oncology ward and processing approximately 3,800 tissue biopsies per year — the substantial majority of the country’s cancer diagnostic workload.</w:t>
      </w:r>
    </w:p>
    <w:p>
      <w:pPr>
        <w:pStyle w:val="Compact"/>
        <w:numPr>
          <w:ilvl w:val="0"/>
          <w:numId w:val="1001"/>
        </w:numPr>
      </w:pPr>
      <w:r>
        <w:t xml:space="preserve">The current diagnostic backlog at DCUH exceeds</w:t>
      </w:r>
      <w:r>
        <w:t xml:space="preserve"> </w:t>
      </w:r>
      <w:r>
        <w:rPr>
          <w:b/>
          <w:bCs/>
        </w:rPr>
        <w:t xml:space="preserve">14 months</w:t>
      </w:r>
      <w:r>
        <w:t xml:space="preserve">, forcing oncologists to initiate empiric chemotherapy without biomarker confirmation in many cases, resulting in suboptimal treatment, avoidable drug toxicity, and inefficient use of scarce oncological resources.</w:t>
      </w:r>
    </w:p>
    <w:p>
      <w:pPr>
        <w:pStyle w:val="Compact"/>
        <w:numPr>
          <w:ilvl w:val="0"/>
          <w:numId w:val="1001"/>
        </w:numPr>
      </w:pPr>
      <w:r>
        <w:t xml:space="preserve">The estimated five-year survival rate for breast cancer in Syria has declined from approximately 62% prior to 2011 to approximately 38% at present, attributable in significant part to prolonged delays in histopathological diagnosis and the inability to perform biomarker-guided treatment selection.</w:t>
      </w:r>
    </w:p>
    <w:p>
      <w:pPr>
        <w:pStyle w:val="Compact"/>
        <w:numPr>
          <w:ilvl w:val="0"/>
          <w:numId w:val="1001"/>
        </w:numPr>
      </w:pPr>
      <w:r>
        <w:t xml:space="preserve">DCUH’s existing calibration equipment has been reported as non-functional or beyond serviceable life, and no replacement units have been procured in recent years.</w:t>
      </w:r>
    </w:p>
    <w:p>
      <w:pPr>
        <w:pStyle w:val="FirstParagraph"/>
      </w:pPr>
      <w:r>
        <w:t xml:space="preserve">The WHO assessment expressly recommends (i) urgent procurement of validated IHC reagent kits compatible with existing tissue processing equipment at DCUH, with priority given to breast cancer biomarker panels (HER2, ER, PR); (ii) replacement and provision of laboratory calibration instruments to restore quality assurance capacity; (iii) technical training support for laboratory personnel, including remote training modalities; and (iv) international coordination to facilitate humanitarian exemptions and licensing for the import of essential medical diagnostic supplies into Syria.</w:t>
      </w:r>
    </w:p>
    <w:p>
      <w:pPr>
        <w:pStyle w:val="BodyText"/>
      </w:pPr>
      <w:r>
        <w:t xml:space="preserve">The Proposed Transaction directly responds to each of these recommendations. The CancerDetect RX-700 is the only FDA-cleared reagent kit validated for the Ventana BenchMark XT platform already installed at DCUH, meaning there is no substitute product that would satisfy the identified need. The CalibPro 3100 units replace DCUH’s non-functional calibration equipment. The remote training builds local diagnostic capacity without any U.S.-person travel to Syria. Meridian submits that the Proposed Transaction is fully consistent with the humanitarian purposes recognized under the Syrian Sanctions Regulations and with the humanitarian principles articulated by the WHO.</w:t>
      </w:r>
    </w:p>
    <w:p>
      <w:r>
        <w:pict>
          <v:rect style="width:0;height:1.5pt" o:hralign="center" o:hrstd="t" o:hr="t"/>
        </w:pict>
      </w:r>
    </w:p>
    <w:bookmarkEnd w:id="30"/>
    <w:bookmarkStart w:id="31" w:name="X309c20c06f508c3c1620bbd278a880e7978a0ef"/>
    <w:p>
      <w:pPr>
        <w:pStyle w:val="Heading2"/>
      </w:pPr>
      <w:r>
        <w:t xml:space="preserve">VI. Transaction Parties and Sanctions Screening</w:t>
      </w:r>
    </w:p>
    <w:p>
      <w:pPr>
        <w:pStyle w:val="FirstParagraph"/>
      </w:pPr>
      <w:r>
        <w:t xml:space="preserve">Meridian’s Compliance Department, under the direction of Chief Compliance Officer Margaret</w:t>
      </w:r>
      <w:r>
        <w:t xml:space="preserve"> </w:t>
      </w:r>
      <w:r>
        <w:t xml:space="preserve">“</w:t>
      </w:r>
      <w:r>
        <w:t xml:space="preserve">Peggy</w:t>
      </w:r>
      <w:r>
        <w:t xml:space="preserve">”</w:t>
      </w:r>
      <w:r>
        <w:t xml:space="preserve"> </w:t>
      </w:r>
      <w:r>
        <w:t xml:space="preserve">Dunleavy, conducted a comprehensive sanctions and restricted-party screening of all transaction parties, their directors, principals, officers, and — through Meridian’s enhanced real-time beneficial ownership screening platform (implemented January 2024) — their beneficial owners. Screening was completed on June 3, 2024 and is documented in the Compliance Screening Memorandum dated June 10, 2024 (Exhibit B). Parties were screened against the OFAC SDN List, the OFAC Consolidated Sanctions List (including the Non-SDN Menu-Based Sanctions List), the OFAC Sectoral Sanctions Identifications List, the BIS Entity List, the BIS Denied Persons List, the BIS Unverified List, and the United Nations Consolidated Sanctions List.</w:t>
      </w:r>
    </w:p>
    <w:p>
      <w:pPr>
        <w:pStyle w:val="BodyText"/>
      </w:pPr>
      <w:r>
        <w:t xml:space="preserve">The following table identifies all transaction parties and screening results.</w:t>
      </w:r>
      <w:r>
        <w:t xml:space="preserve"> </w:t>
      </w:r>
      <w:r>
        <w:rPr>
          <w:b/>
          <w:bCs/>
        </w:rPr>
        <w:t xml:space="preserve">Two matters identified during screening — involving the Syrian customs clearance agent and the remitting bank named in the DCUH Purchase Order — are disclosed in full at Section X, together with the mitigation measures Meridian has adopted.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Principal(s) Screened</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 / Manufacturer</w:t>
            </w:r>
          </w:p>
        </w:tc>
        <w:tc>
          <w:tcPr/>
          <w:p>
            <w:pPr>
              <w:pStyle w:val="Compact"/>
              <w:jc w:val="left"/>
            </w:pPr>
            <w:r>
              <w:t xml:space="preserve">4200 Lakeshore Boulevard, Suite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Al-Mazzeh Highway, Building 7, Damascus, Syria</w:t>
            </w:r>
          </w:p>
        </w:tc>
        <w:tc>
          <w:tcPr/>
          <w:p>
            <w:pPr>
              <w:pStyle w:val="Compact"/>
              <w:jc w:val="left"/>
            </w:pPr>
            <w:r>
              <w:t xml:space="preserve">Dr. Faisal Kareem Al-Masri (Hospital Director)</w:t>
            </w:r>
          </w:p>
        </w:tc>
        <w:tc>
          <w:tcPr/>
          <w:p>
            <w:pPr>
              <w:pStyle w:val="Compact"/>
              <w:jc w:val="left"/>
            </w:pPr>
            <w:r>
              <w:t xml:space="preserve">No independent listing (instrumentality of Government of Syria — see Section IV)</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Meridian’s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t xml:space="preserve">Al-Rashid Medical Procurement Company (ARMPC)</w:t>
            </w:r>
          </w:p>
        </w:tc>
        <w:tc>
          <w:tcPr/>
          <w:p>
            <w:pPr>
              <w:pStyle w:val="Compact"/>
              <w:jc w:val="left"/>
            </w:pPr>
            <w:r>
              <w:t xml:space="preserve">Customs clearance / import logistics agent named in PO</w:t>
            </w:r>
          </w:p>
        </w:tc>
        <w:tc>
          <w:tcPr/>
          <w:p>
            <w:pPr>
              <w:pStyle w:val="Compact"/>
              <w:jc w:val="left"/>
            </w:pPr>
            <w:r>
              <w:t xml:space="preserve">18 Barada Street, Floor 3, Damascus, Syria</w:t>
            </w:r>
          </w:p>
        </w:tc>
        <w:tc>
          <w:tcPr/>
          <w:p>
            <w:pPr>
              <w:pStyle w:val="Compact"/>
              <w:jc w:val="left"/>
            </w:pPr>
            <w:r>
              <w:t xml:space="preserve">Tariq Nabil Hammoud (Managing Director)</w:t>
            </w:r>
          </w:p>
        </w:tc>
        <w:tc>
          <w:tcPr/>
          <w:p>
            <w:pPr>
              <w:pStyle w:val="Compact"/>
              <w:jc w:val="left"/>
            </w:pPr>
            <w:r>
              <w:t xml:space="preserve">No entity match; no match on Hammoud;</w:t>
            </w:r>
            <w:r>
              <w:t xml:space="preserve"> </w:t>
            </w:r>
            <w:r>
              <w:rPr>
                <w:b/>
                <w:bCs/>
              </w:rPr>
              <w:t xml:space="preserve">30% shareholder Samir Daoud Khoury is SDN-listed — see Section X.A</w:t>
            </w:r>
          </w:p>
        </w:tc>
      </w:tr>
      <w:tr>
        <w:tc>
          <w:tcPr/>
          <w:p>
            <w:pPr>
              <w:pStyle w:val="Compact"/>
              <w:jc w:val="left"/>
            </w:pPr>
            <w:r>
              <w:t xml:space="preserve">Central Bank of Calverley (CBS)</w:t>
            </w:r>
          </w:p>
        </w:tc>
        <w:tc>
          <w:tcPr/>
          <w:p>
            <w:pPr>
              <w:pStyle w:val="Compact"/>
              <w:jc w:val="left"/>
            </w:pPr>
            <w:r>
              <w:t xml:space="preserve">Remitting bank named in PO</w:t>
            </w:r>
          </w:p>
        </w:tc>
        <w:tc>
          <w:tcPr/>
          <w:p>
            <w:pPr>
              <w:pStyle w:val="Compact"/>
              <w:jc w:val="left"/>
            </w:pPr>
            <w:r>
              <w:t xml:space="preserve">Damascus, Syria</w:t>
            </w:r>
          </w:p>
        </w:tc>
        <w:tc>
          <w:tcPr/>
          <w:p>
            <w:pPr>
              <w:pStyle w:val="Compact"/>
              <w:jc w:val="left"/>
            </w:pPr>
            <w:r>
              <w:t xml:space="preserve">N/A</w:t>
            </w:r>
          </w:p>
        </w:tc>
        <w:tc>
          <w:tcPr/>
          <w:p>
            <w:pPr>
              <w:pStyle w:val="Compact"/>
              <w:jc w:val="left"/>
            </w:pPr>
            <w:r>
              <w:rPr>
                <w:b/>
                <w:bCs/>
              </w:rPr>
              <w:t xml:space="preserve">SDN-listed — see Section X.B</w:t>
            </w:r>
          </w:p>
        </w:tc>
      </w:tr>
    </w:tbl>
    <w:p>
      <w:pPr>
        <w:pStyle w:val="BodyText"/>
      </w:pPr>
      <w:r>
        <w:t xml:space="preserve">Meridian will re-screen all transaction parties at 90-day intervals during the pendency of this application and immediately prior to any shipment if a license is granted, and will promptly report to OFAC any change in screening status.</w:t>
      </w:r>
    </w:p>
    <w:p>
      <w:r>
        <w:pict>
          <v:rect style="width:0;height:1.5pt" o:hralign="center" o:hrstd="t" o:hr="t"/>
        </w:pict>
      </w:r>
    </w:p>
    <w:bookmarkEnd w:id="31"/>
    <w:bookmarkStart w:id="32" w:name="vii.-shipping-route-and-logistics"/>
    <w:p>
      <w:pPr>
        <w:pStyle w:val="Heading2"/>
      </w:pPr>
      <w:r>
        <w:t xml:space="preserve">VII. Shipping Route and Logistics</w:t>
      </w:r>
    </w:p>
    <w:p>
      <w:pPr>
        <w:pStyle w:val="FirstParagraph"/>
      </w:pPr>
      <w:r>
        <w:t xml:space="preserve">The goods will be shipped from Meridian’s facility in Cambridge, Massachusetts to DCUH in Damascus, Syria, via the following five-leg route, developed by Pinnacle Freight International, Inc. (Exhibit 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 (refrigerated truck)</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warehousing at AMTW)</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refrigerated truck)</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 (overland; final delivery to DCUH)</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jc w:val="left"/>
            </w:pPr>
            <w:r>
              <w:rPr>
                <w:b/>
                <w:bCs/>
              </w:rPr>
              <w:t xml:space="preserve">30–42 days (~4–6 weeks); plan for 6–8 weeks</w:t>
            </w:r>
          </w:p>
        </w:tc>
      </w:tr>
    </w:tbl>
    <w:p>
      <w:pPr>
        <w:pStyle w:val="BodyText"/>
      </w:pPr>
      <w:r>
        <w:rPr>
          <w:b/>
          <w:bCs/>
        </w:rPr>
        <w:t xml:space="preserve">Incoterms:</w:t>
      </w:r>
      <w:r>
        <w:t xml:space="preserve"> </w:t>
      </w:r>
      <w:r>
        <w:t xml:space="preserve">DAP — Damascus, Syrian Arab Republic (Incoterms 2020).</w:t>
      </w:r>
    </w:p>
    <w:p>
      <w:pPr>
        <w:pStyle w:val="BodyText"/>
      </w:pPr>
      <w:r>
        <w:rPr>
          <w:b/>
          <w:bCs/>
        </w:rPr>
        <w:t xml:space="preserve">Cold-chain management.</w:t>
      </w:r>
      <w:r>
        <w:t xml:space="preserve"> </w:t>
      </w:r>
      <w:r>
        <w:t xml:space="preserve">Uninterrupted cold-chain integrity for the CancerDetect RX-700 reagent kits (2–8°C) is maintained throughout all legs. All kits ship in validated insulated containers with calibrated digital temperature data loggers recording at 15-minute intervals. The ocean-leg reefer container is set to 4°C ± 2°C with remote performance monitoring. The AMTW facility in Ankara maintains dedicated pharmaceutical-grade cold storage rated for the 2–8°C range. Final overland legs use refrigerated trucks. Temperature excursion events (above 8°C or below 2°C for more than 60 consecutive minutes) trigger immediate notification to Meridian’s quality assurance contact and preservation of all data-logger records. All temperature data logs will be compiled and provided to Meridian upon delivery for quality assurance and end-user documentation.</w:t>
      </w:r>
    </w:p>
    <w:p>
      <w:pPr>
        <w:pStyle w:val="BodyText"/>
      </w:pPr>
      <w:r>
        <w:rPr>
          <w:b/>
          <w:bCs/>
        </w:rPr>
        <w:t xml:space="preserve">Intermediaries.</w:t>
      </w:r>
      <w:r>
        <w:t xml:space="preserve"> </w:t>
      </w:r>
      <w:r>
        <w:t xml:space="preserve">Pinnacle Freight International, Inc. (U.S. freight forwarder) and Ankara Medical Transit Warehouse LLC (Turkish intermediary warehouse) both screened clean against all applicable sanctions and restricted-party lists, as did their respective principals. Transshipment through Turkey does not present sanctions concerns; Turkey is not a comprehensively sanctioned jurisdiction. The role of the Syrian customs clearance agent is addressed at Section X.A.</w:t>
      </w:r>
    </w:p>
    <w:p>
      <w:r>
        <w:pict>
          <v:rect style="width:0;height:1.5pt" o:hralign="center" o:hrstd="t" o:hr="t"/>
        </w:pict>
      </w:r>
    </w:p>
    <w:bookmarkEnd w:id="32"/>
    <w:bookmarkStart w:id="33" w:name="viii.-payment-terms"/>
    <w:p>
      <w:pPr>
        <w:pStyle w:val="Heading2"/>
      </w:pPr>
      <w:r>
        <w:t xml:space="preserve">VIII. Payment Terms</w:t>
      </w:r>
    </w:p>
    <w:p>
      <w:pPr>
        <w:pStyle w:val="FirstParagraph"/>
      </w:pPr>
      <w:r>
        <w:t xml:space="preserve">The DCUH Purchase Order specifies 100% advance payment by international wire transfer in U.S. dollars, with full payment remitted no later than fifteen (15) business days prior to the scheduled shipment date, to Meridian’s account at Harborview National Bank, Boston, Massachusetts (Account No. 7821-4490-3361).</w:t>
      </w:r>
    </w:p>
    <w:p>
      <w:pPr>
        <w:pStyle w:val="BodyText"/>
      </w:pPr>
      <w:r>
        <w:rPr>
          <w:b/>
          <w:bCs/>
        </w:rPr>
        <w:t xml:space="preserve">Restructured payment mechanism.</w:t>
      </w:r>
      <w:r>
        <w:t xml:space="preserve"> </w:t>
      </w:r>
      <w:r>
        <w:t xml:space="preserve">The Purchase Order, as originally issued, named the</w:t>
      </w:r>
      <w:r>
        <w:t xml:space="preserve"> </w:t>
      </w:r>
      <w:r>
        <w:rPr>
          <w:b/>
          <w:bCs/>
        </w:rPr>
        <w:t xml:space="preserve">Central Bank of Calverley</w:t>
      </w:r>
      <w:r>
        <w:t xml:space="preserve"> </w:t>
      </w:r>
      <w:r>
        <w:t xml:space="preserve">as the remitting bank. As disclosed at Section X.B, the Central Bank of Calverley is designated on the SDN List, and payment routed through it would constitute a prohibited transaction with a blocked person. Meridian will</w:t>
      </w:r>
      <w:r>
        <w:t xml:space="preserve"> </w:t>
      </w:r>
      <w:r>
        <w:rPr>
          <w:b/>
          <w:bCs/>
        </w:rPr>
        <w:t xml:space="preserve">not</w:t>
      </w:r>
      <w:r>
        <w:t xml:space="preserve"> </w:t>
      </w:r>
      <w:r>
        <w:t xml:space="preserve">route any payment through the Central Bank of Calverley or any other SDN-listed institution. Meridian is working with DCUH to establish an alternative payment channel through a</w:t>
      </w:r>
      <w:r>
        <w:t xml:space="preserve"> </w:t>
      </w:r>
      <w:r>
        <w:rPr>
          <w:b/>
          <w:bCs/>
        </w:rPr>
        <w:t xml:space="preserve">non-SDN-listed Syrian commercial bank</w:t>
      </w:r>
      <w:r>
        <w:t xml:space="preserve"> </w:t>
      </w:r>
      <w:r>
        <w:t xml:space="preserve">(to be identified and submitted to OFAC for confirmation prior to the first wire transfer), consistent with the payment mechanism authorized under Meridian’s prior specific license (SYR-2021-384712), which authorized payment via a non-SDN-listed Syrian commercial bank and expressly prohibited routing through the Central Bank of Calverley. Meridian requests that any license issued in connection with this application authorize payment via a non-SDN-listed Syrian commercial bank, to be identified and confirmed to OFAC prior to the first payment, and expressly prohibit routing of any payment through the Central Bank of Calverley or any other SDN-listed person or entity.</w:t>
      </w:r>
    </w:p>
    <w:p>
      <w:r>
        <w:pict>
          <v:rect style="width:0;height:1.5pt" o:hralign="center" o:hrstd="t" o:hr="t"/>
        </w:pict>
      </w:r>
    </w:p>
    <w:bookmarkEnd w:id="33"/>
    <w:bookmarkStart w:id="34" w:name="ix.-prior-ofac-license-history"/>
    <w:p>
      <w:pPr>
        <w:pStyle w:val="Heading2"/>
      </w:pPr>
      <w:r>
        <w:t xml:space="preserve">IX. Prior OFAC License History</w:t>
      </w:r>
    </w:p>
    <w:p>
      <w:pPr>
        <w:pStyle w:val="FirstParagraph"/>
      </w:pPr>
      <w:r>
        <w:t xml:space="preserve">Meridian previously held</w:t>
      </w:r>
      <w:r>
        <w:t xml:space="preserve"> </w:t>
      </w:r>
      <w:r>
        <w:rPr>
          <w:b/>
          <w:bCs/>
        </w:rPr>
        <w:t xml:space="preserve">OFAC Specific License No. SYR-2021-384712</w:t>
      </w:r>
      <w:r>
        <w:t xml:space="preserve">, issued by OFAC on September 14, 2021, under the Syrian Sanctions Regulations and E.O. 13582 (Exhibit F). That license authorized the export of 200 tuberculosis (TB) in vitro diagnostic reagent kits (TBDetect Pro-200; total authorized value $340,000; EAR99) to Al-Mujtahid Hospital, Damascus, Syria, for humanitarian medical use. The license was effective September 14, 2021 and expired March 31, 2023.</w:t>
      </w:r>
    </w:p>
    <w:p>
      <w:pPr>
        <w:pStyle w:val="BodyText"/>
      </w:pPr>
      <w:r>
        <w:t xml:space="preserve">Meridian completed all authorized shipments under SYR-2021-384712 by January 2023, with no violations, late filings, or deviations from license terms. All reporting conditions — including the 30-day post-shipment reports and the five-year recordkeeping requirement under 31 C.F.R. § 501.601 — were satisfied. Notably, that license (i) authorized payment via a non-SDN-listed Syrian commercial bank and expressly prohibited routing through the Central Bank of Calverley, and (ii) authorized direct shipment to the end-user with no procurement intermediary. Meridian’s successful administration of that license demonstrates its capacity to administer OFAC-licensed transactions in comprehensively sanctioned jurisdictions in full compliance with all conditions. Meridian has no record of OFAC violations, civil monetary penalties, enforcement actions, or voluntary self-disclosures.</w:t>
      </w:r>
    </w:p>
    <w:p>
      <w:r>
        <w:pict>
          <v:rect style="width:0;height:1.5pt" o:hralign="center" o:hrstd="t" o:hr="t"/>
        </w:pict>
      </w:r>
    </w:p>
    <w:bookmarkEnd w:id="34"/>
    <w:bookmarkStart w:id="37" w:name="X7d8cb280de25326f554b0580a232fef04d2bee2"/>
    <w:p>
      <w:pPr>
        <w:pStyle w:val="Heading2"/>
      </w:pPr>
      <w:r>
        <w:t xml:space="preserve">X. Disclosure of Sanctions-Related Matters and Mitigation Measures</w:t>
      </w:r>
    </w:p>
    <w:p>
      <w:pPr>
        <w:pStyle w:val="FirstParagraph"/>
      </w:pPr>
      <w:r>
        <w:t xml:space="preserve">In the course of pre-application screening, Meridian’s Compliance Department identified two matters involving parties named in the DCUH Purchase Order that present sanctions considerations. Meridian discloses these matters in full and describes below the mitigation measures it has adopted. Meridian submits that, with these mitigations, the Proposed Transaction as restructured involves no SDN-listed party and presents no prohibited nexus to any blocked person.</w:t>
      </w:r>
    </w:p>
    <w:bookmarkStart w:id="35" w:name="X9cf414d65dc2ba17a34bb63291bf257906a85b8"/>
    <w:p>
      <w:pPr>
        <w:pStyle w:val="Heading3"/>
      </w:pPr>
      <w:r>
        <w:t xml:space="preserve">X.A Al-Rashid Medical Procurement Company (ARMPC) and Samir Daoud Khoury</w:t>
      </w:r>
    </w:p>
    <w:p>
      <w:pPr>
        <w:pStyle w:val="FirstParagraph"/>
      </w:pPr>
      <w:r>
        <w:rPr>
          <w:b/>
          <w:bCs/>
        </w:rPr>
        <w:t xml:space="preserve">Disclosure.</w:t>
      </w:r>
      <w:r>
        <w:t xml:space="preserve"> </w:t>
      </w:r>
      <w:r>
        <w:t xml:space="preserve">The DCUH Purchase Order names Al-Rashid Medical Procurement Company (</w:t>
      </w:r>
      <w:r>
        <w:t xml:space="preserve">“</w:t>
      </w:r>
      <w:r>
        <w:t xml:space="preserve">ARMPC</w:t>
      </w:r>
      <w:r>
        <w:t xml:space="preserve">”</w:t>
      </w:r>
      <w:r>
        <w:t xml:space="preserve">), 18 Barada Street, Floor 3, Damascus, Syria (Managing Director: Tariq Nabil Hammoud), as the customs clearance and import logistics agent responsible for receiving shipments at the Syrian border and coordinating in-country delivery. ARMPC is not itself listed on the SDN List or any other restricted-party list, and Mr. Hammoud returned no matches. However, through Meridian’s enhanced beneficial ownership screening platform, Meridian identified that</w:t>
      </w:r>
      <w:r>
        <w:t xml:space="preserve"> </w:t>
      </w:r>
      <w:r>
        <w:rPr>
          <w:b/>
          <w:bCs/>
        </w:rPr>
        <w:t xml:space="preserve">Samir Daoud Khoury</w:t>
      </w:r>
      <w:r>
        <w:t xml:space="preserve"> </w:t>
      </w:r>
      <w:r>
        <w:t xml:space="preserve">holds a 30% ownership interest in ARMPC and that Mr. Khoury is designated on the SDN List. The listing details are:</w:t>
      </w:r>
    </w:p>
    <w:p>
      <w:pPr>
        <w:pStyle w:val="BlockText"/>
      </w:pPr>
      <w:r>
        <w:rPr>
          <w:b/>
          <w:bCs/>
        </w:rPr>
        <w:t xml:space="preserve">KHOURY, Samir Daoud</w:t>
      </w:r>
      <w:r>
        <w:t xml:space="preserve"> </w:t>
      </w:r>
      <w:r>
        <w:t xml:space="preserve">— DOB: March 12, 1971; Nationality: Syria; Passport No.: S-0048712; SDN List Addition Date: April 15, 2024; Basis for Designation: Acting on behalf of a sanctioned Syrian military procurement network.</w:t>
      </w:r>
    </w:p>
    <w:p>
      <w:pPr>
        <w:pStyle w:val="FirstParagraph"/>
      </w:pPr>
      <w:r>
        <w:rPr>
          <w:b/>
          <w:bCs/>
        </w:rPr>
        <w:t xml:space="preserve">50 Percent Rule analysis.</w:t>
      </w:r>
      <w:r>
        <w:t xml:space="preserve"> </w:t>
      </w:r>
      <w:r>
        <w:t xml:space="preserve">Under OFAC’s 50 Percent Rule, an entity is considered blocked only where SDN-listed persons own, individually or in the aggregate, 50% or more of the entity. Mr. Khoury’s 30% ownership stake falls below this threshold, and ARMPC is therefore not automatically considered a blocked entity under the Rule. Meridian nonetheless recognizes that the involvement of an SDN-listed shareholder in a transaction counterparty — particularly one designated for acting on behalf of a sanctioned Syrian military procurement network — presents material compliance risk, including the risk that any transaction with ARMPC could result in an indirect benefit to Mr. Khoury (for example, through his equity interest in the customs clearance fees paid to ARMPC).</w:t>
      </w:r>
    </w:p>
    <w:p>
      <w:pPr>
        <w:pStyle w:val="BodyText"/>
      </w:pPr>
      <w:r>
        <w:rPr>
          <w:b/>
          <w:bCs/>
        </w:rPr>
        <w:t xml:space="preserve">Mitigation.</w:t>
      </w:r>
      <w:r>
        <w:t xml:space="preserve"> </w:t>
      </w:r>
      <w:r>
        <w:t xml:space="preserve">Meridian has determined that</w:t>
      </w:r>
      <w:r>
        <w:t xml:space="preserve"> </w:t>
      </w:r>
      <w:r>
        <w:rPr>
          <w:b/>
          <w:bCs/>
        </w:rPr>
        <w:t xml:space="preserve">ARMPC will not participate in the Proposed Transaction.</w:t>
      </w:r>
      <w:r>
        <w:t xml:space="preserve"> </w:t>
      </w:r>
      <w:r>
        <w:t xml:space="preserve">Meridian is working with DCUH to designate an alternative Syrian customs clearance and import logistics agent that has been screened clean by Meridian’s compliance platform against all applicable sanctions and restricted-party lists, including beneficial ownership screening. The identity of the alternative agent will be submitted to OFAC for confirmation prior to the first shipment. Meridian requests that any license issued in connection with this application (i) authorize customs clearance and in-country delivery only by an agent that has been pre-screened and confirmed to OFAC as non-SDN and not owned 50% or more by any SDN-listed person, and (ii) prohibit the involvement of ARMPC, Mr. Khoury, and any other SDN-listed person or 50%-or-greater-owned entity in any transaction authorized under the license. In the event that DCUH is unable to identify an acceptable alternative agent, Meridian will so advise OFAC and will not proceed with any shipment absent further authorization.</w:t>
      </w:r>
    </w:p>
    <w:bookmarkEnd w:id="35"/>
    <w:bookmarkStart w:id="36" w:name="x.b-central-bank-of-calverley-cbs"/>
    <w:p>
      <w:pPr>
        <w:pStyle w:val="Heading3"/>
      </w:pPr>
      <w:r>
        <w:t xml:space="preserve">X.B Central Bank of Calverley (CBS)</w:t>
      </w:r>
    </w:p>
    <w:p>
      <w:pPr>
        <w:pStyle w:val="FirstParagraph"/>
      </w:pPr>
      <w:r>
        <w:rPr>
          <w:b/>
          <w:bCs/>
        </w:rPr>
        <w:t xml:space="preserve">Disclosure.</w:t>
      </w:r>
      <w:r>
        <w:t xml:space="preserve"> </w:t>
      </w:r>
      <w:r>
        <w:t xml:space="preserve">The DCUH Purchase Order specifies that payment be remitted by wire transfer from DCUH’s account at the</w:t>
      </w:r>
      <w:r>
        <w:t xml:space="preserve"> </w:t>
      </w:r>
      <w:r>
        <w:rPr>
          <w:b/>
          <w:bCs/>
        </w:rPr>
        <w:t xml:space="preserve">Central Bank of Calverley</w:t>
      </w:r>
      <w:r>
        <w:t xml:space="preserve"> </w:t>
      </w:r>
      <w:r>
        <w:t xml:space="preserve">(</w:t>
      </w:r>
      <w:r>
        <w:t xml:space="preserve">“</w:t>
      </w:r>
      <w:r>
        <w:t xml:space="preserve">CBS</w:t>
      </w:r>
      <w:r>
        <w:t xml:space="preserve">”</w:t>
      </w:r>
      <w:r>
        <w:t xml:space="preserve">), Damascus. CBS is designated on the SDN List (added August 10, 2011, pursuant to E.O. 13582). Payment routed through CBS would constitute a prohibited transaction with a blocked person under the Syrian Sanctions Regulations; no U.S. financial institution would be permitted to process such a transfer absent specific authorization, and any such funds received would be subject to blocking.</w:t>
      </w:r>
    </w:p>
    <w:p>
      <w:pPr>
        <w:pStyle w:val="BodyText"/>
      </w:pPr>
      <w:r>
        <w:rPr>
          <w:b/>
          <w:bCs/>
        </w:rPr>
        <w:t xml:space="preserve">Mitigation.</w:t>
      </w:r>
      <w:r>
        <w:t xml:space="preserve"> </w:t>
      </w:r>
      <w:r>
        <w:t xml:space="preserve">As described at Section VIII, Meridian will</w:t>
      </w:r>
      <w:r>
        <w:t xml:space="preserve"> </w:t>
      </w:r>
      <w:r>
        <w:rPr>
          <w:b/>
          <w:bCs/>
        </w:rPr>
        <w:t xml:space="preserve">not</w:t>
      </w:r>
      <w:r>
        <w:t xml:space="preserve"> </w:t>
      </w:r>
      <w:r>
        <w:t xml:space="preserve">route any payment through CBS or any other SDN-listed institution. Meridian is establishing an alternative payment channel through a non-SDN-listed Syrian commercial bank, consistent with the mechanism authorized under Meridian’s prior specific license (SYR-2021-384712). Meridian requests that any license issued in connection with this application expressly prohibit the routing of any payment through CBS or any other SDN-listed person or entity, and authorize payment only via a non-SDN-listed financial institution to be identified and confirmed to OFAC prior to the first payment.</w:t>
      </w:r>
    </w:p>
    <w:p>
      <w:r>
        <w:pict>
          <v:rect style="width:0;height:1.5pt" o:hralign="center" o:hrstd="t" o:hr="t"/>
        </w:pict>
      </w:r>
    </w:p>
    <w:bookmarkEnd w:id="36"/>
    <w:bookmarkEnd w:id="37"/>
    <w:bookmarkStart w:id="38" w:name="xi.-applicants-ofac-compliance-program"/>
    <w:p>
      <w:pPr>
        <w:pStyle w:val="Heading2"/>
      </w:pPr>
      <w:r>
        <w:t xml:space="preserve">XI. Applicant’s OFAC Compliance Program</w:t>
      </w:r>
    </w:p>
    <w:p>
      <w:pPr>
        <w:pStyle w:val="FirstParagraph"/>
      </w:pPr>
      <w:r>
        <w:t xml:space="preserve">Meridian maintains a comprehensive OFAC sanctions compliance program that has been in place since 2015. The program was most recently independently audited by</w:t>
      </w:r>
      <w:r>
        <w:t xml:space="preserve"> </w:t>
      </w:r>
      <w:r>
        <w:rPr>
          <w:b/>
          <w:bCs/>
        </w:rPr>
        <w:t xml:space="preserve">Graystone Compliance Partners LLC</w:t>
      </w:r>
      <w:r>
        <w:t xml:space="preserve"> </w:t>
      </w:r>
      <w:r>
        <w:t xml:space="preserve">in September 2023, which assigned the program an overall rating of</w:t>
      </w:r>
      <w:r>
        <w:t xml:space="preserve"> </w:t>
      </w:r>
      <w:r>
        <w:rPr>
          <w:b/>
          <w:bCs/>
        </w:rPr>
        <w:t xml:space="preserve">“</w:t>
      </w:r>
      <w:r>
        <w:rPr>
          <w:b/>
          <w:bCs/>
        </w:rPr>
        <w:t xml:space="preserve">Satisfactory with Recommendations</w:t>
      </w:r>
      <w:r>
        <w:rPr>
          <w:b/>
          <w:bCs/>
        </w:rPr>
        <w:t xml:space="preserve">”</w:t>
      </w:r>
      <w:r>
        <w:t xml:space="preserve"> </w:t>
      </w:r>
      <w:r>
        <w:t xml:space="preserve">under a four-tier rating system benchmarked to OFAC’s</w:t>
      </w:r>
      <w:r>
        <w:t xml:space="preserve"> </w:t>
      </w:r>
      <w:r>
        <w:t xml:space="preserve">“</w:t>
      </w:r>
      <w:r>
        <w:t xml:space="preserve">A Framework for OFAC Compliance Commitments</w:t>
      </w:r>
      <w:r>
        <w:t xml:space="preserve">”</w:t>
      </w:r>
      <w:r>
        <w:t xml:space="preserve"> </w:t>
      </w:r>
      <w:r>
        <w:t xml:space="preserve">(May 2019) (Exhibit G). The audit identified the following program strengths:</w:t>
      </w:r>
    </w:p>
    <w:p>
      <w:pPr>
        <w:pStyle w:val="Compact"/>
        <w:numPr>
          <w:ilvl w:val="0"/>
          <w:numId w:val="1002"/>
        </w:numPr>
      </w:pPr>
      <w:r>
        <w:rPr>
          <w:b/>
          <w:bCs/>
        </w:rPr>
        <w:t xml:space="preserve">Management commitment.</w:t>
      </w:r>
      <w:r>
        <w:t xml:space="preserve"> </w:t>
      </w:r>
      <w:r>
        <w:t xml:space="preserve">Visible executive support from the CEO and General Counsel; the Chief Compliance Officer reports to the General Counsel and maintains a standing quarterly briefing to the Board’s Audit Committee.</w:t>
      </w:r>
    </w:p>
    <w:p>
      <w:pPr>
        <w:pStyle w:val="Compact"/>
        <w:numPr>
          <w:ilvl w:val="0"/>
          <w:numId w:val="1002"/>
        </w:numPr>
      </w:pPr>
      <w:r>
        <w:rPr>
          <w:b/>
          <w:bCs/>
        </w:rPr>
        <w:t xml:space="preserve">Written policies and procedures.</w:t>
      </w:r>
      <w:r>
        <w:t xml:space="preserve"> </w:t>
      </w:r>
      <w:r>
        <w:t xml:space="preserve">A comprehensive Sanctions Compliance Manual (last updated March 2023) covering OFAC, BIS/EAR, and anti-boycott requirements, including the export of physical goods and the provision of remote services, with clear escalation procedures.</w:t>
      </w:r>
    </w:p>
    <w:p>
      <w:pPr>
        <w:pStyle w:val="Compact"/>
        <w:numPr>
          <w:ilvl w:val="0"/>
          <w:numId w:val="1002"/>
        </w:numPr>
      </w:pPr>
      <w:r>
        <w:rPr>
          <w:b/>
          <w:bCs/>
        </w:rPr>
        <w:t xml:space="preserve">Screening protocols.</w:t>
      </w:r>
      <w:r>
        <w:t xml:space="preserve"> </w:t>
      </w:r>
      <w:r>
        <w:t xml:space="preserve">Automated screening of all counterparties, end-users, intermediaries, freight forwarders, and financial institutions against the SDN List, the Consolidated Screening List, EU sanctions lists, and UN sanctions lists, conducted at transaction initiation and at each material milestone (shipment and payment).</w:t>
      </w:r>
    </w:p>
    <w:p>
      <w:pPr>
        <w:pStyle w:val="Compact"/>
        <w:numPr>
          <w:ilvl w:val="0"/>
          <w:numId w:val="1002"/>
        </w:numPr>
      </w:pPr>
      <w:r>
        <w:rPr>
          <w:b/>
          <w:bCs/>
        </w:rPr>
        <w:t xml:space="preserve">Training.</w:t>
      </w:r>
      <w:r>
        <w:t xml:space="preserve"> </w:t>
      </w:r>
      <w:r>
        <w:t xml:space="preserve">Annual OFAC and sanctions compliance training completed by 97% of relevant personnel in fiscal year 2023, with targeted supplemental training for international sales, logistics, and finance teams.</w:t>
      </w:r>
    </w:p>
    <w:p>
      <w:pPr>
        <w:pStyle w:val="Compact"/>
        <w:numPr>
          <w:ilvl w:val="0"/>
          <w:numId w:val="1002"/>
        </w:numPr>
      </w:pPr>
      <w:r>
        <w:rPr>
          <w:b/>
          <w:bCs/>
        </w:rPr>
        <w:t xml:space="preserve">Recordkeeping.</w:t>
      </w:r>
      <w:r>
        <w:t xml:space="preserve"> </w:t>
      </w:r>
      <w:r>
        <w:t xml:space="preserve">Transaction files maintained for a minimum of five years in accordance with 31 C.F.R. § 501.601, with electronic backup and indexing for rapid retrieval.</w:t>
      </w:r>
    </w:p>
    <w:p>
      <w:pPr>
        <w:pStyle w:val="Compact"/>
        <w:numPr>
          <w:ilvl w:val="0"/>
          <w:numId w:val="1002"/>
        </w:numPr>
      </w:pPr>
      <w:r>
        <w:rPr>
          <w:b/>
          <w:bCs/>
        </w:rPr>
        <w:t xml:space="preserve">No enforcement history.</w:t>
      </w:r>
      <w:r>
        <w:t xml:space="preserve"> </w:t>
      </w:r>
      <w:r>
        <w:t xml:space="preserve">No OFAC violations, civil monetary penalties, cautionary letters, warning letters, findings of violation, or voluntary self-disclosures.</w:t>
      </w:r>
    </w:p>
    <w:p>
      <w:pPr>
        <w:pStyle w:val="FirstParagraph"/>
      </w:pPr>
      <w:r>
        <w:t xml:space="preserve">In response to the high-priority recommendation in the Graystone audit, Meridian implemented</w:t>
      </w:r>
      <w:r>
        <w:t xml:space="preserve"> </w:t>
      </w:r>
      <w:r>
        <w:rPr>
          <w:b/>
          <w:bCs/>
        </w:rPr>
        <w:t xml:space="preserve">enhanced real-time beneficial ownership screening</w:t>
      </w:r>
      <w:r>
        <w:t xml:space="preserve"> </w:t>
      </w:r>
      <w:r>
        <w:t xml:space="preserve">in January 2024 — the very capability that identified the ARMPC/Khoury matter disclosed at Section X.A. Meridian is also implementing the audit’s recommendations regarding end-use monitoring for licensed transactions (reflected in the end-use monitoring plan at Section XIII) and documentation of sanctions risk assessments for new products (including embedded software, firmware, and encryption considerations, addressed in the product classification analysis at Section III).</w:t>
      </w:r>
    </w:p>
    <w:p>
      <w:r>
        <w:pict>
          <v:rect style="width:0;height:1.5pt" o:hralign="center" o:hrstd="t" o:hr="t"/>
        </w:pict>
      </w:r>
    </w:p>
    <w:bookmarkEnd w:id="38"/>
    <w:bookmarkStart w:id="39" w:name="xii.-export-control-classification"/>
    <w:p>
      <w:pPr>
        <w:pStyle w:val="Heading2"/>
      </w:pPr>
      <w:r>
        <w:t xml:space="preserve">XII. Export Control Classification</w:t>
      </w:r>
    </w:p>
    <w:p>
      <w:pPr>
        <w:pStyle w:val="FirstParagraph"/>
      </w:pPr>
      <w:r>
        <w:t xml:space="preserve">Both physical products are classified</w:t>
      </w:r>
      <w:r>
        <w:t xml:space="preserve"> </w:t>
      </w:r>
      <w:r>
        <w:rPr>
          <w:b/>
          <w:bCs/>
        </w:rPr>
        <w:t xml:space="preserve">EAR99</w:t>
      </w:r>
      <w:r>
        <w:t xml:space="preserve"> </w:t>
      </w:r>
      <w:r>
        <w:t xml:space="preserve">under the Commerce Control List maintained by BIS. EAR99 classification does not exempt the items from the Syria sanctions program; Syria is subject to a comprehensive U.S. sanctions program, and OFAC authorization is required for the export of EAR99 items to Syria. The CalibPro 3100 embedded firmware (version 4.2.1) has been reviewed by Meridian’s engineering and regulatory teams; its AES-128 encryption functionality is limited to internal data-integrity verification, does not exceed EAR de minimis thresholds for encryption items, and does not alter the EAR99 classification. The remote training services involve the release of technology and technical assistance related to EAR99 items; no separate BIS export license is required on export-control grounds, but OFAC authorization is required for the provision of services to Syria. As noted at Section III.2, any future firmware update is a separate transaction not requested under this application.</w:t>
      </w:r>
    </w:p>
    <w:p>
      <w:r>
        <w:pict>
          <v:rect style="width:0;height:1.5pt" o:hralign="center" o:hrstd="t" o:hr="t"/>
        </w:pict>
      </w:r>
    </w:p>
    <w:bookmarkEnd w:id="39"/>
    <w:bookmarkStart w:id="40" w:name="X277117a441bcd8047710997f4a4cefba69924e0"/>
    <w:p>
      <w:pPr>
        <w:pStyle w:val="Heading2"/>
      </w:pPr>
      <w:r>
        <w:t xml:space="preserve">XIII. Requested License Terms, Scope, and Conditions</w:t>
      </w:r>
    </w:p>
    <w:p>
      <w:pPr>
        <w:pStyle w:val="FirstParagraph"/>
      </w:pPr>
      <w:r>
        <w:t xml:space="preserve">Meridian respectfully requests a specific license authorizing the Proposed Transaction on the following terms and conditions:</w:t>
      </w:r>
    </w:p>
    <w:p>
      <w:pPr>
        <w:numPr>
          <w:ilvl w:val="0"/>
          <w:numId w:val="1003"/>
        </w:numPr>
      </w:pPr>
      <w:r>
        <w:rPr>
          <w:b/>
          <w:bCs/>
        </w:rPr>
        <w:t xml:space="preserve">Licensee.</w:t>
      </w:r>
      <w:r>
        <w:t xml:space="preserve"> </w:t>
      </w:r>
      <w:r>
        <w:t xml:space="preserve">Meridian Biotech Solutions, Inc. (EIN 47-3928104).</w:t>
      </w:r>
    </w:p>
    <w:p>
      <w:pPr>
        <w:numPr>
          <w:ilvl w:val="0"/>
          <w:numId w:val="1003"/>
        </w:numPr>
      </w:pPr>
      <w:r>
        <w:rPr>
          <w:b/>
          <w:bCs/>
        </w:rPr>
        <w:t xml:space="preserve">Authorized transaction.</w:t>
      </w:r>
      <w:r>
        <w:t xml:space="preserve"> </w:t>
      </w:r>
      <w:r>
        <w:t xml:space="preserve">The export to DCUH, Damascus, Syria, of up to 500 CancerDetect RX-700 reagent kits (EAR99; HTS 3822.19.5000) and 4 CalibPro 3100 calibration units (EAR99; HTS 9027.80.4530), together with the provision of up to 40 hours of remote installation and calibration training services via secure video link from the United States, in one or more lots, with a total aggregate transaction value not to exceed $1,280,000.</w:t>
      </w:r>
    </w:p>
    <w:p>
      <w:pPr>
        <w:numPr>
          <w:ilvl w:val="0"/>
          <w:numId w:val="1003"/>
        </w:numPr>
      </w:pPr>
      <w:r>
        <w:rPr>
          <w:b/>
          <w:bCs/>
        </w:rPr>
        <w:t xml:space="preserve">End-user and end-use.</w:t>
      </w:r>
      <w:r>
        <w:t xml:space="preserve"> </w:t>
      </w:r>
      <w:r>
        <w:t xml:space="preserve">The authorized goods and services are authorized solely for clinical diagnostic use within the Oncology Department of DCUH and shall not be diverted, re-exported, or transferred to any other party or end-user within Syria or any other country without prior written authorization from OFAC.</w:t>
      </w:r>
    </w:p>
    <w:p>
      <w:pPr>
        <w:numPr>
          <w:ilvl w:val="0"/>
          <w:numId w:val="1003"/>
        </w:numPr>
      </w:pPr>
      <w:r>
        <w:rPr>
          <w:b/>
          <w:bCs/>
        </w:rPr>
        <w:t xml:space="preserve">Effective date and expiration.</w:t>
      </w:r>
      <w:r>
        <w:t xml:space="preserve"> </w:t>
      </w:r>
      <w:r>
        <w:t xml:space="preserve">Effective September 1, 2024; expiration February 28, 2026. All authorized transactions must be completed on or before the expiration date.</w:t>
      </w:r>
    </w:p>
    <w:p>
      <w:pPr>
        <w:numPr>
          <w:ilvl w:val="0"/>
          <w:numId w:val="1003"/>
        </w:numPr>
      </w:pPr>
      <w:r>
        <w:rPr>
          <w:b/>
          <w:bCs/>
        </w:rPr>
        <w:t xml:space="preserve">No SDN involvement.</w:t>
      </w:r>
      <w:r>
        <w:t xml:space="preserve"> </w:t>
      </w:r>
      <w:r>
        <w:t xml:space="preserve">The license does not authorize any transaction involving any person on the SDN List or any entity in which an SDN-listed person holds, individually or in the aggregate, a 50% or greater ownership interest. ARMPC, Samir Daoud Khoury, and the Central Bank of Calverley are expressly excluded from any authorization.</w:t>
      </w:r>
    </w:p>
    <w:p>
      <w:pPr>
        <w:numPr>
          <w:ilvl w:val="0"/>
          <w:numId w:val="1003"/>
        </w:numPr>
      </w:pPr>
      <w:r>
        <w:rPr>
          <w:b/>
          <w:bCs/>
        </w:rPr>
        <w:t xml:space="preserve">Customs clearance agent.</w:t>
      </w:r>
      <w:r>
        <w:t xml:space="preserve"> </w:t>
      </w:r>
      <w:r>
        <w:t xml:space="preserve">Syrian customs clearance and in-country delivery shall be performed only by an agent that has been pre-screened by Meridian and confirmed to OFAC as non-SDN and not owned 50% or more by any SDN-listed person, prior to the first shipment. ARMPC shall not be used.</w:t>
      </w:r>
    </w:p>
    <w:p>
      <w:pPr>
        <w:numPr>
          <w:ilvl w:val="0"/>
          <w:numId w:val="1003"/>
        </w:numPr>
      </w:pPr>
      <w:r>
        <w:rPr>
          <w:b/>
          <w:bCs/>
        </w:rPr>
        <w:t xml:space="preserve">Payment.</w:t>
      </w:r>
      <w:r>
        <w:t xml:space="preserve"> </w:t>
      </w:r>
      <w:r>
        <w:t xml:space="preserve">Payment shall be effected only by wire transfer through a non-SDN-listed financial institution, to be identified and confirmed to OFAC prior to the first payment. No payment shall be routed through the Central Bank of Calverley or any other SDN-listed person or entity.</w:t>
      </w:r>
    </w:p>
    <w:p>
      <w:pPr>
        <w:numPr>
          <w:ilvl w:val="0"/>
          <w:numId w:val="1003"/>
        </w:numPr>
      </w:pPr>
      <w:r>
        <w:rPr>
          <w:b/>
          <w:bCs/>
        </w:rPr>
        <w:t xml:space="preserve">Firmware.</w:t>
      </w:r>
      <w:r>
        <w:t xml:space="preserve"> </w:t>
      </w:r>
      <w:r>
        <w:t xml:space="preserve">The license authorizes export of the CalibPro 3100 only with factory-installed firmware version 4.2.1. Any firmware update, patch, or modification is not authorized and requires independent authorization.</w:t>
      </w:r>
    </w:p>
    <w:p>
      <w:pPr>
        <w:numPr>
          <w:ilvl w:val="0"/>
          <w:numId w:val="1003"/>
        </w:numPr>
      </w:pPr>
      <w:r>
        <w:rPr>
          <w:b/>
          <w:bCs/>
        </w:rPr>
        <w:t xml:space="preserve">No travel.</w:t>
      </w:r>
      <w:r>
        <w:t xml:space="preserve"> </w:t>
      </w:r>
      <w:r>
        <w:t xml:space="preserve">No U.S. person shall travel to Syria or any intermediary country in connection with the authorized transaction; all training is delivered remotely from the United States.</w:t>
      </w:r>
    </w:p>
    <w:p>
      <w:pPr>
        <w:numPr>
          <w:ilvl w:val="0"/>
          <w:numId w:val="1003"/>
        </w:numPr>
      </w:pPr>
      <w:r>
        <w:rPr>
          <w:b/>
          <w:bCs/>
        </w:rPr>
        <w:t xml:space="preserve">Recordkeeping.</w:t>
      </w:r>
      <w:r>
        <w:t xml:space="preserve"> </w:t>
      </w:r>
      <w:r>
        <w:t xml:space="preserve">Meridian shall maintain complete records of all transactions conducted pursuant to the license for not less than five (5) years from the date of the last transaction, in accordance with 31 C.F.R. § 501.601.</w:t>
      </w:r>
    </w:p>
    <w:p>
      <w:pPr>
        <w:numPr>
          <w:ilvl w:val="0"/>
          <w:numId w:val="1003"/>
        </w:numPr>
      </w:pPr>
      <w:r>
        <w:rPr>
          <w:b/>
          <w:bCs/>
        </w:rPr>
        <w:t xml:space="preserve">Reporting.</w:t>
      </w:r>
      <w:r>
        <w:t xml:space="preserve"> </w:t>
      </w:r>
      <w:r>
        <w:t xml:space="preserve">Meridian shall submit a written report to OFAC within thirty (30) days of the completion of each shipment, including proof of delivery, copies of shipping documents, temperature data-logger records, and confirmation of end-user receipt.</w:t>
      </w:r>
    </w:p>
    <w:p>
      <w:pPr>
        <w:numPr>
          <w:ilvl w:val="0"/>
          <w:numId w:val="1003"/>
        </w:numPr>
      </w:pPr>
      <w:r>
        <w:rPr>
          <w:b/>
          <w:bCs/>
        </w:rPr>
        <w:t xml:space="preserve">End-use monitoring.</w:t>
      </w:r>
      <w:r>
        <w:t xml:space="preserve"> </w:t>
      </w:r>
      <w:r>
        <w:t xml:space="preserve">Meridian shall implement a written end-use monitoring plan, including (a) delivery confirmation with photographic or documentary evidence; (b) an end-user certificate and non-diversion commitment executed by DCUH; (c) periodic usage reporting at no less than annual intervals; and (d) a mechanism for site verification, remote or in-person, as feasible.</w:t>
      </w:r>
    </w:p>
    <w:p>
      <w:pPr>
        <w:numPr>
          <w:ilvl w:val="0"/>
          <w:numId w:val="1003"/>
        </w:numPr>
      </w:pPr>
      <w:r>
        <w:rPr>
          <w:b/>
          <w:bCs/>
        </w:rPr>
        <w:t xml:space="preserve">Re-screening.</w:t>
      </w:r>
      <w:r>
        <w:t xml:space="preserve"> </w:t>
      </w:r>
      <w:r>
        <w:t xml:space="preserve">Meridian shall re-screen all transaction parties at 90-day intervals during the pendency of the license and immediately prior to any shipment, and shall promptly report to OFAC any change in screening status.</w:t>
      </w:r>
    </w:p>
    <w:p>
      <w:pPr>
        <w:numPr>
          <w:ilvl w:val="0"/>
          <w:numId w:val="1003"/>
        </w:numPr>
      </w:pPr>
      <w:r>
        <w:rPr>
          <w:b/>
          <w:bCs/>
        </w:rPr>
        <w:t xml:space="preserve">EAR compliance.</w:t>
      </w:r>
      <w:r>
        <w:t xml:space="preserve"> </w:t>
      </w:r>
      <w:r>
        <w:t xml:space="preserve">The license does not relieve Meridian of any obligations under the Export Administration Regulations, 15 C.F.R. Parts 730–774.</w:t>
      </w:r>
    </w:p>
    <w:p>
      <w:pPr>
        <w:numPr>
          <w:ilvl w:val="0"/>
          <w:numId w:val="1003"/>
        </w:numPr>
      </w:pPr>
      <w:r>
        <w:rPr>
          <w:b/>
          <w:bCs/>
        </w:rPr>
        <w:t xml:space="preserve">Material changes.</w:t>
      </w:r>
      <w:r>
        <w:t xml:space="preserve"> </w:t>
      </w:r>
      <w:r>
        <w:t xml:space="preserve">Any material change in the facts or circumstances described in this application shall be reported to OFAC promptly and may require amendment or reissuance of the license.</w:t>
      </w:r>
    </w:p>
    <w:p>
      <w:pPr>
        <w:numPr>
          <w:ilvl w:val="0"/>
          <w:numId w:val="1003"/>
        </w:numPr>
      </w:pPr>
      <w:r>
        <w:rPr>
          <w:b/>
          <w:bCs/>
        </w:rPr>
        <w:t xml:space="preserve">No transfer.</w:t>
      </w:r>
      <w:r>
        <w:t xml:space="preserve"> </w:t>
      </w:r>
      <w:r>
        <w:t xml:space="preserve">The license is issued to Meridian only and may not be transferred or assigned without prior written authorization from OFAC.</w:t>
      </w:r>
    </w:p>
    <w:p>
      <w:r>
        <w:pict>
          <v:rect style="width:0;height:1.5pt" o:hralign="center" o:hrstd="t" o:hr="t"/>
        </w:pict>
      </w:r>
    </w:p>
    <w:bookmarkEnd w:id="40"/>
    <w:bookmarkStart w:id="41" w:name="xiv.-certifications-and-undertakings"/>
    <w:p>
      <w:pPr>
        <w:pStyle w:val="Heading2"/>
      </w:pPr>
      <w:r>
        <w:t xml:space="preserve">XIV. Certifications and Undertakings</w:t>
      </w:r>
    </w:p>
    <w:p>
      <w:pPr>
        <w:pStyle w:val="FirstParagraph"/>
      </w:pPr>
      <w:r>
        <w:t xml:space="preserve">Meridian certifies and undertakes that: (i) the information set forth in this application and the accompanying exhibits is true, accurate, and complete to the best of its knowledge; (ii) the authorized goods and services will be used solely for the humanitarian clinical diagnostic purposes described herein and will not be diverted; (iii) no SDN-listed person or 50%-or-greater SDN-owned entity will participate in any authorized transaction; (iv) no payment will be routed through any SDN-listed financial institution; (v) Meridian will comply with all conditions of any license issued and with all applicable OFAC and BIS regulations; and (vi) Meridian will promptly report to OFAC any material change in the facts or circumstances described herein.</w:t>
      </w:r>
    </w:p>
    <w:p>
      <w:r>
        <w:pict>
          <v:rect style="width:0;height:1.5pt" o:hralign="center" o:hrstd="t" o:hr="t"/>
        </w:pict>
      </w:r>
    </w:p>
    <w:bookmarkEnd w:id="41"/>
    <w:bookmarkStart w:id="42" w:name="xv.-list-of-exhibits"/>
    <w:p>
      <w:pPr>
        <w:pStyle w:val="Heading2"/>
      </w:pPr>
      <w:r>
        <w:t xml:space="preserve">XV. List of Exhibits</w:t>
      </w:r>
    </w:p>
    <w:p>
      <w:pPr>
        <w:pStyle w:val="FirstParagraph"/>
      </w:pPr>
      <w:r>
        <w:t xml:space="preserve">The following exhibits are submitted in support of this application:</w:t>
      </w:r>
    </w:p>
    <w:p>
      <w:pPr>
        <w:pStyle w:val="Compact"/>
        <w:numPr>
          <w:ilvl w:val="0"/>
          <w:numId w:val="1004"/>
        </w:numPr>
      </w:pPr>
      <w:r>
        <w:rPr>
          <w:b/>
          <w:bCs/>
        </w:rPr>
        <w:t xml:space="preserve">Exhibit A</w:t>
      </w:r>
      <w:r>
        <w:t xml:space="preserve"> </w:t>
      </w:r>
      <w:r>
        <w:t xml:space="preserve">— DCUH Purchase Order No. PO-DCUH-2024-0743, dated June 17, 2024 (certified English translation).</w:t>
      </w:r>
    </w:p>
    <w:p>
      <w:pPr>
        <w:pStyle w:val="Compact"/>
        <w:numPr>
          <w:ilvl w:val="0"/>
          <w:numId w:val="1004"/>
        </w:numPr>
      </w:pPr>
      <w:r>
        <w:rPr>
          <w:b/>
          <w:bCs/>
        </w:rPr>
        <w:t xml:space="preserve">Exhibit B</w:t>
      </w:r>
      <w:r>
        <w:t xml:space="preserve"> </w:t>
      </w:r>
      <w:r>
        <w:t xml:space="preserve">— Compliance Screening Memorandum, Margaret</w:t>
      </w:r>
      <w:r>
        <w:t xml:space="preserve"> </w:t>
      </w:r>
      <w:r>
        <w:t xml:space="preserve">“</w:t>
      </w:r>
      <w:r>
        <w:t xml:space="preserve">Peggy</w:t>
      </w:r>
      <w:r>
        <w:t xml:space="preserve">”</w:t>
      </w:r>
      <w:r>
        <w:t xml:space="preserve"> </w:t>
      </w:r>
      <w:r>
        <w:t xml:space="preserve">Dunleavy, Chief Compliance Officer, Meridian Biotech Solutions, Inc., dated June 10, 2024.</w:t>
      </w:r>
    </w:p>
    <w:p>
      <w:pPr>
        <w:pStyle w:val="Compact"/>
        <w:numPr>
          <w:ilvl w:val="0"/>
          <w:numId w:val="1004"/>
        </w:numPr>
      </w:pPr>
      <w:r>
        <w:rPr>
          <w:b/>
          <w:bCs/>
        </w:rPr>
        <w:t xml:space="preserve">Exhibit C</w:t>
      </w:r>
      <w:r>
        <w:t xml:space="preserve"> </w:t>
      </w:r>
      <w:r>
        <w:t xml:space="preserve">— Product Technical Data Sheets (Combined Specification Document No. TDS-2024-0347, Rev. March 15, 2024), covering the CancerDetect RX-700 Reagent Kit, the CalibPro 3100 Calibration Unit, and the associated training services curriculum.</w:t>
      </w:r>
    </w:p>
    <w:p>
      <w:pPr>
        <w:pStyle w:val="Compact"/>
        <w:numPr>
          <w:ilvl w:val="0"/>
          <w:numId w:val="1004"/>
        </w:numPr>
      </w:pPr>
      <w:r>
        <w:rPr>
          <w:b/>
          <w:bCs/>
        </w:rPr>
        <w:t xml:space="preserve">Exhibit D</w:t>
      </w:r>
      <w:r>
        <w:t xml:space="preserve"> </w:t>
      </w:r>
      <w:r>
        <w:t xml:space="preserve">— Proposed Shipping Route and Logistics Plan, Pinnacle Freight International, Inc., dated June 25, 2024.</w:t>
      </w:r>
    </w:p>
    <w:p>
      <w:pPr>
        <w:pStyle w:val="Compact"/>
        <w:numPr>
          <w:ilvl w:val="0"/>
          <w:numId w:val="1004"/>
        </w:numPr>
      </w:pPr>
      <w:r>
        <w:rPr>
          <w:b/>
          <w:bCs/>
        </w:rPr>
        <w:t xml:space="preserve">Exhibit E</w:t>
      </w:r>
      <w:r>
        <w:t xml:space="preserve"> </w:t>
      </w:r>
      <w:r>
        <w:t xml:space="preserve">— World Health Organization, Syria Country Office, Comprehensive Health Needs Assessment: Syrian Arab Republic — 2024 Update (January 2024), Section 4.7 (Oncology and Cancer Diagnostics Capacity) (WHO Reference No. WHO-SYR/HNA/2024-01).</w:t>
      </w:r>
    </w:p>
    <w:p>
      <w:pPr>
        <w:pStyle w:val="Compact"/>
        <w:numPr>
          <w:ilvl w:val="0"/>
          <w:numId w:val="1004"/>
        </w:numPr>
      </w:pPr>
      <w:r>
        <w:rPr>
          <w:b/>
          <w:bCs/>
        </w:rPr>
        <w:t xml:space="preserve">Exhibit F</w:t>
      </w:r>
      <w:r>
        <w:t xml:space="preserve"> </w:t>
      </w:r>
      <w:r>
        <w:t xml:space="preserve">— Prior OFAC Specific License No. SYR-2021-384712, issued September 14, 2021.</w:t>
      </w:r>
    </w:p>
    <w:p>
      <w:pPr>
        <w:pStyle w:val="Compact"/>
        <w:numPr>
          <w:ilvl w:val="0"/>
          <w:numId w:val="1004"/>
        </w:numPr>
      </w:pPr>
      <w:r>
        <w:rPr>
          <w:b/>
          <w:bCs/>
        </w:rPr>
        <w:t xml:space="preserve">Exhibit G</w:t>
      </w:r>
      <w:r>
        <w:t xml:space="preserve"> </w:t>
      </w:r>
      <w:r>
        <w:t xml:space="preserve">— Graystone Compliance Partners LLC, Executive Summary, OFAC Sanctions Compliance Program Audit, dated September 29, 2023.</w:t>
      </w:r>
    </w:p>
    <w:p>
      <w:pPr>
        <w:pStyle w:val="Compact"/>
        <w:numPr>
          <w:ilvl w:val="0"/>
          <w:numId w:val="1004"/>
        </w:numPr>
      </w:pPr>
      <w:r>
        <w:rPr>
          <w:b/>
          <w:bCs/>
        </w:rPr>
        <w:t xml:space="preserve">Exhibit H</w:t>
      </w:r>
      <w:r>
        <w:t xml:space="preserve"> </w:t>
      </w:r>
      <w:r>
        <w:t xml:space="preserve">— End-User Certificate and Non-Diversion Commitment, to be executed by DCUH prior to first shipment (form to be provided).</w:t>
      </w:r>
    </w:p>
    <w:p>
      <w:pPr>
        <w:pStyle w:val="Compact"/>
        <w:numPr>
          <w:ilvl w:val="0"/>
          <w:numId w:val="1004"/>
        </w:numPr>
      </w:pPr>
      <w:r>
        <w:rPr>
          <w:b/>
          <w:bCs/>
        </w:rPr>
        <w:t xml:space="preserve">Exhibit I</w:t>
      </w:r>
      <w:r>
        <w:t xml:space="preserve"> </w:t>
      </w:r>
      <w:r>
        <w:t xml:space="preserve">— Summary of Meridian’s Sanctions Compliance Program and Sanctions Compliance Manual (last updated March 2023).</w:t>
      </w:r>
    </w:p>
    <w:p>
      <w:r>
        <w:pict>
          <v:rect style="width:0;height:1.5pt" o:hralign="center" o:hrstd="t" o:hr="t"/>
        </w:pict>
      </w:r>
    </w:p>
    <w:p>
      <w:pPr>
        <w:pStyle w:val="FirstParagraph"/>
      </w:pPr>
      <w:r>
        <w:t xml:space="preserve">Meridian respectfully requests that OFAC favorably consider and grant this application. Meridian and its outside counsel are available to provide any additional information or documentation that OFAC may require, and to respond promptly to any questions. Given the humanitarian urgency documented in the WHO assessment and the 90–180 day processing window, Meridian would be grateful for consideration at the earliest practicable date.</w:t>
      </w:r>
    </w:p>
    <w:p>
      <w:pPr>
        <w:pStyle w:val="BodyText"/>
      </w:pPr>
      <w:r>
        <w:t xml:space="preserve">Respectfully submitted,</w:t>
      </w:r>
    </w:p>
    <w:p>
      <w:pPr>
        <w:pStyle w:val="BodyText"/>
      </w:pPr>
      <w:r>
        <w:br/>
      </w:r>
    </w:p>
    <w:p>
      <w:pPr>
        <w:pStyle w:val="BodyText"/>
      </w:pPr>
      <w:r>
        <w:rPr>
          <w:b/>
          <w:bCs/>
        </w:rPr>
        <w:t xml:space="preserve">ASHFORD &amp; WHITMORE LLP</w:t>
      </w:r>
    </w:p>
    <w:p>
      <w:pPr>
        <w:pStyle w:val="BodyText"/>
      </w:pPr>
      <w:r>
        <w:br/>
      </w:r>
    </w:p>
    <w:p>
      <w:pPr>
        <w:pStyle w:val="BodyText"/>
      </w:pPr>
      <w:r>
        <w:t xml:space="preserve">By: _______________________</w:t>
      </w:r>
    </w:p>
    <w:p>
      <w:pPr>
        <w:pStyle w:val="BodyText"/>
      </w:pPr>
      <w:r>
        <w:t xml:space="preserve">Catherine R. Bellingham, Esq.</w:t>
      </w:r>
      <w:r>
        <w:br/>
      </w:r>
      <w:r>
        <w:t xml:space="preserve">Partner</w:t>
      </w:r>
      <w:r>
        <w:br/>
      </w:r>
      <w:r>
        <w:t xml:space="preserve">1700 K Street NW, Suite 950</w:t>
      </w:r>
      <w:r>
        <w:br/>
      </w:r>
      <w:r>
        <w:t xml:space="preserve">Washington, DC 20006</w:t>
      </w:r>
      <w:r>
        <w:br/>
      </w:r>
      <w:r>
        <w:t xml:space="preserve">(202) 555-7700 | cbellingham@ashfordwhitmore.com</w:t>
      </w:r>
    </w:p>
    <w:p>
      <w:pPr>
        <w:pStyle w:val="BodyText"/>
      </w:pPr>
      <w:r>
        <w:br/>
      </w:r>
    </w:p>
    <w:p>
      <w:pPr>
        <w:pStyle w:val="BodyText"/>
      </w:pPr>
      <w:r>
        <w:t xml:space="preserve">David Osei-Mensah, Esq.</w:t>
      </w:r>
      <w:r>
        <w:br/>
      </w:r>
      <w:r>
        <w:t xml:space="preserve">Senior Associate</w:t>
      </w:r>
      <w:r>
        <w:br/>
      </w:r>
      <w:r>
        <w:t xml:space="preserve">(202) 555-7720 | doesei-mensah@ashfordwhitmore.com</w:t>
      </w:r>
    </w:p>
    <w:p>
      <w:pPr>
        <w:pStyle w:val="BodyText"/>
      </w:pPr>
      <w:r>
        <w:br/>
      </w:r>
    </w:p>
    <w:p>
      <w:pPr>
        <w:pStyle w:val="BodyText"/>
      </w:pPr>
      <w:r>
        <w:rPr>
          <w:b/>
          <w:bCs/>
        </w:rPr>
        <w:t xml:space="preserve">Counsel for Meridian Biotech Solutions, Inc.</w:t>
      </w:r>
    </w:p>
    <w:p>
      <w:pPr>
        <w:pStyle w:val="BodyText"/>
      </w:pPr>
      <w:r>
        <w:br/>
      </w:r>
    </w:p>
    <w:p>
      <w:pPr>
        <w:pStyle w:val="BodyText"/>
      </w:pPr>
      <w:r>
        <w:t xml:space="preserve">cc: Jonathan D. Halsted, General Counsel, Meridian Biotech Solutions, Inc.</w:t>
      </w:r>
      <w:r>
        <w:br/>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2026-06-29T00:53:54Z</dcterms:created>
  <dcterms:modified xsi:type="dcterms:W3CDTF">2026-06-29T00:53:54Z</dcterms:modified>
</cp:coreProperties>
</file>

<file path=docProps/custom.xml><?xml version="1.0" encoding="utf-8"?>
<Properties xmlns="http://schemas.openxmlformats.org/officeDocument/2006/custom-properties" xmlns:vt="http://schemas.openxmlformats.org/officeDocument/2006/docPropsVTypes"/>
</file>