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invoice-review-memorandum"/>
    <w:p>
      <w:pPr>
        <w:pStyle w:val="Heading1"/>
      </w:pPr>
      <w:r>
        <w:t xml:space="preserve">INVOICE REVIEW MEMORANDUM</w:t>
      </w:r>
    </w:p>
    <w:p>
      <w:pPr>
        <w:pStyle w:val="FirstParagraph"/>
      </w:pPr>
      <w:r>
        <w:rPr>
          <w:b/>
          <w:bCs/>
        </w:rPr>
        <w:t xml:space="preserve">PRIVILEGED &amp; CONFIDENTIAL — ATTORNEY WORK PRODUCT / PREPARED IN ANTICIPATION OF LITIGATION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Rachel Dominguez, Associate General Counsel (Designated In-House Counsel)</w:t>
            </w:r>
          </w:p>
        </w:tc>
      </w:tr>
      <w:tr>
        <w:tc>
          <w:tcPr/>
          <w:p>
            <w:pPr>
              <w:pStyle w:val="Compact"/>
              <w:jc w:val="left"/>
            </w:pPr>
            <w:r>
              <w:rPr>
                <w:b/>
                <w:bCs/>
              </w:rPr>
              <w:t xml:space="preserve">cc:</w:t>
            </w:r>
          </w:p>
        </w:tc>
        <w:tc>
          <w:tcPr/>
          <w:p>
            <w:pPr>
              <w:pStyle w:val="Compact"/>
              <w:jc w:val="left"/>
            </w:pPr>
            <w:r>
              <w:t xml:space="preserve">Sandra Whitmore, General Counsel</w:t>
            </w:r>
          </w:p>
        </w:tc>
      </w:tr>
      <w:tr>
        <w:tc>
          <w:tcPr/>
          <w:p>
            <w:pPr>
              <w:pStyle w:val="Compact"/>
              <w:jc w:val="left"/>
            </w:pPr>
            <w:r>
              <w:rPr>
                <w:b/>
                <w:bCs/>
              </w:rPr>
              <w:t xml:space="preserve">From:</w:t>
            </w:r>
          </w:p>
        </w:tc>
        <w:tc>
          <w:tcPr/>
          <w:p>
            <w:pPr>
              <w:pStyle w:val="Compact"/>
              <w:jc w:val="left"/>
            </w:pPr>
            <w:r>
              <w:t xml:space="preserve">Legal Department — Invoice Review</w:t>
            </w:r>
          </w:p>
        </w:tc>
      </w:tr>
      <w:tr>
        <w:tc>
          <w:tcPr/>
          <w:p>
            <w:pPr>
              <w:pStyle w:val="Compact"/>
              <w:jc w:val="left"/>
            </w:pPr>
            <w:r>
              <w:rPr>
                <w:b/>
                <w:bCs/>
              </w:rPr>
              <w:t xml:space="preserve">Date:</w:t>
            </w:r>
          </w:p>
        </w:tc>
        <w:tc>
          <w:tcPr/>
          <w:p>
            <w:pPr>
              <w:pStyle w:val="Compact"/>
              <w:jc w:val="left"/>
            </w:pPr>
            <w:r>
              <w:t xml:space="preserve">June 12, 2025</w:t>
            </w:r>
          </w:p>
        </w:tc>
      </w:tr>
      <w:tr>
        <w:tc>
          <w:tcPr/>
          <w:p>
            <w:pPr>
              <w:pStyle w:val="Compact"/>
              <w:jc w:val="left"/>
            </w:pPr>
            <w:r>
              <w:rPr>
                <w:b/>
                <w:bCs/>
              </w:rPr>
              <w:t xml:space="preserve">Re:</w:t>
            </w:r>
          </w:p>
        </w:tc>
        <w:tc>
          <w:tcPr/>
          <w:p>
            <w:pPr>
              <w:pStyle w:val="Compact"/>
              <w:jc w:val="left"/>
            </w:pPr>
            <w:r>
              <w:t xml:space="preserve">Review of Invoice No. HL-2025-05-PIN —</w:t>
            </w:r>
            <w:r>
              <w:t xml:space="preserve"> </w:t>
            </w:r>
            <w:r>
              <w:rPr>
                <w:i/>
                <w:iCs/>
              </w:rPr>
              <w:t xml:space="preserve">Pinnacle Health Systems, Inc. v. MedCore Analytics, LLC</w:t>
            </w:r>
            <w:r>
              <w:t xml:space="preserve">, Case No. 1:24-cv-04187-RWS (N.D. Ga.) — Billing Period May 1–31, 2025</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reviews Invoice No. HL-2025-05-PIN submitted by Hargrove &amp; Linden LLP (</w:t>
      </w:r>
      <w:r>
        <w:t xml:space="preserve">“</w:t>
      </w:r>
      <w:r>
        <w:t xml:space="preserve">H&amp;L</w:t>
      </w:r>
      <w:r>
        <w:t xml:space="preserve">”</w:t>
      </w:r>
      <w:r>
        <w:t xml:space="preserve"> </w:t>
      </w:r>
      <w:r>
        <w:t xml:space="preserve">or</w:t>
      </w:r>
      <w:r>
        <w:t xml:space="preserve"> </w:t>
      </w:r>
      <w:r>
        <w:t xml:space="preserve">“</w:t>
      </w:r>
      <w:r>
        <w:t xml:space="preserve">the Firm</w:t>
      </w:r>
      <w:r>
        <w:t xml:space="preserve">”</w:t>
      </w:r>
      <w:r>
        <w:t xml:space="preserve">) for the May 2025 billing period in the captioned matter. The invoice</w:t>
      </w:r>
      <w:r>
        <w:t xml:space="preserve"> </w:t>
      </w:r>
      <w:r>
        <w:rPr>
          <w:b/>
          <w:bCs/>
        </w:rPr>
        <w:t xml:space="preserve">requests payment of $201,822.50</w:t>
      </w:r>
      <w:r>
        <w:t xml:space="preserve"> </w:t>
      </w:r>
      <w:r>
        <w:t xml:space="preserve">(per its Summary tab), comprising $193,372.50 in attorney fees and $8,450.00 in expenses.</w:t>
      </w:r>
    </w:p>
    <w:p>
      <w:pPr>
        <w:pStyle w:val="BodyText"/>
      </w:pPr>
      <w:r>
        <w:rPr>
          <w:b/>
          <w:bCs/>
        </w:rPr>
        <w:t xml:space="preserve">Threshold finding — the invoice does not reconcile.</w:t>
      </w:r>
      <w:r>
        <w:t xml:space="preserve"> </w:t>
      </w:r>
      <w:r>
        <w:t xml:space="preserve">The supporting</w:t>
      </w:r>
      <w:r>
        <w:t xml:space="preserve"> </w:t>
      </w:r>
      <w:r>
        <w:rPr>
          <w:b/>
          <w:bCs/>
        </w:rPr>
        <w:t xml:space="preserve">Time Detail tab records $215,680.00 in attorney fees across 483.5 hours</w:t>
      </w:r>
      <w:r>
        <w:t xml:space="preserve"> </w:t>
      </w:r>
      <w:r>
        <w:t xml:space="preserve">—</w:t>
      </w:r>
      <w:r>
        <w:t xml:space="preserve"> </w:t>
      </w:r>
      <w:r>
        <w:rPr>
          <w:b/>
          <w:bCs/>
        </w:rPr>
        <w:t xml:space="preserve">$22,307.50 (61.0 hours) more than the Summary tab states.</w:t>
      </w:r>
      <w:r>
        <w:t xml:space="preserve"> </w:t>
      </w:r>
      <w:r>
        <w:t xml:space="preserve">The Time Detail’s own SUBTOTAL row repeats the Summary’s $193,372.50 figure, so neither the Summary nor the detail subtotal equals the sum of the 117 line items. This is a material deficiency under Billing Guidelines §9.1, which requires the summary to reconcile to the time detail. The discrepancy is not random: every authorized timekeeper’s Summary figure falls neatly within his or her approved staffing-plan hour range, while the Time Detail shows four of five authorized timekeepers</w:t>
      </w:r>
      <w:r>
        <w:t xml:space="preserve"> </w:t>
      </w:r>
      <w:r>
        <w:rPr>
          <w:i/>
          <w:iCs/>
        </w:rPr>
        <w:t xml:space="preserve">exceeding</w:t>
      </w:r>
      <w:r>
        <w:t xml:space="preserve"> </w:t>
      </w:r>
      <w:r>
        <w:t xml:space="preserve">their ranges. The pattern warrants explanation and is addressed in Section III.</w:t>
      </w:r>
    </w:p>
    <w:p>
      <w:pPr>
        <w:pStyle w:val="BodyText"/>
      </w:pPr>
      <w:r>
        <w:t xml:space="preserve">Because the Time Detail is the auditable line-item record (and its entries correspond to the work described in the Firm’s own June 1, 2025 case status report), the substantive reduction analysis below is conducted on the Time Detail. Measured against the Approved Discovery-Phase Staffing Plan (February 10, 2025), the Billing Guidelines (January 1, 2023), the April 28 / May 1, 2025 staffing correspondence, and the case status report, the Time Detail reflects multiple categories of non-compliance: fees from two never-approved timekeepers; a contract-attorney rate exceeding both the approved pass-through rate and the rate cap; pervasive block billing; timekeeper-to-task mismatches; over-staffing of an internal strategy call and of the Dr. Liu deposition; a non-reimbursable local-travel expense; and a monthly fee total exceeding the §7.3 budget ceiling without pre-approval.</w:t>
      </w:r>
    </w:p>
    <w:p>
      <w:pPr>
        <w:pStyle w:val="BodyText"/>
      </w:pPr>
      <w:r>
        <w:t xml:space="preserve">Applying the remedies prescribed by the Billing Guidelines to the Time Detail yields total reductions of</w:t>
      </w:r>
      <w:r>
        <w:t xml:space="preserve"> </w:t>
      </w:r>
      <w:r>
        <w:rPr>
          <w:b/>
          <w:bCs/>
        </w:rPr>
        <w:t xml:space="preserve">$77,124.38</w:t>
      </w:r>
      <w:r>
        <w:t xml:space="preserve"> </w:t>
      </w:r>
      <w:r>
        <w:t xml:space="preserve">and a</w:t>
      </w:r>
      <w:r>
        <w:t xml:space="preserve"> </w:t>
      </w:r>
      <w:r>
        <w:rPr>
          <w:b/>
          <w:bCs/>
        </w:rPr>
        <w:t xml:space="preserve">properly payable amount of $147,005.62</w:t>
      </w:r>
      <w:r>
        <w:t xml:space="preserve">. We recommend that the invoice be</w:t>
      </w:r>
      <w:r>
        <w:t xml:space="preserve"> </w:t>
      </w:r>
      <w:r>
        <w:rPr>
          <w:b/>
          <w:bCs/>
        </w:rPr>
        <w:t xml:space="preserve">returned for correction</w:t>
      </w:r>
      <w:r>
        <w:t xml:space="preserve"> </w:t>
      </w:r>
      <w:r>
        <w:t xml:space="preserve">so that the Summary and detail subtotal reconcile to the line items, and that Pinnacle pay no more than $147,005.62 upon resubmission of a corrected, reconciled invoice. If the Firm instead contends that its Summary ($193,372.50) is correct, it must identify and explain which Time Detail entries are erroneous; the corresponding summary-basis payable would be $127,273.12. In no event should payment exceed $147,005.62, and payment should be withheld pending correction.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Amount</w:t>
            </w:r>
          </w:p>
        </w:tc>
      </w:tr>
      <w:tr>
        <w:tc>
          <w:tcPr/>
          <w:p>
            <w:pPr>
              <w:pStyle w:val="Compact"/>
              <w:jc w:val="left"/>
            </w:pPr>
            <w:r>
              <w:t xml:space="preserve">Amount requested (Summary tab)</w:t>
            </w:r>
          </w:p>
        </w:tc>
        <w:tc>
          <w:tcPr/>
          <w:p>
            <w:pPr>
              <w:pStyle w:val="Compact"/>
              <w:jc w:val="right"/>
            </w:pPr>
            <w:r>
              <w:t xml:space="preserve">$201,822.50</w:t>
            </w:r>
          </w:p>
        </w:tc>
      </w:tr>
      <w:tr>
        <w:tc>
          <w:tcPr/>
          <w:p>
            <w:pPr>
              <w:pStyle w:val="Compact"/>
              <w:jc w:val="left"/>
            </w:pPr>
            <w:r>
              <w:t xml:space="preserve">Work documented on Time Detail (fees + expenses)</w:t>
            </w:r>
          </w:p>
        </w:tc>
        <w:tc>
          <w:tcPr/>
          <w:p>
            <w:pPr>
              <w:pStyle w:val="Compact"/>
              <w:jc w:val="right"/>
            </w:pPr>
            <w:r>
              <w:t xml:space="preserve">$224,130.00</w:t>
            </w:r>
          </w:p>
        </w:tc>
      </w:tr>
      <w:tr>
        <w:tc>
          <w:tcPr/>
          <w:p>
            <w:pPr>
              <w:pStyle w:val="Compact"/>
              <w:jc w:val="left"/>
            </w:pPr>
            <w:r>
              <w:t xml:space="preserve">Total recommended reductions (Time Detail basis)</w:t>
            </w:r>
          </w:p>
        </w:tc>
        <w:tc>
          <w:tcPr/>
          <w:p>
            <w:pPr>
              <w:pStyle w:val="Compact"/>
              <w:jc w:val="right"/>
            </w:pPr>
            <w:r>
              <w:t xml:space="preserve">($77,124.38)</w:t>
            </w:r>
          </w:p>
        </w:tc>
      </w:tr>
      <w:tr>
        <w:tc>
          <w:tcPr/>
          <w:p>
            <w:pPr>
              <w:pStyle w:val="Compact"/>
              <w:jc w:val="left"/>
            </w:pPr>
            <w:r>
              <w:rPr>
                <w:b/>
                <w:bCs/>
              </w:rPr>
              <w:t xml:space="preserve">Properly payable amount (Time Detail basis)</w:t>
            </w:r>
          </w:p>
        </w:tc>
        <w:tc>
          <w:tcPr/>
          <w:p>
            <w:pPr>
              <w:pStyle w:val="Compact"/>
              <w:jc w:val="right"/>
            </w:pPr>
            <w:r>
              <w:rPr>
                <w:b/>
                <w:bCs/>
              </w:rPr>
              <w:t xml:space="preserve">$147,005.62</w:t>
            </w:r>
          </w:p>
        </w:tc>
      </w:tr>
    </w:tbl>
    <w:p>
      <w:r>
        <w:pict>
          <v:rect style="width:0;height:1.5pt" o:hralign="center" o:hrstd="t" o:hr="t"/>
        </w:pict>
      </w:r>
    </w:p>
    <w:bookmarkEnd w:id="20"/>
    <w:bookmarkStart w:id="21" w:name="ii.-documents-reviewed"/>
    <w:p>
      <w:pPr>
        <w:pStyle w:val="Heading2"/>
      </w:pPr>
      <w:r>
        <w:t xml:space="preserve">II. Documents Reviewed</w:t>
      </w:r>
    </w:p>
    <w:p>
      <w:pPr>
        <w:pStyle w:val="Compact"/>
        <w:numPr>
          <w:ilvl w:val="0"/>
          <w:numId w:val="1001"/>
        </w:numPr>
      </w:pPr>
      <w:r>
        <w:rPr>
          <w:b/>
          <w:bCs/>
        </w:rPr>
        <w:t xml:space="preserve">Invoice No. HL-2025-05-PIN</w:t>
      </w:r>
      <w:r>
        <w:t xml:space="preserve"> </w:t>
      </w:r>
      <w:r>
        <w:t xml:space="preserve">(H&amp;L), dated June 5, 2025 — Summary, Time Detail, Expense Detail, and Rate Schedule tabs.</w:t>
      </w:r>
    </w:p>
    <w:p>
      <w:pPr>
        <w:pStyle w:val="Compact"/>
        <w:numPr>
          <w:ilvl w:val="0"/>
          <w:numId w:val="1001"/>
        </w:numPr>
      </w:pPr>
      <w:r>
        <w:rPr>
          <w:b/>
          <w:bCs/>
        </w:rPr>
        <w:t xml:space="preserve">Approved Discovery-Phase Staffing Plan</w:t>
      </w:r>
      <w:r>
        <w:t xml:space="preserve">, H&amp;L letter to R. Dominguez, dated February 10, 2025 (acknowledged and approved by R. Dominguez and S. Whitmore on February 10, 2025).</w:t>
      </w:r>
    </w:p>
    <w:p>
      <w:pPr>
        <w:pStyle w:val="Compact"/>
        <w:numPr>
          <w:ilvl w:val="0"/>
          <w:numId w:val="1001"/>
        </w:numPr>
      </w:pPr>
      <w:r>
        <w:rPr>
          <w:b/>
          <w:bCs/>
        </w:rPr>
        <w:t xml:space="preserve">Pinnacle Health Systems, Inc. Outside Counsel Billing Guidelines</w:t>
      </w:r>
      <w:r>
        <w:t xml:space="preserve">, effective January 1, 2023.</w:t>
      </w:r>
    </w:p>
    <w:p>
      <w:pPr>
        <w:pStyle w:val="Compact"/>
        <w:numPr>
          <w:ilvl w:val="0"/>
          <w:numId w:val="1001"/>
        </w:numPr>
      </w:pPr>
      <w:r>
        <w:rPr>
          <w:b/>
          <w:bCs/>
        </w:rPr>
        <w:t xml:space="preserve">Staffing correspondence</w:t>
      </w:r>
      <w:r>
        <w:t xml:space="preserve">: email from K. Cho to R. Dominguez (April 28, 2025) requesting addition of Nina Barros; reply from R. Dominguez (May 1, 2025).</w:t>
      </w:r>
    </w:p>
    <w:p>
      <w:pPr>
        <w:pStyle w:val="Compact"/>
        <w:numPr>
          <w:ilvl w:val="0"/>
          <w:numId w:val="1001"/>
        </w:numPr>
      </w:pPr>
      <w:r>
        <w:rPr>
          <w:b/>
          <w:bCs/>
        </w:rPr>
        <w:t xml:space="preserve">Monthly Case Status Report — May 2025</w:t>
      </w:r>
      <w:r>
        <w:t xml:space="preserve">, H&amp;L to R. Dominguez, dated June 1, 2025.</w:t>
      </w:r>
    </w:p>
    <w:p>
      <w:r>
        <w:pict>
          <v:rect style="width:0;height:1.5pt" o:hralign="center" o:hrstd="t" o:hr="t"/>
        </w:pict>
      </w:r>
    </w:p>
    <w:bookmarkEnd w:id="21"/>
    <w:bookmarkStart w:id="22" w:name="Xa670e5829b3b6fdc82af558629f7a14183dc8e7"/>
    <w:p>
      <w:pPr>
        <w:pStyle w:val="Heading2"/>
      </w:pPr>
      <w:r>
        <w:t xml:space="preserve">III. Threshold Finding — Summary Does Not Reconcile to Time Detail (§9.1)</w:t>
      </w:r>
    </w:p>
    <w:p>
      <w:pPr>
        <w:pStyle w:val="FirstParagraph"/>
      </w:pPr>
      <w:r>
        <w:rPr>
          <w:b/>
          <w:bCs/>
        </w:rPr>
        <w:t xml:space="preserve">Governing authority.</w:t>
      </w:r>
      <w:r>
        <w:t xml:space="preserve"> </w:t>
      </w:r>
      <w:r>
        <w:t xml:space="preserve">Section 9.1 requires each invoice to include</w:t>
      </w:r>
      <w:r>
        <w:t xml:space="preserve"> </w:t>
      </w:r>
      <w:r>
        <w:t xml:space="preserve">“</w:t>
      </w:r>
      <w:r>
        <w:t xml:space="preserve">a summary page showing total fees by timekeeper … total expenses, and grand total</w:t>
      </w:r>
      <w:r>
        <w:t xml:space="preserve">”</w:t>
      </w:r>
      <w:r>
        <w:t xml:space="preserve"> </w:t>
      </w:r>
      <w:r>
        <w:t xml:space="preserve">and</w:t>
      </w:r>
      <w:r>
        <w:t xml:space="preserve"> </w:t>
      </w:r>
      <w:r>
        <w:t xml:space="preserve">“</w:t>
      </w:r>
      <w:r>
        <w:t xml:space="preserve">a time detail page with individual entries,</w:t>
      </w:r>
      <w:r>
        <w:t xml:space="preserve">”</w:t>
      </w:r>
      <w:r>
        <w:t xml:space="preserve"> </w:t>
      </w:r>
      <w:r>
        <w:t xml:space="preserve">and §7.2 requires a budget-to-actual reconciliation. An invoice whose summary does not equal the sum of its time entries cannot be reliably audited.</w:t>
      </w:r>
    </w:p>
    <w:p>
      <w:pPr>
        <w:pStyle w:val="BodyText"/>
      </w:pPr>
      <w:r>
        <w:rPr>
          <w:b/>
          <w:bCs/>
        </w:rPr>
        <w:t xml:space="preserve">Finding.</w:t>
      </w:r>
      <w:r>
        <w:t xml:space="preserve"> </w:t>
      </w:r>
      <w:r>
        <w:t xml:space="preserve">The 117 entries on the Time Detail tab sum to</w:t>
      </w:r>
      <w:r>
        <w:t xml:space="preserve"> </w:t>
      </w:r>
      <w:r>
        <w:rPr>
          <w:b/>
          <w:bCs/>
        </w:rPr>
        <w:t xml:space="preserve">483.5 hours and $215,680.00</w:t>
      </w:r>
      <w:r>
        <w:t xml:space="preserve"> </w:t>
      </w:r>
      <w:r>
        <w:t xml:space="preserve">in attorney fees. The Summary tab (and the Time Detail’s own SUBTOTAL row) state</w:t>
      </w:r>
      <w:r>
        <w:t xml:space="preserve"> </w:t>
      </w:r>
      <w:r>
        <w:rPr>
          <w:b/>
          <w:bCs/>
        </w:rPr>
        <w:t xml:space="preserve">422.5 hours and $193,372.50</w:t>
      </w:r>
      <w:r>
        <w:t xml:space="preserve"> </w:t>
      </w:r>
      <w:r>
        <w:t xml:space="preserve">— understating the line items by</w:t>
      </w:r>
      <w:r>
        <w:t xml:space="preserve"> </w:t>
      </w:r>
      <w:r>
        <w:rPr>
          <w:b/>
          <w:bCs/>
        </w:rPr>
        <w:t xml:space="preserve">61.0 hours and $22,307.50</w:t>
      </w:r>
      <w:r>
        <w:t xml:space="preserve">. The per-timekeeper comparison is as follows:</w:t>
      </w:r>
    </w:p>
    <w:tbl>
      <w:tblPr>
        <w:tblStyle w:val="Table"/>
        <w:tblW w:type="pct" w:w="5000"/>
        <w:jc w:val="left"/>
        <w:tblLayout w:type="fixed"/>
        <w:tblLook w:firstRow="1" w:lastRow="0" w:firstColumn="0" w:lastColumn="0" w:noHBand="0" w:noVBand="0" w:val="0020"/>
      </w:tblPr>
      <w:tblGrid>
        <w:gridCol w:w="1250"/>
        <w:gridCol w:w="1250"/>
        <w:gridCol w:w="1250"/>
        <w:gridCol w:w="1667"/>
        <w:gridCol w:w="1250"/>
        <w:gridCol w:w="1250"/>
      </w:tblGrid>
      <w:tr>
        <w:trPr>
          <w:tblHeader w:val="on"/>
        </w:trPr>
        <w:tc>
          <w:tcPr/>
          <w:p>
            <w:pPr>
              <w:pStyle w:val="Compact"/>
              <w:jc w:val="left"/>
            </w:pPr>
            <w:r>
              <w:t xml:space="preserve">Timekeeper</w:t>
            </w:r>
          </w:p>
        </w:tc>
        <w:tc>
          <w:tcPr/>
          <w:p>
            <w:pPr>
              <w:pStyle w:val="Compact"/>
              <w:jc w:val="left"/>
            </w:pPr>
            <w:r>
              <w:t xml:space="preserve">Summary (hrs / $)</w:t>
            </w:r>
          </w:p>
        </w:tc>
        <w:tc>
          <w:tcPr/>
          <w:p>
            <w:pPr>
              <w:pStyle w:val="Compact"/>
              <w:jc w:val="left"/>
            </w:pPr>
            <w:r>
              <w:t xml:space="preserve">Time Detail (hrs /</w:t>
            </w:r>
            <w:r>
              <w:t xml:space="preserve"> </w:t>
            </w:r>
            <m:oMath>
              <m:r>
                <m:rPr>
                  <m:sty m:val="p"/>
                </m:rPr>
                <m:t>)</m:t>
              </m:r>
              <m:r>
                <m:rPr>
                  <m:sty m:val="p"/>
                </m:rPr>
                <m:t>|</m:t>
              </m:r>
              <m:r>
                <m:t>V</m:t>
              </m:r>
              <m:r>
                <m:t>a</m:t>
              </m:r>
              <m:r>
                <m:t>r</m:t>
              </m:r>
              <m:r>
                <m:t>i</m:t>
              </m:r>
              <m:r>
                <m:t>a</m:t>
              </m:r>
              <m:r>
                <m:t>n</m:t>
              </m:r>
              <m:r>
                <m:t>c</m:t>
              </m:r>
              <m:r>
                <m:t>e</m:t>
              </m:r>
              <m:r>
                <m:rPr>
                  <m:sty m:val="p"/>
                </m:rPr>
                <m:t>(</m:t>
              </m:r>
            </m:oMath>
            <w:r>
              <w:t xml:space="preserve">)</w:t>
            </w:r>
          </w:p>
        </w:tc>
        <w:tc>
          <w:tcPr/>
          <w:p>
            <w:pPr>
              <w:pStyle w:val="Compact"/>
              <w:jc w:val="right"/>
            </w:pPr>
            <w:r>
              <w:t xml:space="preserve">Approved Range</w:t>
            </w:r>
          </w:p>
        </w:tc>
        <w:tc>
          <w:tcPr/>
          <w:p>
            <w:pPr>
              <w:pStyle w:val="Compact"/>
              <w:jc w:val="left"/>
            </w:pPr>
            <w:r>
              <w:t xml:space="preserve">Detail vs. Range</w:t>
            </w:r>
          </w:p>
        </w:tc>
        <w:tc>
          <w:tcPr/>
          <w:p>
            <w:pPr>
              <w:pStyle w:val="Compact"/>
            </w:pPr>
          </w:p>
        </w:tc>
      </w:tr>
      <w:tr>
        <w:tc>
          <w:tcPr/>
          <w:p>
            <w:pPr>
              <w:pStyle w:val="Compact"/>
              <w:jc w:val="left"/>
            </w:pPr>
            <w:r>
              <w:t xml:space="preserve">David Hargrove</w:t>
            </w:r>
          </w:p>
        </w:tc>
        <w:tc>
          <w:tcPr/>
          <w:p>
            <w:pPr>
              <w:pStyle w:val="Compact"/>
              <w:jc w:val="left"/>
            </w:pPr>
            <w:r>
              <w:t xml:space="preserve">38.5 / $37,922.50</w:t>
            </w:r>
          </w:p>
        </w:tc>
        <w:tc>
          <w:tcPr/>
          <w:p>
            <w:pPr>
              <w:pStyle w:val="Compact"/>
              <w:jc w:val="left"/>
            </w:pPr>
            <w:r>
              <w:t xml:space="preserve">38.5 / $37,922.50</w:t>
            </w:r>
          </w:p>
        </w:tc>
        <w:tc>
          <w:tcPr/>
          <w:p>
            <w:pPr>
              <w:pStyle w:val="Compact"/>
              <w:jc w:val="right"/>
            </w:pPr>
            <w:r>
              <w:t xml:space="preserve">$0.00</w:t>
            </w:r>
          </w:p>
        </w:tc>
        <w:tc>
          <w:tcPr/>
          <w:p>
            <w:pPr>
              <w:pStyle w:val="Compact"/>
              <w:jc w:val="left"/>
            </w:pPr>
            <w:r>
              <w:t xml:space="preserve">15–25</w:t>
            </w:r>
          </w:p>
        </w:tc>
        <w:tc>
          <w:tcPr/>
          <w:p>
            <w:pPr>
              <w:pStyle w:val="Compact"/>
              <w:jc w:val="left"/>
            </w:pPr>
            <w:r>
              <w:rPr>
                <w:b/>
                <w:bCs/>
              </w:rPr>
              <w:t xml:space="preserve">Exceeds by 13.5</w:t>
            </w:r>
          </w:p>
        </w:tc>
      </w:tr>
      <w:tr>
        <w:tc>
          <w:tcPr/>
          <w:p>
            <w:pPr>
              <w:pStyle w:val="Compact"/>
              <w:jc w:val="left"/>
            </w:pPr>
            <w:r>
              <w:t xml:space="preserve">Karen Cho</w:t>
            </w:r>
          </w:p>
        </w:tc>
        <w:tc>
          <w:tcPr/>
          <w:p>
            <w:pPr>
              <w:pStyle w:val="Compact"/>
              <w:jc w:val="left"/>
            </w:pPr>
            <w:r>
              <w:t xml:space="preserve">74.0 / $46,250.00</w:t>
            </w:r>
          </w:p>
        </w:tc>
        <w:tc>
          <w:tcPr/>
          <w:p>
            <w:pPr>
              <w:pStyle w:val="Compact"/>
              <w:jc w:val="left"/>
            </w:pPr>
            <w:r>
              <w:t xml:space="preserve">89.5 / $55,937.50</w:t>
            </w:r>
          </w:p>
        </w:tc>
        <w:tc>
          <w:tcPr/>
          <w:p>
            <w:pPr>
              <w:pStyle w:val="Compact"/>
              <w:jc w:val="right"/>
            </w:pPr>
            <w:r>
              <w:t xml:space="preserve">$9,687.50</w:t>
            </w:r>
          </w:p>
        </w:tc>
        <w:tc>
          <w:tcPr/>
          <w:p>
            <w:pPr>
              <w:pStyle w:val="Compact"/>
              <w:jc w:val="left"/>
            </w:pPr>
            <w:r>
              <w:t xml:space="preserve">50–80</w:t>
            </w:r>
          </w:p>
        </w:tc>
        <w:tc>
          <w:tcPr/>
          <w:p>
            <w:pPr>
              <w:pStyle w:val="Compact"/>
              <w:jc w:val="left"/>
            </w:pPr>
            <w:r>
              <w:rPr>
                <w:b/>
                <w:bCs/>
              </w:rPr>
              <w:t xml:space="preserve">Exceeds by 9.5</w:t>
            </w:r>
          </w:p>
        </w:tc>
      </w:tr>
      <w:tr>
        <w:tc>
          <w:tcPr/>
          <w:p>
            <w:pPr>
              <w:pStyle w:val="Compact"/>
              <w:jc w:val="left"/>
            </w:pPr>
            <w:r>
              <w:t xml:space="preserve">James Pettersson</w:t>
            </w:r>
          </w:p>
        </w:tc>
        <w:tc>
          <w:tcPr/>
          <w:p>
            <w:pPr>
              <w:pStyle w:val="Compact"/>
              <w:jc w:val="left"/>
            </w:pPr>
            <w:r>
              <w:t xml:space="preserve">82.5 / $39,187.50</w:t>
            </w:r>
          </w:p>
        </w:tc>
        <w:tc>
          <w:tcPr/>
          <w:p>
            <w:pPr>
              <w:pStyle w:val="Compact"/>
              <w:jc w:val="left"/>
            </w:pPr>
            <w:r>
              <w:t xml:space="preserve">91.0 / $43,225.00</w:t>
            </w:r>
          </w:p>
        </w:tc>
        <w:tc>
          <w:tcPr/>
          <w:p>
            <w:pPr>
              <w:pStyle w:val="Compact"/>
              <w:jc w:val="right"/>
            </w:pPr>
            <w:r>
              <w:t xml:space="preserve">$4,037.50</w:t>
            </w:r>
          </w:p>
        </w:tc>
        <w:tc>
          <w:tcPr/>
          <w:p>
            <w:pPr>
              <w:pStyle w:val="Compact"/>
              <w:jc w:val="left"/>
            </w:pPr>
            <w:r>
              <w:t xml:space="preserve">60–90</w:t>
            </w:r>
          </w:p>
        </w:tc>
        <w:tc>
          <w:tcPr/>
          <w:p>
            <w:pPr>
              <w:pStyle w:val="Compact"/>
              <w:jc w:val="left"/>
            </w:pPr>
            <w:r>
              <w:rPr>
                <w:b/>
                <w:bCs/>
              </w:rPr>
              <w:t xml:space="preserve">Exceeds by 1.0</w:t>
            </w:r>
          </w:p>
        </w:tc>
      </w:tr>
      <w:tr>
        <w:tc>
          <w:tcPr/>
          <w:p>
            <w:pPr>
              <w:pStyle w:val="Compact"/>
              <w:jc w:val="left"/>
            </w:pPr>
            <w:r>
              <w:t xml:space="preserve">Nina Barros</w:t>
            </w:r>
          </w:p>
        </w:tc>
        <w:tc>
          <w:tcPr/>
          <w:p>
            <w:pPr>
              <w:pStyle w:val="Compact"/>
              <w:jc w:val="left"/>
            </w:pPr>
            <w:r>
              <w:t xml:space="preserve">45.0 / $21,375.00</w:t>
            </w:r>
          </w:p>
        </w:tc>
        <w:tc>
          <w:tcPr/>
          <w:p>
            <w:pPr>
              <w:pStyle w:val="Compact"/>
              <w:jc w:val="left"/>
            </w:pPr>
            <w:r>
              <w:t xml:space="preserve">49.0 / $23,275.00</w:t>
            </w:r>
          </w:p>
        </w:tc>
        <w:tc>
          <w:tcPr/>
          <w:p>
            <w:pPr>
              <w:pStyle w:val="Compact"/>
              <w:jc w:val="right"/>
            </w:pPr>
            <w:r>
              <w:t xml:space="preserve">$1,900.00</w:t>
            </w:r>
          </w:p>
        </w:tc>
        <w:tc>
          <w:tcPr/>
          <w:p>
            <w:pPr>
              <w:pStyle w:val="Compact"/>
              <w:jc w:val="left"/>
            </w:pPr>
            <w:r>
              <w:t xml:space="preserve">not approved</w:t>
            </w:r>
          </w:p>
        </w:tc>
        <w:tc>
          <w:tcPr/>
          <w:p>
            <w:pPr>
              <w:pStyle w:val="Compact"/>
              <w:jc w:val="left"/>
            </w:pPr>
            <w:r>
              <w:t xml:space="preserve">n/a</w:t>
            </w:r>
          </w:p>
        </w:tc>
      </w:tr>
      <w:tr>
        <w:tc>
          <w:tcPr/>
          <w:p>
            <w:pPr>
              <w:pStyle w:val="Compact"/>
              <w:jc w:val="left"/>
            </w:pPr>
            <w:r>
              <w:t xml:space="preserve">Tyler Webb</w:t>
            </w:r>
          </w:p>
        </w:tc>
        <w:tc>
          <w:tcPr/>
          <w:p>
            <w:pPr>
              <w:pStyle w:val="Compact"/>
              <w:jc w:val="left"/>
            </w:pPr>
            <w:r>
              <w:t xml:space="preserve">35.0 / $13,125.00</w:t>
            </w:r>
          </w:p>
        </w:tc>
        <w:tc>
          <w:tcPr/>
          <w:p>
            <w:pPr>
              <w:pStyle w:val="Compact"/>
              <w:jc w:val="left"/>
            </w:pPr>
            <w:r>
              <w:t xml:space="preserve">34.0 / $12,750.00</w:t>
            </w:r>
          </w:p>
        </w:tc>
        <w:tc>
          <w:tcPr/>
          <w:p>
            <w:pPr>
              <w:pStyle w:val="Compact"/>
              <w:jc w:val="right"/>
            </w:pPr>
            <w:r>
              <w:t xml:space="preserve">($375.00)</w:t>
            </w:r>
          </w:p>
        </w:tc>
        <w:tc>
          <w:tcPr/>
          <w:p>
            <w:pPr>
              <w:pStyle w:val="Compact"/>
              <w:jc w:val="left"/>
            </w:pPr>
            <w:r>
              <w:t xml:space="preserve">20–40</w:t>
            </w:r>
          </w:p>
        </w:tc>
        <w:tc>
          <w:tcPr/>
          <w:p>
            <w:pPr>
              <w:pStyle w:val="Compact"/>
              <w:jc w:val="left"/>
            </w:pPr>
            <w:r>
              <w:t xml:space="preserve">Within</w:t>
            </w:r>
          </w:p>
        </w:tc>
      </w:tr>
      <w:tr>
        <w:tc>
          <w:tcPr/>
          <w:p>
            <w:pPr>
              <w:pStyle w:val="Compact"/>
              <w:jc w:val="left"/>
            </w:pPr>
            <w:r>
              <w:t xml:space="preserve">Priya Sengupta</w:t>
            </w:r>
          </w:p>
        </w:tc>
        <w:tc>
          <w:tcPr/>
          <w:p>
            <w:pPr>
              <w:pStyle w:val="Compact"/>
              <w:jc w:val="left"/>
            </w:pPr>
            <w:r>
              <w:t xml:space="preserve">27.5 / $10,312.50</w:t>
            </w:r>
          </w:p>
        </w:tc>
        <w:tc>
          <w:tcPr/>
          <w:p>
            <w:pPr>
              <w:pStyle w:val="Compact"/>
              <w:jc w:val="left"/>
            </w:pPr>
            <w:r>
              <w:t xml:space="preserve">27.0 / $10,125.00</w:t>
            </w:r>
          </w:p>
        </w:tc>
        <w:tc>
          <w:tcPr/>
          <w:p>
            <w:pPr>
              <w:pStyle w:val="Compact"/>
              <w:jc w:val="right"/>
            </w:pPr>
            <w:r>
              <w:t xml:space="preserve">($187.50)</w:t>
            </w:r>
          </w:p>
        </w:tc>
        <w:tc>
          <w:tcPr/>
          <w:p>
            <w:pPr>
              <w:pStyle w:val="Compact"/>
              <w:jc w:val="left"/>
            </w:pPr>
            <w:r>
              <w:t xml:space="preserve">not approved</w:t>
            </w:r>
          </w:p>
        </w:tc>
        <w:tc>
          <w:tcPr/>
          <w:p>
            <w:pPr>
              <w:pStyle w:val="Compact"/>
              <w:jc w:val="left"/>
            </w:pPr>
            <w:r>
              <w:t xml:space="preserve">n/a</w:t>
            </w:r>
          </w:p>
        </w:tc>
      </w:tr>
      <w:tr>
        <w:tc>
          <w:tcPr/>
          <w:p>
            <w:pPr>
              <w:pStyle w:val="Compact"/>
              <w:jc w:val="left"/>
            </w:pPr>
            <w:r>
              <w:t xml:space="preserve">Marcus Tate</w:t>
            </w:r>
          </w:p>
        </w:tc>
        <w:tc>
          <w:tcPr/>
          <w:p>
            <w:pPr>
              <w:pStyle w:val="Compact"/>
              <w:jc w:val="left"/>
            </w:pPr>
            <w:r>
              <w:t xml:space="preserve">120.0 / $25,200.00</w:t>
            </w:r>
          </w:p>
        </w:tc>
        <w:tc>
          <w:tcPr/>
          <w:p>
            <w:pPr>
              <w:pStyle w:val="Compact"/>
              <w:jc w:val="left"/>
            </w:pPr>
            <w:r>
              <w:t xml:space="preserve">154.5 / $32,445.00</w:t>
            </w:r>
          </w:p>
        </w:tc>
        <w:tc>
          <w:tcPr/>
          <w:p>
            <w:pPr>
              <w:pStyle w:val="Compact"/>
              <w:jc w:val="right"/>
            </w:pPr>
            <w:r>
              <w:t xml:space="preserve">$7,245.00</w:t>
            </w:r>
          </w:p>
        </w:tc>
        <w:tc>
          <w:tcPr/>
          <w:p>
            <w:pPr>
              <w:pStyle w:val="Compact"/>
              <w:jc w:val="left"/>
            </w:pPr>
            <w:r>
              <w:t xml:space="preserve">80–150</w:t>
            </w:r>
          </w:p>
        </w:tc>
        <w:tc>
          <w:tcPr/>
          <w:p>
            <w:pPr>
              <w:pStyle w:val="Compact"/>
              <w:jc w:val="left"/>
            </w:pPr>
            <w:r>
              <w:rPr>
                <w:b/>
                <w:bCs/>
              </w:rPr>
              <w:t xml:space="preserve">Exceeds by 4.5</w:t>
            </w:r>
          </w:p>
        </w:tc>
      </w:tr>
      <w:tr>
        <w:tc>
          <w:tcPr/>
          <w:p>
            <w:pPr>
              <w:pStyle w:val="Compact"/>
              <w:jc w:val="left"/>
            </w:pPr>
            <w:r>
              <w:rPr>
                <w:b/>
                <w:bCs/>
              </w:rPr>
              <w:t xml:space="preserve">Total</w:t>
            </w:r>
          </w:p>
        </w:tc>
        <w:tc>
          <w:tcPr/>
          <w:p>
            <w:pPr>
              <w:pStyle w:val="Compact"/>
              <w:jc w:val="left"/>
            </w:pPr>
            <w:r>
              <w:rPr>
                <w:b/>
                <w:bCs/>
              </w:rPr>
              <w:t xml:space="preserve">422.5 / $193,372.50</w:t>
            </w:r>
          </w:p>
        </w:tc>
        <w:tc>
          <w:tcPr/>
          <w:p>
            <w:pPr>
              <w:pStyle w:val="Compact"/>
              <w:jc w:val="left"/>
            </w:pPr>
            <w:r>
              <w:rPr>
                <w:b/>
                <w:bCs/>
              </w:rPr>
              <w:t xml:space="preserve">483.5 / $215,680.00</w:t>
            </w:r>
          </w:p>
        </w:tc>
        <w:tc>
          <w:tcPr/>
          <w:p>
            <w:pPr>
              <w:pStyle w:val="Compact"/>
              <w:jc w:val="right"/>
            </w:pPr>
            <w:r>
              <w:rPr>
                <w:b/>
                <w:bCs/>
              </w:rPr>
              <w:t xml:space="preserve">$22,307.50</w:t>
            </w:r>
          </w:p>
        </w:tc>
        <w:tc>
          <w:tcPr/>
          <w:p>
            <w:pPr>
              <w:pStyle w:val="Compact"/>
            </w:pPr>
          </w:p>
        </w:tc>
        <w:tc>
          <w:tcPr/>
          <w:p>
            <w:pPr>
              <w:pStyle w:val="Compact"/>
            </w:pPr>
          </w:p>
        </w:tc>
      </w:tr>
    </w:tbl>
    <w:p>
      <w:pPr>
        <w:pStyle w:val="BodyText"/>
      </w:pPr>
      <w:r>
        <w:rPr>
          <w:b/>
          <w:bCs/>
        </w:rPr>
        <w:t xml:space="preserve">Observations.</w:t>
      </w:r>
      <w:r>
        <w:t xml:space="preserve"> </w:t>
      </w:r>
      <w:r>
        <w:t xml:space="preserve">(1) The Summary figures for every authorized timekeeper except Mr. Hargrove fall inside the approved monthly hour range; the Time Detail shows that Ms. Cho, Mr. Pettersson, and Mr. Tate each exceeded their ranges (Mr. Hargrove exceeded his on both bases). (2) The two unauthorized timekeepers (Barros, Sengupta) are the only ones whose Summary figures are</w:t>
      </w:r>
      <w:r>
        <w:t xml:space="preserve"> </w:t>
      </w:r>
      <w:r>
        <w:rPr>
          <w:i/>
          <w:iCs/>
        </w:rPr>
        <w:t xml:space="preserve">higher</w:t>
      </w:r>
      <w:r>
        <w:t xml:space="preserve"> </w:t>
      </w:r>
      <w:r>
        <w:t xml:space="preserve">than their Detail figures. (3) The largest single variance is Mr. Tate (contract attorney), whose Detail hours (154.5) exceed both the Summary (120.0) and the top of his approved range (150). The convergence of a non-reconciling summary with range-compliant Summary figures and range-exceeding Detail figures is a pattern that warrants a written explanation from the Firm and supports returning the invoice for correction before payment.</w:t>
      </w:r>
    </w:p>
    <w:p>
      <w:pPr>
        <w:pStyle w:val="BodyText"/>
      </w:pPr>
      <w:r>
        <w:rPr>
          <w:b/>
          <w:bCs/>
        </w:rPr>
        <w:t xml:space="preserve">Basis of this review.</w:t>
      </w:r>
      <w:r>
        <w:t xml:space="preserve"> </w:t>
      </w:r>
      <w:r>
        <w:t xml:space="preserve">The substantive analysis in Sections V–VI is performed on the Time Detail, because it is the line-item record of the work performed, its entries correspond to the activities described in the Firm’s June 1 case status report, and each entry’s fees equal its hours × rate (the entries are internally consistent even though the subtotal is not). The reductions below are therefore computed from, and reconcile to, the $215,680.00 Time Detail total.</w:t>
      </w:r>
    </w:p>
    <w:p>
      <w:r>
        <w:pict>
          <v:rect style="width:0;height:1.5pt" o:hralign="center" o:hrstd="t" o:hr="t"/>
        </w:pict>
      </w:r>
    </w:p>
    <w:bookmarkEnd w:id="22"/>
    <w:bookmarkStart w:id="23" w:name="iv.-invoice-overview-time-detail-basis"/>
    <w:p>
      <w:pPr>
        <w:pStyle w:val="Heading2"/>
      </w:pPr>
      <w:r>
        <w:t xml:space="preserve">IV. Invoice Overview (Time Detail Basis)</w:t>
      </w:r>
    </w:p>
    <w:p>
      <w:pPr>
        <w:pStyle w:val="FirstParagraph"/>
      </w:pPr>
      <w:r>
        <w:rPr>
          <w:b/>
          <w:bCs/>
        </w:rPr>
        <w:t xml:space="preserve">Timekeeper summary (per Time Detail line items):</w:t>
      </w:r>
    </w:p>
    <w:tbl>
      <w:tblPr>
        <w:tblStyle w:val="Table"/>
        <w:tblW w:type="pct" w:w="5000"/>
        <w:jc w:val="left"/>
        <w:tblLayout w:type="fixed"/>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right"/>
            </w:pPr>
            <w:r>
              <w:t xml:space="preserve">Rate</w:t>
            </w:r>
          </w:p>
        </w:tc>
        <w:tc>
          <w:tcPr/>
          <w:p>
            <w:pPr>
              <w:pStyle w:val="Compact"/>
              <w:jc w:val="right"/>
            </w:pPr>
            <w:r>
              <w:t xml:space="preserve">Hours</w:t>
            </w:r>
          </w:p>
        </w:tc>
        <w:tc>
          <w:tcPr/>
          <w:p>
            <w:pPr>
              <w:pStyle w:val="Compact"/>
              <w:jc w:val="right"/>
            </w:pPr>
            <w:r>
              <w:t xml:space="preserve">Fees</w:t>
            </w:r>
          </w:p>
        </w:tc>
        <w:tc>
          <w:tcPr/>
          <w:p>
            <w:pPr>
              <w:pStyle w:val="Compact"/>
              <w:jc w:val="left"/>
            </w:pPr>
            <w:r>
              <w:t xml:space="preserve">Staffing-Plan Status</w:t>
            </w:r>
          </w:p>
        </w:tc>
      </w:tr>
      <w:tr>
        <w:tc>
          <w:tcPr/>
          <w:p>
            <w:pPr>
              <w:pStyle w:val="Compact"/>
              <w:jc w:val="left"/>
            </w:pPr>
            <w:r>
              <w:t xml:space="preserve">David Hargrove</w:t>
            </w:r>
          </w:p>
        </w:tc>
        <w:tc>
          <w:tcPr/>
          <w:p>
            <w:pPr>
              <w:pStyle w:val="Compact"/>
              <w:jc w:val="left"/>
            </w:pPr>
            <w:r>
              <w:t xml:space="preserve">Lead Partner</w:t>
            </w:r>
          </w:p>
        </w:tc>
        <w:tc>
          <w:tcPr/>
          <w:p>
            <w:pPr>
              <w:pStyle w:val="Compact"/>
              <w:jc w:val="right"/>
            </w:pPr>
            <w:r>
              <w:t xml:space="preserve">$985</w:t>
            </w:r>
          </w:p>
        </w:tc>
        <w:tc>
          <w:tcPr/>
          <w:p>
            <w:pPr>
              <w:pStyle w:val="Compact"/>
              <w:jc w:val="right"/>
            </w:pPr>
            <w:r>
              <w:t xml:space="preserve">38.5</w:t>
            </w:r>
          </w:p>
        </w:tc>
        <w:tc>
          <w:tcPr/>
          <w:p>
            <w:pPr>
              <w:pStyle w:val="Compact"/>
              <w:jc w:val="right"/>
            </w:pPr>
            <w:r>
              <w:t xml:space="preserve">$37,922.50</w:t>
            </w:r>
          </w:p>
        </w:tc>
        <w:tc>
          <w:tcPr/>
          <w:p>
            <w:pPr>
              <w:pStyle w:val="Compact"/>
              <w:jc w:val="left"/>
            </w:pPr>
            <w:r>
              <w:t xml:space="preserve">Approved; exceeds 15–25 hr range</w:t>
            </w:r>
          </w:p>
        </w:tc>
      </w:tr>
      <w:tr>
        <w:tc>
          <w:tcPr/>
          <w:p>
            <w:pPr>
              <w:pStyle w:val="Compact"/>
              <w:jc w:val="left"/>
            </w:pPr>
            <w:r>
              <w:t xml:space="preserve">Karen Cho</w:t>
            </w:r>
          </w:p>
        </w:tc>
        <w:tc>
          <w:tcPr/>
          <w:p>
            <w:pPr>
              <w:pStyle w:val="Compact"/>
              <w:jc w:val="left"/>
            </w:pPr>
            <w:r>
              <w:t xml:space="preserve">Senior Associate</w:t>
            </w:r>
          </w:p>
        </w:tc>
        <w:tc>
          <w:tcPr/>
          <w:p>
            <w:pPr>
              <w:pStyle w:val="Compact"/>
              <w:jc w:val="right"/>
            </w:pPr>
            <w:r>
              <w:t xml:space="preserve">$625</w:t>
            </w:r>
          </w:p>
        </w:tc>
        <w:tc>
          <w:tcPr/>
          <w:p>
            <w:pPr>
              <w:pStyle w:val="Compact"/>
              <w:jc w:val="right"/>
            </w:pPr>
            <w:r>
              <w:t xml:space="preserve">89.5</w:t>
            </w:r>
          </w:p>
        </w:tc>
        <w:tc>
          <w:tcPr/>
          <w:p>
            <w:pPr>
              <w:pStyle w:val="Compact"/>
              <w:jc w:val="right"/>
            </w:pPr>
            <w:r>
              <w:t xml:space="preserve">$55,937.50</w:t>
            </w:r>
          </w:p>
        </w:tc>
        <w:tc>
          <w:tcPr/>
          <w:p>
            <w:pPr>
              <w:pStyle w:val="Compact"/>
              <w:jc w:val="left"/>
            </w:pPr>
            <w:r>
              <w:t xml:space="preserve">Approved; exceeds 50–80 hr range</w:t>
            </w:r>
          </w:p>
        </w:tc>
      </w:tr>
      <w:tr>
        <w:tc>
          <w:tcPr/>
          <w:p>
            <w:pPr>
              <w:pStyle w:val="Compact"/>
              <w:jc w:val="left"/>
            </w:pPr>
            <w:r>
              <w:t xml:space="preserve">James Pettersson</w:t>
            </w:r>
          </w:p>
        </w:tc>
        <w:tc>
          <w:tcPr/>
          <w:p>
            <w:pPr>
              <w:pStyle w:val="Compact"/>
              <w:jc w:val="left"/>
            </w:pPr>
            <w:r>
              <w:t xml:space="preserve">Mid-Level Associate</w:t>
            </w:r>
          </w:p>
        </w:tc>
        <w:tc>
          <w:tcPr/>
          <w:p>
            <w:pPr>
              <w:pStyle w:val="Compact"/>
              <w:jc w:val="right"/>
            </w:pPr>
            <w:r>
              <w:t xml:space="preserve">$475</w:t>
            </w:r>
          </w:p>
        </w:tc>
        <w:tc>
          <w:tcPr/>
          <w:p>
            <w:pPr>
              <w:pStyle w:val="Compact"/>
              <w:jc w:val="right"/>
            </w:pPr>
            <w:r>
              <w:t xml:space="preserve">91.0</w:t>
            </w:r>
          </w:p>
        </w:tc>
        <w:tc>
          <w:tcPr/>
          <w:p>
            <w:pPr>
              <w:pStyle w:val="Compact"/>
              <w:jc w:val="right"/>
            </w:pPr>
            <w:r>
              <w:t xml:space="preserve">$43,225.00</w:t>
            </w:r>
          </w:p>
        </w:tc>
        <w:tc>
          <w:tcPr/>
          <w:p>
            <w:pPr>
              <w:pStyle w:val="Compact"/>
              <w:jc w:val="left"/>
            </w:pPr>
            <w:r>
              <w:t xml:space="preserve">Approved; exceeds 60–90 hr range</w:t>
            </w:r>
          </w:p>
        </w:tc>
      </w:tr>
      <w:tr>
        <w:tc>
          <w:tcPr/>
          <w:p>
            <w:pPr>
              <w:pStyle w:val="Compact"/>
              <w:jc w:val="left"/>
            </w:pPr>
            <w:r>
              <w:t xml:space="preserve">Nina Barros</w:t>
            </w:r>
          </w:p>
        </w:tc>
        <w:tc>
          <w:tcPr/>
          <w:p>
            <w:pPr>
              <w:pStyle w:val="Compact"/>
              <w:jc w:val="left"/>
            </w:pPr>
            <w:r>
              <w:t xml:space="preserve">Mid-Level Associate</w:t>
            </w:r>
          </w:p>
        </w:tc>
        <w:tc>
          <w:tcPr/>
          <w:p>
            <w:pPr>
              <w:pStyle w:val="Compact"/>
              <w:jc w:val="right"/>
            </w:pPr>
            <w:r>
              <w:t xml:space="preserve">$475</w:t>
            </w:r>
          </w:p>
        </w:tc>
        <w:tc>
          <w:tcPr/>
          <w:p>
            <w:pPr>
              <w:pStyle w:val="Compact"/>
              <w:jc w:val="right"/>
            </w:pPr>
            <w:r>
              <w:t xml:space="preserve">49.0</w:t>
            </w:r>
          </w:p>
        </w:tc>
        <w:tc>
          <w:tcPr/>
          <w:p>
            <w:pPr>
              <w:pStyle w:val="Compact"/>
              <w:jc w:val="right"/>
            </w:pPr>
            <w:r>
              <w:t xml:space="preserve">$23,275.00</w:t>
            </w:r>
          </w:p>
        </w:tc>
        <w:tc>
          <w:tcPr/>
          <w:p>
            <w:pPr>
              <w:pStyle w:val="Compact"/>
              <w:jc w:val="left"/>
            </w:pPr>
            <w:r>
              <w:rPr>
                <w:b/>
                <w:bCs/>
              </w:rPr>
              <w:t xml:space="preserve">Not approved</w:t>
            </w:r>
          </w:p>
        </w:tc>
      </w:tr>
      <w:tr>
        <w:tc>
          <w:tcPr/>
          <w:p>
            <w:pPr>
              <w:pStyle w:val="Compact"/>
              <w:jc w:val="left"/>
            </w:pPr>
            <w:r>
              <w:t xml:space="preserve">Tyler Webb</w:t>
            </w:r>
          </w:p>
        </w:tc>
        <w:tc>
          <w:tcPr/>
          <w:p>
            <w:pPr>
              <w:pStyle w:val="Compact"/>
              <w:jc w:val="left"/>
            </w:pPr>
            <w:r>
              <w:t xml:space="preserve">Junior Associate</w:t>
            </w:r>
          </w:p>
        </w:tc>
        <w:tc>
          <w:tcPr/>
          <w:p>
            <w:pPr>
              <w:pStyle w:val="Compact"/>
              <w:jc w:val="right"/>
            </w:pPr>
            <w:r>
              <w:t xml:space="preserve">$375</w:t>
            </w:r>
          </w:p>
        </w:tc>
        <w:tc>
          <w:tcPr/>
          <w:p>
            <w:pPr>
              <w:pStyle w:val="Compact"/>
              <w:jc w:val="right"/>
            </w:pPr>
            <w:r>
              <w:t xml:space="preserve">34.0</w:t>
            </w:r>
          </w:p>
        </w:tc>
        <w:tc>
          <w:tcPr/>
          <w:p>
            <w:pPr>
              <w:pStyle w:val="Compact"/>
              <w:jc w:val="right"/>
            </w:pPr>
            <w:r>
              <w:t xml:space="preserve">$12,750.00</w:t>
            </w:r>
          </w:p>
        </w:tc>
        <w:tc>
          <w:tcPr/>
          <w:p>
            <w:pPr>
              <w:pStyle w:val="Compact"/>
              <w:jc w:val="left"/>
            </w:pPr>
            <w:r>
              <w:t xml:space="preserve">Approved; within 20–40 hr range</w:t>
            </w:r>
          </w:p>
        </w:tc>
      </w:tr>
      <w:tr>
        <w:tc>
          <w:tcPr/>
          <w:p>
            <w:pPr>
              <w:pStyle w:val="Compact"/>
              <w:jc w:val="left"/>
            </w:pPr>
            <w:r>
              <w:t xml:space="preserve">Priya Sengupta</w:t>
            </w:r>
          </w:p>
        </w:tc>
        <w:tc>
          <w:tcPr/>
          <w:p>
            <w:pPr>
              <w:pStyle w:val="Compact"/>
              <w:jc w:val="left"/>
            </w:pPr>
            <w:r>
              <w:t xml:space="preserve">Junior Associate</w:t>
            </w:r>
          </w:p>
        </w:tc>
        <w:tc>
          <w:tcPr/>
          <w:p>
            <w:pPr>
              <w:pStyle w:val="Compact"/>
              <w:jc w:val="right"/>
            </w:pPr>
            <w:r>
              <w:t xml:space="preserve">$375</w:t>
            </w:r>
          </w:p>
        </w:tc>
        <w:tc>
          <w:tcPr/>
          <w:p>
            <w:pPr>
              <w:pStyle w:val="Compact"/>
              <w:jc w:val="right"/>
            </w:pPr>
            <w:r>
              <w:t xml:space="preserve">27.0</w:t>
            </w:r>
          </w:p>
        </w:tc>
        <w:tc>
          <w:tcPr/>
          <w:p>
            <w:pPr>
              <w:pStyle w:val="Compact"/>
              <w:jc w:val="right"/>
            </w:pPr>
            <w:r>
              <w:t xml:space="preserve">$10,125.00</w:t>
            </w:r>
          </w:p>
        </w:tc>
        <w:tc>
          <w:tcPr/>
          <w:p>
            <w:pPr>
              <w:pStyle w:val="Compact"/>
              <w:jc w:val="left"/>
            </w:pPr>
            <w:r>
              <w:rPr>
                <w:b/>
                <w:bCs/>
              </w:rPr>
              <w:t xml:space="preserve">Not approved</w:t>
            </w:r>
          </w:p>
        </w:tc>
      </w:tr>
      <w:tr>
        <w:tc>
          <w:tcPr/>
          <w:p>
            <w:pPr>
              <w:pStyle w:val="Compact"/>
              <w:jc w:val="left"/>
            </w:pPr>
            <w:r>
              <w:t xml:space="preserve">Marcus Tate</w:t>
            </w:r>
          </w:p>
        </w:tc>
        <w:tc>
          <w:tcPr/>
          <w:p>
            <w:pPr>
              <w:pStyle w:val="Compact"/>
              <w:jc w:val="left"/>
            </w:pPr>
            <w:r>
              <w:t xml:space="preserve">Contract Attorney</w:t>
            </w:r>
          </w:p>
        </w:tc>
        <w:tc>
          <w:tcPr/>
          <w:p>
            <w:pPr>
              <w:pStyle w:val="Compact"/>
              <w:jc w:val="right"/>
            </w:pPr>
            <w:r>
              <w:t xml:space="preserve">$210</w:t>
            </w:r>
          </w:p>
        </w:tc>
        <w:tc>
          <w:tcPr/>
          <w:p>
            <w:pPr>
              <w:pStyle w:val="Compact"/>
              <w:jc w:val="right"/>
            </w:pPr>
            <w:r>
              <w:t xml:space="preserve">154.5</w:t>
            </w:r>
          </w:p>
        </w:tc>
        <w:tc>
          <w:tcPr/>
          <w:p>
            <w:pPr>
              <w:pStyle w:val="Compact"/>
              <w:jc w:val="right"/>
            </w:pPr>
            <w:r>
              <w:t xml:space="preserve">$32,445.00</w:t>
            </w:r>
          </w:p>
        </w:tc>
        <w:tc>
          <w:tcPr/>
          <w:p>
            <w:pPr>
              <w:pStyle w:val="Compact"/>
              <w:jc w:val="left"/>
            </w:pPr>
            <w:r>
              <w:t xml:space="preserve">Approved; rate exceeds cap; exceeds 80–150 hr range</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483.5</w:t>
            </w:r>
          </w:p>
        </w:tc>
        <w:tc>
          <w:tcPr/>
          <w:p>
            <w:pPr>
              <w:pStyle w:val="Compact"/>
              <w:jc w:val="right"/>
            </w:pPr>
            <w:r>
              <w:rPr>
                <w:b/>
                <w:bCs/>
              </w:rPr>
              <w:t xml:space="preserve">$215,680.00</w:t>
            </w:r>
          </w:p>
        </w:tc>
        <w:tc>
          <w:tcPr/>
          <w:p>
            <w:pPr>
              <w:pStyle w:val="Compact"/>
            </w:pPr>
          </w:p>
        </w:tc>
      </w:tr>
    </w:tbl>
    <w:p>
      <w:pPr>
        <w:pStyle w:val="BodyText"/>
      </w:pPr>
      <w:r>
        <w:rPr>
          <w:b/>
          <w:bCs/>
        </w:rPr>
        <w:t xml:space="preserve">Expenses (Expense Detail tab):</w:t>
      </w:r>
      <w:r>
        <w:t xml:space="preserve"> </w:t>
      </w:r>
      <w:r>
        <w:t xml:space="preserve">$8,450.00 (court reporting $3,200.00; travel $2,100.00; e-discovery hosting $2,650.00; courier $500.00).</w:t>
      </w:r>
    </w:p>
    <w:p>
      <w:pPr>
        <w:pStyle w:val="BodyText"/>
      </w:pPr>
      <w:r>
        <w:rPr>
          <w:b/>
          <w:bCs/>
        </w:rPr>
        <w:t xml:space="preserve">Approved monthly attorney-fee budget range:</w:t>
      </w:r>
      <w:r>
        <w:t xml:space="preserve"> </w:t>
      </w:r>
      <w:r>
        <w:t xml:space="preserve">$95,000.00–$165,000.00 (Staffing Plan §3). Section 7.3 overage ceiling (high end + 15%):</w:t>
      </w:r>
      <w:r>
        <w:t xml:space="preserve"> </w:t>
      </w:r>
      <w:r>
        <w:rPr>
          <w:b/>
          <w:bCs/>
        </w:rPr>
        <w:t xml:space="preserve">$189,750.00</w:t>
      </w:r>
      <w:r>
        <w:t xml:space="preserve">. Time Detail fees of $215,680.00 exceed that ceiling by</w:t>
      </w:r>
      <w:r>
        <w:t xml:space="preserve"> </w:t>
      </w:r>
      <w:r>
        <w:rPr>
          <w:b/>
          <w:bCs/>
        </w:rPr>
        <w:t xml:space="preserve">$25,930.00</w:t>
      </w:r>
      <w:r>
        <w:t xml:space="preserve"> </w:t>
      </w:r>
      <w:r>
        <w:t xml:space="preserve">(the Summary’s $193,372.50 exceeds it by $3,622.50).</w:t>
      </w:r>
    </w:p>
    <w:p>
      <w:r>
        <w:pict>
          <v:rect style="width:0;height:1.5pt" o:hralign="center" o:hrstd="t" o:hr="t"/>
        </w:pict>
      </w:r>
    </w:p>
    <w:bookmarkEnd w:id="23"/>
    <w:bookmarkStart w:id="24" w:name="X9c49c9db2a86a7264e9d6c1f43a4c51c453cec3"/>
    <w:p>
      <w:pPr>
        <w:pStyle w:val="Heading2"/>
      </w:pPr>
      <w:r>
        <w:t xml:space="preserve">V. Summary of Recommended Reductions (Time Detail Basis)</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Guideline</w:t>
            </w:r>
          </w:p>
        </w:tc>
        <w:tc>
          <w:tcPr/>
          <w:p>
            <w:pPr>
              <w:pStyle w:val="Compact"/>
              <w:jc w:val="right"/>
            </w:pPr>
            <w:r>
              <w:t xml:space="preserve">Reduction</w:t>
            </w:r>
          </w:p>
        </w:tc>
      </w:tr>
      <w:tr>
        <w:tc>
          <w:tcPr/>
          <w:p>
            <w:pPr>
              <w:pStyle w:val="Compact"/>
              <w:jc w:val="left"/>
            </w:pPr>
            <w:r>
              <w:t xml:space="preserve">A</w:t>
            </w:r>
          </w:p>
        </w:tc>
        <w:tc>
          <w:tcPr/>
          <w:p>
            <w:pPr>
              <w:pStyle w:val="Compact"/>
              <w:jc w:val="left"/>
            </w:pPr>
            <w:r>
              <w:t xml:space="preserve">Unauthorized timekeepers (Barros, Sengupta)</w:t>
            </w:r>
          </w:p>
        </w:tc>
        <w:tc>
          <w:tcPr/>
          <w:p>
            <w:pPr>
              <w:pStyle w:val="Compact"/>
              <w:jc w:val="left"/>
            </w:pPr>
            <w:r>
              <w:t xml:space="preserve">§4.2</w:t>
            </w:r>
          </w:p>
        </w:tc>
        <w:tc>
          <w:tcPr/>
          <w:p>
            <w:pPr>
              <w:pStyle w:val="Compact"/>
              <w:jc w:val="right"/>
            </w:pPr>
            <w:r>
              <w:t xml:space="preserve">$33,400.00</w:t>
            </w:r>
          </w:p>
        </w:tc>
      </w:tr>
      <w:tr>
        <w:tc>
          <w:tcPr/>
          <w:p>
            <w:pPr>
              <w:pStyle w:val="Compact"/>
              <w:jc w:val="left"/>
            </w:pPr>
            <w:r>
              <w:t xml:space="preserve">B</w:t>
            </w:r>
          </w:p>
        </w:tc>
        <w:tc>
          <w:tcPr/>
          <w:p>
            <w:pPr>
              <w:pStyle w:val="Compact"/>
              <w:jc w:val="left"/>
            </w:pPr>
            <w:r>
              <w:t xml:space="preserve">Contract-attorney rate over cap/approved rate (Tate)</w:t>
            </w:r>
          </w:p>
        </w:tc>
        <w:tc>
          <w:tcPr/>
          <w:p>
            <w:pPr>
              <w:pStyle w:val="Compact"/>
              <w:jc w:val="left"/>
            </w:pPr>
            <w:r>
              <w:t xml:space="preserve">§§5.1, 4.4, 8.4</w:t>
            </w:r>
          </w:p>
        </w:tc>
        <w:tc>
          <w:tcPr/>
          <w:p>
            <w:pPr>
              <w:pStyle w:val="Compact"/>
              <w:jc w:val="right"/>
            </w:pPr>
            <w:r>
              <w:t xml:space="preserve">$3,862.50</w:t>
            </w:r>
          </w:p>
        </w:tc>
      </w:tr>
      <w:tr>
        <w:tc>
          <w:tcPr/>
          <w:p>
            <w:pPr>
              <w:pStyle w:val="Compact"/>
              <w:jc w:val="left"/>
            </w:pPr>
            <w:r>
              <w:t xml:space="preserve">C</w:t>
            </w:r>
          </w:p>
        </w:tc>
        <w:tc>
          <w:tcPr/>
          <w:p>
            <w:pPr>
              <w:pStyle w:val="Compact"/>
              <w:jc w:val="left"/>
            </w:pPr>
            <w:r>
              <w:t xml:space="preserve">Block billing — 25% per entry (54 entries)</w:t>
            </w:r>
          </w:p>
        </w:tc>
        <w:tc>
          <w:tcPr/>
          <w:p>
            <w:pPr>
              <w:pStyle w:val="Compact"/>
              <w:jc w:val="left"/>
            </w:pPr>
            <w:r>
              <w:t xml:space="preserve">§5.4</w:t>
            </w:r>
          </w:p>
        </w:tc>
        <w:tc>
          <w:tcPr/>
          <w:p>
            <w:pPr>
              <w:pStyle w:val="Compact"/>
              <w:jc w:val="right"/>
            </w:pPr>
            <w:r>
              <w:t xml:space="preserve">$30,695.63</w:t>
            </w:r>
          </w:p>
        </w:tc>
      </w:tr>
      <w:tr>
        <w:tc>
          <w:tcPr/>
          <w:p>
            <w:pPr>
              <w:pStyle w:val="Compact"/>
              <w:jc w:val="left"/>
            </w:pPr>
            <w:r>
              <w:t xml:space="preserve">D</w:t>
            </w:r>
          </w:p>
        </w:tc>
        <w:tc>
          <w:tcPr/>
          <w:p>
            <w:pPr>
              <w:pStyle w:val="Compact"/>
              <w:jc w:val="left"/>
            </w:pPr>
            <w:r>
              <w:t xml:space="preserve">Timekeeper-to-task appropriateness (4 entries)</w:t>
            </w:r>
          </w:p>
        </w:tc>
        <w:tc>
          <w:tcPr/>
          <w:p>
            <w:pPr>
              <w:pStyle w:val="Compact"/>
              <w:jc w:val="left"/>
            </w:pPr>
            <w:r>
              <w:t xml:space="preserve">§6.1</w:t>
            </w:r>
          </w:p>
        </w:tc>
        <w:tc>
          <w:tcPr/>
          <w:p>
            <w:pPr>
              <w:pStyle w:val="Compact"/>
              <w:jc w:val="right"/>
            </w:pPr>
            <w:r>
              <w:t xml:space="preserve">$3,753.75</w:t>
            </w:r>
          </w:p>
        </w:tc>
      </w:tr>
      <w:tr>
        <w:tc>
          <w:tcPr/>
          <w:p>
            <w:pPr>
              <w:pStyle w:val="Compact"/>
              <w:jc w:val="left"/>
            </w:pPr>
            <w:r>
              <w:t xml:space="preserve">E</w:t>
            </w:r>
          </w:p>
        </w:tc>
        <w:tc>
          <w:tcPr/>
          <w:p>
            <w:pPr>
              <w:pStyle w:val="Compact"/>
              <w:jc w:val="left"/>
            </w:pPr>
            <w:r>
              <w:t xml:space="preserve">Internal conference attendance cap (May 8 call)</w:t>
            </w:r>
          </w:p>
        </w:tc>
        <w:tc>
          <w:tcPr/>
          <w:p>
            <w:pPr>
              <w:pStyle w:val="Compact"/>
              <w:jc w:val="left"/>
            </w:pPr>
            <w:r>
              <w:t xml:space="preserve">§4.3</w:t>
            </w:r>
          </w:p>
        </w:tc>
        <w:tc>
          <w:tcPr/>
          <w:p>
            <w:pPr>
              <w:pStyle w:val="Compact"/>
              <w:jc w:val="right"/>
            </w:pPr>
            <w:r>
              <w:t xml:space="preserve">$937.50</w:t>
            </w:r>
          </w:p>
        </w:tc>
      </w:tr>
      <w:tr>
        <w:tc>
          <w:tcPr/>
          <w:p>
            <w:pPr>
              <w:pStyle w:val="Compact"/>
              <w:jc w:val="left"/>
            </w:pPr>
            <w:r>
              <w:t xml:space="preserve">F</w:t>
            </w:r>
          </w:p>
        </w:tc>
        <w:tc>
          <w:tcPr/>
          <w:p>
            <w:pPr>
              <w:pStyle w:val="Compact"/>
              <w:jc w:val="left"/>
            </w:pPr>
            <w:r>
              <w:t xml:space="preserve">Deposition staffing cap (Dr. Liu deposition)</w:t>
            </w:r>
          </w:p>
        </w:tc>
        <w:tc>
          <w:tcPr/>
          <w:p>
            <w:pPr>
              <w:pStyle w:val="Compact"/>
              <w:jc w:val="left"/>
            </w:pPr>
            <w:r>
              <w:t xml:space="preserve">§4.3</w:t>
            </w:r>
          </w:p>
        </w:tc>
        <w:tc>
          <w:tcPr/>
          <w:p>
            <w:pPr>
              <w:pStyle w:val="Compact"/>
              <w:jc w:val="right"/>
            </w:pPr>
            <w:r>
              <w:t xml:space="preserve">$2,375.00</w:t>
            </w:r>
          </w:p>
        </w:tc>
      </w:tr>
      <w:tr>
        <w:tc>
          <w:tcPr/>
          <w:p>
            <w:pPr>
              <w:pStyle w:val="Compact"/>
            </w:pPr>
          </w:p>
        </w:tc>
        <w:tc>
          <w:tcPr/>
          <w:p>
            <w:pPr>
              <w:pStyle w:val="Compact"/>
              <w:jc w:val="left"/>
            </w:pPr>
            <w:r>
              <w:rPr>
                <w:b/>
                <w:bCs/>
              </w:rPr>
              <w:t xml:space="preserve">Subtotal — attorney-fee reductions</w:t>
            </w:r>
          </w:p>
        </w:tc>
        <w:tc>
          <w:tcPr/>
          <w:p>
            <w:pPr>
              <w:pStyle w:val="Compact"/>
            </w:pPr>
          </w:p>
        </w:tc>
        <w:tc>
          <w:tcPr/>
          <w:p>
            <w:pPr>
              <w:pStyle w:val="Compact"/>
              <w:jc w:val="right"/>
            </w:pPr>
            <w:r>
              <w:rPr>
                <w:b/>
                <w:bCs/>
              </w:rPr>
              <w:t xml:space="preserve">$75,024.38</w:t>
            </w:r>
          </w:p>
        </w:tc>
      </w:tr>
      <w:tr>
        <w:tc>
          <w:tcPr/>
          <w:p>
            <w:pPr>
              <w:pStyle w:val="Compact"/>
              <w:jc w:val="left"/>
            </w:pPr>
            <w:r>
              <w:t xml:space="preserve">G</w:t>
            </w:r>
          </w:p>
        </w:tc>
        <w:tc>
          <w:tcPr/>
          <w:p>
            <w:pPr>
              <w:pStyle w:val="Compact"/>
              <w:jc w:val="left"/>
            </w:pPr>
            <w:r>
              <w:t xml:space="preserve">Non-reimbursable local-travel expense</w:t>
            </w:r>
          </w:p>
        </w:tc>
        <w:tc>
          <w:tcPr/>
          <w:p>
            <w:pPr>
              <w:pStyle w:val="Compact"/>
              <w:jc w:val="left"/>
            </w:pPr>
            <w:r>
              <w:t xml:space="preserve">§§6.4, 8.2, 8.3</w:t>
            </w:r>
          </w:p>
        </w:tc>
        <w:tc>
          <w:tcPr/>
          <w:p>
            <w:pPr>
              <w:pStyle w:val="Compact"/>
              <w:jc w:val="right"/>
            </w:pPr>
            <w:r>
              <w:t xml:space="preserve">$2,100.00</w:t>
            </w:r>
          </w:p>
        </w:tc>
      </w:tr>
      <w:tr>
        <w:tc>
          <w:tcPr/>
          <w:p>
            <w:pPr>
              <w:pStyle w:val="Compact"/>
            </w:pPr>
          </w:p>
        </w:tc>
        <w:tc>
          <w:tcPr/>
          <w:p>
            <w:pPr>
              <w:pStyle w:val="Compact"/>
              <w:jc w:val="left"/>
            </w:pPr>
            <w:r>
              <w:rPr>
                <w:b/>
                <w:bCs/>
              </w:rPr>
              <w:t xml:space="preserve">Total recommended reductions</w:t>
            </w:r>
          </w:p>
        </w:tc>
        <w:tc>
          <w:tcPr/>
          <w:p>
            <w:pPr>
              <w:pStyle w:val="Compact"/>
            </w:pPr>
          </w:p>
        </w:tc>
        <w:tc>
          <w:tcPr/>
          <w:p>
            <w:pPr>
              <w:pStyle w:val="Compact"/>
              <w:jc w:val="right"/>
            </w:pPr>
            <w:r>
              <w:rPr>
                <w:b/>
                <w:bCs/>
              </w:rPr>
              <w:t xml:space="preserve">$77,124.38</w:t>
            </w:r>
          </w:p>
        </w:tc>
      </w:tr>
      <w:tr>
        <w:tc>
          <w:tcPr/>
          <w:p>
            <w:pPr>
              <w:pStyle w:val="Compact"/>
              <w:jc w:val="left"/>
            </w:pPr>
            <w:r>
              <w:t xml:space="preserve">H</w:t>
            </w:r>
          </w:p>
        </w:tc>
        <w:tc>
          <w:tcPr/>
          <w:p>
            <w:pPr>
              <w:pStyle w:val="Compact"/>
              <w:jc w:val="left"/>
            </w:pPr>
            <w:r>
              <w:t xml:space="preserve">Monthly budget overage (§7.3) — noted; cap not additionally applied because specific reductions bring fees below the $189,750 ceiling</w:t>
            </w:r>
          </w:p>
        </w:tc>
        <w:tc>
          <w:tcPr/>
          <w:p>
            <w:pPr>
              <w:pStyle w:val="Compact"/>
              <w:jc w:val="left"/>
            </w:pPr>
            <w:r>
              <w:t xml:space="preserve">§7.3</w:t>
            </w:r>
          </w:p>
        </w:tc>
        <w:tc>
          <w:tcPr/>
          <w:p>
            <w:pPr>
              <w:pStyle w:val="Compact"/>
              <w:jc w:val="right"/>
            </w:pPr>
            <w:r>
              <w:t xml:space="preserve">$0.00 (see §VI.H)</w:t>
            </w:r>
          </w:p>
        </w:tc>
      </w:tr>
    </w:tbl>
    <w:p>
      <w:pPr>
        <w:pStyle w:val="BodyText"/>
      </w:pPr>
      <w:r>
        <w:rPr>
          <w:b/>
          <w:bCs/>
        </w:rPr>
        <w:t xml:space="preserve">Resulting net amounts (Time Detail basis):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Time Detail</w:t>
            </w:r>
          </w:p>
        </w:tc>
        <w:tc>
          <w:tcPr/>
          <w:p>
            <w:pPr>
              <w:pStyle w:val="Compact"/>
              <w:jc w:val="right"/>
            </w:pPr>
            <w:r>
              <w:t xml:space="preserve">Reduction</w:t>
            </w:r>
          </w:p>
        </w:tc>
        <w:tc>
          <w:tcPr/>
          <w:p>
            <w:pPr>
              <w:pStyle w:val="Compact"/>
              <w:jc w:val="right"/>
            </w:pPr>
            <w:r>
              <w:t xml:space="preserve">Net Payable</w:t>
            </w:r>
          </w:p>
        </w:tc>
      </w:tr>
      <w:tr>
        <w:tc>
          <w:tcPr/>
          <w:p>
            <w:pPr>
              <w:pStyle w:val="Compact"/>
              <w:jc w:val="left"/>
            </w:pPr>
            <w:r>
              <w:t xml:space="preserve">Attorney fees</w:t>
            </w:r>
          </w:p>
        </w:tc>
        <w:tc>
          <w:tcPr/>
          <w:p>
            <w:pPr>
              <w:pStyle w:val="Compact"/>
              <w:jc w:val="right"/>
            </w:pPr>
            <w:r>
              <w:t xml:space="preserve">$215,680.00</w:t>
            </w:r>
          </w:p>
        </w:tc>
        <w:tc>
          <w:tcPr/>
          <w:p>
            <w:pPr>
              <w:pStyle w:val="Compact"/>
              <w:jc w:val="right"/>
            </w:pPr>
            <w:r>
              <w:t xml:space="preserve">($75,024.38)</w:t>
            </w:r>
          </w:p>
        </w:tc>
        <w:tc>
          <w:tcPr/>
          <w:p>
            <w:pPr>
              <w:pStyle w:val="Compact"/>
              <w:jc w:val="right"/>
            </w:pPr>
            <w:r>
              <w:t xml:space="preserve">$140,655.62</w:t>
            </w:r>
          </w:p>
        </w:tc>
      </w:tr>
      <w:tr>
        <w:tc>
          <w:tcPr/>
          <w:p>
            <w:pPr>
              <w:pStyle w:val="Compact"/>
              <w:jc w:val="left"/>
            </w:pPr>
            <w:r>
              <w:t xml:space="preserve">Expenses</w:t>
            </w:r>
          </w:p>
        </w:tc>
        <w:tc>
          <w:tcPr/>
          <w:p>
            <w:pPr>
              <w:pStyle w:val="Compact"/>
              <w:jc w:val="right"/>
            </w:pPr>
            <w:r>
              <w:t xml:space="preserve">$8,450.00</w:t>
            </w:r>
          </w:p>
        </w:tc>
        <w:tc>
          <w:tcPr/>
          <w:p>
            <w:pPr>
              <w:pStyle w:val="Compact"/>
              <w:jc w:val="right"/>
            </w:pPr>
            <w:r>
              <w:t xml:space="preserve">($2,100.00)</w:t>
            </w:r>
          </w:p>
        </w:tc>
        <w:tc>
          <w:tcPr/>
          <w:p>
            <w:pPr>
              <w:pStyle w:val="Compact"/>
              <w:jc w:val="right"/>
            </w:pPr>
            <w:r>
              <w:t xml:space="preserve">$6,350.00</w:t>
            </w:r>
          </w:p>
        </w:tc>
      </w:tr>
      <w:tr>
        <w:tc>
          <w:tcPr/>
          <w:p>
            <w:pPr>
              <w:pStyle w:val="Compact"/>
              <w:jc w:val="left"/>
            </w:pPr>
            <w:r>
              <w:rPr>
                <w:b/>
                <w:bCs/>
              </w:rPr>
              <w:t xml:space="preserve">Total</w:t>
            </w:r>
          </w:p>
        </w:tc>
        <w:tc>
          <w:tcPr/>
          <w:p>
            <w:pPr>
              <w:pStyle w:val="Compact"/>
              <w:jc w:val="right"/>
            </w:pPr>
            <w:r>
              <w:rPr>
                <w:b/>
                <w:bCs/>
              </w:rPr>
              <w:t xml:space="preserve">$224,130.00</w:t>
            </w:r>
          </w:p>
        </w:tc>
        <w:tc>
          <w:tcPr/>
          <w:p>
            <w:pPr>
              <w:pStyle w:val="Compact"/>
              <w:jc w:val="right"/>
            </w:pPr>
            <w:r>
              <w:rPr>
                <w:b/>
                <w:bCs/>
              </w:rPr>
              <w:t xml:space="preserve">($77,124.38)</w:t>
            </w:r>
          </w:p>
        </w:tc>
        <w:tc>
          <w:tcPr/>
          <w:p>
            <w:pPr>
              <w:pStyle w:val="Compact"/>
              <w:jc w:val="right"/>
            </w:pPr>
            <w:r>
              <w:rPr>
                <w:b/>
                <w:bCs/>
              </w:rPr>
              <w:t xml:space="preserve">$147,005.62</w:t>
            </w:r>
          </w:p>
        </w:tc>
      </w:tr>
    </w:tbl>
    <w:p>
      <w:pPr>
        <w:pStyle w:val="BodyText"/>
      </w:pPr>
      <w:r>
        <w:rPr>
          <w:i/>
          <w:iCs/>
        </w:rPr>
        <w:t xml:space="preserve">For reference, if the Firm’s Summary ($193,372.50 in fees) were treated as the correct total, the same per-entry reductions (other than the unauthorized-timekeeper and contract-rate items, which are larger on the Detail) would yield a summary-basis payable of $127,273.12. That figure is provided for comparison only; it is not recommended because the Summary does not reconcile to the line items.</w:t>
      </w:r>
    </w:p>
    <w:p>
      <w:r>
        <w:pict>
          <v:rect style="width:0;height:1.5pt" o:hralign="center" o:hrstd="t" o:hr="t"/>
        </w:pict>
      </w:r>
    </w:p>
    <w:bookmarkEnd w:id="24"/>
    <w:bookmarkStart w:id="34" w:name="Xe6f987cbdfdfcd290cee15e494e430c5bba183d"/>
    <w:p>
      <w:pPr>
        <w:pStyle w:val="Heading2"/>
      </w:pPr>
      <w:r>
        <w:t xml:space="preserve">VI. Detailed Findings and Reduction Calculations</w:t>
      </w:r>
    </w:p>
    <w:bookmarkStart w:id="25" w:name="X987aaf7424213a017a7a095b9011eee1aabf841"/>
    <w:p>
      <w:pPr>
        <w:pStyle w:val="Heading3"/>
      </w:pPr>
      <w:r>
        <w:t xml:space="preserve">A. Unauthorized Timekeepers — Billing Guidelines §4.2; Staffing Plan §§2.3, 2.4, 4</w:t>
      </w:r>
    </w:p>
    <w:p>
      <w:pPr>
        <w:pStyle w:val="FirstParagraph"/>
      </w:pPr>
      <w:r>
        <w:rPr>
          <w:b/>
          <w:bCs/>
        </w:rPr>
        <w:t xml:space="preserve">Governing authority.</w:t>
      </w:r>
      <w:r>
        <w:t xml:space="preserve"> </w:t>
      </w:r>
      <w:r>
        <w:t xml:space="preserve">Section 4.2 provides that</w:t>
      </w:r>
      <w:r>
        <w:t xml:space="preserve"> </w:t>
      </w:r>
      <w:r>
        <w:t xml:space="preserve">“</w:t>
      </w:r>
      <w:r>
        <w:t xml:space="preserve">[a]ny additions to, or substitutions on, the Approved Staffing Plan … must be pre-approved in writing by Pinnacle’s Designated In-House Counsel</w:t>
      </w:r>
      <w:r>
        <w:t xml:space="preserve"> </w:t>
      </w:r>
      <w:r>
        <w:rPr>
          <w:b/>
          <w:bCs/>
        </w:rPr>
        <w:t xml:space="preserve">prior to any such timekeeper performing billable work</w:t>
      </w:r>
      <w:r>
        <w:t xml:space="preserve">,</w:t>
      </w:r>
      <w:r>
        <w:t xml:space="preserve">”</w:t>
      </w:r>
      <w:r>
        <w:t xml:space="preserve"> </w:t>
      </w:r>
      <w:r>
        <w:t xml:space="preserve">and that</w:t>
      </w:r>
      <w:r>
        <w:t xml:space="preserve"> </w:t>
      </w:r>
      <w:r>
        <w:t xml:space="preserve">“</w:t>
      </w:r>
      <w:r>
        <w:t xml:space="preserve">[s]taffing changes submitted after the fact, or where the new timekeeper has already commenced work prior to receiving written approval, are subject to reduction or rejection of all fees attributable to the unapproved timekeeper, at Pinnacle’s sole discretion.</w:t>
      </w:r>
      <w:r>
        <w:t xml:space="preserve">”</w:t>
      </w:r>
      <w:r>
        <w:t xml:space="preserve"> </w:t>
      </w:r>
      <w:r>
        <w:t xml:space="preserve">The Approved Staffing Plan reinforces this, stating that the listed timekeepers are the</w:t>
      </w:r>
      <w:r>
        <w:t xml:space="preserve"> </w:t>
      </w:r>
      <w:r>
        <w:t xml:space="preserve">“</w:t>
      </w:r>
      <w:r>
        <w:t xml:space="preserve">complete and exclusive</w:t>
      </w:r>
      <w:r>
        <w:t xml:space="preserve">”</w:t>
      </w:r>
      <w:r>
        <w:t xml:space="preserve"> </w:t>
      </w:r>
      <w:r>
        <w:t xml:space="preserve">roster, that</w:t>
      </w:r>
      <w:r>
        <w:t xml:space="preserve"> </w:t>
      </w:r>
      <w:r>
        <w:t xml:space="preserve">“</w:t>
      </w:r>
      <w:r>
        <w:t xml:space="preserve">James Pettersson is the only mid-level associate assigned to this matter,</w:t>
      </w:r>
      <w:r>
        <w:t xml:space="preserve">”</w:t>
      </w:r>
      <w:r>
        <w:t xml:space="preserve"> </w:t>
      </w:r>
      <w:r>
        <w:t xml:space="preserve">and that</w:t>
      </w:r>
      <w:r>
        <w:t xml:space="preserve"> </w:t>
      </w:r>
      <w:r>
        <w:t xml:space="preserve">“</w:t>
      </w:r>
      <w:r>
        <w:t xml:space="preserve">only one junior associate will be assigned to and authorized to bill on this matter at any given time.</w:t>
      </w:r>
      <w:r>
        <w:t xml:space="preserve">”</w:t>
      </w:r>
    </w:p>
    <w:p>
      <w:pPr>
        <w:pStyle w:val="BodyText"/>
      </w:pPr>
      <w:r>
        <w:rPr>
          <w:b/>
          <w:bCs/>
        </w:rPr>
        <w:t xml:space="preserve">Finding 1 — Nina Barros (Mid-Level Associate; 49.0 hours; $23,275.00).</w:t>
      </w:r>
      <w:r>
        <w:t xml:space="preserve"> </w:t>
      </w:r>
      <w:r>
        <w:t xml:space="preserve">The Approved Staffing Plan contains no mid-level associate other than James Pettersson. On April 28, 2025, Karen Cho emailed Rachel Dominguez requesting that Nina Barros be added as a second mid-level associate at $475/hr, estimating 40–50 hours/month. Ms. Dominguez replied on May 1, 2025 at 9:12 a.m.:</w:t>
      </w:r>
      <w:r>
        <w:t xml:space="preserve"> </w:t>
      </w:r>
      <w:r>
        <w:t xml:space="preserve">“</w:t>
      </w:r>
      <w:r>
        <w:t xml:space="preserve">Before we can move forward on adding Nina Barros, though, let me review this with Sandra and get back to you…. I’ll try to circle back with you early next week.</w:t>
      </w:r>
      <w:r>
        <w:t xml:space="preserve">”</w:t>
      </w:r>
      <w:r>
        <w:t xml:space="preserve"> </w:t>
      </w:r>
      <w:r>
        <w:t xml:space="preserve">That reply is an express deferral, not an approval. No subsequent written approval appears in the record, and the Firm’s own Rate Schedule tab marks Ms. Barros’s status as</w:t>
      </w:r>
      <w:r>
        <w:t xml:space="preserve"> </w:t>
      </w:r>
      <w:r>
        <w:t xml:space="preserve">“</w:t>
      </w:r>
      <w:r>
        <w:t xml:space="preserve">Pending Approval — Added May 2025.</w:t>
      </w:r>
      <w:r>
        <w:t xml:space="preserve">”</w:t>
      </w:r>
      <w:r>
        <w:t xml:space="preserve"> </w:t>
      </w:r>
      <w:r>
        <w:t xml:space="preserve">Nonetheless, Ms. Barros began billing on May 1, 2025 (entry #4) and billed 49.0 hours across the month — precisely the scenario §4.2 addresses. The Firm’s June 1 case status report asserts her involvement</w:t>
      </w:r>
      <w:r>
        <w:t xml:space="preserve"> </w:t>
      </w:r>
      <w:r>
        <w:t xml:space="preserve">“</w:t>
      </w:r>
      <w:r>
        <w:t xml:space="preserve">was consistent with the request submitted to Ms. Dominguez on April 28, 2025,</w:t>
      </w:r>
      <w:r>
        <w:t xml:space="preserve">”</w:t>
      </w:r>
      <w:r>
        <w:t xml:space="preserve"> </w:t>
      </w:r>
      <w:r>
        <w:t xml:space="preserve">but a request is not an approval. No exigent-circumstance notice under §4.2 was given within 24 hours, and none could apply: the third production had been received the prior week and the depositions were scheduled weeks out.</w:t>
      </w:r>
    </w:p>
    <w:p>
      <w:pPr>
        <w:pStyle w:val="BodyText"/>
      </w:pPr>
      <w:r>
        <w:rPr>
          <w:b/>
          <w:bCs/>
        </w:rPr>
        <w:t xml:space="preserve">Finding 2 — Priya Sengupta (Junior Associate; 27.0 hours; $10,125.00).</w:t>
      </w:r>
      <w:r>
        <w:t xml:space="preserve"> </w:t>
      </w:r>
      <w:r>
        <w:t xml:space="preserve">The Approved Staffing Plan authorizes a single junior-associate slot, filled by Tyler Webb, and expressly states that</w:t>
      </w:r>
      <w:r>
        <w:t xml:space="preserve"> </w:t>
      </w:r>
      <w:r>
        <w:t xml:space="preserve">“</w:t>
      </w:r>
      <w:r>
        <w:t xml:space="preserve">[a]ny proposal to assign more than one junior associate concurrently would constitute a staffing change requiring prior written approval under Section 4.2.</w:t>
      </w:r>
      <w:r>
        <w:t xml:space="preserve">”</w:t>
      </w:r>
      <w:r>
        <w:t xml:space="preserve"> </w:t>
      </w:r>
      <w:r>
        <w:t xml:space="preserve">Ms. Sengupta, a first-year associate, billed 27.0 hours concurrently with Mr. Webb throughout May (entries #31, #37, #42, #54, #59, #65, #81, #91, #97, #104, #116). There is no written request to add her and no approval of any kind; the Firm’s Rate Schedule tab lists her status only as</w:t>
      </w:r>
      <w:r>
        <w:t xml:space="preserve"> </w:t>
      </w:r>
      <w:r>
        <w:t xml:space="preserve">“</w:t>
      </w:r>
      <w:r>
        <w:t xml:space="preserve">Added May 2025.</w:t>
      </w:r>
      <w:r>
        <w:t xml:space="preserve">”</w:t>
      </w:r>
      <w:r>
        <w:t xml:space="preserve"> </w:t>
      </w:r>
      <w:r>
        <w:t xml:space="preserve">This is an unrequested, unapproved addition of a second junior associate.</w:t>
      </w:r>
    </w:p>
    <w:p>
      <w:pPr>
        <w:pStyle w:val="BodyText"/>
      </w:pPr>
      <w:r>
        <w:rPr>
          <w:b/>
          <w:bCs/>
        </w:rPr>
        <w:t xml:space="preserve">Recommended reduction.</w:t>
      </w:r>
      <w:r>
        <w:t xml:space="preserve"> </w:t>
      </w:r>
      <w:r>
        <w:t xml:space="preserve">Reject all fees attributable to both unapproved timekeepers in their entirety, as expressly authorized by §4.2.</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right"/>
            </w:pPr>
            <w:r>
              <w:t xml:space="preserve">Hours</w:t>
            </w:r>
          </w:p>
        </w:tc>
        <w:tc>
          <w:tcPr/>
          <w:p>
            <w:pPr>
              <w:pStyle w:val="Compact"/>
              <w:jc w:val="right"/>
            </w:pPr>
            <w:r>
              <w:t xml:space="preserve">Rate</w:t>
            </w:r>
          </w:p>
        </w:tc>
        <w:tc>
          <w:tcPr/>
          <w:p>
            <w:pPr>
              <w:pStyle w:val="Compact"/>
              <w:jc w:val="right"/>
            </w:pPr>
            <w:r>
              <w:t xml:space="preserve">Fees (Time Detail)</w:t>
            </w:r>
          </w:p>
        </w:tc>
        <w:tc>
          <w:tcPr/>
          <w:p>
            <w:pPr>
              <w:pStyle w:val="Compact"/>
              <w:jc w:val="right"/>
            </w:pPr>
            <w:r>
              <w:t xml:space="preserve">Reduction</w:t>
            </w:r>
          </w:p>
        </w:tc>
      </w:tr>
      <w:tr>
        <w:tc>
          <w:tcPr/>
          <w:p>
            <w:pPr>
              <w:pStyle w:val="Compact"/>
              <w:jc w:val="left"/>
            </w:pPr>
            <w:r>
              <w:t xml:space="preserve">Nina Barros</w:t>
            </w:r>
          </w:p>
        </w:tc>
        <w:tc>
          <w:tcPr/>
          <w:p>
            <w:pPr>
              <w:pStyle w:val="Compact"/>
              <w:jc w:val="right"/>
            </w:pPr>
            <w:r>
              <w:t xml:space="preserve">49.0</w:t>
            </w:r>
          </w:p>
        </w:tc>
        <w:tc>
          <w:tcPr/>
          <w:p>
            <w:pPr>
              <w:pStyle w:val="Compact"/>
              <w:jc w:val="right"/>
            </w:pPr>
            <w:r>
              <w:t xml:space="preserve">$475</w:t>
            </w:r>
          </w:p>
        </w:tc>
        <w:tc>
          <w:tcPr/>
          <w:p>
            <w:pPr>
              <w:pStyle w:val="Compact"/>
              <w:jc w:val="right"/>
            </w:pPr>
            <w:r>
              <w:t xml:space="preserve">$23,275.00</w:t>
            </w:r>
          </w:p>
        </w:tc>
        <w:tc>
          <w:tcPr/>
          <w:p>
            <w:pPr>
              <w:pStyle w:val="Compact"/>
              <w:jc w:val="right"/>
            </w:pPr>
            <w:r>
              <w:t xml:space="preserve">$23,275.00</w:t>
            </w:r>
          </w:p>
        </w:tc>
      </w:tr>
      <w:tr>
        <w:tc>
          <w:tcPr/>
          <w:p>
            <w:pPr>
              <w:pStyle w:val="Compact"/>
              <w:jc w:val="left"/>
            </w:pPr>
            <w:r>
              <w:t xml:space="preserve">Priya Sengupta</w:t>
            </w:r>
          </w:p>
        </w:tc>
        <w:tc>
          <w:tcPr/>
          <w:p>
            <w:pPr>
              <w:pStyle w:val="Compact"/>
              <w:jc w:val="right"/>
            </w:pPr>
            <w:r>
              <w:t xml:space="preserve">27.0</w:t>
            </w:r>
          </w:p>
        </w:tc>
        <w:tc>
          <w:tcPr/>
          <w:p>
            <w:pPr>
              <w:pStyle w:val="Compact"/>
              <w:jc w:val="right"/>
            </w:pPr>
            <w:r>
              <w:t xml:space="preserve">$375</w:t>
            </w:r>
          </w:p>
        </w:tc>
        <w:tc>
          <w:tcPr/>
          <w:p>
            <w:pPr>
              <w:pStyle w:val="Compact"/>
              <w:jc w:val="right"/>
            </w:pPr>
            <w:r>
              <w:t xml:space="preserve">$10,125.00</w:t>
            </w:r>
          </w:p>
        </w:tc>
        <w:tc>
          <w:tcPr/>
          <w:p>
            <w:pPr>
              <w:pStyle w:val="Compact"/>
              <w:jc w:val="right"/>
            </w:pPr>
            <w:r>
              <w:t xml:space="preserve">$10,125.00</w:t>
            </w:r>
          </w:p>
        </w:tc>
      </w:tr>
      <w:tr>
        <w:tc>
          <w:tcPr/>
          <w:p>
            <w:pPr>
              <w:pStyle w:val="Compact"/>
              <w:jc w:val="left"/>
            </w:pPr>
            <w:r>
              <w:rPr>
                <w:b/>
                <w:bCs/>
              </w:rPr>
              <w:t xml:space="preserve">Total (Category A)</w:t>
            </w:r>
          </w:p>
        </w:tc>
        <w:tc>
          <w:tcPr/>
          <w:p>
            <w:pPr>
              <w:pStyle w:val="Compact"/>
            </w:pPr>
          </w:p>
        </w:tc>
        <w:tc>
          <w:tcPr/>
          <w:p>
            <w:pPr>
              <w:pStyle w:val="Compact"/>
            </w:pPr>
          </w:p>
        </w:tc>
        <w:tc>
          <w:tcPr/>
          <w:p>
            <w:pPr>
              <w:pStyle w:val="Compact"/>
            </w:pPr>
          </w:p>
        </w:tc>
        <w:tc>
          <w:tcPr/>
          <w:p>
            <w:pPr>
              <w:pStyle w:val="Compact"/>
              <w:jc w:val="right"/>
            </w:pPr>
            <w:r>
              <w:rPr>
                <w:b/>
                <w:bCs/>
              </w:rPr>
              <w:t xml:space="preserve">$33,400.00</w:t>
            </w:r>
          </w:p>
        </w:tc>
      </w:tr>
    </w:tbl>
    <w:p>
      <w:pPr>
        <w:pStyle w:val="BodyText"/>
      </w:pPr>
      <w:r>
        <w:rPr>
          <w:i/>
          <w:iCs/>
        </w:rPr>
        <w:t xml:space="preserve">Note on overlapping remedies.</w:t>
      </w:r>
      <w:r>
        <w:t xml:space="preserve"> </w:t>
      </w:r>
      <w:r>
        <w:t xml:space="preserve">Because Ms. Barros’s and Ms. Sengupta’s entries are rejected in full under §4.2, no separate block-billing, task-appropriateness, or conference-cap reductions are calculated against those entries; doing so would double-count. Their entries are therefore excluded from Categories C, D, and E.</w:t>
      </w:r>
    </w:p>
    <w:bookmarkEnd w:id="25"/>
    <w:bookmarkStart w:id="26" w:name="X22aa2e3c535c2f2073747d71e309714b3ca6557"/>
    <w:p>
      <w:pPr>
        <w:pStyle w:val="Heading3"/>
      </w:pPr>
      <w:r>
        <w:t xml:space="preserve">B. Contract-Attorney Billing Rate — §§5.1, 4.4, 8.4; Staffing Plan §§2.5, 6</w:t>
      </w:r>
    </w:p>
    <w:p>
      <w:pPr>
        <w:pStyle w:val="FirstParagraph"/>
      </w:pPr>
      <w:r>
        <w:rPr>
          <w:b/>
          <w:bCs/>
        </w:rPr>
        <w:t xml:space="preserve">Governing authority.</w:t>
      </w:r>
      <w:r>
        <w:t xml:space="preserve"> </w:t>
      </w:r>
      <w:r>
        <w:t xml:space="preserve">Section 5.1 caps Contract Attorney/Staff Attorney rates at</w:t>
      </w:r>
      <w:r>
        <w:t xml:space="preserve"> </w:t>
      </w:r>
      <w:r>
        <w:rPr>
          <w:b/>
          <w:bCs/>
        </w:rPr>
        <w:t xml:space="preserve">$200/hr</w:t>
      </w:r>
      <w:r>
        <w:t xml:space="preserve"> </w:t>
      </w:r>
      <w:r>
        <w:t xml:space="preserve">and provides that</w:t>
      </w:r>
      <w:r>
        <w:t xml:space="preserve"> </w:t>
      </w:r>
      <w:r>
        <w:t xml:space="preserve">“</w:t>
      </w:r>
      <w:r>
        <w:t xml:space="preserve">[r]ates in excess of these caps will be automatically reduced to the applicable cap upon invoice review.</w:t>
      </w:r>
      <w:r>
        <w:t xml:space="preserve">”</w:t>
      </w:r>
      <w:r>
        <w:t xml:space="preserve"> </w:t>
      </w:r>
      <w:r>
        <w:t xml:space="preserve">Sections 4.4 and 8.4 require that contract-attorney costs be</w:t>
      </w:r>
      <w:r>
        <w:t xml:space="preserve"> </w:t>
      </w:r>
      <w:r>
        <w:t xml:space="preserve">“</w:t>
      </w:r>
      <w:r>
        <w:t xml:space="preserve">passed through at actual cost with no markup by Outside Counsel.</w:t>
      </w:r>
      <w:r>
        <w:t xml:space="preserve">”</w:t>
      </w:r>
      <w:r>
        <w:t xml:space="preserve"> </w:t>
      </w:r>
      <w:r>
        <w:t xml:space="preserve">The Approved Staffing Plan (§§2.5, 6) fixed the contract-attorney rate for this matter at</w:t>
      </w:r>
      <w:r>
        <w:t xml:space="preserve"> </w:t>
      </w:r>
      <w:r>
        <w:rPr>
          <w:b/>
          <w:bCs/>
        </w:rPr>
        <w:t xml:space="preserve">$185/hr</w:t>
      </w:r>
      <w:r>
        <w:t xml:space="preserve">, described as a</w:t>
      </w:r>
      <w:r>
        <w:t xml:space="preserve"> </w:t>
      </w:r>
      <w:r>
        <w:t xml:space="preserve">“</w:t>
      </w:r>
      <w:r>
        <w:t xml:space="preserve">pass-through at vendor rates with no firm markup,</w:t>
      </w:r>
      <w:r>
        <w:t xml:space="preserve">”</w:t>
      </w:r>
      <w:r>
        <w:t xml:space="preserve"> </w:t>
      </w:r>
      <w:r>
        <w:t xml:space="preserve">sourced through Redwood Document Solutions.</w:t>
      </w:r>
    </w:p>
    <w:p>
      <w:pPr>
        <w:pStyle w:val="BodyText"/>
      </w:pPr>
      <w:r>
        <w:rPr>
          <w:b/>
          <w:bCs/>
        </w:rPr>
        <w:t xml:space="preserve">Finding.</w:t>
      </w:r>
      <w:r>
        <w:t xml:space="preserve"> </w:t>
      </w:r>
      <w:r>
        <w:t xml:space="preserve">Marcus Tate, the contract attorney, was billed at</w:t>
      </w:r>
      <w:r>
        <w:t xml:space="preserve"> </w:t>
      </w:r>
      <w:r>
        <w:rPr>
          <w:b/>
          <w:bCs/>
        </w:rPr>
        <w:t xml:space="preserve">$210/hr</w:t>
      </w:r>
      <w:r>
        <w:t xml:space="preserve"> </w:t>
      </w:r>
      <w:r>
        <w:t xml:space="preserve">for all 154.5 hours. This rate (a) exceeds the §5.1 cap of $200/hr and (b) exceeds the specifically approved pass-through rate of $185/hr by $25/hr, reflecting an unapproved $25/hr markup over the Redwood vendor rate. The Firm’s own Rate Schedule tab lists the $210 rate without reconciling it to either the cap or the approved $185 rate.</w:t>
      </w:r>
    </w:p>
    <w:p>
      <w:pPr>
        <w:pStyle w:val="BodyText"/>
      </w:pPr>
      <w:r>
        <w:rPr>
          <w:b/>
          <w:bCs/>
        </w:rPr>
        <w:t xml:space="preserve">Recommended reduction.</w:t>
      </w:r>
      <w:r>
        <w:t xml:space="preserve"> </w:t>
      </w:r>
      <w:r>
        <w:t xml:space="preserve">Reduce Mr. Tate’s rate to the approved pass-through rate of $185/hr (which also brings the rate within the $200/hr cap and eliminates the impermissible markup). The $185 figure is used because it is the rate Pinnacle actually approved and pays for contract-attorney review on this matter; reducing only to the $200 cap would still leave an unapproved markup.</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right"/>
            </w:pPr>
            <w:r>
              <w:t xml:space="preserve">Hours</w:t>
            </w:r>
          </w:p>
        </w:tc>
        <w:tc>
          <w:tcPr/>
          <w:p>
            <w:pPr>
              <w:pStyle w:val="Compact"/>
              <w:jc w:val="right"/>
            </w:pPr>
            <w:r>
              <w:t xml:space="preserve">Billed Rate</w:t>
            </w:r>
          </w:p>
        </w:tc>
        <w:tc>
          <w:tcPr/>
          <w:p>
            <w:pPr>
              <w:pStyle w:val="Compact"/>
              <w:jc w:val="right"/>
            </w:pPr>
            <w:r>
              <w:t xml:space="preserve">Approved Rate</w:t>
            </w:r>
          </w:p>
        </w:tc>
        <w:tc>
          <w:tcPr/>
          <w:p>
            <w:pPr>
              <w:pStyle w:val="Compact"/>
              <w:jc w:val="right"/>
            </w:pPr>
            <w:r>
              <w:t xml:space="preserve">Reduction</w:t>
            </w:r>
          </w:p>
        </w:tc>
      </w:tr>
      <w:tr>
        <w:tc>
          <w:tcPr/>
          <w:p>
            <w:pPr>
              <w:pStyle w:val="Compact"/>
              <w:jc w:val="left"/>
            </w:pPr>
            <w:r>
              <w:t xml:space="preserve">Marcus Tate</w:t>
            </w:r>
          </w:p>
        </w:tc>
        <w:tc>
          <w:tcPr/>
          <w:p>
            <w:pPr>
              <w:pStyle w:val="Compact"/>
              <w:jc w:val="right"/>
            </w:pPr>
            <w:r>
              <w:t xml:space="preserve">154.5</w:t>
            </w:r>
          </w:p>
        </w:tc>
        <w:tc>
          <w:tcPr/>
          <w:p>
            <w:pPr>
              <w:pStyle w:val="Compact"/>
              <w:jc w:val="right"/>
            </w:pPr>
            <w:r>
              <w:t xml:space="preserve">$210</w:t>
            </w:r>
          </w:p>
        </w:tc>
        <w:tc>
          <w:tcPr/>
          <w:p>
            <w:pPr>
              <w:pStyle w:val="Compact"/>
              <w:jc w:val="right"/>
            </w:pPr>
            <w:r>
              <w:t xml:space="preserve">$185</w:t>
            </w:r>
          </w:p>
        </w:tc>
        <w:tc>
          <w:tcPr/>
          <w:p>
            <w:pPr>
              <w:pStyle w:val="Compact"/>
              <w:jc w:val="right"/>
            </w:pPr>
            <w:r>
              <w:t xml:space="preserve">154.5 × $25 =</w:t>
            </w:r>
            <w:r>
              <w:t xml:space="preserve"> </w:t>
            </w:r>
            <w:r>
              <w:rPr>
                <w:b/>
                <w:bCs/>
              </w:rPr>
              <w:t xml:space="preserve">$3,862.50</w:t>
            </w:r>
          </w:p>
        </w:tc>
      </w:tr>
    </w:tbl>
    <w:bookmarkEnd w:id="26"/>
    <w:bookmarkStart w:id="27" w:name="c.-block-billing-5.4"/>
    <w:p>
      <w:pPr>
        <w:pStyle w:val="Heading3"/>
      </w:pPr>
      <w:r>
        <w:t xml:space="preserve">C. Block Billing — §5.4</w:t>
      </w:r>
    </w:p>
    <w:p>
      <w:pPr>
        <w:pStyle w:val="FirstParagraph"/>
      </w:pPr>
      <w:r>
        <w:rPr>
          <w:b/>
          <w:bCs/>
        </w:rPr>
        <w:t xml:space="preserve">Governing authority.</w:t>
      </w:r>
      <w:r>
        <w:t xml:space="preserve"> </w:t>
      </w:r>
      <w:r>
        <w:t xml:space="preserve">Section 5.4 prohibits time entries that</w:t>
      </w:r>
      <w:r>
        <w:t xml:space="preserve"> </w:t>
      </w:r>
      <w:r>
        <w:t xml:space="preserve">“</w:t>
      </w:r>
      <w:r>
        <w:t xml:space="preserve">combine two or more discrete tasks into a single line item without separately allocating time to each task</w:t>
      </w:r>
      <w:r>
        <w:t xml:space="preserve">”</w:t>
      </w:r>
      <w:r>
        <w:t xml:space="preserve"> </w:t>
      </w:r>
      <w:r>
        <w:t xml:space="preserve">and mandates</w:t>
      </w:r>
      <w:r>
        <w:t xml:space="preserve"> </w:t>
      </w:r>
      <w:r>
        <w:t xml:space="preserve">“</w:t>
      </w:r>
      <w:r>
        <w:t xml:space="preserve">an automatic twenty-five percent (25%) reduction to the total fees of each block-billed entry,</w:t>
      </w:r>
      <w:r>
        <w:t xml:space="preserve">”</w:t>
      </w:r>
      <w:r>
        <w:t xml:space="preserve"> </w:t>
      </w:r>
      <w:r>
        <w:t xml:space="preserve">which is</w:t>
      </w:r>
      <w:r>
        <w:t xml:space="preserve"> </w:t>
      </w:r>
      <w:r>
        <w:t xml:space="preserve">“</w:t>
      </w:r>
      <w:r>
        <w:t xml:space="preserve">in addition to, and not in lieu of, any other reductions.</w:t>
      </w:r>
      <w:r>
        <w:t xml:space="preserve">”</w:t>
      </w:r>
      <w:r>
        <w:t xml:space="preserve"> </w:t>
      </w:r>
      <w:r>
        <w:t xml:space="preserve">The Guidelines illustrate the prohibition with entries such as</w:t>
      </w:r>
      <w:r>
        <w:t xml:space="preserve"> </w:t>
      </w:r>
      <w:r>
        <w:t xml:space="preserve">“</w:t>
      </w:r>
      <w:r>
        <w:t xml:space="preserve">Research trade secret preemption issues; draft memorandum; confer with partner regarding strategy — 4.5 hrs</w:t>
      </w:r>
      <w:r>
        <w:t xml:space="preserve">”</w:t>
      </w:r>
      <w:r>
        <w:t xml:space="preserve"> </w:t>
      </w:r>
      <w:r>
        <w:t xml:space="preserve">and</w:t>
      </w:r>
      <w:r>
        <w:t xml:space="preserve"> </w:t>
      </w:r>
      <w:r>
        <w:t xml:space="preserve">“</w:t>
      </w:r>
      <w:r>
        <w:t xml:space="preserve">Attend deposition of J. Franklin; prepare post-deposition summary; meet with team to discuss testimony — 6.0 hrs.</w:t>
      </w:r>
      <w:r>
        <w:t xml:space="preserve">”</w:t>
      </w:r>
    </w:p>
    <w:p>
      <w:pPr>
        <w:pStyle w:val="BodyText"/>
      </w:pPr>
      <w:r>
        <w:rPr>
          <w:b/>
          <w:bCs/>
        </w:rPr>
        <w:t xml:space="preserve">Finding.</w:t>
      </w:r>
      <w:r>
        <w:t xml:space="preserve"> </w:t>
      </w:r>
      <w:r>
        <w:t xml:space="preserve">Block billing is pervasive. Of the entries billed by the five authorized timekeepers,</w:t>
      </w:r>
      <w:r>
        <w:t xml:space="preserve"> </w:t>
      </w:r>
      <w:r>
        <w:rPr>
          <w:b/>
          <w:bCs/>
        </w:rPr>
        <w:t xml:space="preserve">54 entries</w:t>
      </w:r>
      <w:r>
        <w:t xml:space="preserve"> </w:t>
      </w:r>
      <w:r>
        <w:t xml:space="preserve">combine two or more discrete tasks — typically drafting plus research, review/revision plus a conference, deposition attendance plus post-deposition work, or three or more activities joined by semicolons. The most egregious example is entry #92 (Hargrove, 6.0 hrs), which combines three distinct activities: conducting an in-person strategy session, drafting an expert-discovery-plan outline, and reviewing/editing interrogatory responses. The contract-attorney (Tate) document-review entries are treated as single tasks because the secondary verbs (coding, flagging, updating the review database/privilege log, preparing review-status reports) are intrinsic to first-level review rather than separately timeable activities; those entries are therefore not reduced under this category.</w:t>
      </w:r>
    </w:p>
    <w:p>
      <w:pPr>
        <w:pStyle w:val="BodyText"/>
      </w:pPr>
      <w:r>
        <w:rPr>
          <w:b/>
          <w:bCs/>
        </w:rPr>
        <w:t xml:space="preserve">Recommended reduction.</w:t>
      </w:r>
      <w:r>
        <w:t xml:space="preserve"> </w:t>
      </w:r>
      <w:r>
        <w:t xml:space="preserve">Apply the automatic 25% reduction to each of the 54 block-billed entries. The line-item schedule, with each entry’s billed fees and 25% reduction, appears in</w:t>
      </w:r>
      <w:r>
        <w:t xml:space="preserve"> </w:t>
      </w:r>
      <w:r>
        <w:rPr>
          <w:b/>
          <w:bCs/>
        </w:rPr>
        <w:t xml:space="preserve">Appendix A</w:t>
      </w:r>
      <w:r>
        <w:t xml:space="preserve">.</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pPr>
          </w:p>
        </w:tc>
        <w:tc>
          <w:tcPr/>
          <w:p>
            <w:pPr>
              <w:pStyle w:val="Compact"/>
              <w:jc w:val="right"/>
            </w:pPr>
            <w:r>
              <w:t xml:space="preserve">Entries</w:t>
            </w:r>
          </w:p>
        </w:tc>
        <w:tc>
          <w:tcPr/>
          <w:p>
            <w:pPr>
              <w:pStyle w:val="Compact"/>
              <w:jc w:val="right"/>
            </w:pPr>
            <w:r>
              <w:t xml:space="preserve">Billed Fees</w:t>
            </w:r>
          </w:p>
        </w:tc>
        <w:tc>
          <w:tcPr/>
          <w:p>
            <w:pPr>
              <w:pStyle w:val="Compact"/>
              <w:jc w:val="right"/>
            </w:pPr>
            <w:r>
              <w:t xml:space="preserve">Reduction</w:t>
            </w:r>
          </w:p>
        </w:tc>
      </w:tr>
      <w:tr>
        <w:tc>
          <w:tcPr/>
          <w:p>
            <w:pPr>
              <w:pStyle w:val="Compact"/>
              <w:jc w:val="left"/>
            </w:pPr>
            <w:r>
              <w:t xml:space="preserve">Block-billed entries (authorized timekeepers)</w:t>
            </w:r>
          </w:p>
        </w:tc>
        <w:tc>
          <w:tcPr/>
          <w:p>
            <w:pPr>
              <w:pStyle w:val="Compact"/>
              <w:jc w:val="right"/>
            </w:pPr>
            <w:r>
              <w:t xml:space="preserve">54</w:t>
            </w:r>
          </w:p>
        </w:tc>
        <w:tc>
          <w:tcPr/>
          <w:p>
            <w:pPr>
              <w:pStyle w:val="Compact"/>
              <w:jc w:val="right"/>
            </w:pPr>
            <w:r>
              <w:t xml:space="preserve">$122,782.50</w:t>
            </w:r>
          </w:p>
        </w:tc>
        <w:tc>
          <w:tcPr/>
          <w:p>
            <w:pPr>
              <w:pStyle w:val="Compact"/>
              <w:jc w:val="right"/>
            </w:pPr>
            <w:r>
              <w:rPr>
                <w:b/>
                <w:bCs/>
              </w:rPr>
              <w:t xml:space="preserve">$30,695.63</w:t>
            </w:r>
          </w:p>
        </w:tc>
      </w:tr>
    </w:tbl>
    <w:p>
      <w:pPr>
        <w:pStyle w:val="BodyText"/>
      </w:pPr>
      <w:r>
        <w:rPr>
          <w:i/>
          <w:iCs/>
        </w:rPr>
        <w:t xml:space="preserve">Two additional block-billed entries (#43 and #56) also implicate §6.1 task-appropriateness and are calculated under Category D to avoid double-counting. Entry #62 is block-billed but is reduced in full under Category F (deposition staffing); its block-billing reduction is therefore subsumed.</w:t>
      </w:r>
    </w:p>
    <w:bookmarkEnd w:id="27"/>
    <w:bookmarkStart w:id="28" w:name="Xa52fe8a05a227e0bed6e6698d3fbae8683453b0"/>
    <w:p>
      <w:pPr>
        <w:pStyle w:val="Heading3"/>
      </w:pPr>
      <w:r>
        <w:t xml:space="preserve">D. Timekeeper-to-Task Appropriateness — §6.1</w:t>
      </w:r>
    </w:p>
    <w:p>
      <w:pPr>
        <w:pStyle w:val="FirstParagraph"/>
      </w:pPr>
      <w:r>
        <w:rPr>
          <w:b/>
          <w:bCs/>
        </w:rPr>
        <w:t xml:space="preserve">Governing authority.</w:t>
      </w:r>
      <w:r>
        <w:t xml:space="preserve"> </w:t>
      </w:r>
      <w:r>
        <w:t xml:space="preserve">Section 6.1 requires that each task be assigned to</w:t>
      </w:r>
      <w:r>
        <w:t xml:space="preserve"> </w:t>
      </w:r>
      <w:r>
        <w:t xml:space="preserve">“</w:t>
      </w:r>
      <w:r>
        <w:t xml:space="preserve">the lowest-cost timekeeper capable of competently performing the work</w:t>
      </w:r>
      <w:r>
        <w:t xml:space="preserve">”</w:t>
      </w:r>
      <w:r>
        <w:t xml:space="preserve"> </w:t>
      </w:r>
      <w:r>
        <w:t xml:space="preserve">and lists tasks</w:t>
      </w:r>
      <w:r>
        <w:t xml:space="preserve"> </w:t>
      </w:r>
      <w:r>
        <w:t xml:space="preserve">“</w:t>
      </w:r>
      <w:r>
        <w:t xml:space="preserve">presumptively inappropriate</w:t>
      </w:r>
      <w:r>
        <w:t xml:space="preserve">”</w:t>
      </w:r>
      <w:r>
        <w:t xml:space="preserve"> </w:t>
      </w:r>
      <w:r>
        <w:t xml:space="preserve">for senior timekeepers, with prescribed rate reductions: document review by a partner/senior associate is reduced to the contract-attorney or junior-associate rate; cite-checking by a partner/senior associate is reduced to the junior-associate rate; preparation of deposition exhibit binders is appropriate for a paralegal or junior associate; and purely administrative tasks (scheduling, coordinating with court reporters, arranging logistics) are overhead and are written off or reduced to the paralegal rate. Section 5.4 confirms these reductions are cumulative with the block-billing reduction.</w:t>
      </w:r>
    </w:p>
    <w:p>
      <w:pPr>
        <w:pStyle w:val="BodyText"/>
      </w:pPr>
      <w:r>
        <w:rPr>
          <w:b/>
          <w:bCs/>
        </w:rPr>
        <w:t xml:space="preserve">Finding 1 — Entry #15 (Pettersson, 1.5 hrs, $712.50): purely administrative.</w:t>
      </w:r>
      <w:r>
        <w:t xml:space="preserve"> </w:t>
      </w:r>
      <w:r>
        <w:t xml:space="preserve">The entry —</w:t>
      </w:r>
      <w:r>
        <w:t xml:space="preserve"> </w:t>
      </w:r>
      <w:r>
        <w:t xml:space="preserve">“</w:t>
      </w:r>
      <w:r>
        <w:t xml:space="preserve">Schedule depositions of three remaining witnesses; coordinate court reporter availability; confirm deposition locations</w:t>
      </w:r>
      <w:r>
        <w:t xml:space="preserve">”</w:t>
      </w:r>
      <w:r>
        <w:t xml:space="preserve"> </w:t>
      </w:r>
      <w:r>
        <w:t xml:space="preserve">— consists entirely of tasks enumerated in §6.1(g)–(k) (scheduling, coordinating with court reporters, confirming logistics). These are Administrative Tasks and are not compensable as attorney time.</w:t>
      </w:r>
    </w:p>
    <w:p>
      <w:pPr>
        <w:pStyle w:val="BodyText"/>
      </w:pPr>
      <w:r>
        <w:rPr>
          <w:b/>
          <w:bCs/>
        </w:rPr>
        <w:t xml:space="preserve">Finding 2 — Entry #43 (Hargrove, 2.0 hrs, $1,970.00): cite-checking by a partner.</w:t>
      </w:r>
      <w:r>
        <w:t xml:space="preserve"> </w:t>
      </w:r>
      <w:r>
        <w:t xml:space="preserve">The entry —</w:t>
      </w:r>
      <w:r>
        <w:t xml:space="preserve"> </w:t>
      </w:r>
      <w:r>
        <w:t xml:space="preserve">“</w:t>
      </w:r>
      <w:r>
        <w:t xml:space="preserve">Review and revise cite-check memorandum prepared by T. Webb; finalize citations for motion to compel brief</w:t>
      </w:r>
      <w:r>
        <w:t xml:space="preserve">”</w:t>
      </w:r>
      <w:r>
        <w:t xml:space="preserve"> </w:t>
      </w:r>
      <w:r>
        <w:t xml:space="preserve">— is cite-checking work performed by a lead partner. Under §6.1(b), cite-checking by a partner is reduced to the junior-associate rate ($375/hr). The entry is also block-billed (review/revise plus finalize citations), so the 25% block-billing reduction is applied to the rate-adjusted amount.</w:t>
      </w:r>
    </w:p>
    <w:p>
      <w:pPr>
        <w:pStyle w:val="BodyText"/>
      </w:pPr>
      <w:r>
        <w:rPr>
          <w:b/>
          <w:bCs/>
        </w:rPr>
        <w:t xml:space="preserve">Finding 3 — Entry #56 (Pettersson, 5.0 hrs, $2,375.00): deposition exhibit-binder preparation by a mid-level associate.</w:t>
      </w:r>
      <w:r>
        <w:t xml:space="preserve"> </w:t>
      </w:r>
      <w:r>
        <w:t xml:space="preserve">The entry —</w:t>
      </w:r>
      <w:r>
        <w:t xml:space="preserve"> </w:t>
      </w:r>
      <w:r>
        <w:t xml:space="preserve">“</w:t>
      </w:r>
      <w:r>
        <w:t xml:space="preserve">Prepare deposition exhibits and exhibit list …; organize documents by topic area; prepare witness examination binder</w:t>
      </w:r>
      <w:r>
        <w:t xml:space="preserve">”</w:t>
      </w:r>
      <w:r>
        <w:t xml:space="preserve"> </w:t>
      </w:r>
      <w:r>
        <w:t xml:space="preserve">— is preparation of deposition exhibit binders, which §6.1(c) assigns to a paralegal or junior associate. The entire entry concerns exhibit-binder preparation, so the rate is reduced to the junior-associate rate ($375/hr). The entry is also block-billed, so the 25% reduction is applied to the rate-adjusted amount.</w:t>
      </w:r>
    </w:p>
    <w:p>
      <w:pPr>
        <w:pStyle w:val="BodyText"/>
      </w:pPr>
      <w:r>
        <w:rPr>
          <w:b/>
          <w:bCs/>
        </w:rPr>
        <w:t xml:space="preserve">Finding 4 — Entry #79 (Webb, 3.5 hrs, $1,312.50): routine first-level document review by a junior associate.</w:t>
      </w:r>
      <w:r>
        <w:t xml:space="preserve"> </w:t>
      </w:r>
      <w:r>
        <w:t xml:space="preserve">The entry —</w:t>
      </w:r>
      <w:r>
        <w:t xml:space="preserve"> </w:t>
      </w:r>
      <w:r>
        <w:t xml:space="preserve">“</w:t>
      </w:r>
      <w:r>
        <w:t xml:space="preserve">Review third batch of MedCore production documents for relevance and privilege</w:t>
      </w:r>
      <w:r>
        <w:t xml:space="preserve">”</w:t>
      </w:r>
      <w:r>
        <w:t xml:space="preserve"> </w:t>
      </w:r>
      <w:r>
        <w:t xml:space="preserve">— is routine first-level review. The June 1 case status report confirms Mr. Webb</w:t>
      </w:r>
      <w:r>
        <w:t xml:space="preserve"> </w:t>
      </w:r>
      <w:r>
        <w:t xml:space="preserve">“</w:t>
      </w:r>
      <w:r>
        <w:t xml:space="preserve">assisted with document review</w:t>
      </w:r>
      <w:r>
        <w:t xml:space="preserve">”</w:t>
      </w:r>
      <w:r>
        <w:t xml:space="preserve"> </w:t>
      </w:r>
      <w:r>
        <w:t xml:space="preserve">on days when volume exceeded the contract attorney’s capacity. Under §6.1, document review by a junior associate that constitutes routine first-level review is reduced to the contract-attorney rate ($185/hr, the approved pass-through rate). This entry is a single task and is not block-billed.</w:t>
      </w:r>
    </w:p>
    <w:p>
      <w:pPr>
        <w:pStyle w:val="BodyText"/>
      </w:pPr>
      <w:r>
        <w:rPr>
          <w:b/>
          <w:bCs/>
        </w:rPr>
        <w:t xml:space="preserve">Recommended reductions:</w:t>
      </w:r>
    </w:p>
    <w:tbl>
      <w:tblPr>
        <w:tblStyle w:val="Table"/>
        <w:tblW w:type="pct" w:w="5000"/>
        <w:jc w:val="left"/>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jc w:val="left"/>
            </w:pPr>
            <w:r>
              <w:t xml:space="preserve">Entry</w:t>
            </w:r>
          </w:p>
        </w:tc>
        <w:tc>
          <w:tcPr/>
          <w:p>
            <w:pPr>
              <w:pStyle w:val="Compact"/>
              <w:jc w:val="left"/>
            </w:pPr>
            <w:r>
              <w:t xml:space="preserve">Timekeeper</w:t>
            </w:r>
          </w:p>
        </w:tc>
        <w:tc>
          <w:tcPr/>
          <w:p>
            <w:pPr>
              <w:pStyle w:val="Compact"/>
              <w:jc w:val="left"/>
            </w:pPr>
            <w:r>
              <w:t xml:space="preserve">Issue</w:t>
            </w:r>
          </w:p>
        </w:tc>
        <w:tc>
          <w:tcPr/>
          <w:p>
            <w:pPr>
              <w:pStyle w:val="Compact"/>
              <w:jc w:val="left"/>
            </w:pPr>
            <w:r>
              <w:t xml:space="preserve">Calculation</w:t>
            </w:r>
          </w:p>
        </w:tc>
        <w:tc>
          <w:tcPr/>
          <w:p>
            <w:pPr>
              <w:pStyle w:val="Compact"/>
              <w:jc w:val="right"/>
            </w:pPr>
            <w:r>
              <w:t xml:space="preserve">Reduction</w:t>
            </w:r>
          </w:p>
        </w:tc>
      </w:tr>
      <w:tr>
        <w:tc>
          <w:tcPr/>
          <w:p>
            <w:pPr>
              <w:pStyle w:val="Compact"/>
              <w:jc w:val="left"/>
            </w:pPr>
            <w:r>
              <w:t xml:space="preserve">#15</w:t>
            </w:r>
          </w:p>
        </w:tc>
        <w:tc>
          <w:tcPr/>
          <w:p>
            <w:pPr>
              <w:pStyle w:val="Compact"/>
              <w:jc w:val="left"/>
            </w:pPr>
            <w:r>
              <w:t xml:space="preserve">Pettersson</w:t>
            </w:r>
          </w:p>
        </w:tc>
        <w:tc>
          <w:tcPr/>
          <w:p>
            <w:pPr>
              <w:pStyle w:val="Compact"/>
              <w:jc w:val="left"/>
            </w:pPr>
            <w:r>
              <w:t xml:space="preserve">Administrative — write off</w:t>
            </w:r>
          </w:p>
        </w:tc>
        <w:tc>
          <w:tcPr/>
          <w:p>
            <w:pPr>
              <w:pStyle w:val="Compact"/>
              <w:jc w:val="left"/>
            </w:pPr>
            <w:r>
              <w:t xml:space="preserve">1.5 × $475</w:t>
            </w:r>
          </w:p>
        </w:tc>
        <w:tc>
          <w:tcPr/>
          <w:p>
            <w:pPr>
              <w:pStyle w:val="Compact"/>
              <w:jc w:val="right"/>
            </w:pPr>
            <w:r>
              <w:t xml:space="preserve">$712.50</w:t>
            </w:r>
          </w:p>
        </w:tc>
      </w:tr>
      <w:tr>
        <w:tc>
          <w:tcPr/>
          <w:p>
            <w:pPr>
              <w:pStyle w:val="Compact"/>
              <w:jc w:val="left"/>
            </w:pPr>
            <w:r>
              <w:t xml:space="preserve">#43</w:t>
            </w:r>
          </w:p>
        </w:tc>
        <w:tc>
          <w:tcPr/>
          <w:p>
            <w:pPr>
              <w:pStyle w:val="Compact"/>
              <w:jc w:val="left"/>
            </w:pPr>
            <w:r>
              <w:t xml:space="preserve">Hargrove</w:t>
            </w:r>
          </w:p>
        </w:tc>
        <w:tc>
          <w:tcPr/>
          <w:p>
            <w:pPr>
              <w:pStyle w:val="Compact"/>
              <w:jc w:val="left"/>
            </w:pPr>
            <w:r>
              <w:t xml:space="preserve">Cite-check → JA rate, then 25% block</w:t>
            </w:r>
          </w:p>
        </w:tc>
        <w:tc>
          <w:tcPr/>
          <w:p>
            <w:pPr>
              <w:pStyle w:val="Compact"/>
              <w:jc w:val="left"/>
            </w:pPr>
            <w:r>
              <w:t xml:space="preserve">(2.0×$985) − (2.0×$375×0.75)</w:t>
            </w:r>
          </w:p>
        </w:tc>
        <w:tc>
          <w:tcPr/>
          <w:p>
            <w:pPr>
              <w:pStyle w:val="Compact"/>
              <w:jc w:val="right"/>
            </w:pPr>
            <w:r>
              <w:t xml:space="preserve">$1,407.50</w:t>
            </w:r>
          </w:p>
        </w:tc>
      </w:tr>
      <w:tr>
        <w:tc>
          <w:tcPr/>
          <w:p>
            <w:pPr>
              <w:pStyle w:val="Compact"/>
              <w:jc w:val="left"/>
            </w:pPr>
            <w:r>
              <w:t xml:space="preserve">#56</w:t>
            </w:r>
          </w:p>
        </w:tc>
        <w:tc>
          <w:tcPr/>
          <w:p>
            <w:pPr>
              <w:pStyle w:val="Compact"/>
              <w:jc w:val="left"/>
            </w:pPr>
            <w:r>
              <w:t xml:space="preserve">Pettersson</w:t>
            </w:r>
          </w:p>
        </w:tc>
        <w:tc>
          <w:tcPr/>
          <w:p>
            <w:pPr>
              <w:pStyle w:val="Compact"/>
              <w:jc w:val="left"/>
            </w:pPr>
            <w:r>
              <w:t xml:space="preserve">Exhibit binder → JA rate, then 25% block</w:t>
            </w:r>
          </w:p>
        </w:tc>
        <w:tc>
          <w:tcPr/>
          <w:p>
            <w:pPr>
              <w:pStyle w:val="Compact"/>
              <w:jc w:val="left"/>
            </w:pPr>
            <w:r>
              <w:t xml:space="preserve">(5.0×$475) − (5.0×$375×0.75)</w:t>
            </w:r>
          </w:p>
        </w:tc>
        <w:tc>
          <w:tcPr/>
          <w:p>
            <w:pPr>
              <w:pStyle w:val="Compact"/>
              <w:jc w:val="right"/>
            </w:pPr>
            <w:r>
              <w:t xml:space="preserve">$968.75</w:t>
            </w:r>
          </w:p>
        </w:tc>
      </w:tr>
      <w:tr>
        <w:tc>
          <w:tcPr/>
          <w:p>
            <w:pPr>
              <w:pStyle w:val="Compact"/>
              <w:jc w:val="left"/>
            </w:pPr>
            <w:r>
              <w:t xml:space="preserve">#79</w:t>
            </w:r>
          </w:p>
        </w:tc>
        <w:tc>
          <w:tcPr/>
          <w:p>
            <w:pPr>
              <w:pStyle w:val="Compact"/>
              <w:jc w:val="left"/>
            </w:pPr>
            <w:r>
              <w:t xml:space="preserve">Webb</w:t>
            </w:r>
          </w:p>
        </w:tc>
        <w:tc>
          <w:tcPr/>
          <w:p>
            <w:pPr>
              <w:pStyle w:val="Compact"/>
              <w:jc w:val="left"/>
            </w:pPr>
            <w:r>
              <w:t xml:space="preserve">Routine doc review → contract rate</w:t>
            </w:r>
          </w:p>
        </w:tc>
        <w:tc>
          <w:tcPr/>
          <w:p>
            <w:pPr>
              <w:pStyle w:val="Compact"/>
              <w:jc w:val="left"/>
            </w:pPr>
            <w:r>
              <w:t xml:space="preserve">(3.5×$375) − (3.5×$185)</w:t>
            </w:r>
          </w:p>
        </w:tc>
        <w:tc>
          <w:tcPr/>
          <w:p>
            <w:pPr>
              <w:pStyle w:val="Compact"/>
              <w:jc w:val="right"/>
            </w:pPr>
            <w:r>
              <w:t xml:space="preserve">$665.00</w:t>
            </w:r>
          </w:p>
        </w:tc>
      </w:tr>
      <w:tr>
        <w:tc>
          <w:tcPr/>
          <w:p>
            <w:pPr>
              <w:pStyle w:val="Compact"/>
              <w:jc w:val="left"/>
            </w:pPr>
            <w:r>
              <w:rPr>
                <w:b/>
                <w:bCs/>
              </w:rPr>
              <w:t xml:space="preserve">Total (Category D)</w:t>
            </w:r>
          </w:p>
        </w:tc>
        <w:tc>
          <w:tcPr/>
          <w:p>
            <w:pPr>
              <w:pStyle w:val="Compact"/>
            </w:pPr>
          </w:p>
        </w:tc>
        <w:tc>
          <w:tcPr/>
          <w:p>
            <w:pPr>
              <w:pStyle w:val="Compact"/>
            </w:pPr>
          </w:p>
        </w:tc>
        <w:tc>
          <w:tcPr/>
          <w:p>
            <w:pPr>
              <w:pStyle w:val="Compact"/>
            </w:pPr>
          </w:p>
        </w:tc>
        <w:tc>
          <w:tcPr/>
          <w:p>
            <w:pPr>
              <w:pStyle w:val="Compact"/>
              <w:jc w:val="right"/>
            </w:pPr>
            <w:r>
              <w:rPr>
                <w:b/>
                <w:bCs/>
              </w:rPr>
              <w:t xml:space="preserve">$3,753.75</w:t>
            </w:r>
          </w:p>
        </w:tc>
      </w:tr>
    </w:tbl>
    <w:bookmarkEnd w:id="28"/>
    <w:bookmarkStart w:id="29" w:name="X4a60cfd71ad15b491d3c3fc153a049a8fbf6810"/>
    <w:p>
      <w:pPr>
        <w:pStyle w:val="Heading3"/>
      </w:pPr>
      <w:r>
        <w:t xml:space="preserve">E. Internal Conference Attendance — §4.3 (May 8, 2025 strategy call)</w:t>
      </w:r>
    </w:p>
    <w:p>
      <w:pPr>
        <w:pStyle w:val="FirstParagraph"/>
      </w:pPr>
      <w:r>
        <w:rPr>
          <w:b/>
          <w:bCs/>
        </w:rPr>
        <w:t xml:space="preserve">Governing authority.</w:t>
      </w:r>
      <w:r>
        <w:t xml:space="preserve"> </w:t>
      </w:r>
      <w:r>
        <w:t xml:space="preserve">Section 4.3 provides that</w:t>
      </w:r>
      <w:r>
        <w:t xml:space="preserve"> </w:t>
      </w:r>
      <w:r>
        <w:t xml:space="preserve">“</w:t>
      </w:r>
      <w:r>
        <w:t xml:space="preserve">[i]n all cases — including Substantive Case-Strategy Sessions — the total number of billing timekeepers for any single internal meeting or conference call shall not exceed three (3),</w:t>
      </w:r>
      <w:r>
        <w:t xml:space="preserve">”</w:t>
      </w:r>
      <w:r>
        <w:t xml:space="preserve"> </w:t>
      </w:r>
      <w:r>
        <w:t xml:space="preserve">and that timekeepers attending</w:t>
      </w:r>
      <w:r>
        <w:t xml:space="preserve"> </w:t>
      </w:r>
      <w:r>
        <w:t xml:space="preserve">“</w:t>
      </w:r>
      <w:r>
        <w:t xml:space="preserve">in a non-billing, observational, or training capacity shall record the time as non-billable.</w:t>
      </w:r>
      <w:r>
        <w:t xml:space="preserve">”</w:t>
      </w:r>
    </w:p>
    <w:p>
      <w:pPr>
        <w:pStyle w:val="BodyText"/>
      </w:pPr>
      <w:r>
        <w:rPr>
          <w:b/>
          <w:bCs/>
        </w:rPr>
        <w:t xml:space="preserve">Finding.</w:t>
      </w:r>
      <w:r>
        <w:t xml:space="preserve"> </w:t>
      </w:r>
      <w:r>
        <w:t xml:space="preserve">The May 8, 2025 team strategy conference call was billed by</w:t>
      </w:r>
      <w:r>
        <w:t xml:space="preserve"> </w:t>
      </w:r>
      <w:r>
        <w:rPr>
          <w:b/>
          <w:bCs/>
        </w:rPr>
        <w:t xml:space="preserve">six</w:t>
      </w:r>
      <w:r>
        <w:t xml:space="preserve"> </w:t>
      </w:r>
      <w:r>
        <w:t xml:space="preserve">timekeepers: Hargrove (#22, 3.0 hrs), Cho (#23, 3.0 hrs), Pettersson (#24, 3.0 hrs), Barros (#25, 2.5 hrs), Webb (#26, 2.5 hrs), and Sengupta (#31, 2.0 hrs). The call qualifies as a Substantive Case-Strategy Session, so multiple timekeepers may bill — but no more than three. No advance designation of billing timekeepers was made. After removing the two unauthorized timekeepers (Barros and Sengupta, rejected under Category A), four authorized timekeepers remain billable for the call, exceeding the three-person cap by one.</w:t>
      </w:r>
    </w:p>
    <w:p>
      <w:pPr>
        <w:pStyle w:val="BodyText"/>
      </w:pPr>
      <w:r>
        <w:rPr>
          <w:b/>
          <w:bCs/>
        </w:rPr>
        <w:t xml:space="preserve">Recommended reduction.</w:t>
      </w:r>
      <w:r>
        <w:t xml:space="preserve"> </w:t>
      </w:r>
      <w:r>
        <w:t xml:space="preserve">Reduce the fourth authorized timekeeper in full. Tyler Webb, the most junior participant, attended in an observational/support capacity and is the appropriate timekeeper to disallow.</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w:t>
            </w:r>
          </w:p>
        </w:tc>
        <w:tc>
          <w:tcPr/>
          <w:p>
            <w:pPr>
              <w:pStyle w:val="Compact"/>
              <w:jc w:val="left"/>
            </w:pPr>
            <w:r>
              <w:t xml:space="preserve">Timekeeper</w:t>
            </w:r>
          </w:p>
        </w:tc>
        <w:tc>
          <w:tcPr/>
          <w:p>
            <w:pPr>
              <w:pStyle w:val="Compact"/>
              <w:jc w:val="right"/>
            </w:pPr>
            <w:r>
              <w:t xml:space="preserve">Hours</w:t>
            </w:r>
          </w:p>
        </w:tc>
        <w:tc>
          <w:tcPr/>
          <w:p>
            <w:pPr>
              <w:pStyle w:val="Compact"/>
              <w:jc w:val="right"/>
            </w:pPr>
            <w:r>
              <w:t xml:space="preserve">Rate</w:t>
            </w:r>
          </w:p>
        </w:tc>
        <w:tc>
          <w:tcPr/>
          <w:p>
            <w:pPr>
              <w:pStyle w:val="Compact"/>
              <w:jc w:val="right"/>
            </w:pPr>
            <w:r>
              <w:t xml:space="preserve">Reduction</w:t>
            </w:r>
          </w:p>
        </w:tc>
      </w:tr>
      <w:tr>
        <w:tc>
          <w:tcPr/>
          <w:p>
            <w:pPr>
              <w:pStyle w:val="Compact"/>
              <w:jc w:val="left"/>
            </w:pPr>
            <w:r>
              <w:t xml:space="preserve">#26</w:t>
            </w:r>
          </w:p>
        </w:tc>
        <w:tc>
          <w:tcPr/>
          <w:p>
            <w:pPr>
              <w:pStyle w:val="Compact"/>
              <w:jc w:val="left"/>
            </w:pPr>
            <w:r>
              <w:t xml:space="preserve">Webb</w:t>
            </w:r>
          </w:p>
        </w:tc>
        <w:tc>
          <w:tcPr/>
          <w:p>
            <w:pPr>
              <w:pStyle w:val="Compact"/>
              <w:jc w:val="right"/>
            </w:pPr>
            <w:r>
              <w:t xml:space="preserve">2.5</w:t>
            </w:r>
          </w:p>
        </w:tc>
        <w:tc>
          <w:tcPr/>
          <w:p>
            <w:pPr>
              <w:pStyle w:val="Compact"/>
              <w:jc w:val="right"/>
            </w:pPr>
            <w:r>
              <w:t xml:space="preserve">$375</w:t>
            </w:r>
          </w:p>
        </w:tc>
        <w:tc>
          <w:tcPr/>
          <w:p>
            <w:pPr>
              <w:pStyle w:val="Compact"/>
              <w:jc w:val="right"/>
            </w:pPr>
            <w:r>
              <w:rPr>
                <w:b/>
                <w:bCs/>
              </w:rPr>
              <w:t xml:space="preserve">$937.50</w:t>
            </w:r>
          </w:p>
        </w:tc>
      </w:tr>
    </w:tbl>
    <w:bookmarkEnd w:id="29"/>
    <w:bookmarkStart w:id="30" w:name="X0d3c98cd8f7e849ebc5ef1dce0bfe50af32af7a"/>
    <w:p>
      <w:pPr>
        <w:pStyle w:val="Heading3"/>
      </w:pPr>
      <w:r>
        <w:t xml:space="preserve">F. Deposition Staffing — §4.3 (Dr. Rebecca Liu deposition, May 19, 2025)</w:t>
      </w:r>
    </w:p>
    <w:p>
      <w:pPr>
        <w:pStyle w:val="FirstParagraph"/>
      </w:pPr>
      <w:r>
        <w:rPr>
          <w:b/>
          <w:bCs/>
        </w:rPr>
        <w:t xml:space="preserve">Governing authority.</w:t>
      </w:r>
      <w:r>
        <w:t xml:space="preserve"> </w:t>
      </w:r>
      <w:r>
        <w:t xml:space="preserve">Section 4.3 recognizes that depositions of key witnesses</w:t>
      </w:r>
      <w:r>
        <w:t xml:space="preserve"> </w:t>
      </w:r>
      <w:r>
        <w:t xml:space="preserve">“</w:t>
      </w:r>
      <w:r>
        <w:t xml:space="preserve">may reasonably require more than one billing attorney,</w:t>
      </w:r>
      <w:r>
        <w:t xml:space="preserve">”</w:t>
      </w:r>
      <w:r>
        <w:t xml:space="preserve"> </w:t>
      </w:r>
      <w:r>
        <w:t xml:space="preserve">but provides that</w:t>
      </w:r>
      <w:r>
        <w:t xml:space="preserve"> </w:t>
      </w:r>
      <w:r>
        <w:t xml:space="preserve">“</w:t>
      </w:r>
      <w:r>
        <w:t xml:space="preserve">[o]utside Counsel shall seek advance approval from the Designated In-House Counsel if it believes a particular deposition warrants more than two (2) billing timekeepers,</w:t>
      </w:r>
      <w:r>
        <w:t xml:space="preserve">”</w:t>
      </w:r>
      <w:r>
        <w:t xml:space="preserve"> </w:t>
      </w:r>
      <w:r>
        <w:t xml:space="preserve">with such requests submitted</w:t>
      </w:r>
      <w:r>
        <w:t xml:space="preserve"> </w:t>
      </w:r>
      <w:r>
        <w:t xml:space="preserve">“</w:t>
      </w:r>
      <w:r>
        <w:t xml:space="preserve">no later than five (5) business days before the scheduled deposition.</w:t>
      </w:r>
      <w:r>
        <w:t xml:space="preserve">”</w:t>
      </w:r>
      <w:r>
        <w:t xml:space="preserve"> </w:t>
      </w:r>
      <w:r>
        <w:t xml:space="preserve">“</w:t>
      </w:r>
      <w:r>
        <w:t xml:space="preserve">In the absence of such advance approval, Pinnacle reserves the right to reduce the time of the additional timekeepers in their entirety.</w:t>
      </w:r>
      <w:r>
        <w:t xml:space="preserve">”</w:t>
      </w:r>
    </w:p>
    <w:p>
      <w:pPr>
        <w:pStyle w:val="BodyText"/>
      </w:pPr>
      <w:r>
        <w:rPr>
          <w:b/>
          <w:bCs/>
        </w:rPr>
        <w:t xml:space="preserve">Finding.</w:t>
      </w:r>
      <w:r>
        <w:t xml:space="preserve"> </w:t>
      </w:r>
      <w:r>
        <w:t xml:space="preserve">Three attorneys billed the May 19, 2025 deposition of Dr. Rebecca Liu: Hargrove (#60, 4.0 hrs), Cho (#61, 6.5 hrs), and Pettersson (#62, 5.0 hrs). No request for advance approval of a third deposition timekeeper was submitted, and none could have been timely given the five-business-day rule. The two reasonably necessary billing attorneys are Ms. Cho (who conducted the direct examination) and Mr. Hargrove (who attended to assess credibility and provide real-time strategic guidance). Mr. Pettersson’s role, as described in the June 1 case status report, was to</w:t>
      </w:r>
      <w:r>
        <w:t xml:space="preserve"> </w:t>
      </w:r>
      <w:r>
        <w:t xml:space="preserve">“</w:t>
      </w:r>
      <w:r>
        <w:t xml:space="preserve">manage the exhibit presentation, take detailed notes, and prepare a comprehensive testimony summary</w:t>
      </w:r>
      <w:r>
        <w:t xml:space="preserve">”</w:t>
      </w:r>
      <w:r>
        <w:t xml:space="preserve"> </w:t>
      </w:r>
      <w:r>
        <w:t xml:space="preserve">— support functions characteristic of the</w:t>
      </w:r>
      <w:r>
        <w:t xml:space="preserve"> </w:t>
      </w:r>
      <w:r>
        <w:t xml:space="preserve">“</w:t>
      </w:r>
      <w:r>
        <w:t xml:space="preserve">additional timekeeper</w:t>
      </w:r>
      <w:r>
        <w:t xml:space="preserve">”</w:t>
      </w:r>
      <w:r>
        <w:t xml:space="preserve"> </w:t>
      </w:r>
      <w:r>
        <w:t xml:space="preserve">contemplated by §4.3.</w:t>
      </w:r>
    </w:p>
    <w:p>
      <w:pPr>
        <w:pStyle w:val="BodyText"/>
      </w:pPr>
      <w:r>
        <w:rPr>
          <w:b/>
          <w:bCs/>
        </w:rPr>
        <w:t xml:space="preserve">Recommended reduction.</w:t>
      </w:r>
      <w:r>
        <w:t xml:space="preserve"> </w:t>
      </w:r>
      <w:r>
        <w:t xml:space="preserve">Reduce the third timekeeper (Pettersson, entry #62) in its entirety. (Entries #60 and #61 remain subject to the Category C block-billing reduction, as each combines deposition attendance with a separate activity.)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w:t>
            </w:r>
          </w:p>
        </w:tc>
        <w:tc>
          <w:tcPr/>
          <w:p>
            <w:pPr>
              <w:pStyle w:val="Compact"/>
              <w:jc w:val="left"/>
            </w:pPr>
            <w:r>
              <w:t xml:space="preserve">Timekeeper</w:t>
            </w:r>
          </w:p>
        </w:tc>
        <w:tc>
          <w:tcPr/>
          <w:p>
            <w:pPr>
              <w:pStyle w:val="Compact"/>
              <w:jc w:val="right"/>
            </w:pPr>
            <w:r>
              <w:t xml:space="preserve">Hours</w:t>
            </w:r>
          </w:p>
        </w:tc>
        <w:tc>
          <w:tcPr/>
          <w:p>
            <w:pPr>
              <w:pStyle w:val="Compact"/>
              <w:jc w:val="right"/>
            </w:pPr>
            <w:r>
              <w:t xml:space="preserve">Rate</w:t>
            </w:r>
          </w:p>
        </w:tc>
        <w:tc>
          <w:tcPr/>
          <w:p>
            <w:pPr>
              <w:pStyle w:val="Compact"/>
              <w:jc w:val="right"/>
            </w:pPr>
            <w:r>
              <w:t xml:space="preserve">Reduction</w:t>
            </w:r>
          </w:p>
        </w:tc>
      </w:tr>
      <w:tr>
        <w:tc>
          <w:tcPr/>
          <w:p>
            <w:pPr>
              <w:pStyle w:val="Compact"/>
              <w:jc w:val="left"/>
            </w:pPr>
            <w:r>
              <w:t xml:space="preserve">#62</w:t>
            </w:r>
          </w:p>
        </w:tc>
        <w:tc>
          <w:tcPr/>
          <w:p>
            <w:pPr>
              <w:pStyle w:val="Compact"/>
              <w:jc w:val="left"/>
            </w:pPr>
            <w:r>
              <w:t xml:space="preserve">Pettersson</w:t>
            </w:r>
          </w:p>
        </w:tc>
        <w:tc>
          <w:tcPr/>
          <w:p>
            <w:pPr>
              <w:pStyle w:val="Compact"/>
              <w:jc w:val="right"/>
            </w:pPr>
            <w:r>
              <w:t xml:space="preserve">5.0</w:t>
            </w:r>
          </w:p>
        </w:tc>
        <w:tc>
          <w:tcPr/>
          <w:p>
            <w:pPr>
              <w:pStyle w:val="Compact"/>
              <w:jc w:val="right"/>
            </w:pPr>
            <w:r>
              <w:t xml:space="preserve">$475</w:t>
            </w:r>
          </w:p>
        </w:tc>
        <w:tc>
          <w:tcPr/>
          <w:p>
            <w:pPr>
              <w:pStyle w:val="Compact"/>
              <w:jc w:val="right"/>
            </w:pPr>
            <w:r>
              <w:rPr>
                <w:b/>
                <w:bCs/>
              </w:rPr>
              <w:t xml:space="preserve">$2,375.00</w:t>
            </w:r>
          </w:p>
        </w:tc>
      </w:tr>
    </w:tbl>
    <w:bookmarkEnd w:id="30"/>
    <w:bookmarkStart w:id="31" w:name="g.-expenses-6.4-8.18.4"/>
    <w:p>
      <w:pPr>
        <w:pStyle w:val="Heading3"/>
      </w:pPr>
      <w:r>
        <w:t xml:space="preserve">G. Expenses — §§6.4, 8.1–8.4</w:t>
      </w:r>
    </w:p>
    <w:p>
      <w:pPr>
        <w:pStyle w:val="FirstParagraph"/>
      </w:pPr>
      <w:r>
        <w:rPr>
          <w:b/>
          <w:bCs/>
        </w:rPr>
        <w:t xml:space="preserve">Expense #2 — Travel ($2,100.00) — recommended for full disallowance.</w:t>
      </w:r>
      <w:r>
        <w:t xml:space="preserve"> </w:t>
      </w:r>
      <w:r>
        <w:t xml:space="preserve">The expense is described as</w:t>
      </w:r>
      <w:r>
        <w:t xml:space="preserve"> </w:t>
      </w:r>
      <w:r>
        <w:t xml:space="preserve">“</w:t>
      </w:r>
      <w:r>
        <w:t xml:space="preserve">Travel expenses for D. Hargrove and K. Cho to attend Dr. Rebecca Liu deposition — mileage, parking, meals.</w:t>
      </w:r>
      <w:r>
        <w:t xml:space="preserve">”</w:t>
      </w:r>
      <w:r>
        <w:t xml:space="preserve"> </w:t>
      </w:r>
      <w:r>
        <w:t xml:space="preserve">The June 1 case status report states that the deposition</w:t>
      </w:r>
      <w:r>
        <w:t xml:space="preserve"> </w:t>
      </w:r>
      <w:r>
        <w:t xml:space="preserve">“</w:t>
      </w:r>
      <w:r>
        <w:t xml:space="preserve">was taken at the offices of Hargrove &amp; Linden LLP in Atlanta, Georgia.</w:t>
      </w:r>
      <w:r>
        <w:t xml:space="preserve">”</w:t>
      </w:r>
      <w:r>
        <w:t xml:space="preserve"> </w:t>
      </w:r>
      <w:r>
        <w:t xml:space="preserve">Messrs. Hargrove and Cho are H&amp;L attorneys; the travel was therefore to their own firm’s office within the Atlanta metropolitan area. Section 6.4 provides that</w:t>
      </w:r>
      <w:r>
        <w:t xml:space="preserve"> </w:t>
      </w:r>
      <w:r>
        <w:t xml:space="preserve">“</w:t>
      </w:r>
      <w:r>
        <w:t xml:space="preserve">[l]ocal travel within the Atlanta metropolitan area is not billable under any circumstances,</w:t>
      </w:r>
      <w:r>
        <w:t xml:space="preserve">”</w:t>
      </w:r>
      <w:r>
        <w:t xml:space="preserve"> </w:t>
      </w:r>
      <w:r>
        <w:t xml:space="preserve">and §8.2 renders meals non-reimbursable except during approved out-of-town travel. Separately, §8.3 requires pre-approval for any travel with an aggregate estimated cost exceeding $1,000; the $2,100 charge exceeds that threshold and was not pre-approved. The entire amount is non-reimbursable.</w:t>
      </w:r>
    </w:p>
    <w:p>
      <w:pPr>
        <w:pStyle w:val="BodyText"/>
      </w:pPr>
      <w:r>
        <w:rPr>
          <w:b/>
          <w:bCs/>
        </w:rPr>
        <w:t xml:space="preserve">Expense #1 — Court reporting ($3,200.00, Grayson Court Reporting Services) — allowed.</w:t>
      </w:r>
      <w:r>
        <w:t xml:space="preserve"> </w:t>
      </w:r>
      <w:r>
        <w:t xml:space="preserve">Grayson is an approved vendor (Appendix B). Court-reporter and transcript fees are reimbursable under §8.1, and the charge covers an original transcript plus one copy for a 6.5-hour deposition of a key witness. The</w:t>
      </w:r>
      <w:r>
        <w:t xml:space="preserve"> </w:t>
      </w:r>
      <w:r>
        <w:t xml:space="preserve">“</w:t>
      </w:r>
      <w:r>
        <w:t xml:space="preserve">expedited delivery</w:t>
      </w:r>
      <w:r>
        <w:t xml:space="preserve">”</w:t>
      </w:r>
      <w:r>
        <w:t xml:space="preserve"> </w:t>
      </w:r>
      <w:r>
        <w:t xml:space="preserve">component is reasonable for a key-witness deposition; we recommend the Firm confirm in future invoices that any expedited premium is necessary and at standard rates.</w:t>
      </w:r>
    </w:p>
    <w:p>
      <w:pPr>
        <w:pStyle w:val="BodyText"/>
      </w:pPr>
      <w:r>
        <w:rPr>
          <w:b/>
          <w:bCs/>
        </w:rPr>
        <w:t xml:space="preserve">Expense #3 — E-discovery hosting ($2,650.00, Tripoint Litigation Support LLC) — allowed, with a process note.</w:t>
      </w:r>
      <w:r>
        <w:t xml:space="preserve"> </w:t>
      </w:r>
      <w:r>
        <w:t xml:space="preserve">Tripoint is an approved vendor (Appendix B), and hosting the ~85,000-document third production is a necessary cost anticipated by the Approved Staffing Plan. Section 8.1 makes e-discovery charges</w:t>
      </w:r>
      <w:r>
        <w:t xml:space="preserve"> </w:t>
      </w:r>
      <w:r>
        <w:t xml:space="preserve">“</w:t>
      </w:r>
      <w:r>
        <w:t xml:space="preserve">subject to pre-approval</w:t>
      </w:r>
      <w:r>
        <w:t xml:space="preserve">”</w:t>
      </w:r>
      <w:r>
        <w:t xml:space="preserve">; although no separate monthly pre-approval of this specific charge is documented, the Approved Staffing Plan’s identification of Tripoint as the e-discovery vendor and anticipation of large-volume review supports allowance. We recommend the Firm obtain explicit pre-approval for monthly hosting charges prospectively.</w:t>
      </w:r>
    </w:p>
    <w:p>
      <w:pPr>
        <w:pStyle w:val="BodyText"/>
      </w:pPr>
      <w:r>
        <w:rPr>
          <w:b/>
          <w:bCs/>
        </w:rPr>
        <w:t xml:space="preserve">Expense #4 — Courier/delivery ($500.00) — allowed.</w:t>
      </w:r>
      <w:r>
        <w:t xml:space="preserve"> </w:t>
      </w:r>
      <w:r>
        <w:t xml:space="preserve">Messenger/courier services for time-sensitive service of discovery documents and filing of a motion to compel are reimbursable under §8.1.</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Expense</w:t>
            </w:r>
          </w:p>
        </w:tc>
        <w:tc>
          <w:tcPr/>
          <w:p>
            <w:pPr>
              <w:pStyle w:val="Compact"/>
              <w:jc w:val="right"/>
            </w:pPr>
            <w:r>
              <w:t xml:space="preserve">Billed</w:t>
            </w:r>
          </w:p>
        </w:tc>
        <w:tc>
          <w:tcPr/>
          <w:p>
            <w:pPr>
              <w:pStyle w:val="Compact"/>
              <w:jc w:val="right"/>
            </w:pPr>
            <w:r>
              <w:t xml:space="preserve">Reduction</w:t>
            </w:r>
          </w:p>
        </w:tc>
        <w:tc>
          <w:tcPr/>
          <w:p>
            <w:pPr>
              <w:pStyle w:val="Compact"/>
              <w:jc w:val="right"/>
            </w:pPr>
            <w:r>
              <w:t xml:space="preserve">Net</w:t>
            </w:r>
          </w:p>
        </w:tc>
      </w:tr>
      <w:tr>
        <w:tc>
          <w:tcPr/>
          <w:p>
            <w:pPr>
              <w:pStyle w:val="Compact"/>
              <w:jc w:val="left"/>
            </w:pPr>
            <w:r>
              <w:t xml:space="preserve">Court reporting (Grayson)</w:t>
            </w:r>
          </w:p>
        </w:tc>
        <w:tc>
          <w:tcPr/>
          <w:p>
            <w:pPr>
              <w:pStyle w:val="Compact"/>
              <w:jc w:val="right"/>
            </w:pPr>
            <w:r>
              <w:t xml:space="preserve">$3,200.00</w:t>
            </w:r>
          </w:p>
        </w:tc>
        <w:tc>
          <w:tcPr/>
          <w:p>
            <w:pPr>
              <w:pStyle w:val="Compact"/>
              <w:jc w:val="right"/>
            </w:pPr>
            <w:r>
              <w:t xml:space="preserve">$0.00</w:t>
            </w:r>
          </w:p>
        </w:tc>
        <w:tc>
          <w:tcPr/>
          <w:p>
            <w:pPr>
              <w:pStyle w:val="Compact"/>
              <w:jc w:val="right"/>
            </w:pPr>
            <w:r>
              <w:t xml:space="preserve">$3,200.00</w:t>
            </w:r>
          </w:p>
        </w:tc>
      </w:tr>
      <w:tr>
        <w:tc>
          <w:tcPr/>
          <w:p>
            <w:pPr>
              <w:pStyle w:val="Compact"/>
              <w:jc w:val="left"/>
            </w:pPr>
            <w:r>
              <w:t xml:space="preserve">Travel (local / no pre-approval)</w:t>
            </w:r>
          </w:p>
        </w:tc>
        <w:tc>
          <w:tcPr/>
          <w:p>
            <w:pPr>
              <w:pStyle w:val="Compact"/>
              <w:jc w:val="right"/>
            </w:pPr>
            <w:r>
              <w:t xml:space="preserve">$2,100.00</w:t>
            </w:r>
          </w:p>
        </w:tc>
        <w:tc>
          <w:tcPr/>
          <w:p>
            <w:pPr>
              <w:pStyle w:val="Compact"/>
              <w:jc w:val="right"/>
            </w:pPr>
            <w:r>
              <w:t xml:space="preserve">$2,100.00</w:t>
            </w:r>
          </w:p>
        </w:tc>
        <w:tc>
          <w:tcPr/>
          <w:p>
            <w:pPr>
              <w:pStyle w:val="Compact"/>
              <w:jc w:val="right"/>
            </w:pPr>
            <w:r>
              <w:t xml:space="preserve">$0.00</w:t>
            </w:r>
          </w:p>
        </w:tc>
      </w:tr>
      <w:tr>
        <w:tc>
          <w:tcPr/>
          <w:p>
            <w:pPr>
              <w:pStyle w:val="Compact"/>
              <w:jc w:val="left"/>
            </w:pPr>
            <w:r>
              <w:t xml:space="preserve">E-discovery hosting (Tripoint)</w:t>
            </w:r>
          </w:p>
        </w:tc>
        <w:tc>
          <w:tcPr/>
          <w:p>
            <w:pPr>
              <w:pStyle w:val="Compact"/>
              <w:jc w:val="right"/>
            </w:pPr>
            <w:r>
              <w:t xml:space="preserve">$2,650.00</w:t>
            </w:r>
          </w:p>
        </w:tc>
        <w:tc>
          <w:tcPr/>
          <w:p>
            <w:pPr>
              <w:pStyle w:val="Compact"/>
              <w:jc w:val="right"/>
            </w:pPr>
            <w:r>
              <w:t xml:space="preserve">$0.00</w:t>
            </w:r>
          </w:p>
        </w:tc>
        <w:tc>
          <w:tcPr/>
          <w:p>
            <w:pPr>
              <w:pStyle w:val="Compact"/>
              <w:jc w:val="right"/>
            </w:pPr>
            <w:r>
              <w:t xml:space="preserve">$2,650.00</w:t>
            </w:r>
          </w:p>
        </w:tc>
      </w:tr>
      <w:tr>
        <w:tc>
          <w:tcPr/>
          <w:p>
            <w:pPr>
              <w:pStyle w:val="Compact"/>
              <w:jc w:val="left"/>
            </w:pPr>
            <w:r>
              <w:t xml:space="preserve">Courier/delivery</w:t>
            </w:r>
          </w:p>
        </w:tc>
        <w:tc>
          <w:tcPr/>
          <w:p>
            <w:pPr>
              <w:pStyle w:val="Compact"/>
              <w:jc w:val="right"/>
            </w:pPr>
            <w:r>
              <w:t xml:space="preserve">$500.00</w:t>
            </w:r>
          </w:p>
        </w:tc>
        <w:tc>
          <w:tcPr/>
          <w:p>
            <w:pPr>
              <w:pStyle w:val="Compact"/>
              <w:jc w:val="right"/>
            </w:pPr>
            <w:r>
              <w:t xml:space="preserve">$0.00</w:t>
            </w:r>
          </w:p>
        </w:tc>
        <w:tc>
          <w:tcPr/>
          <w:p>
            <w:pPr>
              <w:pStyle w:val="Compact"/>
              <w:jc w:val="right"/>
            </w:pPr>
            <w:r>
              <w:t xml:space="preserve">$500.00</w:t>
            </w:r>
          </w:p>
        </w:tc>
      </w:tr>
      <w:tr>
        <w:tc>
          <w:tcPr/>
          <w:p>
            <w:pPr>
              <w:pStyle w:val="Compact"/>
              <w:jc w:val="left"/>
            </w:pPr>
            <w:r>
              <w:rPr>
                <w:b/>
                <w:bCs/>
              </w:rPr>
              <w:t xml:space="preserve">Total</w:t>
            </w:r>
          </w:p>
        </w:tc>
        <w:tc>
          <w:tcPr/>
          <w:p>
            <w:pPr>
              <w:pStyle w:val="Compact"/>
              <w:jc w:val="right"/>
            </w:pPr>
            <w:r>
              <w:rPr>
                <w:b/>
                <w:bCs/>
              </w:rPr>
              <w:t xml:space="preserve">$8,450.00</w:t>
            </w:r>
          </w:p>
        </w:tc>
        <w:tc>
          <w:tcPr/>
          <w:p>
            <w:pPr>
              <w:pStyle w:val="Compact"/>
              <w:jc w:val="right"/>
            </w:pPr>
            <w:r>
              <w:rPr>
                <w:b/>
                <w:bCs/>
              </w:rPr>
              <w:t xml:space="preserve">$2,100.00</w:t>
            </w:r>
          </w:p>
        </w:tc>
        <w:tc>
          <w:tcPr/>
          <w:p>
            <w:pPr>
              <w:pStyle w:val="Compact"/>
              <w:jc w:val="right"/>
            </w:pPr>
            <w:r>
              <w:rPr>
                <w:b/>
                <w:bCs/>
              </w:rPr>
              <w:t xml:space="preserve">$6,350.00</w:t>
            </w:r>
          </w:p>
        </w:tc>
      </w:tr>
    </w:tbl>
    <w:bookmarkEnd w:id="31"/>
    <w:bookmarkStart w:id="32" w:name="h.-monthly-budget-overage-7.3"/>
    <w:p>
      <w:pPr>
        <w:pStyle w:val="Heading3"/>
      </w:pPr>
      <w:r>
        <w:t xml:space="preserve">H. Monthly Budget Overage — §7.3</w:t>
      </w:r>
    </w:p>
    <w:p>
      <w:pPr>
        <w:pStyle w:val="FirstParagraph"/>
      </w:pPr>
      <w:r>
        <w:rPr>
          <w:b/>
          <w:bCs/>
        </w:rPr>
        <w:t xml:space="preserve">Governing authority.</w:t>
      </w:r>
      <w:r>
        <w:t xml:space="preserve"> </w:t>
      </w:r>
      <w:r>
        <w:t xml:space="preserve">Section 7.3 requires pre-approval if monthly attorney fees are projected to exceed the high end of the approved budget range by more than 15% — here, $165,000 × 1.15 =</w:t>
      </w:r>
      <w:r>
        <w:t xml:space="preserve"> </w:t>
      </w:r>
      <w:r>
        <w:rPr>
          <w:b/>
          <w:bCs/>
        </w:rPr>
        <w:t xml:space="preserve">$189,750.00</w:t>
      </w:r>
      <w:r>
        <w:t xml:space="preserve"> </w:t>
      </w:r>
      <w:r>
        <w:t xml:space="preserve">— and provides that, absent such pre-approval,</w:t>
      </w:r>
      <w:r>
        <w:t xml:space="preserve"> </w:t>
      </w:r>
      <w:r>
        <w:t xml:space="preserve">“</w:t>
      </w:r>
      <w:r>
        <w:t xml:space="preserve">Pinnacle reserves the right to reduce the invoice to the approved budget ceiling plus fifteen percent (15%).</w:t>
      </w:r>
      <w:r>
        <w:t xml:space="preserve">”</w:t>
      </w:r>
      <w:r>
        <w:t xml:space="preserve"> </w:t>
      </w:r>
      <w:r>
        <w:t xml:space="preserve">Section 7.3 further states that this remedy</w:t>
      </w:r>
      <w:r>
        <w:t xml:space="preserve"> </w:t>
      </w:r>
      <w:r>
        <w:t xml:space="preserve">“</w:t>
      </w:r>
      <w:r>
        <w:t xml:space="preserve">does not limit Pinnacle’s right to apply other reductions</w:t>
      </w:r>
      <w:r>
        <w:t xml:space="preserve">”</w:t>
      </w:r>
      <w:r>
        <w:t xml:space="preserve"> </w:t>
      </w:r>
      <w:r>
        <w:t xml:space="preserve">and that</w:t>
      </w:r>
      <w:r>
        <w:t xml:space="preserve"> </w:t>
      </w:r>
      <w:r>
        <w:t xml:space="preserve">“</w:t>
      </w:r>
      <w:r>
        <w:t xml:space="preserve">budget compliance and Guidelines compliance are independent obligations.</w:t>
      </w:r>
      <w:r>
        <w:t xml:space="preserve">”</w:t>
      </w:r>
    </w:p>
    <w:p>
      <w:pPr>
        <w:pStyle w:val="BodyText"/>
      </w:pPr>
      <w:r>
        <w:rPr>
          <w:b/>
          <w:bCs/>
        </w:rPr>
        <w:t xml:space="preserve">Finding.</w:t>
      </w:r>
      <w:r>
        <w:t xml:space="preserve"> </w:t>
      </w:r>
      <w:r>
        <w:t xml:space="preserve">On the Time Detail, attorney fees of</w:t>
      </w:r>
      <w:r>
        <w:t xml:space="preserve"> </w:t>
      </w:r>
      <w:r>
        <w:rPr>
          <w:b/>
          <w:bCs/>
        </w:rPr>
        <w:t xml:space="preserve">$215,680.00</w:t>
      </w:r>
      <w:r>
        <w:t xml:space="preserve"> </w:t>
      </w:r>
      <w:r>
        <w:t xml:space="preserve">exceed the $189,750 ceiling by</w:t>
      </w:r>
      <w:r>
        <w:t xml:space="preserve"> </w:t>
      </w:r>
      <w:r>
        <w:rPr>
          <w:b/>
          <w:bCs/>
        </w:rPr>
        <w:t xml:space="preserve">$25,930.00</w:t>
      </w:r>
      <w:r>
        <w:t xml:space="preserve"> </w:t>
      </w:r>
      <w:r>
        <w:t xml:space="preserve">(on the Summary, $193,372.50 exceeds it by $3,622.50). No pre-approval of the overage was requested or granted. The April 28 staffing email from Ms. Cho acknowledged that adding Ms. Barros would</w:t>
      </w:r>
      <w:r>
        <w:t xml:space="preserve"> </w:t>
      </w:r>
      <w:r>
        <w:t xml:space="preserve">“</w:t>
      </w:r>
      <w:r>
        <w:t xml:space="preserve">increase the monthly attorney fees somewhat</w:t>
      </w:r>
      <w:r>
        <w:t xml:space="preserve">”</w:t>
      </w:r>
      <w:r>
        <w:t xml:space="preserve"> </w:t>
      </w:r>
      <w:r>
        <w:t xml:space="preserve">but did not request budget-overage approval; Ms. Dominguez’s May 1 reply expressly noted an intent to</w:t>
      </w:r>
      <w:r>
        <w:t xml:space="preserve"> </w:t>
      </w:r>
      <w:r>
        <w:t xml:space="preserve">“</w:t>
      </w:r>
      <w:r>
        <w:t xml:space="preserve">check where things stand against the current budget,</w:t>
      </w:r>
      <w:r>
        <w:t xml:space="preserve">”</w:t>
      </w:r>
      <w:r>
        <w:t xml:space="preserve"> </w:t>
      </w:r>
      <w:r>
        <w:t xml:space="preserve">and no overage approval followed. The overage is driven principally by the two unauthorized timekeepers, the contract-attorney rate inflation, and hours that exceed the approved ranges for four of five authorized timekeepers.</w:t>
      </w:r>
    </w:p>
    <w:p>
      <w:pPr>
        <w:pStyle w:val="BodyText"/>
      </w:pPr>
      <w:r>
        <w:rPr>
          <w:b/>
          <w:bCs/>
        </w:rPr>
        <w:t xml:space="preserve">Recommended treatment.</w:t>
      </w:r>
      <w:r>
        <w:t xml:space="preserve"> </w:t>
      </w:r>
      <w:r>
        <w:t xml:space="preserve">Because the specific Guidelines-compliance reductions in Categories A–F reduce the payable attorney fees to</w:t>
      </w:r>
      <w:r>
        <w:t xml:space="preserve"> </w:t>
      </w:r>
      <w:r>
        <w:rPr>
          <w:b/>
          <w:bCs/>
        </w:rPr>
        <w:t xml:space="preserve">$140,655.62</w:t>
      </w:r>
      <w:r>
        <w:t xml:space="preserve"> </w:t>
      </w:r>
      <w:r>
        <w:t xml:space="preserve">— below the $189,750 ceiling — the §7.3 cap is not the binding constraint and is not applied as an additional reduction. The overage is nonetheless a standalone §7.3 violation that should be documented and that independently supports rejection of the unauthorized-timekeeper fees. We recommend that Pinnacle (i) notify the Firm in writing that the invoice exceeded the §7.3 ceiling without pre-approval, and (ii) require a §7.2/§7.3 budget-to-actual reconciliation and a revised forecast before approving any further monthly invoices.</w:t>
      </w:r>
    </w:p>
    <w:bookmarkEnd w:id="32"/>
    <w:bookmarkStart w:id="33" w:name="Xa761ef32c9b44c91c100fd71859677ae060df4f"/>
    <w:p>
      <w:pPr>
        <w:pStyle w:val="Heading3"/>
      </w:pPr>
      <w:r>
        <w:t xml:space="preserve">I. Additional Observations (no separate reduction, but requiring corrective action)</w:t>
      </w:r>
    </w:p>
    <w:p>
      <w:pPr>
        <w:numPr>
          <w:ilvl w:val="0"/>
          <w:numId w:val="1002"/>
        </w:numPr>
      </w:pPr>
      <w:r>
        <w:rPr>
          <w:b/>
          <w:bCs/>
        </w:rPr>
        <w:t xml:space="preserve">Hour-range exceedances (Staffing Plan §§2.1–2.5).</w:t>
      </w:r>
      <w:r>
        <w:t xml:space="preserve"> </w:t>
      </w:r>
      <w:r>
        <w:t xml:space="preserve">On the Time Detail, Mr. Hargrove (38.5 vs. 15–25), Ms. Cho (89.5 vs. 50–80), Mr. Pettersson (91.0 vs. 60–90), and Mr. Tate (154.5 vs. 80–150) each exceeded their approved monthly hour ranges; only Mr. Webb was within range. The Staffing Plan treats these ranges as</w:t>
      </w:r>
      <w:r>
        <w:t xml:space="preserve"> </w:t>
      </w:r>
      <w:r>
        <w:t xml:space="preserve">“</w:t>
      </w:r>
      <w:r>
        <w:t xml:space="preserve">expected</w:t>
      </w:r>
      <w:r>
        <w:t xml:space="preserve">”</w:t>
      </w:r>
      <w:r>
        <w:t xml:space="preserve"> </w:t>
      </w:r>
      <w:r>
        <w:t xml:space="preserve">rather than hard caps and notes that hours</w:t>
      </w:r>
      <w:r>
        <w:t xml:space="preserve"> </w:t>
      </w:r>
      <w:r>
        <w:t xml:space="preserve">“</w:t>
      </w:r>
      <w:r>
        <w:t xml:space="preserve">may fluctuate,</w:t>
      </w:r>
      <w:r>
        <w:t xml:space="preserve">”</w:t>
      </w:r>
      <w:r>
        <w:t xml:space="preserve"> </w:t>
      </w:r>
      <w:r>
        <w:t xml:space="preserve">so the exceedances are not separately reduced. They are, however, relevant to the §7.3 overage and to the reconciliation concern in Section III (the Summary concealed three of the four exceedances). The June 1 case status report represents that partner hours will</w:t>
      </w:r>
      <w:r>
        <w:t xml:space="preserve"> </w:t>
      </w:r>
      <w:r>
        <w:t xml:space="preserve">“</w:t>
      </w:r>
      <w:r>
        <w:t xml:space="preserve">return to more typical levels</w:t>
      </w:r>
      <w:r>
        <w:t xml:space="preserve">”</w:t>
      </w:r>
      <w:r>
        <w:t xml:space="preserve"> </w:t>
      </w:r>
      <w:r>
        <w:t xml:space="preserve">in June and July; Pinnacle should hold the Firm to that representation.</w:t>
      </w:r>
    </w:p>
    <w:p>
      <w:pPr>
        <w:numPr>
          <w:ilvl w:val="0"/>
          <w:numId w:val="1002"/>
        </w:numPr>
      </w:pPr>
      <w:r>
        <w:rPr>
          <w:b/>
          <w:bCs/>
        </w:rPr>
        <w:t xml:space="preserve">Missing budget-to-actual reconciliation (§§7.2, 9.1(g)).</w:t>
      </w:r>
      <w:r>
        <w:t xml:space="preserve"> </w:t>
      </w:r>
      <w:r>
        <w:t xml:space="preserve">The invoice contains Summary, Time Detail, Expense Detail, and Rate Schedule tabs but does not include the budget-to-actual reconciliation required by §7.2 and §9.1(g) (approved budget range, actual fees/expenses, cumulative figures, percentage of phase budget consumed, and narrative explanation of any variance greater than 10% from the midpoint). This is a format deficiency that should be cured before payment.</w:t>
      </w:r>
    </w:p>
    <w:p>
      <w:pPr>
        <w:numPr>
          <w:ilvl w:val="0"/>
          <w:numId w:val="1002"/>
        </w:numPr>
      </w:pPr>
      <w:r>
        <w:rPr>
          <w:b/>
          <w:bCs/>
        </w:rPr>
        <w:t xml:space="preserve">Time-entry narratives (§9.2).</w:t>
      </w:r>
      <w:r>
        <w:t xml:space="preserve"> </w:t>
      </w:r>
      <w:r>
        <w:t xml:space="preserve">Most narratives are adequately detailed. Entry #79 (Webb) —</w:t>
      </w:r>
      <w:r>
        <w:t xml:space="preserve"> </w:t>
      </w:r>
      <w:r>
        <w:t xml:space="preserve">“</w:t>
      </w:r>
      <w:r>
        <w:t xml:space="preserve">Review third batch of MedCore production documents for relevance and privilege</w:t>
      </w:r>
      <w:r>
        <w:t xml:space="preserve">”</w:t>
      </w:r>
      <w:r>
        <w:t xml:space="preserve"> </w:t>
      </w:r>
      <w:r>
        <w:t xml:space="preserve">— is generic compared with the contract attorney’s Bates-stamped entries and would benefit from a custodian/Bates-range identifier; this is addressed by the §6.1 rate reduction and is not separately penalized.</w:t>
      </w:r>
    </w:p>
    <w:p>
      <w:pPr>
        <w:numPr>
          <w:ilvl w:val="0"/>
          <w:numId w:val="1002"/>
        </w:numPr>
      </w:pPr>
      <w:r>
        <w:rPr>
          <w:b/>
          <w:bCs/>
        </w:rPr>
        <w:t xml:space="preserve">Invoice timing.</w:t>
      </w:r>
      <w:r>
        <w:t xml:space="preserve"> </w:t>
      </w:r>
      <w:r>
        <w:t xml:space="preserve">The invoice is dated June 5, 2025, within the §9.1 deadline (no later than the 15th of the following month). Timely.</w:t>
      </w:r>
    </w:p>
    <w:p>
      <w:r>
        <w:pict>
          <v:rect style="width:0;height:1.5pt" o:hralign="center" o:hrstd="t" o:hr="t"/>
        </w:pict>
      </w:r>
    </w:p>
    <w:bookmarkEnd w:id="33"/>
    <w:bookmarkEnd w:id="34"/>
    <w:bookmarkStart w:id="35" w:name="vii.-calculation-of-net-amount-payable"/>
    <w:p>
      <w:pPr>
        <w:pStyle w:val="Heading2"/>
      </w:pPr>
      <w:r>
        <w:t xml:space="preserve">VII. Calculation of Net Amount Payable</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pPr>
          </w:p>
        </w:tc>
        <w:tc>
          <w:tcPr/>
          <w:p>
            <w:pPr>
              <w:pStyle w:val="Compact"/>
              <w:jc w:val="right"/>
            </w:pPr>
            <w:r>
              <w:t xml:space="preserve">Time Detail</w:t>
            </w:r>
          </w:p>
        </w:tc>
        <w:tc>
          <w:tcPr/>
          <w:p>
            <w:pPr>
              <w:pStyle w:val="Compact"/>
              <w:jc w:val="right"/>
            </w:pPr>
            <w:r>
              <w:t xml:space="preserve">Reductions</w:t>
            </w:r>
          </w:p>
        </w:tc>
        <w:tc>
          <w:tcPr/>
          <w:p>
            <w:pPr>
              <w:pStyle w:val="Compact"/>
              <w:jc w:val="right"/>
            </w:pPr>
            <w:r>
              <w:t xml:space="preserve">Net Payable</w:t>
            </w:r>
          </w:p>
        </w:tc>
      </w:tr>
      <w:tr>
        <w:tc>
          <w:tcPr/>
          <w:p>
            <w:pPr>
              <w:pStyle w:val="Compact"/>
              <w:jc w:val="left"/>
            </w:pPr>
            <w:r>
              <w:t xml:space="preserve">Attorney fees</w:t>
            </w:r>
          </w:p>
        </w:tc>
        <w:tc>
          <w:tcPr/>
          <w:p>
            <w:pPr>
              <w:pStyle w:val="Compact"/>
              <w:jc w:val="right"/>
            </w:pPr>
            <w:r>
              <w:t xml:space="preserve">$215,680.00</w:t>
            </w:r>
          </w:p>
        </w:tc>
        <w:tc>
          <w:tcPr/>
          <w:p>
            <w:pPr>
              <w:pStyle w:val="Compact"/>
              <w:jc w:val="right"/>
            </w:pPr>
            <w:r>
              <w:t xml:space="preserve">($75,024.38)</w:t>
            </w:r>
          </w:p>
        </w:tc>
        <w:tc>
          <w:tcPr/>
          <w:p>
            <w:pPr>
              <w:pStyle w:val="Compact"/>
              <w:jc w:val="right"/>
            </w:pPr>
            <w:r>
              <w:t xml:space="preserve">$140,655.62</w:t>
            </w:r>
          </w:p>
        </w:tc>
      </w:tr>
      <w:tr>
        <w:tc>
          <w:tcPr/>
          <w:p>
            <w:pPr>
              <w:pStyle w:val="Compact"/>
              <w:jc w:val="left"/>
            </w:pPr>
            <w:r>
              <w:t xml:space="preserve">Expenses</w:t>
            </w:r>
          </w:p>
        </w:tc>
        <w:tc>
          <w:tcPr/>
          <w:p>
            <w:pPr>
              <w:pStyle w:val="Compact"/>
              <w:jc w:val="right"/>
            </w:pPr>
            <w:r>
              <w:t xml:space="preserve">$8,450.00</w:t>
            </w:r>
          </w:p>
        </w:tc>
        <w:tc>
          <w:tcPr/>
          <w:p>
            <w:pPr>
              <w:pStyle w:val="Compact"/>
              <w:jc w:val="right"/>
            </w:pPr>
            <w:r>
              <w:t xml:space="preserve">($2,100.00)</w:t>
            </w:r>
          </w:p>
        </w:tc>
        <w:tc>
          <w:tcPr/>
          <w:p>
            <w:pPr>
              <w:pStyle w:val="Compact"/>
              <w:jc w:val="right"/>
            </w:pPr>
            <w:r>
              <w:t xml:space="preserve">$6,350.00</w:t>
            </w:r>
          </w:p>
        </w:tc>
      </w:tr>
      <w:tr>
        <w:tc>
          <w:tcPr/>
          <w:p>
            <w:pPr>
              <w:pStyle w:val="Compact"/>
              <w:jc w:val="left"/>
            </w:pPr>
            <w:r>
              <w:rPr>
                <w:b/>
                <w:bCs/>
              </w:rPr>
              <w:t xml:space="preserve">Grand total</w:t>
            </w:r>
          </w:p>
        </w:tc>
        <w:tc>
          <w:tcPr/>
          <w:p>
            <w:pPr>
              <w:pStyle w:val="Compact"/>
              <w:jc w:val="right"/>
            </w:pPr>
            <w:r>
              <w:rPr>
                <w:b/>
                <w:bCs/>
              </w:rPr>
              <w:t xml:space="preserve">$224,130.00</w:t>
            </w:r>
          </w:p>
        </w:tc>
        <w:tc>
          <w:tcPr/>
          <w:p>
            <w:pPr>
              <w:pStyle w:val="Compact"/>
              <w:jc w:val="right"/>
            </w:pPr>
            <w:r>
              <w:rPr>
                <w:b/>
                <w:bCs/>
              </w:rPr>
              <w:t xml:space="preserve">($77,124.38)</w:t>
            </w:r>
          </w:p>
        </w:tc>
        <w:tc>
          <w:tcPr/>
          <w:p>
            <w:pPr>
              <w:pStyle w:val="Compact"/>
              <w:jc w:val="right"/>
            </w:pPr>
            <w:r>
              <w:rPr>
                <w:b/>
                <w:bCs/>
              </w:rPr>
              <w:t xml:space="preserve">$147,005.62</w:t>
            </w:r>
          </w:p>
        </w:tc>
      </w:tr>
    </w:tbl>
    <w:p>
      <w:pPr>
        <w:pStyle w:val="BodyText"/>
      </w:pPr>
      <w:r>
        <w:rPr>
          <w:b/>
          <w:bCs/>
        </w:rPr>
        <w:t xml:space="preserve">Attorney-fee reduction detail ($75,024.38):</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Amount</w:t>
            </w:r>
          </w:p>
        </w:tc>
      </w:tr>
      <w:tr>
        <w:tc>
          <w:tcPr/>
          <w:p>
            <w:pPr>
              <w:pStyle w:val="Compact"/>
              <w:jc w:val="left"/>
            </w:pPr>
            <w:r>
              <w:t xml:space="preserve">A. Unauthorized timekeepers</w:t>
            </w:r>
          </w:p>
        </w:tc>
        <w:tc>
          <w:tcPr/>
          <w:p>
            <w:pPr>
              <w:pStyle w:val="Compact"/>
              <w:jc w:val="right"/>
            </w:pPr>
            <w:r>
              <w:t xml:space="preserve">$33,400.00</w:t>
            </w:r>
          </w:p>
        </w:tc>
      </w:tr>
      <w:tr>
        <w:tc>
          <w:tcPr/>
          <w:p>
            <w:pPr>
              <w:pStyle w:val="Compact"/>
              <w:jc w:val="left"/>
            </w:pPr>
            <w:r>
              <w:t xml:space="preserve">B. Contract-attorney rate</w:t>
            </w:r>
          </w:p>
        </w:tc>
        <w:tc>
          <w:tcPr/>
          <w:p>
            <w:pPr>
              <w:pStyle w:val="Compact"/>
              <w:jc w:val="right"/>
            </w:pPr>
            <w:r>
              <w:t xml:space="preserve">$3,862.50</w:t>
            </w:r>
          </w:p>
        </w:tc>
      </w:tr>
      <w:tr>
        <w:tc>
          <w:tcPr/>
          <w:p>
            <w:pPr>
              <w:pStyle w:val="Compact"/>
              <w:jc w:val="left"/>
            </w:pPr>
            <w:r>
              <w:t xml:space="preserve">C. Block billing (54 entries)</w:t>
            </w:r>
          </w:p>
        </w:tc>
        <w:tc>
          <w:tcPr/>
          <w:p>
            <w:pPr>
              <w:pStyle w:val="Compact"/>
              <w:jc w:val="right"/>
            </w:pPr>
            <w:r>
              <w:t xml:space="preserve">$30,695.63</w:t>
            </w:r>
          </w:p>
        </w:tc>
      </w:tr>
      <w:tr>
        <w:tc>
          <w:tcPr/>
          <w:p>
            <w:pPr>
              <w:pStyle w:val="Compact"/>
              <w:jc w:val="left"/>
            </w:pPr>
            <w:r>
              <w:t xml:space="preserve">D. Task appropriateness (4 entries)</w:t>
            </w:r>
          </w:p>
        </w:tc>
        <w:tc>
          <w:tcPr/>
          <w:p>
            <w:pPr>
              <w:pStyle w:val="Compact"/>
              <w:jc w:val="right"/>
            </w:pPr>
            <w:r>
              <w:t xml:space="preserve">$3,753.75</w:t>
            </w:r>
          </w:p>
        </w:tc>
      </w:tr>
      <w:tr>
        <w:tc>
          <w:tcPr/>
          <w:p>
            <w:pPr>
              <w:pStyle w:val="Compact"/>
              <w:jc w:val="left"/>
            </w:pPr>
            <w:r>
              <w:t xml:space="preserve">E. Conference-attendance cap</w:t>
            </w:r>
          </w:p>
        </w:tc>
        <w:tc>
          <w:tcPr/>
          <w:p>
            <w:pPr>
              <w:pStyle w:val="Compact"/>
              <w:jc w:val="right"/>
            </w:pPr>
            <w:r>
              <w:t xml:space="preserve">$937.50</w:t>
            </w:r>
          </w:p>
        </w:tc>
      </w:tr>
      <w:tr>
        <w:tc>
          <w:tcPr/>
          <w:p>
            <w:pPr>
              <w:pStyle w:val="Compact"/>
              <w:jc w:val="left"/>
            </w:pPr>
            <w:r>
              <w:t xml:space="preserve">F. Deposition-staffing cap</w:t>
            </w:r>
          </w:p>
        </w:tc>
        <w:tc>
          <w:tcPr/>
          <w:p>
            <w:pPr>
              <w:pStyle w:val="Compact"/>
              <w:jc w:val="right"/>
            </w:pPr>
            <w:r>
              <w:t xml:space="preserve">$2,375.00</w:t>
            </w:r>
          </w:p>
        </w:tc>
      </w:tr>
      <w:tr>
        <w:tc>
          <w:tcPr/>
          <w:p>
            <w:pPr>
              <w:pStyle w:val="Compact"/>
              <w:jc w:val="left"/>
            </w:pPr>
            <w:r>
              <w:rPr>
                <w:b/>
                <w:bCs/>
              </w:rPr>
              <w:t xml:space="preserve">Subtotal</w:t>
            </w:r>
          </w:p>
        </w:tc>
        <w:tc>
          <w:tcPr/>
          <w:p>
            <w:pPr>
              <w:pStyle w:val="Compact"/>
              <w:jc w:val="right"/>
            </w:pPr>
            <w:r>
              <w:rPr>
                <w:b/>
                <w:bCs/>
              </w:rPr>
              <w:t xml:space="preserve">$75,024.38</w:t>
            </w:r>
          </w:p>
        </w:tc>
      </w:tr>
    </w:tbl>
    <w:p>
      <w:pPr>
        <w:pStyle w:val="BodyText"/>
      </w:pPr>
      <w:r>
        <w:t xml:space="preserve">The net attorney fees of $140,655.62 fall within the approved monthly budget range ($95,000–$165,000) and below the §7.3 ceiling ($189,750), so no further budget-cap reduction is applied.</w:t>
      </w:r>
    </w:p>
    <w:p>
      <w:pPr>
        <w:pStyle w:val="BodyText"/>
      </w:pPr>
      <w:r>
        <w:rPr>
          <w:b/>
          <w:bCs/>
        </w:rPr>
        <w:t xml:space="preserve">Reconciliation note.</w:t>
      </w:r>
      <w:r>
        <w:t xml:space="preserve"> </w:t>
      </w:r>
      <w:r>
        <w:t xml:space="preserve">The invoice’s stated Total Due ($201,822.50) is derived from the Summary tab, which understates the Time Detail by $22,307.50. The $147,005.62 figure above is the properly payable amount once the Time Detail is corrected to reconcile to the line items. If the Firm instead maintains that its Summary is correct, it must identify which Time Detail entries are erroneous; in that case the summary-basis payable (using the same per-entry reductions, with the unauthorized-timekeeper and contract-rate items computed at the lower Summary figures) would be $127,273.12. Either way, the invoice must be corrected before payment, and payment should not exceed $147,005.62.</w:t>
      </w:r>
    </w:p>
    <w:p>
      <w:r>
        <w:pict>
          <v:rect style="width:0;height:1.5pt" o:hralign="center" o:hrstd="t" o:hr="t"/>
        </w:pict>
      </w:r>
    </w:p>
    <w:bookmarkEnd w:id="35"/>
    <w:bookmarkStart w:id="36" w:name="viii.-recommended-action"/>
    <w:p>
      <w:pPr>
        <w:pStyle w:val="Heading2"/>
      </w:pPr>
      <w:r>
        <w:t xml:space="preserve">VIII. Recommended Action</w:t>
      </w:r>
    </w:p>
    <w:p>
      <w:pPr>
        <w:numPr>
          <w:ilvl w:val="0"/>
          <w:numId w:val="1003"/>
        </w:numPr>
      </w:pPr>
      <w:r>
        <w:rPr>
          <w:b/>
          <w:bCs/>
        </w:rPr>
        <w:t xml:space="preserve">Return the invoice for correction.</w:t>
      </w:r>
      <w:r>
        <w:t xml:space="preserve"> </w:t>
      </w:r>
      <w:r>
        <w:t xml:space="preserve">Require H&amp;L to resubmit with a Summary and detail subtotal that reconcile to the 117 Time Detail line items, and to provide a written explanation of the $22,307.50 / 61-hour variance and of the pattern by which the Summary figures fell within approved hour ranges while the Detail exceeded them. Do not process payment until a corrected, reconciled invoice is received.</w:t>
      </w:r>
    </w:p>
    <w:p>
      <w:pPr>
        <w:numPr>
          <w:ilvl w:val="0"/>
          <w:numId w:val="1003"/>
        </w:numPr>
      </w:pPr>
      <w:r>
        <w:rPr>
          <w:b/>
          <w:bCs/>
        </w:rPr>
        <w:t xml:space="preserve">Cap payment at $147,005.62</w:t>
      </w:r>
      <w:r>
        <w:t xml:space="preserve"> </w:t>
      </w:r>
      <w:r>
        <w:t xml:space="preserve">(Time Detail basis), the properly payable amount after the reductions set forth above. If the Firm contends the Summary is correct, payment should not exceed $127,273.12 and the Firm must identify the erroneous Detail entries. In no event should payment exceed $147,005.62.</w:t>
      </w:r>
    </w:p>
    <w:p>
      <w:pPr>
        <w:numPr>
          <w:ilvl w:val="0"/>
          <w:numId w:val="1003"/>
        </w:numPr>
      </w:pPr>
      <w:r>
        <w:rPr>
          <w:b/>
          <w:bCs/>
        </w:rPr>
        <w:t xml:space="preserve">Reject in full the fees of Nina Barros ($23,275.00) and Priya Sengupta ($10,125.00)</w:t>
      </w:r>
      <w:r>
        <w:t xml:space="preserve"> </w:t>
      </w:r>
      <w:r>
        <w:t xml:space="preserve">as unapproved timekeepers under §4.2. If Pinnacle wishes to ratify either addition prospectively, do so only by written approval that expressly states it is prospective and does not validate the May fees.</w:t>
      </w:r>
    </w:p>
    <w:p>
      <w:pPr>
        <w:numPr>
          <w:ilvl w:val="0"/>
          <w:numId w:val="1003"/>
        </w:numPr>
      </w:pPr>
      <w:r>
        <w:rPr>
          <w:b/>
          <w:bCs/>
        </w:rPr>
        <w:t xml:space="preserve">Direct the Firm to resubmit</w:t>
      </w:r>
      <w:r>
        <w:t xml:space="preserve"> </w:t>
      </w:r>
      <w:r>
        <w:t xml:space="preserve">the 54 block-billed entries (Appendix A) as separate, individually timed line items within 15 days if it wishes to avoid the 25% reduction, as permitted by §5.4; any resubmission must reasonably account for the total time originally reported and must not include time for the two unapproved timekeepers.</w:t>
      </w:r>
    </w:p>
    <w:p>
      <w:pPr>
        <w:numPr>
          <w:ilvl w:val="0"/>
          <w:numId w:val="1003"/>
        </w:numPr>
      </w:pPr>
      <w:r>
        <w:rPr>
          <w:b/>
          <w:bCs/>
        </w:rPr>
        <w:t xml:space="preserve">Require a §7.2/§9.1(g) budget-to-actual reconciliation</w:t>
      </w:r>
      <w:r>
        <w:t xml:space="preserve"> </w:t>
      </w:r>
      <w:r>
        <w:t xml:space="preserve">with the resubmission, including cumulative phase-to-date figures and a narrative explanation of the §7.3 overage.</w:t>
      </w:r>
    </w:p>
    <w:p>
      <w:pPr>
        <w:numPr>
          <w:ilvl w:val="0"/>
          <w:numId w:val="1003"/>
        </w:numPr>
      </w:pPr>
      <w:r>
        <w:rPr>
          <w:b/>
          <w:bCs/>
        </w:rPr>
        <w:t xml:space="preserve">Obtain prospective written approvals</w:t>
      </w:r>
      <w:r>
        <w:t xml:space="preserve"> </w:t>
      </w:r>
      <w:r>
        <w:t xml:space="preserve">for: (i) any continued use of Nina Barros or Priya Sengupta; (ii) monthly Tripoint e-discovery hosting charges; and (iii) any future deposition staffed with more than two billing timekeepers (submitted at least five business days in advance).</w:t>
      </w:r>
    </w:p>
    <w:p>
      <w:pPr>
        <w:numPr>
          <w:ilvl w:val="0"/>
          <w:numId w:val="1003"/>
        </w:numPr>
      </w:pPr>
      <w:r>
        <w:rPr>
          <w:b/>
          <w:bCs/>
        </w:rPr>
        <w:t xml:space="preserve">Confirm the contract-attorney pass-through rate.</w:t>
      </w:r>
      <w:r>
        <w:t xml:space="preserve"> </w:t>
      </w:r>
      <w:r>
        <w:t xml:space="preserve">Require H&amp;L to invoice Marcus Tate at the approved $185/hr (Redwood vendor rate, no markup) going forward and to credit the $3,862.50 overcharge against this invoice.</w:t>
      </w:r>
    </w:p>
    <w:p>
      <w:pPr>
        <w:numPr>
          <w:ilvl w:val="0"/>
          <w:numId w:val="1003"/>
        </w:numPr>
      </w:pPr>
      <w:r>
        <w:rPr>
          <w:b/>
          <w:bCs/>
        </w:rPr>
        <w:t xml:space="preserve">Reserve all rights</w:t>
      </w:r>
      <w:r>
        <w:t xml:space="preserve"> </w:t>
      </w:r>
      <w:r>
        <w:t xml:space="preserve">under §§10.1 and 10.2, including the right to audit the Firm’s contemporaneous time records and to apply further remedies if the resubmission or audit reveals additional non-compliance.</w:t>
      </w:r>
    </w:p>
    <w:p>
      <w:r>
        <w:pict>
          <v:rect style="width:0;height:1.5pt" o:hralign="center" o:hrstd="t" o:hr="t"/>
        </w:pict>
      </w:r>
    </w:p>
    <w:bookmarkEnd w:id="36"/>
    <w:bookmarkStart w:id="37" w:name="Xde032aeced14538aeeb90bc2848cfb471d1bec3"/>
    <w:p>
      <w:pPr>
        <w:pStyle w:val="Heading2"/>
      </w:pPr>
      <w:r>
        <w:t xml:space="preserve">Appendix A — Block-Billing Reduction Schedule (§5.4)</w:t>
      </w:r>
    </w:p>
    <w:p>
      <w:pPr>
        <w:pStyle w:val="FirstParagraph"/>
      </w:pPr>
      <w:r>
        <w:t xml:space="preserve">The following 54 entries, billed by authorized timekeepers, combine two or more discrete tasks in a single line item. Pursuant to §5.4, an automatic 25% reduction is applied to the fees of each entry. (Entries #43 and #56, which also implicate §6.1, are listed in §VI.D; entry #62, reduced in full under §VI.F, is omitted here.)</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Timekeeper</w:t>
            </w:r>
          </w:p>
        </w:tc>
        <w:tc>
          <w:tcPr/>
          <w:p>
            <w:pPr>
              <w:pStyle w:val="Compact"/>
              <w:jc w:val="right"/>
            </w:pPr>
            <w:r>
              <w:t xml:space="preserve">Hours</w:t>
            </w:r>
          </w:p>
        </w:tc>
        <w:tc>
          <w:tcPr/>
          <w:p>
            <w:pPr>
              <w:pStyle w:val="Compact"/>
              <w:jc w:val="right"/>
            </w:pPr>
            <w:r>
              <w:t xml:space="preserve">Rate</w:t>
            </w:r>
          </w:p>
        </w:tc>
        <w:tc>
          <w:tcPr/>
          <w:p>
            <w:pPr>
              <w:pStyle w:val="Compact"/>
              <w:jc w:val="right"/>
            </w:pPr>
            <w:r>
              <w:t xml:space="preserve">Fees</w:t>
            </w:r>
          </w:p>
        </w:tc>
        <w:tc>
          <w:tcPr/>
          <w:p>
            <w:pPr>
              <w:pStyle w:val="Compact"/>
              <w:jc w:val="right"/>
            </w:pPr>
            <w:r>
              <w:t xml:space="preserve">25% Reduction</w:t>
            </w:r>
          </w:p>
        </w:tc>
      </w:tr>
      <w:tr>
        <w:tc>
          <w:tcPr/>
          <w:p>
            <w:pPr>
              <w:pStyle w:val="Compact"/>
              <w:jc w:val="left"/>
            </w:pPr>
            <w:r>
              <w:t xml:space="preserve">2</w:t>
            </w:r>
          </w:p>
        </w:tc>
        <w:tc>
          <w:tcPr/>
          <w:p>
            <w:pPr>
              <w:pStyle w:val="Compact"/>
              <w:jc w:val="left"/>
            </w:pPr>
            <w:r>
              <w:t xml:space="preserve">05/01</w:t>
            </w:r>
          </w:p>
        </w:tc>
        <w:tc>
          <w:tcPr/>
          <w:p>
            <w:pPr>
              <w:pStyle w:val="Compact"/>
              <w:jc w:val="left"/>
            </w:pPr>
            <w:r>
              <w:t xml:space="preserve">Pettersson</w:t>
            </w:r>
          </w:p>
        </w:tc>
        <w:tc>
          <w:tcPr/>
          <w:p>
            <w:pPr>
              <w:pStyle w:val="Compact"/>
              <w:jc w:val="right"/>
            </w:pPr>
            <w:r>
              <w:t xml:space="preserve">3.5</w:t>
            </w:r>
          </w:p>
        </w:tc>
        <w:tc>
          <w:tcPr/>
          <w:p>
            <w:pPr>
              <w:pStyle w:val="Compact"/>
              <w:jc w:val="right"/>
            </w:pPr>
            <w:r>
              <w:t xml:space="preserve">$475</w:t>
            </w:r>
          </w:p>
        </w:tc>
        <w:tc>
          <w:tcPr/>
          <w:p>
            <w:pPr>
              <w:pStyle w:val="Compact"/>
              <w:jc w:val="right"/>
            </w:pPr>
            <w:r>
              <w:t xml:space="preserve">$1,662.50</w:t>
            </w:r>
          </w:p>
        </w:tc>
        <w:tc>
          <w:tcPr/>
          <w:p>
            <w:pPr>
              <w:pStyle w:val="Compact"/>
              <w:jc w:val="right"/>
            </w:pPr>
            <w:r>
              <w:t xml:space="preserve">$415.63</w:t>
            </w:r>
          </w:p>
        </w:tc>
      </w:tr>
      <w:tr>
        <w:tc>
          <w:tcPr/>
          <w:p>
            <w:pPr>
              <w:pStyle w:val="Compact"/>
              <w:jc w:val="left"/>
            </w:pPr>
            <w:r>
              <w:t xml:space="preserve">3</w:t>
            </w:r>
          </w:p>
        </w:tc>
        <w:tc>
          <w:tcPr/>
          <w:p>
            <w:pPr>
              <w:pStyle w:val="Compact"/>
              <w:jc w:val="left"/>
            </w:pPr>
            <w:r>
              <w:t xml:space="preserve">05/01</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6</w:t>
            </w:r>
          </w:p>
        </w:tc>
        <w:tc>
          <w:tcPr/>
          <w:p>
            <w:pPr>
              <w:pStyle w:val="Compact"/>
              <w:jc w:val="left"/>
            </w:pPr>
            <w:r>
              <w:t xml:space="preserve">05/02</w:t>
            </w:r>
          </w:p>
        </w:tc>
        <w:tc>
          <w:tcPr/>
          <w:p>
            <w:pPr>
              <w:pStyle w:val="Compact"/>
              <w:jc w:val="left"/>
            </w:pPr>
            <w:r>
              <w:t xml:space="preserve">Pettersson</w:t>
            </w:r>
          </w:p>
        </w:tc>
        <w:tc>
          <w:tcPr/>
          <w:p>
            <w:pPr>
              <w:pStyle w:val="Compact"/>
              <w:jc w:val="right"/>
            </w:pPr>
            <w:r>
              <w:t xml:space="preserve">4.0</w:t>
            </w:r>
          </w:p>
        </w:tc>
        <w:tc>
          <w:tcPr/>
          <w:p>
            <w:pPr>
              <w:pStyle w:val="Compact"/>
              <w:jc w:val="right"/>
            </w:pPr>
            <w:r>
              <w:t xml:space="preserve">$475</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7</w:t>
            </w:r>
          </w:p>
        </w:tc>
        <w:tc>
          <w:tcPr/>
          <w:p>
            <w:pPr>
              <w:pStyle w:val="Compact"/>
              <w:jc w:val="left"/>
            </w:pPr>
            <w:r>
              <w:t xml:space="preserve">05/02</w:t>
            </w:r>
          </w:p>
        </w:tc>
        <w:tc>
          <w:tcPr/>
          <w:p>
            <w:pPr>
              <w:pStyle w:val="Compact"/>
              <w:jc w:val="left"/>
            </w:pPr>
            <w:r>
              <w:t xml:space="preserve">Cho</w:t>
            </w:r>
          </w:p>
        </w:tc>
        <w:tc>
          <w:tcPr/>
          <w:p>
            <w:pPr>
              <w:pStyle w:val="Compact"/>
              <w:jc w:val="right"/>
            </w:pPr>
            <w:r>
              <w:t xml:space="preserve">3.5</w:t>
            </w:r>
          </w:p>
        </w:tc>
        <w:tc>
          <w:tcPr/>
          <w:p>
            <w:pPr>
              <w:pStyle w:val="Compact"/>
              <w:jc w:val="right"/>
            </w:pPr>
            <w:r>
              <w:t xml:space="preserve">$625</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8</w:t>
            </w:r>
          </w:p>
        </w:tc>
        <w:tc>
          <w:tcPr/>
          <w:p>
            <w:pPr>
              <w:pStyle w:val="Compact"/>
              <w:jc w:val="left"/>
            </w:pPr>
            <w:r>
              <w:t xml:space="preserve">05/02</w:t>
            </w:r>
          </w:p>
        </w:tc>
        <w:tc>
          <w:tcPr/>
          <w:p>
            <w:pPr>
              <w:pStyle w:val="Compact"/>
              <w:jc w:val="left"/>
            </w:pPr>
            <w:r>
              <w:t xml:space="preserve">Webb</w:t>
            </w:r>
          </w:p>
        </w:tc>
        <w:tc>
          <w:tcPr/>
          <w:p>
            <w:pPr>
              <w:pStyle w:val="Compact"/>
              <w:jc w:val="right"/>
            </w:pPr>
            <w:r>
              <w:t xml:space="preserve">2.0</w:t>
            </w:r>
          </w:p>
        </w:tc>
        <w:tc>
          <w:tcPr/>
          <w:p>
            <w:pPr>
              <w:pStyle w:val="Compact"/>
              <w:jc w:val="right"/>
            </w:pPr>
            <w:r>
              <w:t xml:space="preserve">$375</w:t>
            </w:r>
          </w:p>
        </w:tc>
        <w:tc>
          <w:tcPr/>
          <w:p>
            <w:pPr>
              <w:pStyle w:val="Compact"/>
              <w:jc w:val="right"/>
            </w:pPr>
            <w:r>
              <w:t xml:space="preserve">$750.00</w:t>
            </w:r>
          </w:p>
        </w:tc>
        <w:tc>
          <w:tcPr/>
          <w:p>
            <w:pPr>
              <w:pStyle w:val="Compact"/>
              <w:jc w:val="right"/>
            </w:pPr>
            <w:r>
              <w:t xml:space="preserve">$187.50</w:t>
            </w:r>
          </w:p>
        </w:tc>
      </w:tr>
      <w:tr>
        <w:tc>
          <w:tcPr/>
          <w:p>
            <w:pPr>
              <w:pStyle w:val="Compact"/>
              <w:jc w:val="left"/>
            </w:pPr>
            <w:r>
              <w:t xml:space="preserve">9</w:t>
            </w:r>
          </w:p>
        </w:tc>
        <w:tc>
          <w:tcPr/>
          <w:p>
            <w:pPr>
              <w:pStyle w:val="Compact"/>
              <w:jc w:val="left"/>
            </w:pPr>
            <w:r>
              <w:t xml:space="preserve">05/05</w:t>
            </w:r>
          </w:p>
        </w:tc>
        <w:tc>
          <w:tcPr/>
          <w:p>
            <w:pPr>
              <w:pStyle w:val="Compact"/>
              <w:jc w:val="left"/>
            </w:pPr>
            <w:r>
              <w:t xml:space="preserve">Hargrove</w:t>
            </w:r>
          </w:p>
        </w:tc>
        <w:tc>
          <w:tcPr/>
          <w:p>
            <w:pPr>
              <w:pStyle w:val="Compact"/>
              <w:jc w:val="right"/>
            </w:pPr>
            <w:r>
              <w:t xml:space="preserve">4.5</w:t>
            </w:r>
          </w:p>
        </w:tc>
        <w:tc>
          <w:tcPr/>
          <w:p>
            <w:pPr>
              <w:pStyle w:val="Compact"/>
              <w:jc w:val="right"/>
            </w:pPr>
            <w:r>
              <w:t xml:space="preserve">$985</w:t>
            </w:r>
          </w:p>
        </w:tc>
        <w:tc>
          <w:tcPr/>
          <w:p>
            <w:pPr>
              <w:pStyle w:val="Compact"/>
              <w:jc w:val="right"/>
            </w:pPr>
            <w:r>
              <w:t xml:space="preserve">$4,432.50</w:t>
            </w:r>
          </w:p>
        </w:tc>
        <w:tc>
          <w:tcPr/>
          <w:p>
            <w:pPr>
              <w:pStyle w:val="Compact"/>
              <w:jc w:val="right"/>
            </w:pPr>
            <w:r>
              <w:t xml:space="preserve">$1,108.13</w:t>
            </w:r>
          </w:p>
        </w:tc>
      </w:tr>
      <w:tr>
        <w:tc>
          <w:tcPr/>
          <w:p>
            <w:pPr>
              <w:pStyle w:val="Compact"/>
              <w:jc w:val="left"/>
            </w:pPr>
            <w:r>
              <w:t xml:space="preserve">11</w:t>
            </w:r>
          </w:p>
        </w:tc>
        <w:tc>
          <w:tcPr/>
          <w:p>
            <w:pPr>
              <w:pStyle w:val="Compact"/>
              <w:jc w:val="left"/>
            </w:pPr>
            <w:r>
              <w:t xml:space="preserve">05/05</w:t>
            </w:r>
          </w:p>
        </w:tc>
        <w:tc>
          <w:tcPr/>
          <w:p>
            <w:pPr>
              <w:pStyle w:val="Compact"/>
              <w:jc w:val="left"/>
            </w:pPr>
            <w:r>
              <w:t xml:space="preserve">Pettersson</w:t>
            </w:r>
          </w:p>
        </w:tc>
        <w:tc>
          <w:tcPr/>
          <w:p>
            <w:pPr>
              <w:pStyle w:val="Compact"/>
              <w:jc w:val="right"/>
            </w:pPr>
            <w:r>
              <w:t xml:space="preserve">3.0</w:t>
            </w:r>
          </w:p>
        </w:tc>
        <w:tc>
          <w:tcPr/>
          <w:p>
            <w:pPr>
              <w:pStyle w:val="Compact"/>
              <w:jc w:val="right"/>
            </w:pPr>
            <w:r>
              <w:t xml:space="preserve">$475</w:t>
            </w:r>
          </w:p>
        </w:tc>
        <w:tc>
          <w:tcPr/>
          <w:p>
            <w:pPr>
              <w:pStyle w:val="Compact"/>
              <w:jc w:val="right"/>
            </w:pPr>
            <w:r>
              <w:t xml:space="preserve">$1,425.00</w:t>
            </w:r>
          </w:p>
        </w:tc>
        <w:tc>
          <w:tcPr/>
          <w:p>
            <w:pPr>
              <w:pStyle w:val="Compact"/>
              <w:jc w:val="right"/>
            </w:pPr>
            <w:r>
              <w:t xml:space="preserve">$356.25</w:t>
            </w:r>
          </w:p>
        </w:tc>
      </w:tr>
      <w:tr>
        <w:tc>
          <w:tcPr/>
          <w:p>
            <w:pPr>
              <w:pStyle w:val="Compact"/>
              <w:jc w:val="left"/>
            </w:pPr>
            <w:r>
              <w:t xml:space="preserve">12</w:t>
            </w:r>
          </w:p>
        </w:tc>
        <w:tc>
          <w:tcPr/>
          <w:p>
            <w:pPr>
              <w:pStyle w:val="Compact"/>
              <w:jc w:val="left"/>
            </w:pPr>
            <w:r>
              <w:t xml:space="preserve">05/05</w:t>
            </w:r>
          </w:p>
        </w:tc>
        <w:tc>
          <w:tcPr/>
          <w:p>
            <w:pPr>
              <w:pStyle w:val="Compact"/>
              <w:jc w:val="left"/>
            </w:pPr>
            <w:r>
              <w:t xml:space="preserve">Cho</w:t>
            </w:r>
          </w:p>
        </w:tc>
        <w:tc>
          <w:tcPr/>
          <w:p>
            <w:pPr>
              <w:pStyle w:val="Compact"/>
              <w:jc w:val="right"/>
            </w:pPr>
            <w:r>
              <w:t xml:space="preserve">4.5</w:t>
            </w:r>
          </w:p>
        </w:tc>
        <w:tc>
          <w:tcPr/>
          <w:p>
            <w:pPr>
              <w:pStyle w:val="Compact"/>
              <w:jc w:val="right"/>
            </w:pPr>
            <w:r>
              <w:t xml:space="preserve">$625</w:t>
            </w:r>
          </w:p>
        </w:tc>
        <w:tc>
          <w:tcPr/>
          <w:p>
            <w:pPr>
              <w:pStyle w:val="Compact"/>
              <w:jc w:val="right"/>
            </w:pPr>
            <w:r>
              <w:t xml:space="preserve">$2,812.50</w:t>
            </w:r>
          </w:p>
        </w:tc>
        <w:tc>
          <w:tcPr/>
          <w:p>
            <w:pPr>
              <w:pStyle w:val="Compact"/>
              <w:jc w:val="right"/>
            </w:pPr>
            <w:r>
              <w:t xml:space="preserve">$703.13</w:t>
            </w:r>
          </w:p>
        </w:tc>
      </w:tr>
      <w:tr>
        <w:tc>
          <w:tcPr/>
          <w:p>
            <w:pPr>
              <w:pStyle w:val="Compact"/>
              <w:jc w:val="left"/>
            </w:pPr>
            <w:r>
              <w:t xml:space="preserve">16</w:t>
            </w:r>
          </w:p>
        </w:tc>
        <w:tc>
          <w:tcPr/>
          <w:p>
            <w:pPr>
              <w:pStyle w:val="Compact"/>
              <w:jc w:val="left"/>
            </w:pPr>
            <w:r>
              <w:t xml:space="preserve">05/06</w:t>
            </w:r>
          </w:p>
        </w:tc>
        <w:tc>
          <w:tcPr/>
          <w:p>
            <w:pPr>
              <w:pStyle w:val="Compact"/>
              <w:jc w:val="left"/>
            </w:pPr>
            <w:r>
              <w:t xml:space="preserve">Cho</w:t>
            </w:r>
          </w:p>
        </w:tc>
        <w:tc>
          <w:tcPr/>
          <w:p>
            <w:pPr>
              <w:pStyle w:val="Compact"/>
              <w:jc w:val="right"/>
            </w:pPr>
            <w:r>
              <w:t xml:space="preserve">3.5</w:t>
            </w:r>
          </w:p>
        </w:tc>
        <w:tc>
          <w:tcPr/>
          <w:p>
            <w:pPr>
              <w:pStyle w:val="Compact"/>
              <w:jc w:val="right"/>
            </w:pPr>
            <w:r>
              <w:t xml:space="preserve">$625</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17</w:t>
            </w:r>
          </w:p>
        </w:tc>
        <w:tc>
          <w:tcPr/>
          <w:p>
            <w:pPr>
              <w:pStyle w:val="Compact"/>
              <w:jc w:val="left"/>
            </w:pPr>
            <w:r>
              <w:t xml:space="preserve">05/06</w:t>
            </w:r>
          </w:p>
        </w:tc>
        <w:tc>
          <w:tcPr/>
          <w:p>
            <w:pPr>
              <w:pStyle w:val="Compact"/>
              <w:jc w:val="left"/>
            </w:pPr>
            <w:r>
              <w:t xml:space="preserve">Webb</w:t>
            </w:r>
          </w:p>
        </w:tc>
        <w:tc>
          <w:tcPr/>
          <w:p>
            <w:pPr>
              <w:pStyle w:val="Compact"/>
              <w:jc w:val="right"/>
            </w:pPr>
            <w:r>
              <w:t xml:space="preserve">2.5</w:t>
            </w:r>
          </w:p>
        </w:tc>
        <w:tc>
          <w:tcPr/>
          <w:p>
            <w:pPr>
              <w:pStyle w:val="Compact"/>
              <w:jc w:val="right"/>
            </w:pPr>
            <w:r>
              <w:t xml:space="preserve">$375</w:t>
            </w:r>
          </w:p>
        </w:tc>
        <w:tc>
          <w:tcPr/>
          <w:p>
            <w:pPr>
              <w:pStyle w:val="Compact"/>
              <w:jc w:val="right"/>
            </w:pPr>
            <w:r>
              <w:t xml:space="preserve">$937.50</w:t>
            </w:r>
          </w:p>
        </w:tc>
        <w:tc>
          <w:tcPr/>
          <w:p>
            <w:pPr>
              <w:pStyle w:val="Compact"/>
              <w:jc w:val="right"/>
            </w:pPr>
            <w:r>
              <w:t xml:space="preserve">$234.38</w:t>
            </w:r>
          </w:p>
        </w:tc>
      </w:tr>
      <w:tr>
        <w:tc>
          <w:tcPr/>
          <w:p>
            <w:pPr>
              <w:pStyle w:val="Compact"/>
              <w:jc w:val="left"/>
            </w:pPr>
            <w:r>
              <w:t xml:space="preserve">19</w:t>
            </w:r>
          </w:p>
        </w:tc>
        <w:tc>
          <w:tcPr/>
          <w:p>
            <w:pPr>
              <w:pStyle w:val="Compact"/>
              <w:jc w:val="left"/>
            </w:pPr>
            <w:r>
              <w:t xml:space="preserve">05/07</w:t>
            </w:r>
          </w:p>
        </w:tc>
        <w:tc>
          <w:tcPr/>
          <w:p>
            <w:pPr>
              <w:pStyle w:val="Compact"/>
              <w:jc w:val="left"/>
            </w:pPr>
            <w:r>
              <w:t xml:space="preserve">Pettersson</w:t>
            </w:r>
          </w:p>
        </w:tc>
        <w:tc>
          <w:tcPr/>
          <w:p>
            <w:pPr>
              <w:pStyle w:val="Compact"/>
              <w:jc w:val="right"/>
            </w:pPr>
            <w:r>
              <w:t xml:space="preserve">4.5</w:t>
            </w:r>
          </w:p>
        </w:tc>
        <w:tc>
          <w:tcPr/>
          <w:p>
            <w:pPr>
              <w:pStyle w:val="Compact"/>
              <w:jc w:val="right"/>
            </w:pPr>
            <w:r>
              <w:t xml:space="preserve">$475</w:t>
            </w:r>
          </w:p>
        </w:tc>
        <w:tc>
          <w:tcPr/>
          <w:p>
            <w:pPr>
              <w:pStyle w:val="Compact"/>
              <w:jc w:val="right"/>
            </w:pPr>
            <w:r>
              <w:t xml:space="preserve">$2,137.50</w:t>
            </w:r>
          </w:p>
        </w:tc>
        <w:tc>
          <w:tcPr/>
          <w:p>
            <w:pPr>
              <w:pStyle w:val="Compact"/>
              <w:jc w:val="right"/>
            </w:pPr>
            <w:r>
              <w:t xml:space="preserve">$534.38</w:t>
            </w:r>
          </w:p>
        </w:tc>
      </w:tr>
      <w:tr>
        <w:tc>
          <w:tcPr/>
          <w:p>
            <w:pPr>
              <w:pStyle w:val="Compact"/>
              <w:jc w:val="left"/>
            </w:pPr>
            <w:r>
              <w:t xml:space="preserve">20</w:t>
            </w:r>
          </w:p>
        </w:tc>
        <w:tc>
          <w:tcPr/>
          <w:p>
            <w:pPr>
              <w:pStyle w:val="Compact"/>
              <w:jc w:val="left"/>
            </w:pPr>
            <w:r>
              <w:t xml:space="preserve">05/07</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29</w:t>
            </w:r>
          </w:p>
        </w:tc>
        <w:tc>
          <w:tcPr/>
          <w:p>
            <w:pPr>
              <w:pStyle w:val="Compact"/>
              <w:jc w:val="left"/>
            </w:pPr>
            <w:r>
              <w:t xml:space="preserve">05/09</w:t>
            </w:r>
          </w:p>
        </w:tc>
        <w:tc>
          <w:tcPr/>
          <w:p>
            <w:pPr>
              <w:pStyle w:val="Compact"/>
              <w:jc w:val="left"/>
            </w:pPr>
            <w:r>
              <w:t xml:space="preserve">Pettersson</w:t>
            </w:r>
          </w:p>
        </w:tc>
        <w:tc>
          <w:tcPr/>
          <w:p>
            <w:pPr>
              <w:pStyle w:val="Compact"/>
              <w:jc w:val="right"/>
            </w:pPr>
            <w:r>
              <w:t xml:space="preserve">4.0</w:t>
            </w:r>
          </w:p>
        </w:tc>
        <w:tc>
          <w:tcPr/>
          <w:p>
            <w:pPr>
              <w:pStyle w:val="Compact"/>
              <w:jc w:val="right"/>
            </w:pPr>
            <w:r>
              <w:t xml:space="preserve">$475</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30</w:t>
            </w:r>
          </w:p>
        </w:tc>
        <w:tc>
          <w:tcPr/>
          <w:p>
            <w:pPr>
              <w:pStyle w:val="Compact"/>
              <w:jc w:val="left"/>
            </w:pPr>
            <w:r>
              <w:t xml:space="preserve">05/09</w:t>
            </w:r>
          </w:p>
        </w:tc>
        <w:tc>
          <w:tcPr/>
          <w:p>
            <w:pPr>
              <w:pStyle w:val="Compact"/>
              <w:jc w:val="left"/>
            </w:pPr>
            <w:r>
              <w:t xml:space="preserve">Cho</w:t>
            </w:r>
          </w:p>
        </w:tc>
        <w:tc>
          <w:tcPr/>
          <w:p>
            <w:pPr>
              <w:pStyle w:val="Compact"/>
              <w:jc w:val="right"/>
            </w:pPr>
            <w:r>
              <w:t xml:space="preserve">3.5</w:t>
            </w:r>
          </w:p>
        </w:tc>
        <w:tc>
          <w:tcPr/>
          <w:p>
            <w:pPr>
              <w:pStyle w:val="Compact"/>
              <w:jc w:val="right"/>
            </w:pPr>
            <w:r>
              <w:t xml:space="preserve">$625</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32</w:t>
            </w:r>
          </w:p>
        </w:tc>
        <w:tc>
          <w:tcPr/>
          <w:p>
            <w:pPr>
              <w:pStyle w:val="Compact"/>
              <w:jc w:val="left"/>
            </w:pPr>
            <w:r>
              <w:t xml:space="preserve">05/12</w:t>
            </w:r>
          </w:p>
        </w:tc>
        <w:tc>
          <w:tcPr/>
          <w:p>
            <w:pPr>
              <w:pStyle w:val="Compact"/>
              <w:jc w:val="left"/>
            </w:pPr>
            <w:r>
              <w:t xml:space="preserve">Hargrove</w:t>
            </w:r>
          </w:p>
        </w:tc>
        <w:tc>
          <w:tcPr/>
          <w:p>
            <w:pPr>
              <w:pStyle w:val="Compact"/>
              <w:jc w:val="right"/>
            </w:pPr>
            <w:r>
              <w:t xml:space="preserve">2.5</w:t>
            </w:r>
          </w:p>
        </w:tc>
        <w:tc>
          <w:tcPr/>
          <w:p>
            <w:pPr>
              <w:pStyle w:val="Compact"/>
              <w:jc w:val="right"/>
            </w:pPr>
            <w:r>
              <w:t xml:space="preserve">$985</w:t>
            </w:r>
          </w:p>
        </w:tc>
        <w:tc>
          <w:tcPr/>
          <w:p>
            <w:pPr>
              <w:pStyle w:val="Compact"/>
              <w:jc w:val="right"/>
            </w:pPr>
            <w:r>
              <w:t xml:space="preserve">$2,462.50</w:t>
            </w:r>
          </w:p>
        </w:tc>
        <w:tc>
          <w:tcPr/>
          <w:p>
            <w:pPr>
              <w:pStyle w:val="Compact"/>
              <w:jc w:val="right"/>
            </w:pPr>
            <w:r>
              <w:t xml:space="preserve">$615.63</w:t>
            </w:r>
          </w:p>
        </w:tc>
      </w:tr>
      <w:tr>
        <w:tc>
          <w:tcPr/>
          <w:p>
            <w:pPr>
              <w:pStyle w:val="Compact"/>
              <w:jc w:val="left"/>
            </w:pPr>
            <w:r>
              <w:t xml:space="preserve">34</w:t>
            </w:r>
          </w:p>
        </w:tc>
        <w:tc>
          <w:tcPr/>
          <w:p>
            <w:pPr>
              <w:pStyle w:val="Compact"/>
              <w:jc w:val="left"/>
            </w:pPr>
            <w:r>
              <w:t xml:space="preserve">05/12</w:t>
            </w:r>
          </w:p>
        </w:tc>
        <w:tc>
          <w:tcPr/>
          <w:p>
            <w:pPr>
              <w:pStyle w:val="Compact"/>
              <w:jc w:val="left"/>
            </w:pPr>
            <w:r>
              <w:t xml:space="preserve">Pettersson</w:t>
            </w:r>
          </w:p>
        </w:tc>
        <w:tc>
          <w:tcPr/>
          <w:p>
            <w:pPr>
              <w:pStyle w:val="Compact"/>
              <w:jc w:val="right"/>
            </w:pPr>
            <w:r>
              <w:t xml:space="preserve">3.5</w:t>
            </w:r>
          </w:p>
        </w:tc>
        <w:tc>
          <w:tcPr/>
          <w:p>
            <w:pPr>
              <w:pStyle w:val="Compact"/>
              <w:jc w:val="right"/>
            </w:pPr>
            <w:r>
              <w:t xml:space="preserve">$475</w:t>
            </w:r>
          </w:p>
        </w:tc>
        <w:tc>
          <w:tcPr/>
          <w:p>
            <w:pPr>
              <w:pStyle w:val="Compact"/>
              <w:jc w:val="right"/>
            </w:pPr>
            <w:r>
              <w:t xml:space="preserve">$1,662.50</w:t>
            </w:r>
          </w:p>
        </w:tc>
        <w:tc>
          <w:tcPr/>
          <w:p>
            <w:pPr>
              <w:pStyle w:val="Compact"/>
              <w:jc w:val="right"/>
            </w:pPr>
            <w:r>
              <w:t xml:space="preserve">$415.63</w:t>
            </w:r>
          </w:p>
        </w:tc>
      </w:tr>
      <w:tr>
        <w:tc>
          <w:tcPr/>
          <w:p>
            <w:pPr>
              <w:pStyle w:val="Compact"/>
              <w:jc w:val="left"/>
            </w:pPr>
            <w:r>
              <w:t xml:space="preserve">35</w:t>
            </w:r>
          </w:p>
        </w:tc>
        <w:tc>
          <w:tcPr/>
          <w:p>
            <w:pPr>
              <w:pStyle w:val="Compact"/>
              <w:jc w:val="left"/>
            </w:pPr>
            <w:r>
              <w:t xml:space="preserve">05/12</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39</w:t>
            </w:r>
          </w:p>
        </w:tc>
        <w:tc>
          <w:tcPr/>
          <w:p>
            <w:pPr>
              <w:pStyle w:val="Compact"/>
              <w:jc w:val="left"/>
            </w:pPr>
            <w:r>
              <w:t xml:space="preserve">05/13</w:t>
            </w:r>
          </w:p>
        </w:tc>
        <w:tc>
          <w:tcPr/>
          <w:p>
            <w:pPr>
              <w:pStyle w:val="Compact"/>
              <w:jc w:val="left"/>
            </w:pPr>
            <w:r>
              <w:t xml:space="preserve">Pettersson</w:t>
            </w:r>
          </w:p>
        </w:tc>
        <w:tc>
          <w:tcPr/>
          <w:p>
            <w:pPr>
              <w:pStyle w:val="Compact"/>
              <w:jc w:val="right"/>
            </w:pPr>
            <w:r>
              <w:t xml:space="preserve">4.5</w:t>
            </w:r>
          </w:p>
        </w:tc>
        <w:tc>
          <w:tcPr/>
          <w:p>
            <w:pPr>
              <w:pStyle w:val="Compact"/>
              <w:jc w:val="right"/>
            </w:pPr>
            <w:r>
              <w:t xml:space="preserve">$475</w:t>
            </w:r>
          </w:p>
        </w:tc>
        <w:tc>
          <w:tcPr/>
          <w:p>
            <w:pPr>
              <w:pStyle w:val="Compact"/>
              <w:jc w:val="right"/>
            </w:pPr>
            <w:r>
              <w:t xml:space="preserve">$2,137.50</w:t>
            </w:r>
          </w:p>
        </w:tc>
        <w:tc>
          <w:tcPr/>
          <w:p>
            <w:pPr>
              <w:pStyle w:val="Compact"/>
              <w:jc w:val="right"/>
            </w:pPr>
            <w:r>
              <w:t xml:space="preserve">$534.38</w:t>
            </w:r>
          </w:p>
        </w:tc>
      </w:tr>
      <w:tr>
        <w:tc>
          <w:tcPr/>
          <w:p>
            <w:pPr>
              <w:pStyle w:val="Compact"/>
              <w:jc w:val="left"/>
            </w:pPr>
            <w:r>
              <w:t xml:space="preserve">40</w:t>
            </w:r>
          </w:p>
        </w:tc>
        <w:tc>
          <w:tcPr/>
          <w:p>
            <w:pPr>
              <w:pStyle w:val="Compact"/>
              <w:jc w:val="left"/>
            </w:pPr>
            <w:r>
              <w:t xml:space="preserve">05/13</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41</w:t>
            </w:r>
          </w:p>
        </w:tc>
        <w:tc>
          <w:tcPr/>
          <w:p>
            <w:pPr>
              <w:pStyle w:val="Compact"/>
              <w:jc w:val="left"/>
            </w:pPr>
            <w:r>
              <w:t xml:space="preserve">05/13</w:t>
            </w:r>
          </w:p>
        </w:tc>
        <w:tc>
          <w:tcPr/>
          <w:p>
            <w:pPr>
              <w:pStyle w:val="Compact"/>
              <w:jc w:val="left"/>
            </w:pPr>
            <w:r>
              <w:t xml:space="preserve">Webb</w:t>
            </w:r>
          </w:p>
        </w:tc>
        <w:tc>
          <w:tcPr/>
          <w:p>
            <w:pPr>
              <w:pStyle w:val="Compact"/>
              <w:jc w:val="right"/>
            </w:pPr>
            <w:r>
              <w:t xml:space="preserve">3.0</w:t>
            </w:r>
          </w:p>
        </w:tc>
        <w:tc>
          <w:tcPr/>
          <w:p>
            <w:pPr>
              <w:pStyle w:val="Compact"/>
              <w:jc w:val="right"/>
            </w:pPr>
            <w:r>
              <w:t xml:space="preserve">$375</w:t>
            </w:r>
          </w:p>
        </w:tc>
        <w:tc>
          <w:tcPr/>
          <w:p>
            <w:pPr>
              <w:pStyle w:val="Compact"/>
              <w:jc w:val="right"/>
            </w:pPr>
            <w:r>
              <w:t xml:space="preserve">$1,125.00</w:t>
            </w:r>
          </w:p>
        </w:tc>
        <w:tc>
          <w:tcPr/>
          <w:p>
            <w:pPr>
              <w:pStyle w:val="Compact"/>
              <w:jc w:val="right"/>
            </w:pPr>
            <w:r>
              <w:t xml:space="preserve">$281.25</w:t>
            </w:r>
          </w:p>
        </w:tc>
      </w:tr>
      <w:tr>
        <w:tc>
          <w:tcPr/>
          <w:p>
            <w:pPr>
              <w:pStyle w:val="Compact"/>
              <w:jc w:val="left"/>
            </w:pPr>
            <w:r>
              <w:t xml:space="preserve">45</w:t>
            </w:r>
          </w:p>
        </w:tc>
        <w:tc>
          <w:tcPr/>
          <w:p>
            <w:pPr>
              <w:pStyle w:val="Compact"/>
              <w:jc w:val="left"/>
            </w:pPr>
            <w:r>
              <w:t xml:space="preserve">05/14</w:t>
            </w:r>
          </w:p>
        </w:tc>
        <w:tc>
          <w:tcPr/>
          <w:p>
            <w:pPr>
              <w:pStyle w:val="Compact"/>
              <w:jc w:val="left"/>
            </w:pPr>
            <w:r>
              <w:t xml:space="preserve">Pettersson</w:t>
            </w:r>
          </w:p>
        </w:tc>
        <w:tc>
          <w:tcPr/>
          <w:p>
            <w:pPr>
              <w:pStyle w:val="Compact"/>
              <w:jc w:val="right"/>
            </w:pPr>
            <w:r>
              <w:t xml:space="preserve">4.0</w:t>
            </w:r>
          </w:p>
        </w:tc>
        <w:tc>
          <w:tcPr/>
          <w:p>
            <w:pPr>
              <w:pStyle w:val="Compact"/>
              <w:jc w:val="right"/>
            </w:pPr>
            <w:r>
              <w:t xml:space="preserve">$475</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46</w:t>
            </w:r>
          </w:p>
        </w:tc>
        <w:tc>
          <w:tcPr/>
          <w:p>
            <w:pPr>
              <w:pStyle w:val="Compact"/>
              <w:jc w:val="left"/>
            </w:pPr>
            <w:r>
              <w:t xml:space="preserve">05/14</w:t>
            </w:r>
          </w:p>
        </w:tc>
        <w:tc>
          <w:tcPr/>
          <w:p>
            <w:pPr>
              <w:pStyle w:val="Compact"/>
              <w:jc w:val="left"/>
            </w:pPr>
            <w:r>
              <w:t xml:space="preserve">Cho</w:t>
            </w:r>
          </w:p>
        </w:tc>
        <w:tc>
          <w:tcPr/>
          <w:p>
            <w:pPr>
              <w:pStyle w:val="Compact"/>
              <w:jc w:val="right"/>
            </w:pPr>
            <w:r>
              <w:t xml:space="preserve">3.5</w:t>
            </w:r>
          </w:p>
        </w:tc>
        <w:tc>
          <w:tcPr/>
          <w:p>
            <w:pPr>
              <w:pStyle w:val="Compact"/>
              <w:jc w:val="right"/>
            </w:pPr>
            <w:r>
              <w:t xml:space="preserve">$625</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51</w:t>
            </w:r>
          </w:p>
        </w:tc>
        <w:tc>
          <w:tcPr/>
          <w:p>
            <w:pPr>
              <w:pStyle w:val="Compact"/>
              <w:jc w:val="left"/>
            </w:pPr>
            <w:r>
              <w:t xml:space="preserve">05/15</w:t>
            </w:r>
          </w:p>
        </w:tc>
        <w:tc>
          <w:tcPr/>
          <w:p>
            <w:pPr>
              <w:pStyle w:val="Compact"/>
              <w:jc w:val="left"/>
            </w:pPr>
            <w:r>
              <w:t xml:space="preserve">Pettersson</w:t>
            </w:r>
          </w:p>
        </w:tc>
        <w:tc>
          <w:tcPr/>
          <w:p>
            <w:pPr>
              <w:pStyle w:val="Compact"/>
              <w:jc w:val="right"/>
            </w:pPr>
            <w:r>
              <w:t xml:space="preserve">4.0</w:t>
            </w:r>
          </w:p>
        </w:tc>
        <w:tc>
          <w:tcPr/>
          <w:p>
            <w:pPr>
              <w:pStyle w:val="Compact"/>
              <w:jc w:val="right"/>
            </w:pPr>
            <w:r>
              <w:t xml:space="preserve">$475</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52</w:t>
            </w:r>
          </w:p>
        </w:tc>
        <w:tc>
          <w:tcPr/>
          <w:p>
            <w:pPr>
              <w:pStyle w:val="Compact"/>
              <w:jc w:val="left"/>
            </w:pPr>
            <w:r>
              <w:t xml:space="preserve">05/15</w:t>
            </w:r>
          </w:p>
        </w:tc>
        <w:tc>
          <w:tcPr/>
          <w:p>
            <w:pPr>
              <w:pStyle w:val="Compact"/>
              <w:jc w:val="left"/>
            </w:pPr>
            <w:r>
              <w:t xml:space="preserve">Cho</w:t>
            </w:r>
          </w:p>
        </w:tc>
        <w:tc>
          <w:tcPr/>
          <w:p>
            <w:pPr>
              <w:pStyle w:val="Compact"/>
              <w:jc w:val="right"/>
            </w:pPr>
            <w:r>
              <w:t xml:space="preserve">4.5</w:t>
            </w:r>
          </w:p>
        </w:tc>
        <w:tc>
          <w:tcPr/>
          <w:p>
            <w:pPr>
              <w:pStyle w:val="Compact"/>
              <w:jc w:val="right"/>
            </w:pPr>
            <w:r>
              <w:t xml:space="preserve">$625</w:t>
            </w:r>
          </w:p>
        </w:tc>
        <w:tc>
          <w:tcPr/>
          <w:p>
            <w:pPr>
              <w:pStyle w:val="Compact"/>
              <w:jc w:val="right"/>
            </w:pPr>
            <w:r>
              <w:t xml:space="preserve">$2,812.50</w:t>
            </w:r>
          </w:p>
        </w:tc>
        <w:tc>
          <w:tcPr/>
          <w:p>
            <w:pPr>
              <w:pStyle w:val="Compact"/>
              <w:jc w:val="right"/>
            </w:pPr>
            <w:r>
              <w:t xml:space="preserve">$703.13</w:t>
            </w:r>
          </w:p>
        </w:tc>
      </w:tr>
      <w:tr>
        <w:tc>
          <w:tcPr/>
          <w:p>
            <w:pPr>
              <w:pStyle w:val="Compact"/>
              <w:jc w:val="left"/>
            </w:pPr>
            <w:r>
              <w:t xml:space="preserve">57</w:t>
            </w:r>
          </w:p>
        </w:tc>
        <w:tc>
          <w:tcPr/>
          <w:p>
            <w:pPr>
              <w:pStyle w:val="Compact"/>
              <w:jc w:val="left"/>
            </w:pPr>
            <w:r>
              <w:t xml:space="preserve">05/16</w:t>
            </w:r>
          </w:p>
        </w:tc>
        <w:tc>
          <w:tcPr/>
          <w:p>
            <w:pPr>
              <w:pStyle w:val="Compact"/>
              <w:jc w:val="left"/>
            </w:pPr>
            <w:r>
              <w:t xml:space="preserve">Cho</w:t>
            </w:r>
          </w:p>
        </w:tc>
        <w:tc>
          <w:tcPr/>
          <w:p>
            <w:pPr>
              <w:pStyle w:val="Compact"/>
              <w:jc w:val="right"/>
            </w:pPr>
            <w:r>
              <w:t xml:space="preserve">3.5</w:t>
            </w:r>
          </w:p>
        </w:tc>
        <w:tc>
          <w:tcPr/>
          <w:p>
            <w:pPr>
              <w:pStyle w:val="Compact"/>
              <w:jc w:val="right"/>
            </w:pPr>
            <w:r>
              <w:t xml:space="preserve">$625</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58</w:t>
            </w:r>
          </w:p>
        </w:tc>
        <w:tc>
          <w:tcPr/>
          <w:p>
            <w:pPr>
              <w:pStyle w:val="Compact"/>
              <w:jc w:val="left"/>
            </w:pPr>
            <w:r>
              <w:t xml:space="preserve">05/16</w:t>
            </w:r>
          </w:p>
        </w:tc>
        <w:tc>
          <w:tcPr/>
          <w:p>
            <w:pPr>
              <w:pStyle w:val="Compact"/>
              <w:jc w:val="left"/>
            </w:pPr>
            <w:r>
              <w:t xml:space="preserve">Webb</w:t>
            </w:r>
          </w:p>
        </w:tc>
        <w:tc>
          <w:tcPr/>
          <w:p>
            <w:pPr>
              <w:pStyle w:val="Compact"/>
              <w:jc w:val="right"/>
            </w:pPr>
            <w:r>
              <w:t xml:space="preserve">2.5</w:t>
            </w:r>
          </w:p>
        </w:tc>
        <w:tc>
          <w:tcPr/>
          <w:p>
            <w:pPr>
              <w:pStyle w:val="Compact"/>
              <w:jc w:val="right"/>
            </w:pPr>
            <w:r>
              <w:t xml:space="preserve">$375</w:t>
            </w:r>
          </w:p>
        </w:tc>
        <w:tc>
          <w:tcPr/>
          <w:p>
            <w:pPr>
              <w:pStyle w:val="Compact"/>
              <w:jc w:val="right"/>
            </w:pPr>
            <w:r>
              <w:t xml:space="preserve">$937.50</w:t>
            </w:r>
          </w:p>
        </w:tc>
        <w:tc>
          <w:tcPr/>
          <w:p>
            <w:pPr>
              <w:pStyle w:val="Compact"/>
              <w:jc w:val="right"/>
            </w:pPr>
            <w:r>
              <w:t xml:space="preserve">$234.38</w:t>
            </w:r>
          </w:p>
        </w:tc>
      </w:tr>
      <w:tr>
        <w:tc>
          <w:tcPr/>
          <w:p>
            <w:pPr>
              <w:pStyle w:val="Compact"/>
              <w:jc w:val="left"/>
            </w:pPr>
            <w:r>
              <w:t xml:space="preserve">60</w:t>
            </w:r>
          </w:p>
        </w:tc>
        <w:tc>
          <w:tcPr/>
          <w:p>
            <w:pPr>
              <w:pStyle w:val="Compact"/>
              <w:jc w:val="left"/>
            </w:pPr>
            <w:r>
              <w:t xml:space="preserve">05/19</w:t>
            </w:r>
          </w:p>
        </w:tc>
        <w:tc>
          <w:tcPr/>
          <w:p>
            <w:pPr>
              <w:pStyle w:val="Compact"/>
              <w:jc w:val="left"/>
            </w:pPr>
            <w:r>
              <w:t xml:space="preserve">Hargrove</w:t>
            </w:r>
          </w:p>
        </w:tc>
        <w:tc>
          <w:tcPr/>
          <w:p>
            <w:pPr>
              <w:pStyle w:val="Compact"/>
              <w:jc w:val="right"/>
            </w:pPr>
            <w:r>
              <w:t xml:space="preserve">4.0</w:t>
            </w:r>
          </w:p>
        </w:tc>
        <w:tc>
          <w:tcPr/>
          <w:p>
            <w:pPr>
              <w:pStyle w:val="Compact"/>
              <w:jc w:val="right"/>
            </w:pPr>
            <w:r>
              <w:t xml:space="preserve">$985</w:t>
            </w:r>
          </w:p>
        </w:tc>
        <w:tc>
          <w:tcPr/>
          <w:p>
            <w:pPr>
              <w:pStyle w:val="Compact"/>
              <w:jc w:val="right"/>
            </w:pPr>
            <w:r>
              <w:t xml:space="preserve">$3,940.00</w:t>
            </w:r>
          </w:p>
        </w:tc>
        <w:tc>
          <w:tcPr/>
          <w:p>
            <w:pPr>
              <w:pStyle w:val="Compact"/>
              <w:jc w:val="right"/>
            </w:pPr>
            <w:r>
              <w:t xml:space="preserve">$985.00</w:t>
            </w:r>
          </w:p>
        </w:tc>
      </w:tr>
      <w:tr>
        <w:tc>
          <w:tcPr/>
          <w:p>
            <w:pPr>
              <w:pStyle w:val="Compact"/>
              <w:jc w:val="left"/>
            </w:pPr>
            <w:r>
              <w:t xml:space="preserve">61</w:t>
            </w:r>
          </w:p>
        </w:tc>
        <w:tc>
          <w:tcPr/>
          <w:p>
            <w:pPr>
              <w:pStyle w:val="Compact"/>
              <w:jc w:val="left"/>
            </w:pPr>
            <w:r>
              <w:t xml:space="preserve">05/19</w:t>
            </w:r>
          </w:p>
        </w:tc>
        <w:tc>
          <w:tcPr/>
          <w:p>
            <w:pPr>
              <w:pStyle w:val="Compact"/>
              <w:jc w:val="left"/>
            </w:pPr>
            <w:r>
              <w:t xml:space="preserve">Cho</w:t>
            </w:r>
          </w:p>
        </w:tc>
        <w:tc>
          <w:tcPr/>
          <w:p>
            <w:pPr>
              <w:pStyle w:val="Compact"/>
              <w:jc w:val="right"/>
            </w:pPr>
            <w:r>
              <w:t xml:space="preserve">6.5</w:t>
            </w:r>
          </w:p>
        </w:tc>
        <w:tc>
          <w:tcPr/>
          <w:p>
            <w:pPr>
              <w:pStyle w:val="Compact"/>
              <w:jc w:val="right"/>
            </w:pPr>
            <w:r>
              <w:t xml:space="preserve">$625</w:t>
            </w:r>
          </w:p>
        </w:tc>
        <w:tc>
          <w:tcPr/>
          <w:p>
            <w:pPr>
              <w:pStyle w:val="Compact"/>
              <w:jc w:val="right"/>
            </w:pPr>
            <w:r>
              <w:t xml:space="preserve">$4,062.50</w:t>
            </w:r>
          </w:p>
        </w:tc>
        <w:tc>
          <w:tcPr/>
          <w:p>
            <w:pPr>
              <w:pStyle w:val="Compact"/>
              <w:jc w:val="right"/>
            </w:pPr>
            <w:r>
              <w:t xml:space="preserve">$1,015.63</w:t>
            </w:r>
          </w:p>
        </w:tc>
      </w:tr>
      <w:tr>
        <w:tc>
          <w:tcPr/>
          <w:p>
            <w:pPr>
              <w:pStyle w:val="Compact"/>
              <w:jc w:val="left"/>
            </w:pPr>
            <w:r>
              <w:t xml:space="preserve">68</w:t>
            </w:r>
          </w:p>
        </w:tc>
        <w:tc>
          <w:tcPr/>
          <w:p>
            <w:pPr>
              <w:pStyle w:val="Compact"/>
              <w:jc w:val="left"/>
            </w:pPr>
            <w:r>
              <w:t xml:space="preserve">05/20</w:t>
            </w:r>
          </w:p>
        </w:tc>
        <w:tc>
          <w:tcPr/>
          <w:p>
            <w:pPr>
              <w:pStyle w:val="Compact"/>
              <w:jc w:val="left"/>
            </w:pPr>
            <w:r>
              <w:t xml:space="preserve">Pettersson</w:t>
            </w:r>
          </w:p>
        </w:tc>
        <w:tc>
          <w:tcPr/>
          <w:p>
            <w:pPr>
              <w:pStyle w:val="Compact"/>
              <w:jc w:val="right"/>
            </w:pPr>
            <w:r>
              <w:t xml:space="preserve">4.5</w:t>
            </w:r>
          </w:p>
        </w:tc>
        <w:tc>
          <w:tcPr/>
          <w:p>
            <w:pPr>
              <w:pStyle w:val="Compact"/>
              <w:jc w:val="right"/>
            </w:pPr>
            <w:r>
              <w:t xml:space="preserve">$475</w:t>
            </w:r>
          </w:p>
        </w:tc>
        <w:tc>
          <w:tcPr/>
          <w:p>
            <w:pPr>
              <w:pStyle w:val="Compact"/>
              <w:jc w:val="right"/>
            </w:pPr>
            <w:r>
              <w:t xml:space="preserve">$2,137.50</w:t>
            </w:r>
          </w:p>
        </w:tc>
        <w:tc>
          <w:tcPr/>
          <w:p>
            <w:pPr>
              <w:pStyle w:val="Compact"/>
              <w:jc w:val="right"/>
            </w:pPr>
            <w:r>
              <w:t xml:space="preserve">$534.38</w:t>
            </w:r>
          </w:p>
        </w:tc>
      </w:tr>
      <w:tr>
        <w:tc>
          <w:tcPr/>
          <w:p>
            <w:pPr>
              <w:pStyle w:val="Compact"/>
              <w:jc w:val="left"/>
            </w:pPr>
            <w:r>
              <w:t xml:space="preserve">69</w:t>
            </w:r>
          </w:p>
        </w:tc>
        <w:tc>
          <w:tcPr/>
          <w:p>
            <w:pPr>
              <w:pStyle w:val="Compact"/>
              <w:jc w:val="left"/>
            </w:pPr>
            <w:r>
              <w:t xml:space="preserve">05/20</w:t>
            </w:r>
          </w:p>
        </w:tc>
        <w:tc>
          <w:tcPr/>
          <w:p>
            <w:pPr>
              <w:pStyle w:val="Compact"/>
              <w:jc w:val="left"/>
            </w:pPr>
            <w:r>
              <w:t xml:space="preserve">Cho</w:t>
            </w:r>
          </w:p>
        </w:tc>
        <w:tc>
          <w:tcPr/>
          <w:p>
            <w:pPr>
              <w:pStyle w:val="Compact"/>
              <w:jc w:val="right"/>
            </w:pPr>
            <w:r>
              <w:t xml:space="preserve">4.5</w:t>
            </w:r>
          </w:p>
        </w:tc>
        <w:tc>
          <w:tcPr/>
          <w:p>
            <w:pPr>
              <w:pStyle w:val="Compact"/>
              <w:jc w:val="right"/>
            </w:pPr>
            <w:r>
              <w:t xml:space="preserve">$625</w:t>
            </w:r>
          </w:p>
        </w:tc>
        <w:tc>
          <w:tcPr/>
          <w:p>
            <w:pPr>
              <w:pStyle w:val="Compact"/>
              <w:jc w:val="right"/>
            </w:pPr>
            <w:r>
              <w:t xml:space="preserve">$2,812.50</w:t>
            </w:r>
          </w:p>
        </w:tc>
        <w:tc>
          <w:tcPr/>
          <w:p>
            <w:pPr>
              <w:pStyle w:val="Compact"/>
              <w:jc w:val="right"/>
            </w:pPr>
            <w:r>
              <w:t xml:space="preserve">$703.13</w:t>
            </w:r>
          </w:p>
        </w:tc>
      </w:tr>
      <w:tr>
        <w:tc>
          <w:tcPr/>
          <w:p>
            <w:pPr>
              <w:pStyle w:val="Compact"/>
              <w:jc w:val="left"/>
            </w:pPr>
            <w:r>
              <w:t xml:space="preserve">70</w:t>
            </w:r>
          </w:p>
        </w:tc>
        <w:tc>
          <w:tcPr/>
          <w:p>
            <w:pPr>
              <w:pStyle w:val="Compact"/>
              <w:jc w:val="left"/>
            </w:pPr>
            <w:r>
              <w:t xml:space="preserve">05/21</w:t>
            </w:r>
          </w:p>
        </w:tc>
        <w:tc>
          <w:tcPr/>
          <w:p>
            <w:pPr>
              <w:pStyle w:val="Compact"/>
              <w:jc w:val="left"/>
            </w:pPr>
            <w:r>
              <w:t xml:space="preserve">Hargrove</w:t>
            </w:r>
          </w:p>
        </w:tc>
        <w:tc>
          <w:tcPr/>
          <w:p>
            <w:pPr>
              <w:pStyle w:val="Compact"/>
              <w:jc w:val="right"/>
            </w:pPr>
            <w:r>
              <w:t xml:space="preserve">2.5</w:t>
            </w:r>
          </w:p>
        </w:tc>
        <w:tc>
          <w:tcPr/>
          <w:p>
            <w:pPr>
              <w:pStyle w:val="Compact"/>
              <w:jc w:val="right"/>
            </w:pPr>
            <w:r>
              <w:t xml:space="preserve">$985</w:t>
            </w:r>
          </w:p>
        </w:tc>
        <w:tc>
          <w:tcPr/>
          <w:p>
            <w:pPr>
              <w:pStyle w:val="Compact"/>
              <w:jc w:val="right"/>
            </w:pPr>
            <w:r>
              <w:t xml:space="preserve">$2,462.50</w:t>
            </w:r>
          </w:p>
        </w:tc>
        <w:tc>
          <w:tcPr/>
          <w:p>
            <w:pPr>
              <w:pStyle w:val="Compact"/>
              <w:jc w:val="right"/>
            </w:pPr>
            <w:r>
              <w:t xml:space="preserve">$615.63</w:t>
            </w:r>
          </w:p>
        </w:tc>
      </w:tr>
      <w:tr>
        <w:tc>
          <w:tcPr/>
          <w:p>
            <w:pPr>
              <w:pStyle w:val="Compact"/>
              <w:jc w:val="left"/>
            </w:pPr>
            <w:r>
              <w:t xml:space="preserve">72</w:t>
            </w:r>
          </w:p>
        </w:tc>
        <w:tc>
          <w:tcPr/>
          <w:p>
            <w:pPr>
              <w:pStyle w:val="Compact"/>
              <w:jc w:val="left"/>
            </w:pPr>
            <w:r>
              <w:t xml:space="preserve">05/21</w:t>
            </w:r>
          </w:p>
        </w:tc>
        <w:tc>
          <w:tcPr/>
          <w:p>
            <w:pPr>
              <w:pStyle w:val="Compact"/>
              <w:jc w:val="left"/>
            </w:pPr>
            <w:r>
              <w:t xml:space="preserve">Pettersson</w:t>
            </w:r>
          </w:p>
        </w:tc>
        <w:tc>
          <w:tcPr/>
          <w:p>
            <w:pPr>
              <w:pStyle w:val="Compact"/>
              <w:jc w:val="right"/>
            </w:pPr>
            <w:r>
              <w:t xml:space="preserve">5.0</w:t>
            </w:r>
          </w:p>
        </w:tc>
        <w:tc>
          <w:tcPr/>
          <w:p>
            <w:pPr>
              <w:pStyle w:val="Compact"/>
              <w:jc w:val="right"/>
            </w:pPr>
            <w:r>
              <w:t xml:space="preserve">$475</w:t>
            </w:r>
          </w:p>
        </w:tc>
        <w:tc>
          <w:tcPr/>
          <w:p>
            <w:pPr>
              <w:pStyle w:val="Compact"/>
              <w:jc w:val="right"/>
            </w:pPr>
            <w:r>
              <w:t xml:space="preserve">$2,375.00</w:t>
            </w:r>
          </w:p>
        </w:tc>
        <w:tc>
          <w:tcPr/>
          <w:p>
            <w:pPr>
              <w:pStyle w:val="Compact"/>
              <w:jc w:val="right"/>
            </w:pPr>
            <w:r>
              <w:t xml:space="preserve">$593.75</w:t>
            </w:r>
          </w:p>
        </w:tc>
      </w:tr>
      <w:tr>
        <w:tc>
          <w:tcPr/>
          <w:p>
            <w:pPr>
              <w:pStyle w:val="Compact"/>
              <w:jc w:val="left"/>
            </w:pPr>
            <w:r>
              <w:t xml:space="preserve">73</w:t>
            </w:r>
          </w:p>
        </w:tc>
        <w:tc>
          <w:tcPr/>
          <w:p>
            <w:pPr>
              <w:pStyle w:val="Compact"/>
              <w:jc w:val="left"/>
            </w:pPr>
            <w:r>
              <w:t xml:space="preserve">05/21</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77</w:t>
            </w:r>
          </w:p>
        </w:tc>
        <w:tc>
          <w:tcPr/>
          <w:p>
            <w:pPr>
              <w:pStyle w:val="Compact"/>
              <w:jc w:val="left"/>
            </w:pPr>
            <w:r>
              <w:t xml:space="preserve">05/22</w:t>
            </w:r>
          </w:p>
        </w:tc>
        <w:tc>
          <w:tcPr/>
          <w:p>
            <w:pPr>
              <w:pStyle w:val="Compact"/>
              <w:jc w:val="left"/>
            </w:pPr>
            <w:r>
              <w:t xml:space="preserve">Pettersson</w:t>
            </w:r>
          </w:p>
        </w:tc>
        <w:tc>
          <w:tcPr/>
          <w:p>
            <w:pPr>
              <w:pStyle w:val="Compact"/>
              <w:jc w:val="right"/>
            </w:pPr>
            <w:r>
              <w:t xml:space="preserve">4.0</w:t>
            </w:r>
          </w:p>
        </w:tc>
        <w:tc>
          <w:tcPr/>
          <w:p>
            <w:pPr>
              <w:pStyle w:val="Compact"/>
              <w:jc w:val="right"/>
            </w:pPr>
            <w:r>
              <w:t xml:space="preserve">$475</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78</w:t>
            </w:r>
          </w:p>
        </w:tc>
        <w:tc>
          <w:tcPr/>
          <w:p>
            <w:pPr>
              <w:pStyle w:val="Compact"/>
              <w:jc w:val="left"/>
            </w:pPr>
            <w:r>
              <w:t xml:space="preserve">05/22</w:t>
            </w:r>
          </w:p>
        </w:tc>
        <w:tc>
          <w:tcPr/>
          <w:p>
            <w:pPr>
              <w:pStyle w:val="Compact"/>
              <w:jc w:val="left"/>
            </w:pPr>
            <w:r>
              <w:t xml:space="preserve">Cho</w:t>
            </w:r>
          </w:p>
        </w:tc>
        <w:tc>
          <w:tcPr/>
          <w:p>
            <w:pPr>
              <w:pStyle w:val="Compact"/>
              <w:jc w:val="right"/>
            </w:pPr>
            <w:r>
              <w:t xml:space="preserve">4.5</w:t>
            </w:r>
          </w:p>
        </w:tc>
        <w:tc>
          <w:tcPr/>
          <w:p>
            <w:pPr>
              <w:pStyle w:val="Compact"/>
              <w:jc w:val="right"/>
            </w:pPr>
            <w:r>
              <w:t xml:space="preserve">$625</w:t>
            </w:r>
          </w:p>
        </w:tc>
        <w:tc>
          <w:tcPr/>
          <w:p>
            <w:pPr>
              <w:pStyle w:val="Compact"/>
              <w:jc w:val="right"/>
            </w:pPr>
            <w:r>
              <w:t xml:space="preserve">$2,812.50</w:t>
            </w:r>
          </w:p>
        </w:tc>
        <w:tc>
          <w:tcPr/>
          <w:p>
            <w:pPr>
              <w:pStyle w:val="Compact"/>
              <w:jc w:val="right"/>
            </w:pPr>
            <w:r>
              <w:t xml:space="preserve">$703.13</w:t>
            </w:r>
          </w:p>
        </w:tc>
      </w:tr>
      <w:tr>
        <w:tc>
          <w:tcPr/>
          <w:p>
            <w:pPr>
              <w:pStyle w:val="Compact"/>
              <w:jc w:val="left"/>
            </w:pPr>
            <w:r>
              <w:t xml:space="preserve">83</w:t>
            </w:r>
          </w:p>
        </w:tc>
        <w:tc>
          <w:tcPr/>
          <w:p>
            <w:pPr>
              <w:pStyle w:val="Compact"/>
              <w:jc w:val="left"/>
            </w:pPr>
            <w:r>
              <w:t xml:space="preserve">05/23</w:t>
            </w:r>
          </w:p>
        </w:tc>
        <w:tc>
          <w:tcPr/>
          <w:p>
            <w:pPr>
              <w:pStyle w:val="Compact"/>
              <w:jc w:val="left"/>
            </w:pPr>
            <w:r>
              <w:t xml:space="preserve">Pettersson</w:t>
            </w:r>
          </w:p>
        </w:tc>
        <w:tc>
          <w:tcPr/>
          <w:p>
            <w:pPr>
              <w:pStyle w:val="Compact"/>
              <w:jc w:val="right"/>
            </w:pPr>
            <w:r>
              <w:t xml:space="preserve">4.5</w:t>
            </w:r>
          </w:p>
        </w:tc>
        <w:tc>
          <w:tcPr/>
          <w:p>
            <w:pPr>
              <w:pStyle w:val="Compact"/>
              <w:jc w:val="right"/>
            </w:pPr>
            <w:r>
              <w:t xml:space="preserve">$475</w:t>
            </w:r>
          </w:p>
        </w:tc>
        <w:tc>
          <w:tcPr/>
          <w:p>
            <w:pPr>
              <w:pStyle w:val="Compact"/>
              <w:jc w:val="right"/>
            </w:pPr>
            <w:r>
              <w:t xml:space="preserve">$2,137.50</w:t>
            </w:r>
          </w:p>
        </w:tc>
        <w:tc>
          <w:tcPr/>
          <w:p>
            <w:pPr>
              <w:pStyle w:val="Compact"/>
              <w:jc w:val="right"/>
            </w:pPr>
            <w:r>
              <w:t xml:space="preserve">$534.38</w:t>
            </w:r>
          </w:p>
        </w:tc>
      </w:tr>
      <w:tr>
        <w:tc>
          <w:tcPr/>
          <w:p>
            <w:pPr>
              <w:pStyle w:val="Compact"/>
              <w:jc w:val="left"/>
            </w:pPr>
            <w:r>
              <w:t xml:space="preserve">84</w:t>
            </w:r>
          </w:p>
        </w:tc>
        <w:tc>
          <w:tcPr/>
          <w:p>
            <w:pPr>
              <w:pStyle w:val="Compact"/>
              <w:jc w:val="left"/>
            </w:pPr>
            <w:r>
              <w:t xml:space="preserve">05/23</w:t>
            </w:r>
          </w:p>
        </w:tc>
        <w:tc>
          <w:tcPr/>
          <w:p>
            <w:pPr>
              <w:pStyle w:val="Compact"/>
              <w:jc w:val="left"/>
            </w:pPr>
            <w:r>
              <w:t xml:space="preserve">Cho</w:t>
            </w:r>
          </w:p>
        </w:tc>
        <w:tc>
          <w:tcPr/>
          <w:p>
            <w:pPr>
              <w:pStyle w:val="Compact"/>
              <w:jc w:val="right"/>
            </w:pPr>
            <w:r>
              <w:t xml:space="preserve">3.5</w:t>
            </w:r>
          </w:p>
        </w:tc>
        <w:tc>
          <w:tcPr/>
          <w:p>
            <w:pPr>
              <w:pStyle w:val="Compact"/>
              <w:jc w:val="right"/>
            </w:pPr>
            <w:r>
              <w:t xml:space="preserve">$625</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86</w:t>
            </w:r>
          </w:p>
        </w:tc>
        <w:tc>
          <w:tcPr/>
          <w:p>
            <w:pPr>
              <w:pStyle w:val="Compact"/>
              <w:jc w:val="left"/>
            </w:pPr>
            <w:r>
              <w:t xml:space="preserve">05/23</w:t>
            </w:r>
          </w:p>
        </w:tc>
        <w:tc>
          <w:tcPr/>
          <w:p>
            <w:pPr>
              <w:pStyle w:val="Compact"/>
              <w:jc w:val="left"/>
            </w:pPr>
            <w:r>
              <w:t xml:space="preserve">Webb</w:t>
            </w:r>
          </w:p>
        </w:tc>
        <w:tc>
          <w:tcPr/>
          <w:p>
            <w:pPr>
              <w:pStyle w:val="Compact"/>
              <w:jc w:val="right"/>
            </w:pPr>
            <w:r>
              <w:t xml:space="preserve">2.5</w:t>
            </w:r>
          </w:p>
        </w:tc>
        <w:tc>
          <w:tcPr/>
          <w:p>
            <w:pPr>
              <w:pStyle w:val="Compact"/>
              <w:jc w:val="right"/>
            </w:pPr>
            <w:r>
              <w:t xml:space="preserve">$375</w:t>
            </w:r>
          </w:p>
        </w:tc>
        <w:tc>
          <w:tcPr/>
          <w:p>
            <w:pPr>
              <w:pStyle w:val="Compact"/>
              <w:jc w:val="right"/>
            </w:pPr>
            <w:r>
              <w:t xml:space="preserve">$937.50</w:t>
            </w:r>
          </w:p>
        </w:tc>
        <w:tc>
          <w:tcPr/>
          <w:p>
            <w:pPr>
              <w:pStyle w:val="Compact"/>
              <w:jc w:val="right"/>
            </w:pPr>
            <w:r>
              <w:t xml:space="preserve">$234.38</w:t>
            </w:r>
          </w:p>
        </w:tc>
      </w:tr>
      <w:tr>
        <w:tc>
          <w:tcPr/>
          <w:p>
            <w:pPr>
              <w:pStyle w:val="Compact"/>
              <w:jc w:val="left"/>
            </w:pPr>
            <w:r>
              <w:t xml:space="preserve">88</w:t>
            </w:r>
          </w:p>
        </w:tc>
        <w:tc>
          <w:tcPr/>
          <w:p>
            <w:pPr>
              <w:pStyle w:val="Compact"/>
              <w:jc w:val="left"/>
            </w:pPr>
            <w:r>
              <w:t xml:space="preserve">05/26</w:t>
            </w:r>
          </w:p>
        </w:tc>
        <w:tc>
          <w:tcPr/>
          <w:p>
            <w:pPr>
              <w:pStyle w:val="Compact"/>
              <w:jc w:val="left"/>
            </w:pPr>
            <w:r>
              <w:t xml:space="preserve">Pettersson</w:t>
            </w:r>
          </w:p>
        </w:tc>
        <w:tc>
          <w:tcPr/>
          <w:p>
            <w:pPr>
              <w:pStyle w:val="Compact"/>
              <w:jc w:val="right"/>
            </w:pPr>
            <w:r>
              <w:t xml:space="preserve">5.0</w:t>
            </w:r>
          </w:p>
        </w:tc>
        <w:tc>
          <w:tcPr/>
          <w:p>
            <w:pPr>
              <w:pStyle w:val="Compact"/>
              <w:jc w:val="right"/>
            </w:pPr>
            <w:r>
              <w:t xml:space="preserve">$475</w:t>
            </w:r>
          </w:p>
        </w:tc>
        <w:tc>
          <w:tcPr/>
          <w:p>
            <w:pPr>
              <w:pStyle w:val="Compact"/>
              <w:jc w:val="right"/>
            </w:pPr>
            <w:r>
              <w:t xml:space="preserve">$2,375.00</w:t>
            </w:r>
          </w:p>
        </w:tc>
        <w:tc>
          <w:tcPr/>
          <w:p>
            <w:pPr>
              <w:pStyle w:val="Compact"/>
              <w:jc w:val="right"/>
            </w:pPr>
            <w:r>
              <w:t xml:space="preserve">$593.75</w:t>
            </w:r>
          </w:p>
        </w:tc>
      </w:tr>
      <w:tr>
        <w:tc>
          <w:tcPr/>
          <w:p>
            <w:pPr>
              <w:pStyle w:val="Compact"/>
              <w:jc w:val="left"/>
            </w:pPr>
            <w:r>
              <w:t xml:space="preserve">89</w:t>
            </w:r>
          </w:p>
        </w:tc>
        <w:tc>
          <w:tcPr/>
          <w:p>
            <w:pPr>
              <w:pStyle w:val="Compact"/>
              <w:jc w:val="left"/>
            </w:pPr>
            <w:r>
              <w:t xml:space="preserve">05/26</w:t>
            </w:r>
          </w:p>
        </w:tc>
        <w:tc>
          <w:tcPr/>
          <w:p>
            <w:pPr>
              <w:pStyle w:val="Compact"/>
              <w:jc w:val="left"/>
            </w:pPr>
            <w:r>
              <w:t xml:space="preserve">Cho</w:t>
            </w:r>
          </w:p>
        </w:tc>
        <w:tc>
          <w:tcPr/>
          <w:p>
            <w:pPr>
              <w:pStyle w:val="Compact"/>
              <w:jc w:val="right"/>
            </w:pPr>
            <w:r>
              <w:t xml:space="preserve">4.5</w:t>
            </w:r>
          </w:p>
        </w:tc>
        <w:tc>
          <w:tcPr/>
          <w:p>
            <w:pPr>
              <w:pStyle w:val="Compact"/>
              <w:jc w:val="right"/>
            </w:pPr>
            <w:r>
              <w:t xml:space="preserve">$625</w:t>
            </w:r>
          </w:p>
        </w:tc>
        <w:tc>
          <w:tcPr/>
          <w:p>
            <w:pPr>
              <w:pStyle w:val="Compact"/>
              <w:jc w:val="right"/>
            </w:pPr>
            <w:r>
              <w:t xml:space="preserve">$2,812.50</w:t>
            </w:r>
          </w:p>
        </w:tc>
        <w:tc>
          <w:tcPr/>
          <w:p>
            <w:pPr>
              <w:pStyle w:val="Compact"/>
              <w:jc w:val="right"/>
            </w:pPr>
            <w:r>
              <w:t xml:space="preserve">$703.13</w:t>
            </w:r>
          </w:p>
        </w:tc>
      </w:tr>
      <w:tr>
        <w:tc>
          <w:tcPr/>
          <w:p>
            <w:pPr>
              <w:pStyle w:val="Compact"/>
              <w:jc w:val="left"/>
            </w:pPr>
            <w:r>
              <w:t xml:space="preserve">92</w:t>
            </w:r>
          </w:p>
        </w:tc>
        <w:tc>
          <w:tcPr/>
          <w:p>
            <w:pPr>
              <w:pStyle w:val="Compact"/>
              <w:jc w:val="left"/>
            </w:pPr>
            <w:r>
              <w:t xml:space="preserve">05/27</w:t>
            </w:r>
          </w:p>
        </w:tc>
        <w:tc>
          <w:tcPr/>
          <w:p>
            <w:pPr>
              <w:pStyle w:val="Compact"/>
              <w:jc w:val="left"/>
            </w:pPr>
            <w:r>
              <w:t xml:space="preserve">Hargrove</w:t>
            </w:r>
          </w:p>
        </w:tc>
        <w:tc>
          <w:tcPr/>
          <w:p>
            <w:pPr>
              <w:pStyle w:val="Compact"/>
              <w:jc w:val="right"/>
            </w:pPr>
            <w:r>
              <w:t xml:space="preserve">6.0</w:t>
            </w:r>
          </w:p>
        </w:tc>
        <w:tc>
          <w:tcPr/>
          <w:p>
            <w:pPr>
              <w:pStyle w:val="Compact"/>
              <w:jc w:val="right"/>
            </w:pPr>
            <w:r>
              <w:t xml:space="preserve">$985</w:t>
            </w:r>
          </w:p>
        </w:tc>
        <w:tc>
          <w:tcPr/>
          <w:p>
            <w:pPr>
              <w:pStyle w:val="Compact"/>
              <w:jc w:val="right"/>
            </w:pPr>
            <w:r>
              <w:t xml:space="preserve">$5,910.00</w:t>
            </w:r>
          </w:p>
        </w:tc>
        <w:tc>
          <w:tcPr/>
          <w:p>
            <w:pPr>
              <w:pStyle w:val="Compact"/>
              <w:jc w:val="right"/>
            </w:pPr>
            <w:r>
              <w:t xml:space="preserve">$1,477.50</w:t>
            </w:r>
          </w:p>
        </w:tc>
      </w:tr>
      <w:tr>
        <w:tc>
          <w:tcPr/>
          <w:p>
            <w:pPr>
              <w:pStyle w:val="Compact"/>
              <w:jc w:val="left"/>
            </w:pPr>
            <w:r>
              <w:t xml:space="preserve">94</w:t>
            </w:r>
          </w:p>
        </w:tc>
        <w:tc>
          <w:tcPr/>
          <w:p>
            <w:pPr>
              <w:pStyle w:val="Compact"/>
              <w:jc w:val="left"/>
            </w:pPr>
            <w:r>
              <w:t xml:space="preserve">05/27</w:t>
            </w:r>
          </w:p>
        </w:tc>
        <w:tc>
          <w:tcPr/>
          <w:p>
            <w:pPr>
              <w:pStyle w:val="Compact"/>
              <w:jc w:val="left"/>
            </w:pPr>
            <w:r>
              <w:t xml:space="preserve">Pettersson</w:t>
            </w:r>
          </w:p>
        </w:tc>
        <w:tc>
          <w:tcPr/>
          <w:p>
            <w:pPr>
              <w:pStyle w:val="Compact"/>
              <w:jc w:val="right"/>
            </w:pPr>
            <w:r>
              <w:t xml:space="preserve">5.0</w:t>
            </w:r>
          </w:p>
        </w:tc>
        <w:tc>
          <w:tcPr/>
          <w:p>
            <w:pPr>
              <w:pStyle w:val="Compact"/>
              <w:jc w:val="right"/>
            </w:pPr>
            <w:r>
              <w:t xml:space="preserve">$475</w:t>
            </w:r>
          </w:p>
        </w:tc>
        <w:tc>
          <w:tcPr/>
          <w:p>
            <w:pPr>
              <w:pStyle w:val="Compact"/>
              <w:jc w:val="right"/>
            </w:pPr>
            <w:r>
              <w:t xml:space="preserve">$2,375.00</w:t>
            </w:r>
          </w:p>
        </w:tc>
        <w:tc>
          <w:tcPr/>
          <w:p>
            <w:pPr>
              <w:pStyle w:val="Compact"/>
              <w:jc w:val="right"/>
            </w:pPr>
            <w:r>
              <w:t xml:space="preserve">$593.75</w:t>
            </w:r>
          </w:p>
        </w:tc>
      </w:tr>
      <w:tr>
        <w:tc>
          <w:tcPr/>
          <w:p>
            <w:pPr>
              <w:pStyle w:val="Compact"/>
              <w:jc w:val="left"/>
            </w:pPr>
            <w:r>
              <w:t xml:space="preserve">95</w:t>
            </w:r>
          </w:p>
        </w:tc>
        <w:tc>
          <w:tcPr/>
          <w:p>
            <w:pPr>
              <w:pStyle w:val="Compact"/>
              <w:jc w:val="left"/>
            </w:pPr>
            <w:r>
              <w:t xml:space="preserve">05/27</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96</w:t>
            </w:r>
          </w:p>
        </w:tc>
        <w:tc>
          <w:tcPr/>
          <w:p>
            <w:pPr>
              <w:pStyle w:val="Compact"/>
              <w:jc w:val="left"/>
            </w:pPr>
            <w:r>
              <w:t xml:space="preserve">05/27</w:t>
            </w:r>
          </w:p>
        </w:tc>
        <w:tc>
          <w:tcPr/>
          <w:p>
            <w:pPr>
              <w:pStyle w:val="Compact"/>
              <w:jc w:val="left"/>
            </w:pPr>
            <w:r>
              <w:t xml:space="preserve">Webb</w:t>
            </w:r>
          </w:p>
        </w:tc>
        <w:tc>
          <w:tcPr/>
          <w:p>
            <w:pPr>
              <w:pStyle w:val="Compact"/>
              <w:jc w:val="right"/>
            </w:pPr>
            <w:r>
              <w:t xml:space="preserve">3.0</w:t>
            </w:r>
          </w:p>
        </w:tc>
        <w:tc>
          <w:tcPr/>
          <w:p>
            <w:pPr>
              <w:pStyle w:val="Compact"/>
              <w:jc w:val="right"/>
            </w:pPr>
            <w:r>
              <w:t xml:space="preserve">$375</w:t>
            </w:r>
          </w:p>
        </w:tc>
        <w:tc>
          <w:tcPr/>
          <w:p>
            <w:pPr>
              <w:pStyle w:val="Compact"/>
              <w:jc w:val="right"/>
            </w:pPr>
            <w:r>
              <w:t xml:space="preserve">$1,125.00</w:t>
            </w:r>
          </w:p>
        </w:tc>
        <w:tc>
          <w:tcPr/>
          <w:p>
            <w:pPr>
              <w:pStyle w:val="Compact"/>
              <w:jc w:val="right"/>
            </w:pPr>
            <w:r>
              <w:t xml:space="preserve">$281.25</w:t>
            </w:r>
          </w:p>
        </w:tc>
      </w:tr>
      <w:tr>
        <w:tc>
          <w:tcPr/>
          <w:p>
            <w:pPr>
              <w:pStyle w:val="Compact"/>
              <w:jc w:val="left"/>
            </w:pPr>
            <w:r>
              <w:t xml:space="preserve">98</w:t>
            </w:r>
          </w:p>
        </w:tc>
        <w:tc>
          <w:tcPr/>
          <w:p>
            <w:pPr>
              <w:pStyle w:val="Compact"/>
              <w:jc w:val="left"/>
            </w:pPr>
            <w:r>
              <w:t xml:space="preserve">05/28</w:t>
            </w:r>
          </w:p>
        </w:tc>
        <w:tc>
          <w:tcPr/>
          <w:p>
            <w:pPr>
              <w:pStyle w:val="Compact"/>
              <w:jc w:val="left"/>
            </w:pPr>
            <w:r>
              <w:t xml:space="preserve">Hargrove</w:t>
            </w:r>
          </w:p>
        </w:tc>
        <w:tc>
          <w:tcPr/>
          <w:p>
            <w:pPr>
              <w:pStyle w:val="Compact"/>
              <w:jc w:val="right"/>
            </w:pPr>
            <w:r>
              <w:t xml:space="preserve">3.5</w:t>
            </w:r>
          </w:p>
        </w:tc>
        <w:tc>
          <w:tcPr/>
          <w:p>
            <w:pPr>
              <w:pStyle w:val="Compact"/>
              <w:jc w:val="right"/>
            </w:pPr>
            <w:r>
              <w:t xml:space="preserve">$985</w:t>
            </w:r>
          </w:p>
        </w:tc>
        <w:tc>
          <w:tcPr/>
          <w:p>
            <w:pPr>
              <w:pStyle w:val="Compact"/>
              <w:jc w:val="right"/>
            </w:pPr>
            <w:r>
              <w:t xml:space="preserve">$3,447.50</w:t>
            </w:r>
          </w:p>
        </w:tc>
        <w:tc>
          <w:tcPr/>
          <w:p>
            <w:pPr>
              <w:pStyle w:val="Compact"/>
              <w:jc w:val="right"/>
            </w:pPr>
            <w:r>
              <w:t xml:space="preserve">$861.88</w:t>
            </w:r>
          </w:p>
        </w:tc>
      </w:tr>
      <w:tr>
        <w:tc>
          <w:tcPr/>
          <w:p>
            <w:pPr>
              <w:pStyle w:val="Compact"/>
              <w:jc w:val="left"/>
            </w:pPr>
            <w:r>
              <w:t xml:space="preserve">100</w:t>
            </w:r>
          </w:p>
        </w:tc>
        <w:tc>
          <w:tcPr/>
          <w:p>
            <w:pPr>
              <w:pStyle w:val="Compact"/>
              <w:jc w:val="left"/>
            </w:pPr>
            <w:r>
              <w:t xml:space="preserve">05/28</w:t>
            </w:r>
          </w:p>
        </w:tc>
        <w:tc>
          <w:tcPr/>
          <w:p>
            <w:pPr>
              <w:pStyle w:val="Compact"/>
              <w:jc w:val="left"/>
            </w:pPr>
            <w:r>
              <w:t xml:space="preserve">Pettersson</w:t>
            </w:r>
          </w:p>
        </w:tc>
        <w:tc>
          <w:tcPr/>
          <w:p>
            <w:pPr>
              <w:pStyle w:val="Compact"/>
              <w:jc w:val="right"/>
            </w:pPr>
            <w:r>
              <w:t xml:space="preserve">5.0</w:t>
            </w:r>
          </w:p>
        </w:tc>
        <w:tc>
          <w:tcPr/>
          <w:p>
            <w:pPr>
              <w:pStyle w:val="Compact"/>
              <w:jc w:val="right"/>
            </w:pPr>
            <w:r>
              <w:t xml:space="preserve">$475</w:t>
            </w:r>
          </w:p>
        </w:tc>
        <w:tc>
          <w:tcPr/>
          <w:p>
            <w:pPr>
              <w:pStyle w:val="Compact"/>
              <w:jc w:val="right"/>
            </w:pPr>
            <w:r>
              <w:t xml:space="preserve">$2,375.00</w:t>
            </w:r>
          </w:p>
        </w:tc>
        <w:tc>
          <w:tcPr/>
          <w:p>
            <w:pPr>
              <w:pStyle w:val="Compact"/>
              <w:jc w:val="right"/>
            </w:pPr>
            <w:r>
              <w:t xml:space="preserve">$593.75</w:t>
            </w:r>
          </w:p>
        </w:tc>
      </w:tr>
      <w:tr>
        <w:tc>
          <w:tcPr/>
          <w:p>
            <w:pPr>
              <w:pStyle w:val="Compact"/>
              <w:jc w:val="left"/>
            </w:pPr>
            <w:r>
              <w:t xml:space="preserve">101</w:t>
            </w:r>
          </w:p>
        </w:tc>
        <w:tc>
          <w:tcPr/>
          <w:p>
            <w:pPr>
              <w:pStyle w:val="Compact"/>
              <w:jc w:val="left"/>
            </w:pPr>
            <w:r>
              <w:t xml:space="preserve">05/28</w:t>
            </w:r>
          </w:p>
        </w:tc>
        <w:tc>
          <w:tcPr/>
          <w:p>
            <w:pPr>
              <w:pStyle w:val="Compact"/>
              <w:jc w:val="left"/>
            </w:pPr>
            <w:r>
              <w:t xml:space="preserve">Cho</w:t>
            </w:r>
          </w:p>
        </w:tc>
        <w:tc>
          <w:tcPr/>
          <w:p>
            <w:pPr>
              <w:pStyle w:val="Compact"/>
              <w:jc w:val="right"/>
            </w:pPr>
            <w:r>
              <w:t xml:space="preserve">4.5</w:t>
            </w:r>
          </w:p>
        </w:tc>
        <w:tc>
          <w:tcPr/>
          <w:p>
            <w:pPr>
              <w:pStyle w:val="Compact"/>
              <w:jc w:val="right"/>
            </w:pPr>
            <w:r>
              <w:t xml:space="preserve">$625</w:t>
            </w:r>
          </w:p>
        </w:tc>
        <w:tc>
          <w:tcPr/>
          <w:p>
            <w:pPr>
              <w:pStyle w:val="Compact"/>
              <w:jc w:val="right"/>
            </w:pPr>
            <w:r>
              <w:t xml:space="preserve">$2,812.50</w:t>
            </w:r>
          </w:p>
        </w:tc>
        <w:tc>
          <w:tcPr/>
          <w:p>
            <w:pPr>
              <w:pStyle w:val="Compact"/>
              <w:jc w:val="right"/>
            </w:pPr>
            <w:r>
              <w:t xml:space="preserve">$703.13</w:t>
            </w:r>
          </w:p>
        </w:tc>
      </w:tr>
      <w:tr>
        <w:tc>
          <w:tcPr/>
          <w:p>
            <w:pPr>
              <w:pStyle w:val="Compact"/>
              <w:jc w:val="left"/>
            </w:pPr>
            <w:r>
              <w:t xml:space="preserve">103</w:t>
            </w:r>
          </w:p>
        </w:tc>
        <w:tc>
          <w:tcPr/>
          <w:p>
            <w:pPr>
              <w:pStyle w:val="Compact"/>
              <w:jc w:val="left"/>
            </w:pPr>
            <w:r>
              <w:t xml:space="preserve">05/28</w:t>
            </w:r>
          </w:p>
        </w:tc>
        <w:tc>
          <w:tcPr/>
          <w:p>
            <w:pPr>
              <w:pStyle w:val="Compact"/>
              <w:jc w:val="left"/>
            </w:pPr>
            <w:r>
              <w:t xml:space="preserve">Webb</w:t>
            </w:r>
          </w:p>
        </w:tc>
        <w:tc>
          <w:tcPr/>
          <w:p>
            <w:pPr>
              <w:pStyle w:val="Compact"/>
              <w:jc w:val="right"/>
            </w:pPr>
            <w:r>
              <w:t xml:space="preserve">3.0</w:t>
            </w:r>
          </w:p>
        </w:tc>
        <w:tc>
          <w:tcPr/>
          <w:p>
            <w:pPr>
              <w:pStyle w:val="Compact"/>
              <w:jc w:val="right"/>
            </w:pPr>
            <w:r>
              <w:t xml:space="preserve">$375</w:t>
            </w:r>
          </w:p>
        </w:tc>
        <w:tc>
          <w:tcPr/>
          <w:p>
            <w:pPr>
              <w:pStyle w:val="Compact"/>
              <w:jc w:val="right"/>
            </w:pPr>
            <w:r>
              <w:t xml:space="preserve">$1,125.00</w:t>
            </w:r>
          </w:p>
        </w:tc>
        <w:tc>
          <w:tcPr/>
          <w:p>
            <w:pPr>
              <w:pStyle w:val="Compact"/>
              <w:jc w:val="right"/>
            </w:pPr>
            <w:r>
              <w:t xml:space="preserve">$281.25</w:t>
            </w:r>
          </w:p>
        </w:tc>
      </w:tr>
      <w:tr>
        <w:tc>
          <w:tcPr/>
          <w:p>
            <w:pPr>
              <w:pStyle w:val="Compact"/>
              <w:jc w:val="left"/>
            </w:pPr>
            <w:r>
              <w:t xml:space="preserve">107</w:t>
            </w:r>
          </w:p>
        </w:tc>
        <w:tc>
          <w:tcPr/>
          <w:p>
            <w:pPr>
              <w:pStyle w:val="Compact"/>
              <w:jc w:val="left"/>
            </w:pPr>
            <w:r>
              <w:t xml:space="preserve">05/29</w:t>
            </w:r>
          </w:p>
        </w:tc>
        <w:tc>
          <w:tcPr/>
          <w:p>
            <w:pPr>
              <w:pStyle w:val="Compact"/>
              <w:jc w:val="left"/>
            </w:pPr>
            <w:r>
              <w:t xml:space="preserve">Pettersson</w:t>
            </w:r>
          </w:p>
        </w:tc>
        <w:tc>
          <w:tcPr/>
          <w:p>
            <w:pPr>
              <w:pStyle w:val="Compact"/>
              <w:jc w:val="right"/>
            </w:pPr>
            <w:r>
              <w:t xml:space="preserve">4.5</w:t>
            </w:r>
          </w:p>
        </w:tc>
        <w:tc>
          <w:tcPr/>
          <w:p>
            <w:pPr>
              <w:pStyle w:val="Compact"/>
              <w:jc w:val="right"/>
            </w:pPr>
            <w:r>
              <w:t xml:space="preserve">$475</w:t>
            </w:r>
          </w:p>
        </w:tc>
        <w:tc>
          <w:tcPr/>
          <w:p>
            <w:pPr>
              <w:pStyle w:val="Compact"/>
              <w:jc w:val="right"/>
            </w:pPr>
            <w:r>
              <w:t xml:space="preserve">$2,137.50</w:t>
            </w:r>
          </w:p>
        </w:tc>
        <w:tc>
          <w:tcPr/>
          <w:p>
            <w:pPr>
              <w:pStyle w:val="Compact"/>
              <w:jc w:val="right"/>
            </w:pPr>
            <w:r>
              <w:t xml:space="preserve">$534.38</w:t>
            </w:r>
          </w:p>
        </w:tc>
      </w:tr>
      <w:tr>
        <w:tc>
          <w:tcPr/>
          <w:p>
            <w:pPr>
              <w:pStyle w:val="Compact"/>
              <w:jc w:val="left"/>
            </w:pPr>
            <w:r>
              <w:t xml:space="preserve">108</w:t>
            </w:r>
          </w:p>
        </w:tc>
        <w:tc>
          <w:tcPr/>
          <w:p>
            <w:pPr>
              <w:pStyle w:val="Compact"/>
              <w:jc w:val="left"/>
            </w:pPr>
            <w:r>
              <w:t xml:space="preserve">05/29</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111</w:t>
            </w:r>
          </w:p>
        </w:tc>
        <w:tc>
          <w:tcPr/>
          <w:p>
            <w:pPr>
              <w:pStyle w:val="Compact"/>
              <w:jc w:val="left"/>
            </w:pPr>
            <w:r>
              <w:t xml:space="preserve">05/30</w:t>
            </w:r>
          </w:p>
        </w:tc>
        <w:tc>
          <w:tcPr/>
          <w:p>
            <w:pPr>
              <w:pStyle w:val="Compact"/>
              <w:jc w:val="left"/>
            </w:pPr>
            <w:r>
              <w:t xml:space="preserve">Hargrove</w:t>
            </w:r>
          </w:p>
        </w:tc>
        <w:tc>
          <w:tcPr/>
          <w:p>
            <w:pPr>
              <w:pStyle w:val="Compact"/>
              <w:jc w:val="right"/>
            </w:pPr>
            <w:r>
              <w:t xml:space="preserve">1.5</w:t>
            </w:r>
          </w:p>
        </w:tc>
        <w:tc>
          <w:tcPr/>
          <w:p>
            <w:pPr>
              <w:pStyle w:val="Compact"/>
              <w:jc w:val="right"/>
            </w:pPr>
            <w:r>
              <w:t xml:space="preserve">$985</w:t>
            </w:r>
          </w:p>
        </w:tc>
        <w:tc>
          <w:tcPr/>
          <w:p>
            <w:pPr>
              <w:pStyle w:val="Compact"/>
              <w:jc w:val="right"/>
            </w:pPr>
            <w:r>
              <w:t xml:space="preserve">$1,477.50</w:t>
            </w:r>
          </w:p>
        </w:tc>
        <w:tc>
          <w:tcPr/>
          <w:p>
            <w:pPr>
              <w:pStyle w:val="Compact"/>
              <w:jc w:val="right"/>
            </w:pPr>
            <w:r>
              <w:t xml:space="preserve">$369.38</w:t>
            </w:r>
          </w:p>
        </w:tc>
      </w:tr>
      <w:tr>
        <w:tc>
          <w:tcPr/>
          <w:p>
            <w:pPr>
              <w:pStyle w:val="Compact"/>
              <w:jc w:val="left"/>
            </w:pPr>
            <w:r>
              <w:t xml:space="preserve">113</w:t>
            </w:r>
          </w:p>
        </w:tc>
        <w:tc>
          <w:tcPr/>
          <w:p>
            <w:pPr>
              <w:pStyle w:val="Compact"/>
              <w:jc w:val="left"/>
            </w:pPr>
            <w:r>
              <w:t xml:space="preserve">05/30</w:t>
            </w:r>
          </w:p>
        </w:tc>
        <w:tc>
          <w:tcPr/>
          <w:p>
            <w:pPr>
              <w:pStyle w:val="Compact"/>
              <w:jc w:val="left"/>
            </w:pPr>
            <w:r>
              <w:t xml:space="preserve">Pettersson</w:t>
            </w:r>
          </w:p>
        </w:tc>
        <w:tc>
          <w:tcPr/>
          <w:p>
            <w:pPr>
              <w:pStyle w:val="Compact"/>
              <w:jc w:val="right"/>
            </w:pPr>
            <w:r>
              <w:t xml:space="preserve">4.0</w:t>
            </w:r>
          </w:p>
        </w:tc>
        <w:tc>
          <w:tcPr/>
          <w:p>
            <w:pPr>
              <w:pStyle w:val="Compact"/>
              <w:jc w:val="right"/>
            </w:pPr>
            <w:r>
              <w:t xml:space="preserve">$475</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114</w:t>
            </w:r>
          </w:p>
        </w:tc>
        <w:tc>
          <w:tcPr/>
          <w:p>
            <w:pPr>
              <w:pStyle w:val="Compact"/>
              <w:jc w:val="left"/>
            </w:pPr>
            <w:r>
              <w:t xml:space="preserve">05/30</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$625</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117</w:t>
            </w:r>
          </w:p>
        </w:tc>
        <w:tc>
          <w:tcPr/>
          <w:p>
            <w:pPr>
              <w:pStyle w:val="Compact"/>
              <w:jc w:val="left"/>
            </w:pPr>
            <w:r>
              <w:t xml:space="preserve">05/30</w:t>
            </w:r>
          </w:p>
        </w:tc>
        <w:tc>
          <w:tcPr/>
          <w:p>
            <w:pPr>
              <w:pStyle w:val="Compact"/>
              <w:jc w:val="left"/>
            </w:pPr>
            <w:r>
              <w:t xml:space="preserve">Webb</w:t>
            </w:r>
          </w:p>
        </w:tc>
        <w:tc>
          <w:tcPr/>
          <w:p>
            <w:pPr>
              <w:pStyle w:val="Compact"/>
              <w:jc w:val="right"/>
            </w:pPr>
            <w:r>
              <w:t xml:space="preserve">3.5</w:t>
            </w:r>
          </w:p>
        </w:tc>
        <w:tc>
          <w:tcPr/>
          <w:p>
            <w:pPr>
              <w:pStyle w:val="Compact"/>
              <w:jc w:val="right"/>
            </w:pPr>
            <w:r>
              <w:t xml:space="preserve">$375</w:t>
            </w:r>
          </w:p>
        </w:tc>
        <w:tc>
          <w:tcPr/>
          <w:p>
            <w:pPr>
              <w:pStyle w:val="Compact"/>
              <w:jc w:val="right"/>
            </w:pPr>
            <w:r>
              <w:t xml:space="preserve">$1,312.50</w:t>
            </w:r>
          </w:p>
        </w:tc>
        <w:tc>
          <w:tcPr/>
          <w:p>
            <w:pPr>
              <w:pStyle w:val="Compact"/>
              <w:jc w:val="right"/>
            </w:pPr>
            <w:r>
              <w:t xml:space="preserve">$328.13</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209.5</w:t>
            </w:r>
          </w:p>
        </w:tc>
        <w:tc>
          <w:tcPr/>
          <w:p>
            <w:pPr>
              <w:pStyle w:val="Compact"/>
            </w:pPr>
          </w:p>
        </w:tc>
        <w:tc>
          <w:tcPr/>
          <w:p>
            <w:pPr>
              <w:pStyle w:val="Compact"/>
              <w:jc w:val="right"/>
            </w:pPr>
            <w:r>
              <w:rPr>
                <w:b/>
                <w:bCs/>
              </w:rPr>
              <w:t xml:space="preserve">$122,782.50</w:t>
            </w:r>
          </w:p>
        </w:tc>
        <w:tc>
          <w:tcPr/>
          <w:p>
            <w:pPr>
              <w:pStyle w:val="Compact"/>
              <w:jc w:val="right"/>
            </w:pPr>
            <w:r>
              <w:rPr>
                <w:b/>
                <w:bCs/>
              </w:rPr>
              <w:t xml:space="preserve">$30,695.63</w:t>
            </w:r>
          </w:p>
        </w:tc>
      </w:tr>
    </w:tbl>
    <w:p>
      <w:pPr>
        <w:pStyle w:val="BodyText"/>
      </w:pPr>
      <w:r>
        <w:rPr>
          <w:i/>
          <w:iCs/>
        </w:rPr>
        <w:t xml:space="preserve">Per-entry reductions are rounded to the nearest cent; the subtotal reflects the aggregate 25% reduction of the listed fees. Entry #111 also contains an invoice-preparation (administrative) component that Pinnacle may elect to write off in further part under §6.1; the 25% block-billing reduction is applied here as the prescribed remedy for the combined entry.</w:t>
      </w:r>
    </w:p>
    <w:p>
      <w:r>
        <w:pict>
          <v:rect style="width:0;height:1.5pt" o:hralign="center" o:hrstd="t" o:hr="t"/>
        </w:pict>
      </w:r>
    </w:p>
    <w:bookmarkEnd w:id="37"/>
    <w:bookmarkStart w:id="38" w:name="Xb75950a25318acd9ecfe1cc8d0f7f61d73b9de5"/>
    <w:p>
      <w:pPr>
        <w:pStyle w:val="Heading2"/>
      </w:pPr>
      <w:r>
        <w:t xml:space="preserve">Appendix B — Unauthorized-Timekeeper Entry Detail (§4.2)</w:t>
      </w:r>
    </w:p>
    <w:p>
      <w:pPr>
        <w:pStyle w:val="FirstParagraph"/>
      </w:pPr>
      <w:r>
        <w:rPr>
          <w:b/>
          <w:bCs/>
        </w:rPr>
        <w:t xml:space="preserve">Nina Barros — 49.0 hours — $23,275.00 (recommended full rejection):</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right"/>
            </w:pPr>
            <w:r>
              <w:t xml:space="preserve">Hours</w:t>
            </w:r>
          </w:p>
        </w:tc>
        <w:tc>
          <w:tcPr/>
          <w:p>
            <w:pPr>
              <w:pStyle w:val="Compact"/>
              <w:jc w:val="right"/>
            </w:pPr>
            <w:r>
              <w:t xml:space="preserve">Fees</w:t>
            </w:r>
          </w:p>
        </w:tc>
        <w:tc>
          <w:tcPr/>
          <w:p>
            <w:pPr>
              <w:pStyle w:val="Compact"/>
              <w:jc w:val="left"/>
            </w:pPr>
            <w:r>
              <w:t xml:space="preserve">Task</w:t>
            </w:r>
          </w:p>
        </w:tc>
      </w:tr>
      <w:tr>
        <w:tc>
          <w:tcPr/>
          <w:p>
            <w:pPr>
              <w:pStyle w:val="Compact"/>
              <w:jc w:val="left"/>
            </w:pPr>
            <w:r>
              <w:t xml:space="preserve">4</w:t>
            </w:r>
          </w:p>
        </w:tc>
        <w:tc>
          <w:tcPr/>
          <w:p>
            <w:pPr>
              <w:pStyle w:val="Compact"/>
              <w:jc w:val="left"/>
            </w:pPr>
            <w:r>
              <w:t xml:space="preserve">05/01</w:t>
            </w:r>
          </w:p>
        </w:tc>
        <w:tc>
          <w:tcPr/>
          <w:p>
            <w:pPr>
              <w:pStyle w:val="Compact"/>
              <w:jc w:val="right"/>
            </w:pPr>
            <w:r>
              <w:t xml:space="preserve">2.5</w:t>
            </w:r>
          </w:p>
        </w:tc>
        <w:tc>
          <w:tcPr/>
          <w:p>
            <w:pPr>
              <w:pStyle w:val="Compact"/>
              <w:jc w:val="right"/>
            </w:pPr>
            <w:r>
              <w:t xml:space="preserve">$1,187.50</w:t>
            </w:r>
          </w:p>
        </w:tc>
        <w:tc>
          <w:tcPr/>
          <w:p>
            <w:pPr>
              <w:pStyle w:val="Compact"/>
              <w:jc w:val="left"/>
            </w:pPr>
            <w:r>
              <w:t xml:space="preserve">Assist with interrogatory responses; research trade-secret preemption</w:t>
            </w:r>
          </w:p>
        </w:tc>
      </w:tr>
      <w:tr>
        <w:tc>
          <w:tcPr/>
          <w:p>
            <w:pPr>
              <w:pStyle w:val="Compact"/>
              <w:jc w:val="left"/>
            </w:pPr>
            <w:r>
              <w:t xml:space="preserve">13</w:t>
            </w:r>
          </w:p>
        </w:tc>
        <w:tc>
          <w:tcPr/>
          <w:p>
            <w:pPr>
              <w:pStyle w:val="Compact"/>
              <w:jc w:val="left"/>
            </w:pPr>
            <w:r>
              <w:t xml:space="preserve">05/05</w:t>
            </w:r>
          </w:p>
        </w:tc>
        <w:tc>
          <w:tcPr/>
          <w:p>
            <w:pPr>
              <w:pStyle w:val="Compact"/>
              <w:jc w:val="right"/>
            </w:pPr>
            <w:r>
              <w:t xml:space="preserve">3.0</w:t>
            </w:r>
          </w:p>
        </w:tc>
        <w:tc>
          <w:tcPr/>
          <w:p>
            <w:pPr>
              <w:pStyle w:val="Compact"/>
              <w:jc w:val="right"/>
            </w:pPr>
            <w:r>
              <w:t xml:space="preserve">$1,425.00</w:t>
            </w:r>
          </w:p>
        </w:tc>
        <w:tc>
          <w:tcPr/>
          <w:p>
            <w:pPr>
              <w:pStyle w:val="Compact"/>
              <w:jc w:val="left"/>
            </w:pPr>
            <w:r>
              <w:t xml:space="preserve">Research GTSA misappropriation elements; prepare research memorandum</w:t>
            </w:r>
          </w:p>
        </w:tc>
      </w:tr>
      <w:tr>
        <w:tc>
          <w:tcPr/>
          <w:p>
            <w:pPr>
              <w:pStyle w:val="Compact"/>
              <w:jc w:val="left"/>
            </w:pPr>
            <w:r>
              <w:t xml:space="preserve">21</w:t>
            </w:r>
          </w:p>
        </w:tc>
        <w:tc>
          <w:tcPr/>
          <w:p>
            <w:pPr>
              <w:pStyle w:val="Compact"/>
              <w:jc w:val="left"/>
            </w:pPr>
            <w:r>
              <w:t xml:space="preserve">05/07</w:t>
            </w:r>
          </w:p>
        </w:tc>
        <w:tc>
          <w:tcPr/>
          <w:p>
            <w:pPr>
              <w:pStyle w:val="Compact"/>
              <w:jc w:val="right"/>
            </w:pPr>
            <w:r>
              <w:t xml:space="preserve">3.5</w:t>
            </w:r>
          </w:p>
        </w:tc>
        <w:tc>
          <w:tcPr/>
          <w:p>
            <w:pPr>
              <w:pStyle w:val="Compact"/>
              <w:jc w:val="right"/>
            </w:pPr>
            <w:r>
              <w:t xml:space="preserve">$1,662.50</w:t>
            </w:r>
          </w:p>
        </w:tc>
        <w:tc>
          <w:tcPr/>
          <w:p>
            <w:pPr>
              <w:pStyle w:val="Compact"/>
              <w:jc w:val="left"/>
            </w:pPr>
            <w:r>
              <w:t xml:space="preserve">Research crime-fraud exception to privilege; draft research memorandum</w:t>
            </w:r>
          </w:p>
        </w:tc>
      </w:tr>
      <w:tr>
        <w:tc>
          <w:tcPr/>
          <w:p>
            <w:pPr>
              <w:pStyle w:val="Compact"/>
              <w:jc w:val="left"/>
            </w:pPr>
            <w:r>
              <w:t xml:space="preserve">25</w:t>
            </w:r>
          </w:p>
        </w:tc>
        <w:tc>
          <w:tcPr/>
          <w:p>
            <w:pPr>
              <w:pStyle w:val="Compact"/>
              <w:jc w:val="left"/>
            </w:pPr>
            <w:r>
              <w:t xml:space="preserve">05/08</w:t>
            </w:r>
          </w:p>
        </w:tc>
        <w:tc>
          <w:tcPr/>
          <w:p>
            <w:pPr>
              <w:pStyle w:val="Compact"/>
              <w:jc w:val="right"/>
            </w:pPr>
            <w:r>
              <w:t xml:space="preserve">2.5</w:t>
            </w:r>
          </w:p>
        </w:tc>
        <w:tc>
          <w:tcPr/>
          <w:p>
            <w:pPr>
              <w:pStyle w:val="Compact"/>
              <w:jc w:val="right"/>
            </w:pPr>
            <w:r>
              <w:t xml:space="preserve">$1,187.50</w:t>
            </w:r>
          </w:p>
        </w:tc>
        <w:tc>
          <w:tcPr/>
          <w:p>
            <w:pPr>
              <w:pStyle w:val="Compact"/>
              <w:jc w:val="left"/>
            </w:pPr>
            <w:r>
              <w:t xml:space="preserve">Attend discovery strategy conference call</w:t>
            </w:r>
          </w:p>
        </w:tc>
      </w:tr>
      <w:tr>
        <w:tc>
          <w:tcPr/>
          <w:p>
            <w:pPr>
              <w:pStyle w:val="Compact"/>
              <w:jc w:val="left"/>
            </w:pPr>
            <w:r>
              <w:t xml:space="preserve">36</w:t>
            </w:r>
          </w:p>
        </w:tc>
        <w:tc>
          <w:tcPr/>
          <w:p>
            <w:pPr>
              <w:pStyle w:val="Compact"/>
              <w:jc w:val="left"/>
            </w:pPr>
            <w:r>
              <w:t xml:space="preserve">05/12</w:t>
            </w:r>
          </w:p>
        </w:tc>
        <w:tc>
          <w:tcPr/>
          <w:p>
            <w:pPr>
              <w:pStyle w:val="Compact"/>
              <w:jc w:val="right"/>
            </w:pPr>
            <w:r>
              <w:t xml:space="preserve">3.0</w:t>
            </w:r>
          </w:p>
        </w:tc>
        <w:tc>
          <w:tcPr/>
          <w:p>
            <w:pPr>
              <w:pStyle w:val="Compact"/>
              <w:jc w:val="right"/>
            </w:pPr>
            <w:r>
              <w:t xml:space="preserve">$1,425.00</w:t>
            </w:r>
          </w:p>
        </w:tc>
        <w:tc>
          <w:tcPr/>
          <w:p>
            <w:pPr>
              <w:pStyle w:val="Compact"/>
              <w:jc w:val="left"/>
            </w:pPr>
            <w:r>
              <w:t xml:space="preserve">Research Rule 37(b) sanctions; prepare supplemental research memo</w:t>
            </w:r>
          </w:p>
        </w:tc>
      </w:tr>
      <w:tr>
        <w:tc>
          <w:tcPr/>
          <w:p>
            <w:pPr>
              <w:pStyle w:val="Compact"/>
              <w:jc w:val="left"/>
            </w:pPr>
            <w:r>
              <w:t xml:space="preserve">48</w:t>
            </w:r>
          </w:p>
        </w:tc>
        <w:tc>
          <w:tcPr/>
          <w:p>
            <w:pPr>
              <w:pStyle w:val="Compact"/>
              <w:jc w:val="left"/>
            </w:pPr>
            <w:r>
              <w:t xml:space="preserve">05/14</w:t>
            </w:r>
          </w:p>
        </w:tc>
        <w:tc>
          <w:tcPr/>
          <w:p>
            <w:pPr>
              <w:pStyle w:val="Compact"/>
              <w:jc w:val="right"/>
            </w:pPr>
            <w:r>
              <w:t xml:space="preserve">3.5</w:t>
            </w:r>
          </w:p>
        </w:tc>
        <w:tc>
          <w:tcPr/>
          <w:p>
            <w:pPr>
              <w:pStyle w:val="Compact"/>
              <w:jc w:val="right"/>
            </w:pPr>
            <w:r>
              <w:t xml:space="preserve">$1,662.50</w:t>
            </w:r>
          </w:p>
        </w:tc>
        <w:tc>
          <w:tcPr/>
          <w:p>
            <w:pPr>
              <w:pStyle w:val="Compact"/>
              <w:jc w:val="left"/>
            </w:pPr>
            <w:r>
              <w:t xml:space="preserve">Review prior deposition transcripts for impeachment material; prepare summary</w:t>
            </w:r>
          </w:p>
        </w:tc>
      </w:tr>
      <w:tr>
        <w:tc>
          <w:tcPr/>
          <w:p>
            <w:pPr>
              <w:pStyle w:val="Compact"/>
              <w:jc w:val="left"/>
            </w:pPr>
            <w:r>
              <w:t xml:space="preserve">53</w:t>
            </w:r>
          </w:p>
        </w:tc>
        <w:tc>
          <w:tcPr/>
          <w:p>
            <w:pPr>
              <w:pStyle w:val="Compact"/>
              <w:jc w:val="left"/>
            </w:pPr>
            <w:r>
              <w:t xml:space="preserve">05/15</w:t>
            </w:r>
          </w:p>
        </w:tc>
        <w:tc>
          <w:tcPr/>
          <w:p>
            <w:pPr>
              <w:pStyle w:val="Compact"/>
              <w:jc w:val="right"/>
            </w:pPr>
            <w:r>
              <w:t xml:space="preserve">3.0</w:t>
            </w:r>
          </w:p>
        </w:tc>
        <w:tc>
          <w:tcPr/>
          <w:p>
            <w:pPr>
              <w:pStyle w:val="Compact"/>
              <w:jc w:val="right"/>
            </w:pPr>
            <w:r>
              <w:t xml:space="preserve">$1,425.00</w:t>
            </w:r>
          </w:p>
        </w:tc>
        <w:tc>
          <w:tcPr/>
          <w:p>
            <w:pPr>
              <w:pStyle w:val="Compact"/>
              <w:jc w:val="left"/>
            </w:pPr>
            <w:r>
              <w:t xml:space="preserve">Research protective-order standards in trade-secret cases</w:t>
            </w:r>
          </w:p>
        </w:tc>
      </w:tr>
      <w:tr>
        <w:tc>
          <w:tcPr/>
          <w:p>
            <w:pPr>
              <w:pStyle w:val="Compact"/>
              <w:jc w:val="left"/>
            </w:pPr>
            <w:r>
              <w:t xml:space="preserve">64</w:t>
            </w:r>
          </w:p>
        </w:tc>
        <w:tc>
          <w:tcPr/>
          <w:p>
            <w:pPr>
              <w:pStyle w:val="Compact"/>
              <w:jc w:val="left"/>
            </w:pPr>
            <w:r>
              <w:t xml:space="preserve">05/19</w:t>
            </w:r>
          </w:p>
        </w:tc>
        <w:tc>
          <w:tcPr/>
          <w:p>
            <w:pPr>
              <w:pStyle w:val="Compact"/>
              <w:jc w:val="right"/>
            </w:pPr>
            <w:r>
              <w:t xml:space="preserve">4.0</w:t>
            </w:r>
          </w:p>
        </w:tc>
        <w:tc>
          <w:tcPr/>
          <w:p>
            <w:pPr>
              <w:pStyle w:val="Compact"/>
              <w:jc w:val="right"/>
            </w:pPr>
            <w:r>
              <w:t xml:space="preserve">$1,900.00</w:t>
            </w:r>
          </w:p>
        </w:tc>
        <w:tc>
          <w:tcPr/>
          <w:p>
            <w:pPr>
              <w:pStyle w:val="Compact"/>
              <w:jc w:val="left"/>
            </w:pPr>
            <w:r>
              <w:t xml:space="preserve">Review Dr. Liu rough transcript; prepare analysis memorandum</w:t>
            </w:r>
          </w:p>
        </w:tc>
      </w:tr>
      <w:tr>
        <w:tc>
          <w:tcPr/>
          <w:p>
            <w:pPr>
              <w:pStyle w:val="Compact"/>
              <w:jc w:val="left"/>
            </w:pPr>
            <w:r>
              <w:t xml:space="preserve">74</w:t>
            </w:r>
          </w:p>
        </w:tc>
        <w:tc>
          <w:tcPr/>
          <w:p>
            <w:pPr>
              <w:pStyle w:val="Compact"/>
              <w:jc w:val="left"/>
            </w:pPr>
            <w:r>
              <w:t xml:space="preserve">05/21</w:t>
            </w:r>
          </w:p>
        </w:tc>
        <w:tc>
          <w:tcPr/>
          <w:p>
            <w:pPr>
              <w:pStyle w:val="Compact"/>
              <w:jc w:val="right"/>
            </w:pPr>
            <w:r>
              <w:t xml:space="preserve">4.0</w:t>
            </w:r>
          </w:p>
        </w:tc>
        <w:tc>
          <w:tcPr/>
          <w:p>
            <w:pPr>
              <w:pStyle w:val="Compact"/>
              <w:jc w:val="right"/>
            </w:pPr>
            <w:r>
              <w:t xml:space="preserve">$1,900.00</w:t>
            </w:r>
          </w:p>
        </w:tc>
        <w:tc>
          <w:tcPr/>
          <w:p>
            <w:pPr>
              <w:pStyle w:val="Compact"/>
              <w:jc w:val="left"/>
            </w:pPr>
            <w:r>
              <w:t xml:space="preserve">Research protective-order modification standards; prepare supplemental memo</w:t>
            </w:r>
          </w:p>
        </w:tc>
      </w:tr>
      <w:tr>
        <w:tc>
          <w:tcPr/>
          <w:p>
            <w:pPr>
              <w:pStyle w:val="Compact"/>
              <w:jc w:val="left"/>
            </w:pPr>
            <w:r>
              <w:t xml:space="preserve">80</w:t>
            </w:r>
          </w:p>
        </w:tc>
        <w:tc>
          <w:tcPr/>
          <w:p>
            <w:pPr>
              <w:pStyle w:val="Compact"/>
              <w:jc w:val="left"/>
            </w:pPr>
            <w:r>
              <w:t xml:space="preserve">05/22</w:t>
            </w:r>
          </w:p>
        </w:tc>
        <w:tc>
          <w:tcPr/>
          <w:p>
            <w:pPr>
              <w:pStyle w:val="Compact"/>
              <w:jc w:val="right"/>
            </w:pPr>
            <w:r>
              <w:t xml:space="preserve">3.5</w:t>
            </w:r>
          </w:p>
        </w:tc>
        <w:tc>
          <w:tcPr/>
          <w:p>
            <w:pPr>
              <w:pStyle w:val="Compact"/>
              <w:jc w:val="right"/>
            </w:pPr>
            <w:r>
              <w:t xml:space="preserve">$1,662.50</w:t>
            </w:r>
          </w:p>
        </w:tc>
        <w:tc>
          <w:tcPr/>
          <w:p>
            <w:pPr>
              <w:pStyle w:val="Compact"/>
              <w:jc w:val="left"/>
            </w:pPr>
            <w:r>
              <w:t xml:space="preserve">Review supplemental interrogatory responses; research damages factual support</w:t>
            </w:r>
          </w:p>
        </w:tc>
      </w:tr>
      <w:tr>
        <w:tc>
          <w:tcPr/>
          <w:p>
            <w:pPr>
              <w:pStyle w:val="Compact"/>
              <w:jc w:val="left"/>
            </w:pPr>
            <w:r>
              <w:t xml:space="preserve">85</w:t>
            </w:r>
          </w:p>
        </w:tc>
        <w:tc>
          <w:tcPr/>
          <w:p>
            <w:pPr>
              <w:pStyle w:val="Compact"/>
              <w:jc w:val="left"/>
            </w:pPr>
            <w:r>
              <w:t xml:space="preserve">05/23</w:t>
            </w:r>
          </w:p>
        </w:tc>
        <w:tc>
          <w:tcPr/>
          <w:p>
            <w:pPr>
              <w:pStyle w:val="Compact"/>
              <w:jc w:val="right"/>
            </w:pPr>
            <w:r>
              <w:t xml:space="preserve">3.0</w:t>
            </w:r>
          </w:p>
        </w:tc>
        <w:tc>
          <w:tcPr/>
          <w:p>
            <w:pPr>
              <w:pStyle w:val="Compact"/>
              <w:jc w:val="right"/>
            </w:pPr>
            <w:r>
              <w:t xml:space="preserve">$1,425.00</w:t>
            </w:r>
          </w:p>
        </w:tc>
        <w:tc>
          <w:tcPr/>
          <w:p>
            <w:pPr>
              <w:pStyle w:val="Compact"/>
              <w:jc w:val="left"/>
            </w:pPr>
            <w:r>
              <w:t xml:space="preserve">Research DTSA trade-secret identification requirements</w:t>
            </w:r>
          </w:p>
        </w:tc>
      </w:tr>
      <w:tr>
        <w:tc>
          <w:tcPr/>
          <w:p>
            <w:pPr>
              <w:pStyle w:val="Compact"/>
              <w:jc w:val="left"/>
            </w:pPr>
            <w:r>
              <w:t xml:space="preserve">90</w:t>
            </w:r>
          </w:p>
        </w:tc>
        <w:tc>
          <w:tcPr/>
          <w:p>
            <w:pPr>
              <w:pStyle w:val="Compact"/>
              <w:jc w:val="left"/>
            </w:pPr>
            <w:r>
              <w:t xml:space="preserve">05/26</w:t>
            </w:r>
          </w:p>
        </w:tc>
        <w:tc>
          <w:tcPr/>
          <w:p>
            <w:pPr>
              <w:pStyle w:val="Compact"/>
              <w:jc w:val="right"/>
            </w:pPr>
            <w:r>
              <w:t xml:space="preserve">3.5</w:t>
            </w:r>
          </w:p>
        </w:tc>
        <w:tc>
          <w:tcPr/>
          <w:p>
            <w:pPr>
              <w:pStyle w:val="Compact"/>
              <w:jc w:val="right"/>
            </w:pPr>
            <w:r>
              <w:t xml:space="preserve">$1,662.50</w:t>
            </w:r>
          </w:p>
        </w:tc>
        <w:tc>
          <w:tcPr/>
          <w:p>
            <w:pPr>
              <w:pStyle w:val="Compact"/>
              <w:jc w:val="left"/>
            </w:pPr>
            <w:r>
              <w:t xml:space="preserve">Review Krenshaw deposition-topic documents; prepare chronology</w:t>
            </w:r>
          </w:p>
        </w:tc>
      </w:tr>
      <w:tr>
        <w:tc>
          <w:tcPr/>
          <w:p>
            <w:pPr>
              <w:pStyle w:val="Compact"/>
              <w:jc w:val="left"/>
            </w:pPr>
            <w:r>
              <w:t xml:space="preserve">102</w:t>
            </w:r>
          </w:p>
        </w:tc>
        <w:tc>
          <w:tcPr/>
          <w:p>
            <w:pPr>
              <w:pStyle w:val="Compact"/>
              <w:jc w:val="left"/>
            </w:pPr>
            <w:r>
              <w:t xml:space="preserve">05/28</w:t>
            </w:r>
          </w:p>
        </w:tc>
        <w:tc>
          <w:tcPr/>
          <w:p>
            <w:pPr>
              <w:pStyle w:val="Compact"/>
              <w:jc w:val="right"/>
            </w:pPr>
            <w:r>
              <w:t xml:space="preserve">3.5</w:t>
            </w:r>
          </w:p>
        </w:tc>
        <w:tc>
          <w:tcPr/>
          <w:p>
            <w:pPr>
              <w:pStyle w:val="Compact"/>
              <w:jc w:val="right"/>
            </w:pPr>
            <w:r>
              <w:t xml:space="preserve">$1,662.50</w:t>
            </w:r>
          </w:p>
        </w:tc>
        <w:tc>
          <w:tcPr/>
          <w:p>
            <w:pPr>
              <w:pStyle w:val="Compact"/>
              <w:jc w:val="left"/>
            </w:pPr>
            <w:r>
              <w:t xml:space="preserve">Research inevitable-disclosure doctrine under Georgia law</w:t>
            </w:r>
          </w:p>
        </w:tc>
      </w:tr>
      <w:tr>
        <w:tc>
          <w:tcPr/>
          <w:p>
            <w:pPr>
              <w:pStyle w:val="Compact"/>
              <w:jc w:val="left"/>
            </w:pPr>
            <w:r>
              <w:t xml:space="preserve">109</w:t>
            </w:r>
          </w:p>
        </w:tc>
        <w:tc>
          <w:tcPr/>
          <w:p>
            <w:pPr>
              <w:pStyle w:val="Compact"/>
              <w:jc w:val="left"/>
            </w:pPr>
            <w:r>
              <w:t xml:space="preserve">05/29</w:t>
            </w:r>
          </w:p>
        </w:tc>
        <w:tc>
          <w:tcPr/>
          <w:p>
            <w:pPr>
              <w:pStyle w:val="Compact"/>
              <w:jc w:val="right"/>
            </w:pPr>
            <w:r>
              <w:t xml:space="preserve">3.5</w:t>
            </w:r>
          </w:p>
        </w:tc>
        <w:tc>
          <w:tcPr/>
          <w:p>
            <w:pPr>
              <w:pStyle w:val="Compact"/>
              <w:jc w:val="right"/>
            </w:pPr>
            <w:r>
              <w:t xml:space="preserve">$1,662.50</w:t>
            </w:r>
          </w:p>
        </w:tc>
        <w:tc>
          <w:tcPr/>
          <w:p>
            <w:pPr>
              <w:pStyle w:val="Compact"/>
              <w:jc w:val="left"/>
            </w:pPr>
            <w:r>
              <w:t xml:space="preserve">Research reasonable-royalty damages methods; analyze comparable licenses</w:t>
            </w:r>
          </w:p>
        </w:tc>
      </w:tr>
      <w:tr>
        <w:tc>
          <w:tcPr/>
          <w:p>
            <w:pPr>
              <w:pStyle w:val="Compact"/>
              <w:jc w:val="left"/>
            </w:pPr>
            <w:r>
              <w:t xml:space="preserve">115</w:t>
            </w:r>
          </w:p>
        </w:tc>
        <w:tc>
          <w:tcPr/>
          <w:p>
            <w:pPr>
              <w:pStyle w:val="Compact"/>
              <w:jc w:val="left"/>
            </w:pPr>
            <w:r>
              <w:t xml:space="preserve">05/30</w:t>
            </w:r>
          </w:p>
        </w:tc>
        <w:tc>
          <w:tcPr/>
          <w:p>
            <w:pPr>
              <w:pStyle w:val="Compact"/>
              <w:jc w:val="right"/>
            </w:pPr>
            <w:r>
              <w:t xml:space="preserve">3.0</w:t>
            </w:r>
          </w:p>
        </w:tc>
        <w:tc>
          <w:tcPr/>
          <w:p>
            <w:pPr>
              <w:pStyle w:val="Compact"/>
              <w:jc w:val="right"/>
            </w:pPr>
            <w:r>
              <w:t xml:space="preserve">$1,425.00</w:t>
            </w:r>
          </w:p>
        </w:tc>
        <w:tc>
          <w:tcPr/>
          <w:p>
            <w:pPr>
              <w:pStyle w:val="Compact"/>
              <w:jc w:val="left"/>
            </w:pPr>
            <w:r>
              <w:t xml:space="preserve">Finalize reasonable-royalty damages memorandum; prepare summary</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49.0</w:t>
            </w:r>
          </w:p>
        </w:tc>
        <w:tc>
          <w:tcPr/>
          <w:p>
            <w:pPr>
              <w:pStyle w:val="Compact"/>
              <w:jc w:val="right"/>
            </w:pPr>
            <w:r>
              <w:rPr>
                <w:b/>
                <w:bCs/>
              </w:rPr>
              <w:t xml:space="preserve">$23,275.00</w:t>
            </w:r>
          </w:p>
        </w:tc>
        <w:tc>
          <w:tcPr/>
          <w:p>
            <w:pPr>
              <w:pStyle w:val="Compact"/>
            </w:pPr>
          </w:p>
        </w:tc>
      </w:tr>
    </w:tbl>
    <w:p>
      <w:pPr>
        <w:pStyle w:val="BodyText"/>
      </w:pPr>
      <w:r>
        <w:rPr>
          <w:b/>
          <w:bCs/>
        </w:rPr>
        <w:t xml:space="preserve">Priya Sengupta — 27.0 hours — $10,125.00 (recommended full rejection):</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right"/>
            </w:pPr>
            <w:r>
              <w:t xml:space="preserve">Hours</w:t>
            </w:r>
          </w:p>
        </w:tc>
        <w:tc>
          <w:tcPr/>
          <w:p>
            <w:pPr>
              <w:pStyle w:val="Compact"/>
              <w:jc w:val="right"/>
            </w:pPr>
            <w:r>
              <w:t xml:space="preserve">Fees</w:t>
            </w:r>
          </w:p>
        </w:tc>
        <w:tc>
          <w:tcPr/>
          <w:p>
            <w:pPr>
              <w:pStyle w:val="Compact"/>
              <w:jc w:val="left"/>
            </w:pPr>
            <w:r>
              <w:t xml:space="preserve">Task</w:t>
            </w:r>
          </w:p>
        </w:tc>
      </w:tr>
      <w:tr>
        <w:tc>
          <w:tcPr/>
          <w:p>
            <w:pPr>
              <w:pStyle w:val="Compact"/>
              <w:jc w:val="left"/>
            </w:pPr>
            <w:r>
              <w:t xml:space="preserve">31</w:t>
            </w:r>
          </w:p>
        </w:tc>
        <w:tc>
          <w:tcPr/>
          <w:p>
            <w:pPr>
              <w:pStyle w:val="Compact"/>
              <w:jc w:val="left"/>
            </w:pPr>
            <w:r>
              <w:t xml:space="preserve">05/09</w:t>
            </w:r>
          </w:p>
        </w:tc>
        <w:tc>
          <w:tcPr/>
          <w:p>
            <w:pPr>
              <w:pStyle w:val="Compact"/>
              <w:jc w:val="right"/>
            </w:pPr>
            <w:r>
              <w:t xml:space="preserve">2.0</w:t>
            </w:r>
          </w:p>
        </w:tc>
        <w:tc>
          <w:tcPr/>
          <w:p>
            <w:pPr>
              <w:pStyle w:val="Compact"/>
              <w:jc w:val="right"/>
            </w:pPr>
            <w:r>
              <w:t xml:space="preserve">$750.00</w:t>
            </w:r>
          </w:p>
        </w:tc>
        <w:tc>
          <w:tcPr/>
          <w:p>
            <w:pPr>
              <w:pStyle w:val="Compact"/>
              <w:jc w:val="left"/>
            </w:pPr>
            <w:r>
              <w:t xml:space="preserve">Participate in team strategy discussion; begin DTSA extraterritorial research</w:t>
            </w:r>
          </w:p>
        </w:tc>
      </w:tr>
      <w:tr>
        <w:tc>
          <w:tcPr/>
          <w:p>
            <w:pPr>
              <w:pStyle w:val="Compact"/>
              <w:jc w:val="left"/>
            </w:pPr>
            <w:r>
              <w:t xml:space="preserve">37</w:t>
            </w:r>
          </w:p>
        </w:tc>
        <w:tc>
          <w:tcPr/>
          <w:p>
            <w:pPr>
              <w:pStyle w:val="Compact"/>
              <w:jc w:val="left"/>
            </w:pPr>
            <w:r>
              <w:t xml:space="preserve">05/12</w:t>
            </w:r>
          </w:p>
        </w:tc>
        <w:tc>
          <w:tcPr/>
          <w:p>
            <w:pPr>
              <w:pStyle w:val="Compact"/>
              <w:jc w:val="right"/>
            </w:pPr>
            <w:r>
              <w:t xml:space="preserve">2.5</w:t>
            </w:r>
          </w:p>
        </w:tc>
        <w:tc>
          <w:tcPr/>
          <w:p>
            <w:pPr>
              <w:pStyle w:val="Compact"/>
              <w:jc w:val="right"/>
            </w:pPr>
            <w:r>
              <w:t xml:space="preserve">$937.50</w:t>
            </w:r>
          </w:p>
        </w:tc>
        <w:tc>
          <w:tcPr/>
          <w:p>
            <w:pPr>
              <w:pStyle w:val="Compact"/>
              <w:jc w:val="left"/>
            </w:pPr>
            <w:r>
              <w:t xml:space="preserve">Research DTSA extraterritorial application; prepare memorandum</w:t>
            </w:r>
          </w:p>
        </w:tc>
      </w:tr>
      <w:tr>
        <w:tc>
          <w:tcPr/>
          <w:p>
            <w:pPr>
              <w:pStyle w:val="Compact"/>
              <w:jc w:val="left"/>
            </w:pPr>
            <w:r>
              <w:t xml:space="preserve">42</w:t>
            </w:r>
          </w:p>
        </w:tc>
        <w:tc>
          <w:tcPr/>
          <w:p>
            <w:pPr>
              <w:pStyle w:val="Compact"/>
              <w:jc w:val="left"/>
            </w:pPr>
            <w:r>
              <w:t xml:space="preserve">05/13</w:t>
            </w:r>
          </w:p>
        </w:tc>
        <w:tc>
          <w:tcPr/>
          <w:p>
            <w:pPr>
              <w:pStyle w:val="Compact"/>
              <w:jc w:val="right"/>
            </w:pPr>
            <w:r>
              <w:t xml:space="preserve">2.0</w:t>
            </w:r>
          </w:p>
        </w:tc>
        <w:tc>
          <w:tcPr/>
          <w:p>
            <w:pPr>
              <w:pStyle w:val="Compact"/>
              <w:jc w:val="right"/>
            </w:pPr>
            <w:r>
              <w:t xml:space="preserve">$750.00</w:t>
            </w:r>
          </w:p>
        </w:tc>
        <w:tc>
          <w:tcPr/>
          <w:p>
            <w:pPr>
              <w:pStyle w:val="Compact"/>
              <w:jc w:val="left"/>
            </w:pPr>
            <w:r>
              <w:t xml:space="preserve">Prepare Dr. Liu deposition exhibit binders; organize/index documents</w:t>
            </w:r>
          </w:p>
        </w:tc>
      </w:tr>
      <w:tr>
        <w:tc>
          <w:tcPr/>
          <w:p>
            <w:pPr>
              <w:pStyle w:val="Compact"/>
              <w:jc w:val="left"/>
            </w:pPr>
            <w:r>
              <w:t xml:space="preserve">54</w:t>
            </w:r>
          </w:p>
        </w:tc>
        <w:tc>
          <w:tcPr/>
          <w:p>
            <w:pPr>
              <w:pStyle w:val="Compact"/>
              <w:jc w:val="left"/>
            </w:pPr>
            <w:r>
              <w:t xml:space="preserve">05/15</w:t>
            </w:r>
          </w:p>
        </w:tc>
        <w:tc>
          <w:tcPr/>
          <w:p>
            <w:pPr>
              <w:pStyle w:val="Compact"/>
              <w:jc w:val="right"/>
            </w:pPr>
            <w:r>
              <w:t xml:space="preserve">2.5</w:t>
            </w:r>
          </w:p>
        </w:tc>
        <w:tc>
          <w:tcPr/>
          <w:p>
            <w:pPr>
              <w:pStyle w:val="Compact"/>
              <w:jc w:val="right"/>
            </w:pPr>
            <w:r>
              <w:t xml:space="preserve">$937.50</w:t>
            </w:r>
          </w:p>
        </w:tc>
        <w:tc>
          <w:tcPr/>
          <w:p>
            <w:pPr>
              <w:pStyle w:val="Compact"/>
              <w:jc w:val="left"/>
            </w:pPr>
            <w:r>
              <w:t xml:space="preserve">Cite-check motion-to-compel reply brief; Shepardize authorities</w:t>
            </w:r>
          </w:p>
        </w:tc>
      </w:tr>
      <w:tr>
        <w:tc>
          <w:tcPr/>
          <w:p>
            <w:pPr>
              <w:pStyle w:val="Compact"/>
              <w:jc w:val="left"/>
            </w:pPr>
            <w:r>
              <w:t xml:space="preserve">59</w:t>
            </w:r>
          </w:p>
        </w:tc>
        <w:tc>
          <w:tcPr/>
          <w:p>
            <w:pPr>
              <w:pStyle w:val="Compact"/>
              <w:jc w:val="left"/>
            </w:pPr>
            <w:r>
              <w:t xml:space="preserve">05/16</w:t>
            </w:r>
          </w:p>
        </w:tc>
        <w:tc>
          <w:tcPr/>
          <w:p>
            <w:pPr>
              <w:pStyle w:val="Compact"/>
              <w:jc w:val="right"/>
            </w:pPr>
            <w:r>
              <w:t xml:space="preserve">2.0</w:t>
            </w:r>
          </w:p>
        </w:tc>
        <w:tc>
          <w:tcPr/>
          <w:p>
            <w:pPr>
              <w:pStyle w:val="Compact"/>
              <w:jc w:val="right"/>
            </w:pPr>
            <w:r>
              <w:t xml:space="preserve">$750.00</w:t>
            </w:r>
          </w:p>
        </w:tc>
        <w:tc>
          <w:tcPr/>
          <w:p>
            <w:pPr>
              <w:pStyle w:val="Compact"/>
              <w:jc w:val="left"/>
            </w:pPr>
            <w:r>
              <w:t xml:space="preserve">Finalize Dr. Liu deposition exhibit binders; prepare copies</w:t>
            </w:r>
          </w:p>
        </w:tc>
      </w:tr>
      <w:tr>
        <w:tc>
          <w:tcPr/>
          <w:p>
            <w:pPr>
              <w:pStyle w:val="Compact"/>
              <w:jc w:val="left"/>
            </w:pPr>
            <w:r>
              <w:t xml:space="preserve">65</w:t>
            </w:r>
          </w:p>
        </w:tc>
        <w:tc>
          <w:tcPr/>
          <w:p>
            <w:pPr>
              <w:pStyle w:val="Compact"/>
              <w:jc w:val="left"/>
            </w:pPr>
            <w:r>
              <w:t xml:space="preserve">05/19</w:t>
            </w:r>
          </w:p>
        </w:tc>
        <w:tc>
          <w:tcPr/>
          <w:p>
            <w:pPr>
              <w:pStyle w:val="Compact"/>
              <w:jc w:val="right"/>
            </w:pPr>
            <w:r>
              <w:t xml:space="preserve">2.5</w:t>
            </w:r>
          </w:p>
        </w:tc>
        <w:tc>
          <w:tcPr/>
          <w:p>
            <w:pPr>
              <w:pStyle w:val="Compact"/>
              <w:jc w:val="right"/>
            </w:pPr>
            <w:r>
              <w:t xml:space="preserve">$937.50</w:t>
            </w:r>
          </w:p>
        </w:tc>
        <w:tc>
          <w:tcPr/>
          <w:p>
            <w:pPr>
              <w:pStyle w:val="Compact"/>
              <w:jc w:val="left"/>
            </w:pPr>
            <w:r>
              <w:t xml:space="preserve">Research implications of Dr. Liu testimony re DTSA extraterritoriality</w:t>
            </w:r>
          </w:p>
        </w:tc>
      </w:tr>
      <w:tr>
        <w:tc>
          <w:tcPr/>
          <w:p>
            <w:pPr>
              <w:pStyle w:val="Compact"/>
              <w:jc w:val="left"/>
            </w:pPr>
            <w:r>
              <w:t xml:space="preserve">81</w:t>
            </w:r>
          </w:p>
        </w:tc>
        <w:tc>
          <w:tcPr/>
          <w:p>
            <w:pPr>
              <w:pStyle w:val="Compact"/>
              <w:jc w:val="left"/>
            </w:pPr>
            <w:r>
              <w:t xml:space="preserve">05/22</w:t>
            </w:r>
          </w:p>
        </w:tc>
        <w:tc>
          <w:tcPr/>
          <w:p>
            <w:pPr>
              <w:pStyle w:val="Compact"/>
              <w:jc w:val="right"/>
            </w:pPr>
            <w:r>
              <w:t xml:space="preserve">2.5</w:t>
            </w:r>
          </w:p>
        </w:tc>
        <w:tc>
          <w:tcPr/>
          <w:p>
            <w:pPr>
              <w:pStyle w:val="Compact"/>
              <w:jc w:val="right"/>
            </w:pPr>
            <w:r>
              <w:t xml:space="preserve">$937.50</w:t>
            </w:r>
          </w:p>
        </w:tc>
        <w:tc>
          <w:tcPr/>
          <w:p>
            <w:pPr>
              <w:pStyle w:val="Compact"/>
              <w:jc w:val="left"/>
            </w:pPr>
            <w:r>
              <w:t xml:space="preserve">Research Daubert expert qualification in data-analytics trade-secret cases</w:t>
            </w:r>
          </w:p>
        </w:tc>
      </w:tr>
      <w:tr>
        <w:tc>
          <w:tcPr/>
          <w:p>
            <w:pPr>
              <w:pStyle w:val="Compact"/>
              <w:jc w:val="left"/>
            </w:pPr>
            <w:r>
              <w:t xml:space="preserve">91</w:t>
            </w:r>
          </w:p>
        </w:tc>
        <w:tc>
          <w:tcPr/>
          <w:p>
            <w:pPr>
              <w:pStyle w:val="Compact"/>
              <w:jc w:val="left"/>
            </w:pPr>
            <w:r>
              <w:t xml:space="preserve">05/26</w:t>
            </w:r>
          </w:p>
        </w:tc>
        <w:tc>
          <w:tcPr/>
          <w:p>
            <w:pPr>
              <w:pStyle w:val="Compact"/>
              <w:jc w:val="right"/>
            </w:pPr>
            <w:r>
              <w:t xml:space="preserve">3.0</w:t>
            </w:r>
          </w:p>
        </w:tc>
        <w:tc>
          <w:tcPr/>
          <w:p>
            <w:pPr>
              <w:pStyle w:val="Compact"/>
              <w:jc w:val="right"/>
            </w:pPr>
            <w:r>
              <w:t xml:space="preserve">$1,125.00</w:t>
            </w:r>
          </w:p>
        </w:tc>
        <w:tc>
          <w:tcPr/>
          <w:p>
            <w:pPr>
              <w:pStyle w:val="Compact"/>
              <w:jc w:val="left"/>
            </w:pPr>
            <w:r>
              <w:t xml:space="preserve">Research enforceability of non-compete/non-solicitation under Georgia law</w:t>
            </w:r>
          </w:p>
        </w:tc>
      </w:tr>
      <w:tr>
        <w:tc>
          <w:tcPr/>
          <w:p>
            <w:pPr>
              <w:pStyle w:val="Compact"/>
              <w:jc w:val="left"/>
            </w:pPr>
            <w:r>
              <w:t xml:space="preserve">97</w:t>
            </w:r>
          </w:p>
        </w:tc>
        <w:tc>
          <w:tcPr/>
          <w:p>
            <w:pPr>
              <w:pStyle w:val="Compact"/>
              <w:jc w:val="left"/>
            </w:pPr>
            <w:r>
              <w:t xml:space="preserve">05/27</w:t>
            </w:r>
          </w:p>
        </w:tc>
        <w:tc>
          <w:tcPr/>
          <w:p>
            <w:pPr>
              <w:pStyle w:val="Compact"/>
              <w:jc w:val="right"/>
            </w:pPr>
            <w:r>
              <w:t xml:space="preserve">3.0</w:t>
            </w:r>
          </w:p>
        </w:tc>
        <w:tc>
          <w:tcPr/>
          <w:p>
            <w:pPr>
              <w:pStyle w:val="Compact"/>
              <w:jc w:val="right"/>
            </w:pPr>
            <w:r>
              <w:t xml:space="preserve">$1,125.00</w:t>
            </w:r>
          </w:p>
        </w:tc>
        <w:tc>
          <w:tcPr/>
          <w:p>
            <w:pPr>
              <w:pStyle w:val="Compact"/>
              <w:jc w:val="left"/>
            </w:pPr>
            <w:r>
              <w:t xml:space="preserve">Prepare Krenshaw deposition exhibit binders; organize/index; prepare copies</w:t>
            </w:r>
          </w:p>
        </w:tc>
      </w:tr>
      <w:tr>
        <w:tc>
          <w:tcPr/>
          <w:p>
            <w:pPr>
              <w:pStyle w:val="Compact"/>
              <w:jc w:val="left"/>
            </w:pPr>
            <w:r>
              <w:t xml:space="preserve">104</w:t>
            </w:r>
          </w:p>
        </w:tc>
        <w:tc>
          <w:tcPr/>
          <w:p>
            <w:pPr>
              <w:pStyle w:val="Compact"/>
              <w:jc w:val="left"/>
            </w:pPr>
            <w:r>
              <w:t xml:space="preserve">05/28</w:t>
            </w:r>
          </w:p>
        </w:tc>
        <w:tc>
          <w:tcPr/>
          <w:p>
            <w:pPr>
              <w:pStyle w:val="Compact"/>
              <w:jc w:val="right"/>
            </w:pPr>
            <w:r>
              <w:t xml:space="preserve">2.5</w:t>
            </w:r>
          </w:p>
        </w:tc>
        <w:tc>
          <w:tcPr/>
          <w:p>
            <w:pPr>
              <w:pStyle w:val="Compact"/>
              <w:jc w:val="right"/>
            </w:pPr>
            <w:r>
              <w:t xml:space="preserve">$937.50</w:t>
            </w:r>
          </w:p>
        </w:tc>
        <w:tc>
          <w:tcPr/>
          <w:p>
            <w:pPr>
              <w:pStyle w:val="Compact"/>
              <w:jc w:val="left"/>
            </w:pPr>
            <w:r>
              <w:t xml:space="preserve">Research unjust-enrichment/disgorgement remedies in 11th Cir. trade-secret cases</w:t>
            </w:r>
          </w:p>
        </w:tc>
      </w:tr>
      <w:tr>
        <w:tc>
          <w:tcPr/>
          <w:p>
            <w:pPr>
              <w:pStyle w:val="Compact"/>
              <w:jc w:val="left"/>
            </w:pPr>
            <w:r>
              <w:t xml:space="preserve">116</w:t>
            </w:r>
          </w:p>
        </w:tc>
        <w:tc>
          <w:tcPr/>
          <w:p>
            <w:pPr>
              <w:pStyle w:val="Compact"/>
              <w:jc w:val="left"/>
            </w:pPr>
            <w:r>
              <w:t xml:space="preserve">05/30</w:t>
            </w:r>
          </w:p>
        </w:tc>
        <w:tc>
          <w:tcPr/>
          <w:p>
            <w:pPr>
              <w:pStyle w:val="Compact"/>
              <w:jc w:val="right"/>
            </w:pPr>
            <w:r>
              <w:t xml:space="preserve">2.5</w:t>
            </w:r>
          </w:p>
        </w:tc>
        <w:tc>
          <w:tcPr/>
          <w:p>
            <w:pPr>
              <w:pStyle w:val="Compact"/>
              <w:jc w:val="right"/>
            </w:pPr>
            <w:r>
              <w:t xml:space="preserve">$937.50</w:t>
            </w:r>
          </w:p>
        </w:tc>
        <w:tc>
          <w:tcPr/>
          <w:p>
            <w:pPr>
              <w:pStyle w:val="Compact"/>
              <w:jc w:val="left"/>
            </w:pPr>
            <w:r>
              <w:t xml:space="preserve">Update comprehensive research index and authorities database</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27.0</w:t>
            </w:r>
          </w:p>
        </w:tc>
        <w:tc>
          <w:tcPr/>
          <w:p>
            <w:pPr>
              <w:pStyle w:val="Compact"/>
              <w:jc w:val="right"/>
            </w:pPr>
            <w:r>
              <w:rPr>
                <w:b/>
                <w:bCs/>
              </w:rPr>
              <w:t xml:space="preserve">$10,125.00</w:t>
            </w:r>
          </w:p>
        </w:tc>
        <w:tc>
          <w:tcPr/>
          <w:p>
            <w:pPr>
              <w:pStyle w:val="Compact"/>
            </w:pPr>
          </w:p>
        </w:tc>
      </w:tr>
    </w:tbl>
    <w:p>
      <w:r>
        <w:pict>
          <v:rect style="width:0;height:1.5pt" o:hralign="center" o:hrstd="t" o:hr="t"/>
        </w:pict>
      </w:r>
    </w:p>
    <w:p>
      <w:pPr>
        <w:pStyle w:val="FirstParagraph"/>
      </w:pPr>
      <w:r>
        <w:rPr>
          <w:i/>
          <w:iCs/>
        </w:rPr>
        <w:t xml:space="preserve">End of Memorandum. This memorandum is privileged and confidential, constitutes attorney work product prepared in anticipation of litigation, and is intended solely for the use of Pinnacle Health Systems, Inc.’s legal department.</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2026-06-28T21:54:10Z</dcterms:created>
  <dcterms:modified xsi:type="dcterms:W3CDTF">2026-06-28T21:54:10Z</dcterms:modified>
</cp:coreProperties>
</file>

<file path=docProps/custom.xml><?xml version="1.0" encoding="utf-8"?>
<Properties xmlns="http://schemas.openxmlformats.org/officeDocument/2006/custom-properties" xmlns:vt="http://schemas.openxmlformats.org/officeDocument/2006/docPropsVTypes"/>
</file>