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nvoice-review-memorandum"/>
    <w:p>
      <w:pPr>
        <w:pStyle w:val="Heading1"/>
      </w:pPr>
      <w:r>
        <w:t xml:space="preserve">INVOICE REVIEW MEMORANDUM</w:t>
      </w:r>
    </w:p>
    <w:p>
      <w:pPr>
        <w:pStyle w:val="FirstParagraph"/>
      </w:pPr>
      <w:r>
        <w:rPr>
          <w:b/>
          <w:bCs/>
        </w:rPr>
        <w:t xml:space="preserve">PRIVILEGED &amp;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Dominguez, Associate General Counsel (Designated In-House Counsel), Pinnacle Health Systems, Inc.</w:t>
            </w:r>
          </w:p>
        </w:tc>
      </w:tr>
      <w:tr>
        <w:tc>
          <w:tcPr/>
          <w:p>
            <w:pPr>
              <w:pStyle w:val="Compact"/>
              <w:jc w:val="left"/>
            </w:pPr>
            <w:r>
              <w:rPr>
                <w:b/>
                <w:bCs/>
              </w:rPr>
              <w:t xml:space="preserve">Cc:</w:t>
            </w:r>
          </w:p>
        </w:tc>
        <w:tc>
          <w:tcPr/>
          <w:p>
            <w:pPr>
              <w:pStyle w:val="Compact"/>
              <w:jc w:val="left"/>
            </w:pPr>
            <w:r>
              <w:t xml:space="preserve">Sandra Whitmore, General Counsel, Pinnacle Health Systems, Inc.</w:t>
            </w:r>
          </w:p>
        </w:tc>
      </w:tr>
      <w:tr>
        <w:tc>
          <w:tcPr/>
          <w:p>
            <w:pPr>
              <w:pStyle w:val="Compact"/>
              <w:jc w:val="left"/>
            </w:pPr>
            <w:r>
              <w:rPr>
                <w:b/>
                <w:bCs/>
              </w:rPr>
              <w:t xml:space="preserve">From:</w:t>
            </w:r>
          </w:p>
        </w:tc>
        <w:tc>
          <w:tcPr/>
          <w:p>
            <w:pPr>
              <w:pStyle w:val="Compact"/>
              <w:jc w:val="left"/>
            </w:pPr>
            <w:r>
              <w:t xml:space="preserve">Legal Operations / Billing Review</w:t>
            </w:r>
          </w:p>
        </w:tc>
      </w:tr>
      <w:tr>
        <w:tc>
          <w:tcPr/>
          <w:p>
            <w:pPr>
              <w:pStyle w:val="Compact"/>
              <w:jc w:val="left"/>
            </w:pPr>
            <w:r>
              <w:rPr>
                <w:b/>
                <w:bCs/>
              </w:rPr>
              <w:t xml:space="preserve">Date:</w:t>
            </w:r>
          </w:p>
        </w:tc>
        <w:tc>
          <w:tcPr/>
          <w:p>
            <w:pPr>
              <w:pStyle w:val="Compact"/>
              <w:jc w:val="left"/>
            </w:pPr>
            <w:r>
              <w:t xml:space="preserve">June 12, 2025</w:t>
            </w:r>
          </w:p>
        </w:tc>
      </w:tr>
      <w:tr>
        <w:tc>
          <w:tcPr/>
          <w:p>
            <w:pPr>
              <w:pStyle w:val="Compact"/>
              <w:jc w:val="left"/>
            </w:pPr>
            <w:r>
              <w:rPr>
                <w:b/>
                <w:bCs/>
              </w:rPr>
              <w:t xml:space="preserve">Re:</w:t>
            </w:r>
          </w:p>
        </w:tc>
        <w:tc>
          <w:tcPr/>
          <w:p>
            <w:pPr>
              <w:pStyle w:val="Compact"/>
              <w:jc w:val="left"/>
            </w:pPr>
            <w:r>
              <w:t xml:space="preserve">Review of Invoice No. HL-2025-05-PIN — Hargrove &amp; Linden LLP —</w:t>
            </w:r>
            <w:r>
              <w:t xml:space="preserve"> </w:t>
            </w:r>
            <w:r>
              <w:rPr>
                <w:i/>
                <w:iCs/>
              </w:rPr>
              <w:t xml:space="preserve">Pinnacle Health Systems, Inc. v. MedCore Analytics, LLC</w:t>
            </w:r>
            <w:r>
              <w:t xml:space="preserve">, Case No. 1:24-cv-04187-RWS (N.D. Ga.) — Billing Period May 1–31,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submitted Invoice No. HL-2025-05-PIN dated June 5, 2025, for legal services rendered during May 1–31, 2025. The invoice</w:t>
      </w:r>
      <w:r>
        <w:t xml:space="preserve"> </w:t>
      </w:r>
      <w:r>
        <w:rPr>
          <w:b/>
          <w:bCs/>
        </w:rPr>
        <w:t xml:space="preserve">Summary page requests $201,822.50</w:t>
      </w:r>
      <w:r>
        <w:t xml:space="preserve">, comprising $193,372.50 in attorney fees and $8,450.00 in expenses.</w:t>
      </w:r>
    </w:p>
    <w:p>
      <w:pPr>
        <w:pStyle w:val="BodyText"/>
      </w:pPr>
      <w:r>
        <w:t xml:space="preserve">This review was conducted against (i) the Approved Discovery-Phase Staffing Plan dated February 10, 2025; (ii) Pinnacle’s Outside Counsel Billing Guidelines (January 2023) (the</w:t>
      </w:r>
      <w:r>
        <w:t xml:space="preserve"> </w:t>
      </w:r>
      <w:r>
        <w:t xml:space="preserve">“</w:t>
      </w:r>
      <w:r>
        <w:t xml:space="preserve">Guidelines</w:t>
      </w:r>
      <w:r>
        <w:t xml:space="preserve">”</w:t>
      </w:r>
      <w:r>
        <w:t xml:space="preserve">); (iii) the April 28 / May 1, 2025 staffing-addition email correspondence between Karen Cho and Rachel Dominguez; and (iv) H&amp;L’s May 2025 Monthly Case Status Report dated June 1, 2025.</w:t>
      </w:r>
    </w:p>
    <w:p>
      <w:pPr>
        <w:pStyle w:val="BodyText"/>
      </w:pPr>
      <w:r>
        <w:rPr>
          <w:b/>
          <w:bCs/>
        </w:rPr>
        <w:t xml:space="preserve">Bottom line.</w:t>
      </w:r>
      <w:r>
        <w:t xml:space="preserve"> </w:t>
      </w:r>
      <w:r>
        <w:t xml:space="preserve">The invoice should</w:t>
      </w:r>
      <w:r>
        <w:t xml:space="preserve"> </w:t>
      </w:r>
      <w:r>
        <w:rPr>
          <w:b/>
          <w:bCs/>
        </w:rPr>
        <w:t xml:space="preserve">not be paid as submitted.</w:t>
      </w:r>
      <w:r>
        <w:t xml:space="preserve"> </w:t>
      </w:r>
      <w:r>
        <w:t xml:space="preserve">It contains a material internal reconciliation defect and numerous Guidelines violations. Applying the Guidelines to the 117 line-item time entries yields</w:t>
      </w:r>
      <w:r>
        <w:t xml:space="preserve"> </w:t>
      </w:r>
      <w:r>
        <w:rPr>
          <w:b/>
          <w:bCs/>
        </w:rPr>
        <w:t xml:space="preserve">total reductions of $75,936.88</w:t>
      </w:r>
      <w:r>
        <w:t xml:space="preserve"> </w:t>
      </w:r>
      <w:r>
        <w:t xml:space="preserve">and an</w:t>
      </w:r>
      <w:r>
        <w:t xml:space="preserve"> </w:t>
      </w:r>
      <w:r>
        <w:rPr>
          <w:b/>
          <w:bCs/>
        </w:rPr>
        <w:t xml:space="preserve">audited payable of $148,193.12</w:t>
      </w:r>
      <w:r>
        <w:t xml:space="preserve"> </w:t>
      </w:r>
      <w:r>
        <w:t xml:space="preserve">—</w:t>
      </w:r>
      <w:r>
        <w:t xml:space="preserve"> </w:t>
      </w:r>
      <w:r>
        <w:rPr>
          <w:b/>
          <w:bCs/>
        </w:rPr>
        <w:t xml:space="preserve">$53,629.38 (26.6%) less than the $201,822.50 requested.</w:t>
      </w:r>
      <w:r>
        <w:t xml:space="preserve"> </w:t>
      </w:r>
      <w:r>
        <w:t xml:space="preserve">Payment should be withheld pending submission of a corrected, reconciled invoice with supporting receipts, and in no event should Pinnacle pay more than the audited amount.</w:t>
      </w:r>
    </w:p>
    <w:p>
      <w:pPr>
        <w:pStyle w:val="BodyText"/>
      </w:pPr>
      <w:r>
        <w:rPr>
          <w:b/>
          <w:bCs/>
        </w:rPr>
        <w:t xml:space="preserve">Principal findings (attorney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Guideline</w:t>
            </w:r>
          </w:p>
        </w:tc>
        <w:tc>
          <w:tcPr/>
          <w:p>
            <w:pPr>
              <w:pStyle w:val="Compact"/>
              <w:jc w:val="left"/>
            </w:pPr>
            <w:r>
              <w:t xml:space="preserve">Reduction</w:t>
            </w:r>
          </w:p>
        </w:tc>
      </w:tr>
      <w:tr>
        <w:tc>
          <w:tcPr/>
          <w:p>
            <w:pPr>
              <w:pStyle w:val="Compact"/>
              <w:jc w:val="left"/>
            </w:pPr>
            <w:r>
              <w:t xml:space="preserve">1</w:t>
            </w:r>
          </w:p>
        </w:tc>
        <w:tc>
          <w:tcPr/>
          <w:p>
            <w:pPr>
              <w:pStyle w:val="Compact"/>
              <w:jc w:val="left"/>
            </w:pPr>
            <w:r>
              <w:t xml:space="preserve">Two unapproved timekeepers — Nina Barros and Priya Sengupta — billed $33,400.00 without written approval</w:t>
            </w:r>
          </w:p>
        </w:tc>
        <w:tc>
          <w:tcPr/>
          <w:p>
            <w:pPr>
              <w:pStyle w:val="Compact"/>
              <w:jc w:val="left"/>
            </w:pPr>
            <w:r>
              <w:t xml:space="preserve">§4.2</w:t>
            </w:r>
          </w:p>
        </w:tc>
        <w:tc>
          <w:tcPr/>
          <w:p>
            <w:pPr>
              <w:pStyle w:val="Compact"/>
              <w:jc w:val="left"/>
            </w:pPr>
            <w:r>
              <w:t xml:space="preserve">$33,400.00</w:t>
            </w:r>
          </w:p>
        </w:tc>
      </w:tr>
      <w:tr>
        <w:tc>
          <w:tcPr/>
          <w:p>
            <w:pPr>
              <w:pStyle w:val="Compact"/>
              <w:jc w:val="left"/>
            </w:pPr>
            <w:r>
              <w:t xml:space="preserve">2</w:t>
            </w:r>
          </w:p>
        </w:tc>
        <w:tc>
          <w:tcPr/>
          <w:p>
            <w:pPr>
              <w:pStyle w:val="Compact"/>
              <w:jc w:val="left"/>
            </w:pPr>
            <w:r>
              <w:t xml:space="preserve">Contract attorney Marcus Tate billed at $210/hr vs. the approved $185/hr pass-through rate (also above the $200 cap)</w:t>
            </w:r>
          </w:p>
        </w:tc>
        <w:tc>
          <w:tcPr/>
          <w:p>
            <w:pPr>
              <w:pStyle w:val="Compact"/>
              <w:jc w:val="left"/>
            </w:pPr>
            <w:r>
              <w:t xml:space="preserve">§5.1 / Staffing Plan §6</w:t>
            </w:r>
          </w:p>
        </w:tc>
        <w:tc>
          <w:tcPr/>
          <w:p>
            <w:pPr>
              <w:pStyle w:val="Compact"/>
              <w:jc w:val="left"/>
            </w:pPr>
            <w:r>
              <w:t xml:space="preserve">$3,862.50</w:t>
            </w:r>
          </w:p>
        </w:tc>
      </w:tr>
      <w:tr>
        <w:tc>
          <w:tcPr/>
          <w:p>
            <w:pPr>
              <w:pStyle w:val="Compact"/>
              <w:jc w:val="left"/>
            </w:pPr>
            <w:r>
              <w:t xml:space="preserve">3</w:t>
            </w:r>
          </w:p>
        </w:tc>
        <w:tc>
          <w:tcPr/>
          <w:p>
            <w:pPr>
              <w:pStyle w:val="Compact"/>
              <w:jc w:val="left"/>
            </w:pPr>
            <w:r>
              <w:t xml:space="preserve">45 block-billed entries combining multiple discrete tasks</w:t>
            </w:r>
          </w:p>
        </w:tc>
        <w:tc>
          <w:tcPr/>
          <w:p>
            <w:pPr>
              <w:pStyle w:val="Compact"/>
              <w:jc w:val="left"/>
            </w:pPr>
            <w:r>
              <w:t xml:space="preserve">§5.4 (25% each)</w:t>
            </w:r>
          </w:p>
        </w:tc>
        <w:tc>
          <w:tcPr/>
          <w:p>
            <w:pPr>
              <w:pStyle w:val="Compact"/>
              <w:jc w:val="left"/>
            </w:pPr>
            <w:r>
              <w:t xml:space="preserve">$27,471.88</w:t>
            </w:r>
          </w:p>
        </w:tc>
      </w:tr>
      <w:tr>
        <w:tc>
          <w:tcPr/>
          <w:p>
            <w:pPr>
              <w:pStyle w:val="Compact"/>
              <w:jc w:val="left"/>
            </w:pPr>
            <w:r>
              <w:t xml:space="preserve">4</w:t>
            </w:r>
          </w:p>
        </w:tc>
        <w:tc>
          <w:tcPr/>
          <w:p>
            <w:pPr>
              <w:pStyle w:val="Compact"/>
              <w:jc w:val="left"/>
            </w:pPr>
            <w:r>
              <w:t xml:space="preserve">Task/timekeeper mismatches — partner document review &amp; cite-checking; mid-level exhibit binders; junior routine document review</w:t>
            </w:r>
          </w:p>
        </w:tc>
        <w:tc>
          <w:tcPr/>
          <w:p>
            <w:pPr>
              <w:pStyle w:val="Compact"/>
              <w:jc w:val="left"/>
            </w:pPr>
            <w:r>
              <w:t xml:space="preserve">§6.1</w:t>
            </w:r>
          </w:p>
        </w:tc>
        <w:tc>
          <w:tcPr/>
          <w:p>
            <w:pPr>
              <w:pStyle w:val="Compact"/>
              <w:jc w:val="left"/>
            </w:pPr>
            <w:r>
              <w:t xml:space="preserve">$5,077.50</w:t>
            </w:r>
          </w:p>
        </w:tc>
      </w:tr>
      <w:tr>
        <w:tc>
          <w:tcPr/>
          <w:p>
            <w:pPr>
              <w:pStyle w:val="Compact"/>
              <w:jc w:val="left"/>
            </w:pPr>
            <w:r>
              <w:t xml:space="preserve">5</w:t>
            </w:r>
          </w:p>
        </w:tc>
        <w:tc>
          <w:tcPr/>
          <w:p>
            <w:pPr>
              <w:pStyle w:val="Compact"/>
              <w:jc w:val="left"/>
            </w:pPr>
            <w:r>
              <w:t xml:space="preserve">Administrative scheduling time billed at attorney rates</w:t>
            </w:r>
          </w:p>
        </w:tc>
        <w:tc>
          <w:tcPr/>
          <w:p>
            <w:pPr>
              <w:pStyle w:val="Compact"/>
              <w:jc w:val="left"/>
            </w:pPr>
            <w:r>
              <w:t xml:space="preserve">§6.1(g)–(k), §2</w:t>
            </w:r>
          </w:p>
        </w:tc>
        <w:tc>
          <w:tcPr/>
          <w:p>
            <w:pPr>
              <w:pStyle w:val="Compact"/>
              <w:jc w:val="left"/>
            </w:pPr>
            <w:r>
              <w:t xml:space="preserve">$712.50</w:t>
            </w:r>
          </w:p>
        </w:tc>
      </w:tr>
      <w:tr>
        <w:tc>
          <w:tcPr/>
          <w:p>
            <w:pPr>
              <w:pStyle w:val="Compact"/>
              <w:jc w:val="left"/>
            </w:pPr>
            <w:r>
              <w:t xml:space="preserve">6</w:t>
            </w:r>
          </w:p>
        </w:tc>
        <w:tc>
          <w:tcPr/>
          <w:p>
            <w:pPr>
              <w:pStyle w:val="Compact"/>
              <w:jc w:val="left"/>
            </w:pPr>
            <w:r>
              <w:t xml:space="preserve">Conference/deposition staffing caps exceeded — May 8 strategy call (5 timekeepers) and Dr. Liu deposition (3 attorneys)</w:t>
            </w:r>
          </w:p>
        </w:tc>
        <w:tc>
          <w:tcPr/>
          <w:p>
            <w:pPr>
              <w:pStyle w:val="Compact"/>
              <w:jc w:val="left"/>
            </w:pPr>
            <w:r>
              <w:t xml:space="preserve">§4.3</w:t>
            </w:r>
          </w:p>
        </w:tc>
        <w:tc>
          <w:tcPr/>
          <w:p>
            <w:pPr>
              <w:pStyle w:val="Compact"/>
              <w:jc w:val="left"/>
            </w:pPr>
            <w:r>
              <w:t xml:space="preserve">$3,312.50</w:t>
            </w:r>
          </w:p>
        </w:tc>
      </w:tr>
      <w:tr>
        <w:tc>
          <w:tcPr/>
          <w:p>
            <w:pPr>
              <w:pStyle w:val="Compact"/>
              <w:jc w:val="left"/>
            </w:pPr>
            <w:r>
              <w:t xml:space="preserve">7</w:t>
            </w:r>
          </w:p>
        </w:tc>
        <w:tc>
          <w:tcPr/>
          <w:p>
            <w:pPr>
              <w:pStyle w:val="Compact"/>
              <w:jc w:val="left"/>
            </w:pPr>
            <w:r>
              <w:t xml:space="preserve">Monthly fees exceed the §7.3 pre-approval threshold ($189,750) with no prior written approval</w:t>
            </w:r>
          </w:p>
        </w:tc>
        <w:tc>
          <w:tcPr/>
          <w:p>
            <w:pPr>
              <w:pStyle w:val="Compact"/>
              <w:jc w:val="left"/>
            </w:pPr>
            <w:r>
              <w:t xml:space="preserve">§7.3</w:t>
            </w:r>
          </w:p>
        </w:tc>
        <w:tc>
          <w:tcPr/>
          <w:p>
            <w:pPr>
              <w:pStyle w:val="Compact"/>
              <w:jc w:val="left"/>
            </w:pPr>
            <w:r>
              <w:t xml:space="preserve">flagged (see §V.G)</w:t>
            </w:r>
          </w:p>
        </w:tc>
      </w:tr>
      <w:tr>
        <w:tc>
          <w:tcPr/>
          <w:p>
            <w:pPr>
              <w:pStyle w:val="Compact"/>
            </w:pPr>
          </w:p>
        </w:tc>
        <w:tc>
          <w:tcPr/>
          <w:p>
            <w:pPr>
              <w:pStyle w:val="Compact"/>
              <w:jc w:val="left"/>
            </w:pPr>
            <w:r>
              <w:rPr>
                <w:b/>
                <w:bCs/>
              </w:rPr>
              <w:t xml:space="preserve">Subtotal — attorney-fee reductions</w:t>
            </w:r>
          </w:p>
        </w:tc>
        <w:tc>
          <w:tcPr/>
          <w:p>
            <w:pPr>
              <w:pStyle w:val="Compact"/>
            </w:pPr>
          </w:p>
        </w:tc>
        <w:tc>
          <w:tcPr/>
          <w:p>
            <w:pPr>
              <w:pStyle w:val="Compact"/>
              <w:jc w:val="left"/>
            </w:pPr>
            <w:r>
              <w:rPr>
                <w:b/>
                <w:bCs/>
              </w:rPr>
              <w:t xml:space="preserve">$73,836.88</w:t>
            </w:r>
          </w:p>
        </w:tc>
      </w:tr>
    </w:tbl>
    <w:p>
      <w:pPr>
        <w:pStyle w:val="BodyText"/>
      </w:pPr>
      <w:r>
        <w:rPr>
          <w:b/>
          <w:bCs/>
        </w:rPr>
        <w:t xml:space="preserve">Principal findings (expenses):</w:t>
      </w:r>
      <w:r>
        <w:t xml:space="preserve"> </w:t>
      </w:r>
      <w:r>
        <w:t xml:space="preserve">$2,100.00 in local travel to the Firm’s own Atlanta office is disallowed (§6.4, §8.2, §8.3); remaining expenses are allowed contingent on production of vendor receipts and pre-approval documentation (§8.1).</w:t>
      </w:r>
    </w:p>
    <w:p>
      <w:pPr>
        <w:pStyle w:val="BodyText"/>
      </w:pPr>
      <w:r>
        <w:rPr>
          <w:b/>
          <w:bCs/>
        </w:rPr>
        <w:t xml:space="preserve">Format/compliance findings:</w:t>
      </w:r>
      <w:r>
        <w:t xml:space="preserve"> </w:t>
      </w:r>
      <w:r>
        <w:t xml:space="preserve">the Summary does not reconcile to the Time Detail (a $22,307.50 / 61-hour variance); the invoice omits the §7.2/§9.1(g) budget-to-actual reconciliation; no Pinnacle matter number is shown; and no expense receipts are attached.</w:t>
      </w:r>
    </w:p>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rPr>
          <w:b/>
          <w:bCs/>
        </w:rPr>
        <w:t xml:space="preserve">Invoice No. HL-2025-05-PIN</w:t>
      </w:r>
      <w:r>
        <w:t xml:space="preserve"> </w:t>
      </w:r>
      <w:r>
        <w:t xml:space="preserve">(H&amp;L, dated June 5, 2025) — Summary, Time Detail (117 entries), Expense Detail, and Rate Schedule worksheets.</w:t>
      </w:r>
    </w:p>
    <w:p>
      <w:pPr>
        <w:pStyle w:val="Compact"/>
        <w:numPr>
          <w:ilvl w:val="0"/>
          <w:numId w:val="1001"/>
        </w:numPr>
      </w:pPr>
      <w:r>
        <w:rPr>
          <w:b/>
          <w:bCs/>
        </w:rPr>
        <w:t xml:space="preserve">Approved Discovery-Phase Staffing Plan</w:t>
      </w:r>
      <w:r>
        <w:t xml:space="preserve">, H&amp;L to Pinnacle, dated February 10, 2025 (signed by Rachel Dominguez and Sandra Whitmore).</w:t>
      </w:r>
    </w:p>
    <w:p>
      <w:pPr>
        <w:pStyle w:val="Compact"/>
        <w:numPr>
          <w:ilvl w:val="0"/>
          <w:numId w:val="1001"/>
        </w:numPr>
      </w:pPr>
      <w:r>
        <w:rPr>
          <w:b/>
          <w:bCs/>
        </w:rPr>
        <w:t xml:space="preserve">Pinnacle Health Systems, Inc. Outside Counsel Billing Guidelines</w:t>
      </w:r>
      <w:r>
        <w:t xml:space="preserve">, effective January 1, 2023.</w:t>
      </w:r>
    </w:p>
    <w:p>
      <w:pPr>
        <w:pStyle w:val="Compact"/>
        <w:numPr>
          <w:ilvl w:val="0"/>
          <w:numId w:val="1001"/>
        </w:numPr>
      </w:pPr>
      <w:r>
        <w:rPr>
          <w:b/>
          <w:bCs/>
        </w:rPr>
        <w:t xml:space="preserve">Staffing-addition email correspondence</w:t>
      </w:r>
      <w:r>
        <w:t xml:space="preserve">, K. Cho → R. Dominguez (Apr. 28, 2025) and R. Dominguez → K. Cho (May 1, 2025).</w:t>
      </w:r>
    </w:p>
    <w:p>
      <w:pPr>
        <w:pStyle w:val="Compact"/>
        <w:numPr>
          <w:ilvl w:val="0"/>
          <w:numId w:val="1001"/>
        </w:numPr>
      </w:pPr>
      <w:r>
        <w:rPr>
          <w:b/>
          <w:bCs/>
        </w:rPr>
        <w:t xml:space="preserve">Monthly Case Status Report — May 2025</w:t>
      </w:r>
      <w:r>
        <w:t xml:space="preserve">, H&amp;L to Pinnacle, dated June 1, 2025.</w:t>
      </w:r>
    </w:p>
    <w:p>
      <w:r>
        <w:pict>
          <v:rect style="width:0;height:1.5pt" o:hralign="center" o:hrstd="t" o:hr="t"/>
        </w:pict>
      </w:r>
    </w:p>
    <w:bookmarkEnd w:id="21"/>
    <w:bookmarkStart w:id="22" w:name="iii.-invoice-overview"/>
    <w:p>
      <w:pPr>
        <w:pStyle w:val="Heading2"/>
      </w:pPr>
      <w:r>
        <w:t xml:space="preserve">III. Invoice Overview</w:t>
      </w:r>
    </w:p>
    <w:p>
      <w:pPr>
        <w:pStyle w:val="FirstParagraph"/>
      </w:pPr>
      <w:r>
        <w:t xml:space="preserve">The Summary page reports the following timekeeper charges: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 (Summary)</w:t>
            </w:r>
          </w:p>
        </w:tc>
        <w:tc>
          <w:tcPr/>
          <w:p>
            <w:pPr>
              <w:pStyle w:val="Compact"/>
              <w:jc w:val="right"/>
            </w:pPr>
            <w:r>
              <w:t xml:space="preserve">Fees (Summary)</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w:t>
            </w:r>
          </w:p>
        </w:tc>
        <w:tc>
          <w:tcPr/>
          <w:p>
            <w:pPr>
              <w:pStyle w:val="Compact"/>
              <w:jc w:val="right"/>
            </w:pPr>
            <w:r>
              <w:t xml:space="preserve">38.5</w:t>
            </w:r>
          </w:p>
        </w:tc>
        <w:tc>
          <w:tcPr/>
          <w:p>
            <w:pPr>
              <w:pStyle w:val="Compact"/>
              <w:jc w:val="righ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w:t>
            </w:r>
          </w:p>
        </w:tc>
        <w:tc>
          <w:tcPr/>
          <w:p>
            <w:pPr>
              <w:pStyle w:val="Compact"/>
              <w:jc w:val="right"/>
            </w:pPr>
            <w:r>
              <w:t xml:space="preserve">74.0</w:t>
            </w:r>
          </w:p>
        </w:tc>
        <w:tc>
          <w:tcPr/>
          <w:p>
            <w:pPr>
              <w:pStyle w:val="Compact"/>
              <w:jc w:val="righ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82.5</w:t>
            </w:r>
          </w:p>
        </w:tc>
        <w:tc>
          <w:tcPr/>
          <w:p>
            <w:pPr>
              <w:pStyle w:val="Compact"/>
              <w:jc w:val="righ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45.0</w:t>
            </w:r>
          </w:p>
        </w:tc>
        <w:tc>
          <w:tcPr/>
          <w:p>
            <w:pPr>
              <w:pStyle w:val="Compact"/>
              <w:jc w:val="righ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35.0</w:t>
            </w:r>
          </w:p>
        </w:tc>
        <w:tc>
          <w:tcPr/>
          <w:p>
            <w:pPr>
              <w:pStyle w:val="Compact"/>
              <w:jc w:val="righ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27.5</w:t>
            </w:r>
          </w:p>
        </w:tc>
        <w:tc>
          <w:tcPr/>
          <w:p>
            <w:pPr>
              <w:pStyle w:val="Compact"/>
              <w:jc w:val="righ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w:t>
            </w:r>
          </w:p>
        </w:tc>
        <w:tc>
          <w:tcPr/>
          <w:p>
            <w:pPr>
              <w:pStyle w:val="Compact"/>
              <w:jc w:val="right"/>
            </w:pPr>
            <w:r>
              <w:t xml:space="preserve">120.0</w:t>
            </w:r>
          </w:p>
        </w:tc>
        <w:tc>
          <w:tcPr/>
          <w:p>
            <w:pPr>
              <w:pStyle w:val="Compact"/>
              <w:jc w:val="right"/>
            </w:pPr>
            <w:r>
              <w:t xml:space="preserve">$25,200.00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422.5</w:t>
            </w:r>
          </w:p>
        </w:tc>
        <w:tc>
          <w:tcPr/>
          <w:p>
            <w:pPr>
              <w:pStyle w:val="Compact"/>
              <w:jc w:val="right"/>
            </w:pPr>
            <w:r>
              <w:rPr>
                <w:b/>
                <w:bCs/>
              </w:rPr>
              <w:t xml:space="preserve">$193,372.50</w:t>
            </w:r>
          </w:p>
        </w:tc>
      </w:tr>
    </w:tbl>
    <w:p>
      <w:pPr>
        <w:pStyle w:val="BodyText"/>
      </w:pPr>
      <w:r>
        <w:t xml:space="preserve">Expenses of $8,450.00 bring the stated</w:t>
      </w:r>
      <w:r>
        <w:t xml:space="preserve"> </w:t>
      </w:r>
      <w:r>
        <w:rPr>
          <w:b/>
          <w:bCs/>
        </w:rPr>
        <w:t xml:space="preserve">Total Due to $201,822.50</w:t>
      </w:r>
      <w:r>
        <w:t xml:space="preserve">. The Firm’s own Rate Schedule worksheet annotates the staffing status of each timekeeper — and, as detailed below, that annotation is dispositive on the approval issue.</w:t>
      </w:r>
    </w:p>
    <w:p>
      <w:r>
        <w:pict>
          <v:rect style="width:0;height:1.5pt" o:hralign="center" o:hrstd="t" o:hr="t"/>
        </w:pict>
      </w:r>
    </w:p>
    <w:bookmarkEnd w:id="22"/>
    <w:bookmarkStart w:id="23" w:name="X1aa15c34edec06346bb4e2b7a4e3df3610795b3"/>
    <w:p>
      <w:pPr>
        <w:pStyle w:val="Heading2"/>
      </w:pPr>
      <w:r>
        <w:t xml:space="preserve">IV. Threshold Finding — Internal Reconciliation Defect</w:t>
      </w:r>
    </w:p>
    <w:p>
      <w:pPr>
        <w:pStyle w:val="FirstParagraph"/>
      </w:pPr>
      <w:r>
        <w:t xml:space="preserve">Before reaching the merits, the invoice fails a basic integrity check:</w:t>
      </w:r>
      <w:r>
        <w:t xml:space="preserve"> </w:t>
      </w:r>
      <w:r>
        <w:rPr>
          <w:b/>
          <w:bCs/>
        </w:rPr>
        <w:t xml:space="preserve">the Time Detail does not reconcile to the Summary.</w:t>
      </w:r>
      <w:r>
        <w:t xml:space="preserve"> </w:t>
      </w:r>
      <w:r>
        <w:t xml:space="preserve">The 117 line-item entries actually total</w:t>
      </w:r>
      <w:r>
        <w:t xml:space="preserve"> </w:t>
      </w:r>
      <w:r>
        <w:rPr>
          <w:b/>
          <w:bCs/>
        </w:rPr>
        <w:t xml:space="preserve">483.5 hours and $215,680.00 in attorney fees — $22,307.50 (61.0 hours) more than the $193,372.50 (422.5 hours) stated on the Summary page.</w:t>
      </w:r>
      <w:r>
        <w:t xml:space="preserve"> </w:t>
      </w:r>
      <w:r>
        <w:t xml:space="preserve">The variance is not concentrated in one timekeeper: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Detail (hrs / fees)</w:t>
            </w:r>
          </w:p>
        </w:tc>
        <w:tc>
          <w:tcPr/>
          <w:p>
            <w:pPr>
              <w:pStyle w:val="Compact"/>
              <w:jc w:val="left"/>
            </w:pPr>
            <w:r>
              <w:t xml:space="preserve">Summary (hrs / fees)</w:t>
            </w:r>
          </w:p>
        </w:tc>
        <w:tc>
          <w:tcPr/>
          <w:p>
            <w:pPr>
              <w:pStyle w:val="Compact"/>
              <w:jc w:val="left"/>
            </w:pPr>
            <w:r>
              <w:t xml:space="preserve">Variance (hrs / fees)</w:t>
            </w:r>
          </w:p>
        </w:tc>
      </w:tr>
      <w:tr>
        <w:tc>
          <w:tcPr/>
          <w:p>
            <w:pPr>
              <w:pStyle w:val="Compact"/>
              <w:jc w:val="left"/>
            </w:pPr>
            <w:r>
              <w:t xml:space="preserve">David Hargrove</w:t>
            </w:r>
          </w:p>
        </w:tc>
        <w:tc>
          <w:tcPr/>
          <w:p>
            <w:pPr>
              <w:pStyle w:val="Compact"/>
              <w:jc w:val="left"/>
            </w:pPr>
            <w:r>
              <w:t xml:space="preserve">38.5 / $37,922.50</w:t>
            </w:r>
          </w:p>
        </w:tc>
        <w:tc>
          <w:tcPr/>
          <w:p>
            <w:pPr>
              <w:pStyle w:val="Compact"/>
              <w:jc w:val="left"/>
            </w:pPr>
            <w:r>
              <w:t xml:space="preserve">38.5 / $37,922.50</w:t>
            </w:r>
          </w:p>
        </w:tc>
        <w:tc>
          <w:tcPr/>
          <w:p>
            <w:pPr>
              <w:pStyle w:val="Compact"/>
              <w:jc w:val="left"/>
            </w:pPr>
            <w:r>
              <w:t xml:space="preserve">0.0 / $0.00</w:t>
            </w:r>
          </w:p>
        </w:tc>
      </w:tr>
      <w:tr>
        <w:tc>
          <w:tcPr/>
          <w:p>
            <w:pPr>
              <w:pStyle w:val="Compact"/>
              <w:jc w:val="left"/>
            </w:pPr>
            <w:r>
              <w:t xml:space="preserve">Karen Cho</w:t>
            </w:r>
          </w:p>
        </w:tc>
        <w:tc>
          <w:tcPr/>
          <w:p>
            <w:pPr>
              <w:pStyle w:val="Compact"/>
              <w:jc w:val="left"/>
            </w:pPr>
            <w:r>
              <w:t xml:space="preserve">89.5 / $55,937.50</w:t>
            </w:r>
          </w:p>
        </w:tc>
        <w:tc>
          <w:tcPr/>
          <w:p>
            <w:pPr>
              <w:pStyle w:val="Compact"/>
              <w:jc w:val="left"/>
            </w:pPr>
            <w:r>
              <w:t xml:space="preserve">74.0 / $46,250.00</w:t>
            </w:r>
          </w:p>
        </w:tc>
        <w:tc>
          <w:tcPr/>
          <w:p>
            <w:pPr>
              <w:pStyle w:val="Compact"/>
              <w:jc w:val="left"/>
            </w:pPr>
            <w:r>
              <w:t xml:space="preserve">+15.5 / +$9,687.50</w:t>
            </w:r>
          </w:p>
        </w:tc>
      </w:tr>
      <w:tr>
        <w:tc>
          <w:tcPr/>
          <w:p>
            <w:pPr>
              <w:pStyle w:val="Compact"/>
              <w:jc w:val="left"/>
            </w:pPr>
            <w:r>
              <w:t xml:space="preserve">James Pettersson</w:t>
            </w:r>
          </w:p>
        </w:tc>
        <w:tc>
          <w:tcPr/>
          <w:p>
            <w:pPr>
              <w:pStyle w:val="Compact"/>
              <w:jc w:val="left"/>
            </w:pPr>
            <w:r>
              <w:t xml:space="preserve">91.0 / $43,225.00</w:t>
            </w:r>
          </w:p>
        </w:tc>
        <w:tc>
          <w:tcPr/>
          <w:p>
            <w:pPr>
              <w:pStyle w:val="Compact"/>
              <w:jc w:val="left"/>
            </w:pPr>
            <w:r>
              <w:t xml:space="preserve">82.5 / $39,187.50</w:t>
            </w:r>
          </w:p>
        </w:tc>
        <w:tc>
          <w:tcPr/>
          <w:p>
            <w:pPr>
              <w:pStyle w:val="Compact"/>
              <w:jc w:val="left"/>
            </w:pPr>
            <w:r>
              <w:t xml:space="preserve">+8.5 / +$4,037.50</w:t>
            </w:r>
          </w:p>
        </w:tc>
      </w:tr>
      <w:tr>
        <w:tc>
          <w:tcPr/>
          <w:p>
            <w:pPr>
              <w:pStyle w:val="Compact"/>
              <w:jc w:val="left"/>
            </w:pPr>
            <w:r>
              <w:t xml:space="preserve">Nina Barros</w:t>
            </w:r>
          </w:p>
        </w:tc>
        <w:tc>
          <w:tcPr/>
          <w:p>
            <w:pPr>
              <w:pStyle w:val="Compact"/>
              <w:jc w:val="left"/>
            </w:pPr>
            <w:r>
              <w:t xml:space="preserve">49.0 / $23,275.00</w:t>
            </w:r>
          </w:p>
        </w:tc>
        <w:tc>
          <w:tcPr/>
          <w:p>
            <w:pPr>
              <w:pStyle w:val="Compact"/>
              <w:jc w:val="left"/>
            </w:pPr>
            <w:r>
              <w:t xml:space="preserve">45.0 / $21,375.00</w:t>
            </w:r>
          </w:p>
        </w:tc>
        <w:tc>
          <w:tcPr/>
          <w:p>
            <w:pPr>
              <w:pStyle w:val="Compact"/>
              <w:jc w:val="left"/>
            </w:pPr>
            <w:r>
              <w:t xml:space="preserve">+4.0 / +$1,900.00</w:t>
            </w:r>
          </w:p>
        </w:tc>
      </w:tr>
      <w:tr>
        <w:tc>
          <w:tcPr/>
          <w:p>
            <w:pPr>
              <w:pStyle w:val="Compact"/>
              <w:jc w:val="left"/>
            </w:pPr>
            <w:r>
              <w:t xml:space="preserve">Tyler Webb</w:t>
            </w:r>
          </w:p>
        </w:tc>
        <w:tc>
          <w:tcPr/>
          <w:p>
            <w:pPr>
              <w:pStyle w:val="Compact"/>
              <w:jc w:val="left"/>
            </w:pPr>
            <w:r>
              <w:t xml:space="preserve">34.0 / $12,750.00</w:t>
            </w:r>
          </w:p>
        </w:tc>
        <w:tc>
          <w:tcPr/>
          <w:p>
            <w:pPr>
              <w:pStyle w:val="Compact"/>
              <w:jc w:val="left"/>
            </w:pPr>
            <w:r>
              <w:t xml:space="preserve">35.0 / $13,125.00</w:t>
            </w:r>
          </w:p>
        </w:tc>
        <w:tc>
          <w:tcPr/>
          <w:p>
            <w:pPr>
              <w:pStyle w:val="Compact"/>
              <w:jc w:val="left"/>
            </w:pPr>
            <w:r>
              <w:t xml:space="preserve">−1.0 / −$375.00</w:t>
            </w:r>
          </w:p>
        </w:tc>
      </w:tr>
      <w:tr>
        <w:tc>
          <w:tcPr/>
          <w:p>
            <w:pPr>
              <w:pStyle w:val="Compact"/>
              <w:jc w:val="left"/>
            </w:pPr>
            <w:r>
              <w:t xml:space="preserve">Priya Sengupta</w:t>
            </w:r>
          </w:p>
        </w:tc>
        <w:tc>
          <w:tcPr/>
          <w:p>
            <w:pPr>
              <w:pStyle w:val="Compact"/>
              <w:jc w:val="left"/>
            </w:pPr>
            <w:r>
              <w:t xml:space="preserve">27.0 / $10,125.00</w:t>
            </w:r>
          </w:p>
        </w:tc>
        <w:tc>
          <w:tcPr/>
          <w:p>
            <w:pPr>
              <w:pStyle w:val="Compact"/>
              <w:jc w:val="left"/>
            </w:pPr>
            <w:r>
              <w:t xml:space="preserve">27.5 / $10,312.50</w:t>
            </w:r>
          </w:p>
        </w:tc>
        <w:tc>
          <w:tcPr/>
          <w:p>
            <w:pPr>
              <w:pStyle w:val="Compact"/>
              <w:jc w:val="left"/>
            </w:pPr>
            <w:r>
              <w:t xml:space="preserve">−0.5 / −$187.50</w:t>
            </w:r>
          </w:p>
        </w:tc>
      </w:tr>
      <w:tr>
        <w:tc>
          <w:tcPr/>
          <w:p>
            <w:pPr>
              <w:pStyle w:val="Compact"/>
              <w:jc w:val="left"/>
            </w:pPr>
            <w:r>
              <w:t xml:space="preserve">Marcus Tate</w:t>
            </w:r>
          </w:p>
        </w:tc>
        <w:tc>
          <w:tcPr/>
          <w:p>
            <w:pPr>
              <w:pStyle w:val="Compact"/>
              <w:jc w:val="left"/>
            </w:pPr>
            <w:r>
              <w:t xml:space="preserve">154.5 / $32,445.00</w:t>
            </w:r>
          </w:p>
        </w:tc>
        <w:tc>
          <w:tcPr/>
          <w:p>
            <w:pPr>
              <w:pStyle w:val="Compact"/>
              <w:jc w:val="left"/>
            </w:pPr>
            <w:r>
              <w:t xml:space="preserve">120.0 / $25,200.00</w:t>
            </w:r>
          </w:p>
        </w:tc>
        <w:tc>
          <w:tcPr/>
          <w:p>
            <w:pPr>
              <w:pStyle w:val="Compact"/>
              <w:jc w:val="left"/>
            </w:pPr>
            <w:r>
              <w:t xml:space="preserve">+34.5 / +$7,245.00</w:t>
            </w:r>
          </w:p>
        </w:tc>
      </w:tr>
      <w:tr>
        <w:tc>
          <w:tcPr/>
          <w:p>
            <w:pPr>
              <w:pStyle w:val="Compact"/>
              <w:jc w:val="left"/>
            </w:pPr>
            <w:r>
              <w:rPr>
                <w:b/>
                <w:bCs/>
              </w:rPr>
              <w:t xml:space="preserve">Total</w:t>
            </w:r>
          </w:p>
        </w:tc>
        <w:tc>
          <w:tcPr/>
          <w:p>
            <w:pPr>
              <w:pStyle w:val="Compact"/>
              <w:jc w:val="left"/>
            </w:pPr>
            <w:r>
              <w:rPr>
                <w:b/>
                <w:bCs/>
              </w:rPr>
              <w:t xml:space="preserve">483.5 / $215,680.00</w:t>
            </w:r>
          </w:p>
        </w:tc>
        <w:tc>
          <w:tcPr/>
          <w:p>
            <w:pPr>
              <w:pStyle w:val="Compact"/>
              <w:jc w:val="left"/>
            </w:pPr>
            <w:r>
              <w:rPr>
                <w:b/>
                <w:bCs/>
              </w:rPr>
              <w:t xml:space="preserve">422.5 / $193,372.50</w:t>
            </w:r>
          </w:p>
        </w:tc>
        <w:tc>
          <w:tcPr/>
          <w:p>
            <w:pPr>
              <w:pStyle w:val="Compact"/>
              <w:jc w:val="left"/>
            </w:pPr>
            <w:r>
              <w:rPr>
                <w:b/>
                <w:bCs/>
              </w:rPr>
              <w:t xml:space="preserve">+61.0 / +$22,307.50</w:t>
            </w:r>
          </w:p>
        </w:tc>
      </w:tr>
    </w:tbl>
    <w:p>
      <w:pPr>
        <w:pStyle w:val="BodyText"/>
      </w:pPr>
      <w:r>
        <w:t xml:space="preserve">Section 9.1 requires both a summary page and a time-detail page, and the two must describe the same services. A $22,307.50 gap between them means the invoice</w:t>
      </w:r>
      <w:r>
        <w:t xml:space="preserve"> </w:t>
      </w:r>
      <w:r>
        <w:rPr>
          <w:b/>
          <w:bCs/>
        </w:rPr>
        <w:t xml:space="preserve">cannot be reliably audited or paid as submitted.</w:t>
      </w:r>
      <w:r>
        <w:t xml:space="preserve"> </w:t>
      </w:r>
      <w:r>
        <w:t xml:space="preserve">The reductions in this memo are computed from the</w:t>
      </w:r>
      <w:r>
        <w:t xml:space="preserve"> </w:t>
      </w:r>
      <w:r>
        <w:rPr>
          <w:b/>
          <w:bCs/>
        </w:rPr>
        <w:t xml:space="preserve">Time Detail</w:t>
      </w:r>
      <w:r>
        <w:t xml:space="preserve"> </w:t>
      </w:r>
      <w:r>
        <w:t xml:space="preserve">(the line-item record of work actually performed), which is the only auditable basis. The Firm must submit a corrected invoice in which the Summary reconciles to the Time Detail before any payment is released. Because the audited payable calculated below ($148,193.12) is already well below both the Summary request and the Time Detail total, Pinnacle is protected either way; the actual payable may be lower still once the Firm reconciles and the line-item reductions are re-applied to the corrected figures.</w:t>
      </w:r>
    </w:p>
    <w:p>
      <w:r>
        <w:pict>
          <v:rect style="width:0;height:1.5pt" o:hralign="center" o:hrstd="t" o:hr="t"/>
        </w:pict>
      </w:r>
    </w:p>
    <w:bookmarkEnd w:id="23"/>
    <w:bookmarkStart w:id="33" w:name="v.-findings-and-reduction-calculations"/>
    <w:p>
      <w:pPr>
        <w:pStyle w:val="Heading2"/>
      </w:pPr>
      <w:r>
        <w:t xml:space="preserve">V. Findings and Reduction Calculations</w:t>
      </w:r>
    </w:p>
    <w:bookmarkStart w:id="24" w:name="X2e75db3fa24c0d15181db36b2d8a1a3bf49b779"/>
    <w:p>
      <w:pPr>
        <w:pStyle w:val="Heading3"/>
      </w:pPr>
      <w:r>
        <w:t xml:space="preserve">A. Unapproved Timekeepers — Section 4.2 ($33,400.00)</w:t>
      </w:r>
    </w:p>
    <w:p>
      <w:pPr>
        <w:pStyle w:val="FirstParagraph"/>
      </w:pPr>
      <w:r>
        <w:rPr>
          <w:b/>
          <w:bCs/>
        </w:rPr>
        <w:t xml:space="preserve">Section 4.2</w:t>
      </w:r>
      <w:r>
        <w:t xml:space="preserve"> </w:t>
      </w:r>
      <w:r>
        <w:t xml:space="preserve">requires written pre-approval from the Designated In-House Counsel before any new timekeeper performs billable work, and provides that</w:t>
      </w:r>
      <w:r>
        <w:t xml:space="preserve"> </w:t>
      </w:r>
      <w:r>
        <w:t xml:space="preserve">“</w:t>
      </w:r>
      <w:r>
        <w:t xml:space="preserve">the absence of a response shall not constitute approval</w:t>
      </w:r>
      <w:r>
        <w:t xml:space="preserve">”</w:t>
      </w:r>
      <w:r>
        <w:t xml:space="preserve"> </w:t>
      </w:r>
      <w:r>
        <w:t xml:space="preserve">and that after-the-fact additions</w:t>
      </w:r>
      <w:r>
        <w:t xml:space="preserve"> </w:t>
      </w:r>
      <w:r>
        <w:t xml:space="preserve">“</w:t>
      </w:r>
      <w:r>
        <w:t xml:space="preserve">are subject to reduction or rejection of all fees attributable to the unapproved timekeeper, at Pinnacle’s sole discretion.</w:t>
      </w:r>
      <w:r>
        <w:t xml:space="preserve">”</w:t>
      </w:r>
      <w:r>
        <w:t xml:space="preserve"> </w:t>
      </w:r>
      <w:r>
        <w:t xml:space="preserve">The Approved Staffing Plan is the</w:t>
      </w:r>
      <w:r>
        <w:t xml:space="preserve"> </w:t>
      </w:r>
      <w:r>
        <w:t xml:space="preserve">“</w:t>
      </w:r>
      <w:r>
        <w:t xml:space="preserve">complete and exclusive</w:t>
      </w:r>
      <w:r>
        <w:t xml:space="preserve">”</w:t>
      </w:r>
      <w:r>
        <w:t xml:space="preserve"> </w:t>
      </w:r>
      <w:r>
        <w:t xml:space="preserve">roster; only the five timekeepers listed therein (Hargrove, Cho, Pettersson, the single junior-associate slot filled by Webb, and the contract attorney) are authorized.</w:t>
      </w:r>
    </w:p>
    <w:p>
      <w:pPr>
        <w:pStyle w:val="BodyText"/>
      </w:pPr>
      <w:r>
        <w:rPr>
          <w:b/>
          <w:bCs/>
        </w:rPr>
        <w:t xml:space="preserve">1. Nina Barros (Mid-Level Associate) — $23,275.00 rejected.</w:t>
      </w:r>
      <w:r>
        <w:t xml:space="preserve"> </w:t>
      </w:r>
      <w:r>
        <w:t xml:space="preserve">The Approved Staffing Plan expressly states that</w:t>
      </w:r>
      <w:r>
        <w:t xml:space="preserve"> </w:t>
      </w:r>
      <w:r>
        <w:t xml:space="preserve">“</w:t>
      </w:r>
      <w:r>
        <w:t xml:space="preserve">James Pettersson is the only mid-level associate assigned to this matter. No other mid-level associate is included on the approved staffing roster.</w:t>
      </w:r>
      <w:r>
        <w:t xml:space="preserve">”</w:t>
      </w:r>
      <w:r>
        <w:t xml:space="preserve"> </w:t>
      </w:r>
      <w:r>
        <w:t xml:space="preserve">On April 28, 2025, Karen Cho emailed Rachel Dominguez requesting Barros’s addition at $475/hr. Rachel replied on May 1, 2025:</w:t>
      </w:r>
      <w:r>
        <w:t xml:space="preserve"> </w:t>
      </w:r>
      <w:r>
        <w:rPr>
          <w:i/>
          <w:iCs/>
        </w:rPr>
        <w:t xml:space="preserve">“</w:t>
      </w:r>
      <w:r>
        <w:rPr>
          <w:i/>
          <w:iCs/>
        </w:rPr>
        <w:t xml:space="preserve">Before we can move forward on adding Nina Barros, though, let me review this with Sandra and get back to you. I’ll try to circle back with you early next week.</w:t>
      </w:r>
      <w:r>
        <w:rPr>
          <w:i/>
          <w:iCs/>
        </w:rPr>
        <w:t xml:space="preserve">”</w:t>
      </w:r>
      <w:r>
        <w:t xml:space="preserve"> </w:t>
      </w:r>
      <w:r>
        <w:rPr>
          <w:b/>
          <w:bCs/>
        </w:rPr>
        <w:t xml:space="preserve">No approval ever issued.</w:t>
      </w:r>
      <w:r>
        <w:t xml:space="preserve"> </w:t>
      </w:r>
      <w:r>
        <w:t xml:space="preserve">Critically, the Firm’s own Rate Schedule worksheet concedes the point — it lists Barros’s status as</w:t>
      </w:r>
      <w:r>
        <w:t xml:space="preserve"> </w:t>
      </w:r>
      <w:r>
        <w:rPr>
          <w:b/>
          <w:bCs/>
        </w:rPr>
        <w:t xml:space="preserve">“</w:t>
      </w:r>
      <w:r>
        <w:rPr>
          <w:b/>
          <w:bCs/>
        </w:rPr>
        <w:t xml:space="preserve">Pending Approval — Added May 2025</w:t>
      </w:r>
      <w:r>
        <w:rPr>
          <w:b/>
          <w:bCs/>
        </w:rPr>
        <w:t xml:space="preserve">”</w:t>
      </w:r>
      <w:r>
        <w:t xml:space="preserve"> </w:t>
      </w:r>
      <w:r>
        <w:t xml:space="preserve">with the note</w:t>
      </w:r>
      <w:r>
        <w:t xml:space="preserve"> </w:t>
      </w:r>
      <w:r>
        <w:rPr>
          <w:b/>
          <w:bCs/>
        </w:rPr>
        <w:t xml:space="preserve">“</w:t>
      </w:r>
      <w:r>
        <w:rPr>
          <w:b/>
          <w:bCs/>
        </w:rPr>
        <w:t xml:space="preserve">Requested via email April 28, 2025; client response pending.</w:t>
      </w:r>
      <w:r>
        <w:rPr>
          <w:b/>
          <w:bCs/>
        </w:rPr>
        <w:t xml:space="preserve">”</w:t>
      </w:r>
      <w:r>
        <w:t xml:space="preserve"> </w:t>
      </w:r>
      <w:r>
        <w:t xml:space="preserve">The Firm nonetheless billed Barros for 49.0 hours ($23,275.00) throughout May. No exigent-circumstance notice was given within 24 hours seeking retroactive approval (§4.2), and the Case Status Report mischaracterizes the work as</w:t>
      </w:r>
      <w:r>
        <w:t xml:space="preserve"> </w:t>
      </w:r>
      <w:r>
        <w:t xml:space="preserve">“</w:t>
      </w:r>
      <w:r>
        <w:t xml:space="preserve">consistent with the request</w:t>
      </w:r>
      <w:r>
        <w:t xml:space="preserve">”</w:t>
      </w:r>
      <w:r>
        <w:t xml:space="preserve"> </w:t>
      </w:r>
      <w:r>
        <w:t xml:space="preserve">— a request is not approval.</w:t>
      </w:r>
      <w:r>
        <w:t xml:space="preserve"> </w:t>
      </w:r>
      <w:r>
        <w:rPr>
          <w:b/>
          <w:bCs/>
        </w:rPr>
        <w:t xml:space="preserve">All Barros fees are rejected: $23,275.00.</w:t>
      </w:r>
    </w:p>
    <w:p>
      <w:pPr>
        <w:pStyle w:val="BodyText"/>
      </w:pPr>
      <w:r>
        <w:rPr>
          <w:b/>
          <w:bCs/>
        </w:rPr>
        <w:t xml:space="preserve">2. Priya Sengupta (Junior Associate) — $10,125.00 rejected.</w:t>
      </w:r>
      <w:r>
        <w:t xml:space="preserve"> </w:t>
      </w:r>
      <w:r>
        <w:t xml:space="preserve">The Staffing Plan authorizes a single junior-associate slot (filled by Tyler Webb) and states that</w:t>
      </w:r>
      <w:r>
        <w:t xml:space="preserve"> </w:t>
      </w:r>
      <w:r>
        <w:t xml:space="preserve">“</w:t>
      </w:r>
      <w:r>
        <w:t xml:space="preserve">only one junior associate will be assigned to and authorized to bill on this matter at any given time,</w:t>
      </w:r>
      <w:r>
        <w:t xml:space="preserve">”</w:t>
      </w:r>
      <w:r>
        <w:t xml:space="preserve"> </w:t>
      </w:r>
      <w:r>
        <w:t xml:space="preserve">with any concurrent second junior associate constituting a staffing change requiring prior written approval. Sengupta — a first-year associate — was added in May 2025 and billed 27.0 hours ($10,125.00)</w:t>
      </w:r>
      <w:r>
        <w:t xml:space="preserve"> </w:t>
      </w:r>
      <w:r>
        <w:rPr>
          <w:b/>
          <w:bCs/>
        </w:rPr>
        <w:t xml:space="preserve">concurrently</w:t>
      </w:r>
      <w:r>
        <w:t xml:space="preserve"> </w:t>
      </w:r>
      <w:r>
        <w:t xml:space="preserve">with Webb (34.0 hours). There is</w:t>
      </w:r>
      <w:r>
        <w:t xml:space="preserve"> </w:t>
      </w:r>
      <w:r>
        <w:rPr>
          <w:b/>
          <w:bCs/>
        </w:rPr>
        <w:t xml:space="preserve">no written request or approval</w:t>
      </w:r>
      <w:r>
        <w:t xml:space="preserve"> </w:t>
      </w:r>
      <w:r>
        <w:t xml:space="preserve">for Sengupta anywhere in the record (the April 28 email addresses only Barros). The Firm’s Rate Schedule lists her status merely as</w:t>
      </w:r>
      <w:r>
        <w:t xml:space="preserve"> </w:t>
      </w:r>
      <w:r>
        <w:rPr>
          <w:b/>
          <w:bCs/>
        </w:rPr>
        <w:t xml:space="preserve">“</w:t>
      </w:r>
      <w:r>
        <w:rPr>
          <w:b/>
          <w:bCs/>
        </w:rPr>
        <w:t xml:space="preserve">Added May 2025</w:t>
      </w:r>
      <w:r>
        <w:rPr>
          <w:b/>
          <w:bCs/>
        </w:rPr>
        <w:t xml:space="preserve">”</w:t>
      </w:r>
      <w:r>
        <w:t xml:space="preserve"> </w:t>
      </w:r>
      <w:r>
        <w:t xml:space="preserve">with no approval.</w:t>
      </w:r>
      <w:r>
        <w:t xml:space="preserve"> </w:t>
      </w:r>
      <w:r>
        <w:rPr>
          <w:b/>
          <w:bCs/>
        </w:rPr>
        <w:t xml:space="preserve">All Sengupta fees are rejected: $10,125.00.</w:t>
      </w:r>
    </w:p>
    <w:p>
      <w:pPr>
        <w:pStyle w:val="BlockText"/>
      </w:pPr>
      <w:r>
        <w:rPr>
          <w:b/>
          <w:bCs/>
        </w:rPr>
        <w:t xml:space="preserve">Tier 1 subtotal: $33,400.00</w:t>
      </w:r>
      <w:r>
        <w:t xml:space="preserve"> </w:t>
      </w:r>
      <w:r>
        <w:t xml:space="preserve">(Barros $23,275.00 + Sengupta $10,125.00).</w:t>
      </w:r>
    </w:p>
    <w:bookmarkEnd w:id="24"/>
    <w:bookmarkStart w:id="25" w:name="X7fd1d5cc19854e6c62947edf0497fb9b5d08937"/>
    <w:p>
      <w:pPr>
        <w:pStyle w:val="Heading3"/>
      </w:pPr>
      <w:r>
        <w:t xml:space="preserve">B. Contract Attorney Rate — Section 5.1 &amp; Staffing Plan §6 ($3,862.50)</w:t>
      </w:r>
    </w:p>
    <w:p>
      <w:pPr>
        <w:pStyle w:val="FirstParagraph"/>
      </w:pPr>
      <w:r>
        <w:t xml:space="preserve">The Approved Staffing Plan and the engagement terms fix the contract-attorney rate at</w:t>
      </w:r>
      <w:r>
        <w:t xml:space="preserve"> </w:t>
      </w:r>
      <w:r>
        <w:rPr>
          <w:b/>
          <w:bCs/>
        </w:rPr>
        <w:t xml:space="preserve">$185/hr, passed through at the vendor’s actual cost with no Firm markup</w:t>
      </w:r>
      <w:r>
        <w:t xml:space="preserve">, and state that the rates</w:t>
      </w:r>
      <w:r>
        <w:t xml:space="preserve"> </w:t>
      </w:r>
      <w:r>
        <w:t xml:space="preserve">“</w:t>
      </w:r>
      <w:r>
        <w:t xml:space="preserve">are fixed for the duration of the discovery phase and will not be increased without the prior written agreement of Pinnacle.</w:t>
      </w:r>
      <w:r>
        <w:t xml:space="preserve">”</w:t>
      </w:r>
      <w:r>
        <w:t xml:space="preserve"> </w:t>
      </w:r>
      <w:r>
        <w:t xml:space="preserve">Section 4.4 likewise requires pass-through at actual cost with no markup, and Section 5.1 imposes a $200/hr cap on contract attorneys.</w:t>
      </w:r>
    </w:p>
    <w:p>
      <w:pPr>
        <w:pStyle w:val="BodyText"/>
      </w:pPr>
      <w:r>
        <w:t xml:space="preserve">The invoice bills Marcus Tate at</w:t>
      </w:r>
      <w:r>
        <w:t xml:space="preserve"> </w:t>
      </w:r>
      <w:r>
        <w:rPr>
          <w:b/>
          <w:bCs/>
        </w:rPr>
        <w:t xml:space="preserve">$210/hr</w:t>
      </w:r>
      <w:r>
        <w:t xml:space="preserve"> </w:t>
      </w:r>
      <w:r>
        <w:t xml:space="preserve">— above both the approved $185 rate and the §5.1 $200 cap. At 154.5 hours (per the Time Detail), the overcharge is 154.5 × ($210 − $185) =</w:t>
      </w:r>
      <w:r>
        <w:t xml:space="preserve"> </w:t>
      </w:r>
      <w:r>
        <w:rPr>
          <w:b/>
          <w:bCs/>
        </w:rPr>
        <w:t xml:space="preserve">$3,862.50.</w:t>
      </w:r>
      <w:r>
        <w:t xml:space="preserve"> </w:t>
      </w:r>
      <w:r>
        <w:t xml:space="preserve">The rate is reduced to the approved $185/hr. (Even under the §5.1 cap alone, the reduction to $200 would be $1,545.00; the approved pass-through rate controls and produces the larger, correct reduction.)</w:t>
      </w:r>
    </w:p>
    <w:p>
      <w:pPr>
        <w:pStyle w:val="BlockText"/>
      </w:pPr>
      <w:r>
        <w:rPr>
          <w:b/>
          <w:bCs/>
        </w:rPr>
        <w:t xml:space="preserve">Tier 2 subtotal: $3,862.50.</w:t>
      </w:r>
    </w:p>
    <w:bookmarkEnd w:id="25"/>
    <w:bookmarkStart w:id="26" w:name="c.-block-billing-section-5.4-27471.88"/>
    <w:p>
      <w:pPr>
        <w:pStyle w:val="Heading3"/>
      </w:pPr>
      <w:r>
        <w:t xml:space="preserve">C. Block Billing — Section 5.4 ($27,471.88)</w:t>
      </w:r>
    </w:p>
    <w:p>
      <w:pPr>
        <w:pStyle w:val="FirstParagraph"/>
      </w:pPr>
      <w:r>
        <w:t xml:space="preserve">Section 5.4 prohibits combining two or more discrete tasks in a single time entry and mandates an</w:t>
      </w:r>
      <w:r>
        <w:t xml:space="preserve"> </w:t>
      </w:r>
      <w:r>
        <w:rPr>
          <w:b/>
          <w:bCs/>
        </w:rPr>
        <w:t xml:space="preserve">automatic 25% reduction</w:t>
      </w:r>
      <w:r>
        <w:t xml:space="preserve"> </w:t>
      </w:r>
      <w:r>
        <w:t xml:space="preserve">to each block-billed entry,</w:t>
      </w:r>
      <w:r>
        <w:t xml:space="preserve"> </w:t>
      </w:r>
      <w:r>
        <w:t xml:space="preserve">“</w:t>
      </w:r>
      <w:r>
        <w:t xml:space="preserve">in addition to</w:t>
      </w:r>
      <w:r>
        <w:t xml:space="preserve">”</w:t>
      </w:r>
      <w:r>
        <w:t xml:space="preserve"> </w:t>
      </w:r>
      <w:r>
        <w:t xml:space="preserve">any other reductions. Applying the Guidelines’ own examples (e.g.,</w:t>
      </w:r>
      <w:r>
        <w:t xml:space="preserve"> </w:t>
      </w:r>
      <w:r>
        <w:rPr>
          <w:i/>
          <w:iCs/>
        </w:rPr>
        <w:t xml:space="preserve">“</w:t>
      </w:r>
      <w:r>
        <w:rPr>
          <w:i/>
          <w:iCs/>
        </w:rPr>
        <w:t xml:space="preserve">Research trade secret preemption issues; draft memorandum; confer with partner</w:t>
      </w:r>
      <w:r>
        <w:rPr>
          <w:i/>
          <w:iCs/>
        </w:rPr>
        <w:t xml:space="preserve">”</w:t>
      </w:r>
      <w:r>
        <w:t xml:space="preserve"> </w:t>
      </w:r>
      <w:r>
        <w:t xml:space="preserve">and</w:t>
      </w:r>
      <w:r>
        <w:t xml:space="preserve"> </w:t>
      </w:r>
      <w:r>
        <w:rPr>
          <w:i/>
          <w:iCs/>
        </w:rPr>
        <w:t xml:space="preserve">“</w:t>
      </w:r>
      <w:r>
        <w:rPr>
          <w:i/>
          <w:iCs/>
        </w:rPr>
        <w:t xml:space="preserve">Attend deposition of J. Franklin; prepare post-deposition summary; meet with team</w:t>
      </w:r>
      <w:r>
        <w:rPr>
          <w:i/>
          <w:iCs/>
        </w:rPr>
        <w:t xml:space="preserve">”</w:t>
      </w:r>
      <w:r>
        <w:t xml:space="preserve">), 45 entries by approved timekeepers combine discrete tasks such as drafting + research, reviewing work product + a separate conference, multiple distinct deliverables, or substantive work + filing/logistics coordination. (Entries by the unapproved Barros and Sengupta are already rejected in full in §V.A; the two entries fully disallowed elsewhere — E15 and E62 — are excluded here to avoid double counting.)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right"/>
            </w:pPr>
            <w:r>
              <w:t xml:space="preserve">Entry Fee</w:t>
            </w:r>
          </w:p>
        </w:tc>
        <w:tc>
          <w:tcPr/>
          <w:p>
            <w:pPr>
              <w:pStyle w:val="Compact"/>
              <w:jc w:val="right"/>
            </w:pPr>
            <w:r>
              <w:t xml:space="preserve">25% Reduction</w:t>
            </w:r>
          </w:p>
        </w:tc>
      </w:tr>
      <w:tr>
        <w:tc>
          <w:tcPr/>
          <w:p>
            <w:pPr>
              <w:pStyle w:val="Compact"/>
              <w:jc w:val="left"/>
            </w:pPr>
            <w:r>
              <w:t xml:space="preserve">E2</w:t>
            </w:r>
          </w:p>
        </w:tc>
        <w:tc>
          <w:tcPr/>
          <w:p>
            <w:pPr>
              <w:pStyle w:val="Compact"/>
              <w:jc w:val="left"/>
            </w:pPr>
            <w:r>
              <w:t xml:space="preserve">Pettersson</w:t>
            </w:r>
          </w:p>
        </w:tc>
        <w:tc>
          <w:tcPr/>
          <w:p>
            <w:pPr>
              <w:pStyle w:val="Compact"/>
              <w:jc w:val="right"/>
            </w:pPr>
            <w:r>
              <w:t xml:space="preserve">$1,662.50</w:t>
            </w:r>
          </w:p>
        </w:tc>
        <w:tc>
          <w:tcPr/>
          <w:p>
            <w:pPr>
              <w:pStyle w:val="Compact"/>
              <w:jc w:val="right"/>
            </w:pPr>
            <w:r>
              <w:t xml:space="preserve">$415.62</w:t>
            </w:r>
          </w:p>
        </w:tc>
      </w:tr>
      <w:tr>
        <w:tc>
          <w:tcPr/>
          <w:p>
            <w:pPr>
              <w:pStyle w:val="Compact"/>
              <w:jc w:val="left"/>
            </w:pPr>
            <w:r>
              <w:t xml:space="preserve">E3</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E6</w:t>
            </w:r>
          </w:p>
        </w:tc>
        <w:tc>
          <w:tcPr/>
          <w:p>
            <w:pPr>
              <w:pStyle w:val="Compact"/>
              <w:jc w:val="left"/>
            </w:pPr>
            <w:r>
              <w:t xml:space="preserve">Pettersson</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E7</w:t>
            </w:r>
          </w:p>
        </w:tc>
        <w:tc>
          <w:tcPr/>
          <w:p>
            <w:pPr>
              <w:pStyle w:val="Compact"/>
              <w:jc w:val="left"/>
            </w:pPr>
            <w:r>
              <w:t xml:space="preserve">Cho</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E9</w:t>
            </w:r>
          </w:p>
        </w:tc>
        <w:tc>
          <w:tcPr/>
          <w:p>
            <w:pPr>
              <w:pStyle w:val="Compact"/>
              <w:jc w:val="left"/>
            </w:pPr>
            <w:r>
              <w:t xml:space="preserve">Hargrove</w:t>
            </w:r>
          </w:p>
        </w:tc>
        <w:tc>
          <w:tcPr/>
          <w:p>
            <w:pPr>
              <w:pStyle w:val="Compact"/>
              <w:jc w:val="right"/>
            </w:pPr>
            <w:r>
              <w:t xml:space="preserve">$1,687.50¹</w:t>
            </w:r>
          </w:p>
        </w:tc>
        <w:tc>
          <w:tcPr/>
          <w:p>
            <w:pPr>
              <w:pStyle w:val="Compact"/>
              <w:jc w:val="right"/>
            </w:pPr>
            <w:r>
              <w:t xml:space="preserve">$421.88</w:t>
            </w:r>
          </w:p>
        </w:tc>
      </w:tr>
      <w:tr>
        <w:tc>
          <w:tcPr/>
          <w:p>
            <w:pPr>
              <w:pStyle w:val="Compact"/>
              <w:jc w:val="left"/>
            </w:pPr>
            <w:r>
              <w:t xml:space="preserve">E11</w:t>
            </w:r>
          </w:p>
        </w:tc>
        <w:tc>
          <w:tcPr/>
          <w:p>
            <w:pPr>
              <w:pStyle w:val="Compact"/>
              <w:jc w:val="left"/>
            </w:pPr>
            <w:r>
              <w:t xml:space="preserve">Pettersson</w:t>
            </w:r>
          </w:p>
        </w:tc>
        <w:tc>
          <w:tcPr/>
          <w:p>
            <w:pPr>
              <w:pStyle w:val="Compact"/>
              <w:jc w:val="right"/>
            </w:pPr>
            <w:r>
              <w:t xml:space="preserve">$1,425.00</w:t>
            </w:r>
          </w:p>
        </w:tc>
        <w:tc>
          <w:tcPr/>
          <w:p>
            <w:pPr>
              <w:pStyle w:val="Compact"/>
              <w:jc w:val="right"/>
            </w:pPr>
            <w:r>
              <w:t xml:space="preserve">$356.25</w:t>
            </w:r>
          </w:p>
        </w:tc>
      </w:tr>
      <w:tr>
        <w:tc>
          <w:tcPr/>
          <w:p>
            <w:pPr>
              <w:pStyle w:val="Compact"/>
              <w:jc w:val="left"/>
            </w:pPr>
            <w:r>
              <w:t xml:space="preserve">E12</w:t>
            </w:r>
          </w:p>
        </w:tc>
        <w:tc>
          <w:tcPr/>
          <w:p>
            <w:pPr>
              <w:pStyle w:val="Compact"/>
              <w:jc w:val="left"/>
            </w:pPr>
            <w:r>
              <w:t xml:space="preserve">Cho</w:t>
            </w:r>
          </w:p>
        </w:tc>
        <w:tc>
          <w:tcPr/>
          <w:p>
            <w:pPr>
              <w:pStyle w:val="Compact"/>
              <w:jc w:val="right"/>
            </w:pPr>
            <w:r>
              <w:t xml:space="preserve">$2,812.50</w:t>
            </w:r>
          </w:p>
        </w:tc>
        <w:tc>
          <w:tcPr/>
          <w:p>
            <w:pPr>
              <w:pStyle w:val="Compact"/>
              <w:jc w:val="right"/>
            </w:pPr>
            <w:r>
              <w:t xml:space="preserve">$703.12</w:t>
            </w:r>
          </w:p>
        </w:tc>
      </w:tr>
      <w:tr>
        <w:tc>
          <w:tcPr/>
          <w:p>
            <w:pPr>
              <w:pStyle w:val="Compact"/>
              <w:jc w:val="left"/>
            </w:pPr>
            <w:r>
              <w:t xml:space="preserve">E16</w:t>
            </w:r>
          </w:p>
        </w:tc>
        <w:tc>
          <w:tcPr/>
          <w:p>
            <w:pPr>
              <w:pStyle w:val="Compact"/>
              <w:jc w:val="left"/>
            </w:pPr>
            <w:r>
              <w:t xml:space="preserve">Cho</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E19</w:t>
            </w:r>
          </w:p>
        </w:tc>
        <w:tc>
          <w:tcPr/>
          <w:p>
            <w:pPr>
              <w:pStyle w:val="Compact"/>
              <w:jc w:val="left"/>
            </w:pPr>
            <w:r>
              <w:t xml:space="preserve">Pettersson</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E20</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E29</w:t>
            </w:r>
          </w:p>
        </w:tc>
        <w:tc>
          <w:tcPr/>
          <w:p>
            <w:pPr>
              <w:pStyle w:val="Compact"/>
              <w:jc w:val="left"/>
            </w:pPr>
            <w:r>
              <w:t xml:space="preserve">Pettersson</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E30</w:t>
            </w:r>
          </w:p>
        </w:tc>
        <w:tc>
          <w:tcPr/>
          <w:p>
            <w:pPr>
              <w:pStyle w:val="Compact"/>
              <w:jc w:val="left"/>
            </w:pPr>
            <w:r>
              <w:t xml:space="preserve">Cho</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E32</w:t>
            </w:r>
          </w:p>
        </w:tc>
        <w:tc>
          <w:tcPr/>
          <w:p>
            <w:pPr>
              <w:pStyle w:val="Compact"/>
              <w:jc w:val="left"/>
            </w:pPr>
            <w:r>
              <w:t xml:space="preserve">Hargrove</w:t>
            </w:r>
          </w:p>
        </w:tc>
        <w:tc>
          <w:tcPr/>
          <w:p>
            <w:pPr>
              <w:pStyle w:val="Compact"/>
              <w:jc w:val="right"/>
            </w:pPr>
            <w:r>
              <w:t xml:space="preserve">$2,462.50</w:t>
            </w:r>
          </w:p>
        </w:tc>
        <w:tc>
          <w:tcPr/>
          <w:p>
            <w:pPr>
              <w:pStyle w:val="Compact"/>
              <w:jc w:val="right"/>
            </w:pPr>
            <w:r>
              <w:t xml:space="preserve">$615.62</w:t>
            </w:r>
          </w:p>
        </w:tc>
      </w:tr>
      <w:tr>
        <w:tc>
          <w:tcPr/>
          <w:p>
            <w:pPr>
              <w:pStyle w:val="Compact"/>
              <w:jc w:val="left"/>
            </w:pPr>
            <w:r>
              <w:t xml:space="preserve">E34</w:t>
            </w:r>
          </w:p>
        </w:tc>
        <w:tc>
          <w:tcPr/>
          <w:p>
            <w:pPr>
              <w:pStyle w:val="Compact"/>
              <w:jc w:val="left"/>
            </w:pPr>
            <w:r>
              <w:t xml:space="preserve">Pettersson</w:t>
            </w:r>
          </w:p>
        </w:tc>
        <w:tc>
          <w:tcPr/>
          <w:p>
            <w:pPr>
              <w:pStyle w:val="Compact"/>
              <w:jc w:val="right"/>
            </w:pPr>
            <w:r>
              <w:t xml:space="preserve">$1,662.50</w:t>
            </w:r>
          </w:p>
        </w:tc>
        <w:tc>
          <w:tcPr/>
          <w:p>
            <w:pPr>
              <w:pStyle w:val="Compact"/>
              <w:jc w:val="right"/>
            </w:pPr>
            <w:r>
              <w:t xml:space="preserve">$415.62</w:t>
            </w:r>
          </w:p>
        </w:tc>
      </w:tr>
      <w:tr>
        <w:tc>
          <w:tcPr/>
          <w:p>
            <w:pPr>
              <w:pStyle w:val="Compact"/>
              <w:jc w:val="left"/>
            </w:pPr>
            <w:r>
              <w:t xml:space="preserve">E35</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E39</w:t>
            </w:r>
          </w:p>
        </w:tc>
        <w:tc>
          <w:tcPr/>
          <w:p>
            <w:pPr>
              <w:pStyle w:val="Compact"/>
              <w:jc w:val="left"/>
            </w:pPr>
            <w:r>
              <w:t xml:space="preserve">Pettersson</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E40</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E46</w:t>
            </w:r>
          </w:p>
        </w:tc>
        <w:tc>
          <w:tcPr/>
          <w:p>
            <w:pPr>
              <w:pStyle w:val="Compact"/>
              <w:jc w:val="left"/>
            </w:pPr>
            <w:r>
              <w:t xml:space="preserve">Cho</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E51</w:t>
            </w:r>
          </w:p>
        </w:tc>
        <w:tc>
          <w:tcPr/>
          <w:p>
            <w:pPr>
              <w:pStyle w:val="Compact"/>
              <w:jc w:val="left"/>
            </w:pPr>
            <w:r>
              <w:t xml:space="preserve">Pettersson</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E52</w:t>
            </w:r>
          </w:p>
        </w:tc>
        <w:tc>
          <w:tcPr/>
          <w:p>
            <w:pPr>
              <w:pStyle w:val="Compact"/>
              <w:jc w:val="left"/>
            </w:pPr>
            <w:r>
              <w:t xml:space="preserve">Cho</w:t>
            </w:r>
          </w:p>
        </w:tc>
        <w:tc>
          <w:tcPr/>
          <w:p>
            <w:pPr>
              <w:pStyle w:val="Compact"/>
              <w:jc w:val="right"/>
            </w:pPr>
            <w:r>
              <w:t xml:space="preserve">$2,812.50</w:t>
            </w:r>
          </w:p>
        </w:tc>
        <w:tc>
          <w:tcPr/>
          <w:p>
            <w:pPr>
              <w:pStyle w:val="Compact"/>
              <w:jc w:val="right"/>
            </w:pPr>
            <w:r>
              <w:t xml:space="preserve">$703.12</w:t>
            </w:r>
          </w:p>
        </w:tc>
      </w:tr>
      <w:tr>
        <w:tc>
          <w:tcPr/>
          <w:p>
            <w:pPr>
              <w:pStyle w:val="Compact"/>
              <w:jc w:val="left"/>
            </w:pPr>
            <w:r>
              <w:t xml:space="preserve">E57</w:t>
            </w:r>
          </w:p>
        </w:tc>
        <w:tc>
          <w:tcPr/>
          <w:p>
            <w:pPr>
              <w:pStyle w:val="Compact"/>
              <w:jc w:val="left"/>
            </w:pPr>
            <w:r>
              <w:t xml:space="preserve">Cho</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E60</w:t>
            </w:r>
          </w:p>
        </w:tc>
        <w:tc>
          <w:tcPr/>
          <w:p>
            <w:pPr>
              <w:pStyle w:val="Compact"/>
              <w:jc w:val="left"/>
            </w:pPr>
            <w:r>
              <w:t xml:space="preserve">Hargrove</w:t>
            </w:r>
          </w:p>
        </w:tc>
        <w:tc>
          <w:tcPr/>
          <w:p>
            <w:pPr>
              <w:pStyle w:val="Compact"/>
              <w:jc w:val="right"/>
            </w:pPr>
            <w:r>
              <w:t xml:space="preserve">$3,940.00</w:t>
            </w:r>
          </w:p>
        </w:tc>
        <w:tc>
          <w:tcPr/>
          <w:p>
            <w:pPr>
              <w:pStyle w:val="Compact"/>
              <w:jc w:val="right"/>
            </w:pPr>
            <w:r>
              <w:t xml:space="preserve">$985.00</w:t>
            </w:r>
          </w:p>
        </w:tc>
      </w:tr>
      <w:tr>
        <w:tc>
          <w:tcPr/>
          <w:p>
            <w:pPr>
              <w:pStyle w:val="Compact"/>
              <w:jc w:val="left"/>
            </w:pPr>
            <w:r>
              <w:t xml:space="preserve">E61</w:t>
            </w:r>
          </w:p>
        </w:tc>
        <w:tc>
          <w:tcPr/>
          <w:p>
            <w:pPr>
              <w:pStyle w:val="Compact"/>
              <w:jc w:val="left"/>
            </w:pPr>
            <w:r>
              <w:t xml:space="preserve">Cho</w:t>
            </w:r>
          </w:p>
        </w:tc>
        <w:tc>
          <w:tcPr/>
          <w:p>
            <w:pPr>
              <w:pStyle w:val="Compact"/>
              <w:jc w:val="right"/>
            </w:pPr>
            <w:r>
              <w:t xml:space="preserve">$4,062.50</w:t>
            </w:r>
          </w:p>
        </w:tc>
        <w:tc>
          <w:tcPr/>
          <w:p>
            <w:pPr>
              <w:pStyle w:val="Compact"/>
              <w:jc w:val="right"/>
            </w:pPr>
            <w:r>
              <w:t xml:space="preserve">$1,015.62</w:t>
            </w:r>
          </w:p>
        </w:tc>
      </w:tr>
      <w:tr>
        <w:tc>
          <w:tcPr/>
          <w:p>
            <w:pPr>
              <w:pStyle w:val="Compact"/>
              <w:jc w:val="left"/>
            </w:pPr>
            <w:r>
              <w:t xml:space="preserve">E68</w:t>
            </w:r>
          </w:p>
        </w:tc>
        <w:tc>
          <w:tcPr/>
          <w:p>
            <w:pPr>
              <w:pStyle w:val="Compact"/>
              <w:jc w:val="left"/>
            </w:pPr>
            <w:r>
              <w:t xml:space="preserve">Pettersson</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E69</w:t>
            </w:r>
          </w:p>
        </w:tc>
        <w:tc>
          <w:tcPr/>
          <w:p>
            <w:pPr>
              <w:pStyle w:val="Compact"/>
              <w:jc w:val="left"/>
            </w:pPr>
            <w:r>
              <w:t xml:space="preserve">Cho</w:t>
            </w:r>
          </w:p>
        </w:tc>
        <w:tc>
          <w:tcPr/>
          <w:p>
            <w:pPr>
              <w:pStyle w:val="Compact"/>
              <w:jc w:val="right"/>
            </w:pPr>
            <w:r>
              <w:t xml:space="preserve">$2,812.50</w:t>
            </w:r>
          </w:p>
        </w:tc>
        <w:tc>
          <w:tcPr/>
          <w:p>
            <w:pPr>
              <w:pStyle w:val="Compact"/>
              <w:jc w:val="right"/>
            </w:pPr>
            <w:r>
              <w:t xml:space="preserve">$703.12</w:t>
            </w:r>
          </w:p>
        </w:tc>
      </w:tr>
      <w:tr>
        <w:tc>
          <w:tcPr/>
          <w:p>
            <w:pPr>
              <w:pStyle w:val="Compact"/>
              <w:jc w:val="left"/>
            </w:pPr>
            <w:r>
              <w:t xml:space="preserve">E70</w:t>
            </w:r>
          </w:p>
        </w:tc>
        <w:tc>
          <w:tcPr/>
          <w:p>
            <w:pPr>
              <w:pStyle w:val="Compact"/>
              <w:jc w:val="left"/>
            </w:pPr>
            <w:r>
              <w:t xml:space="preserve">Hargrove</w:t>
            </w:r>
          </w:p>
        </w:tc>
        <w:tc>
          <w:tcPr/>
          <w:p>
            <w:pPr>
              <w:pStyle w:val="Compact"/>
              <w:jc w:val="right"/>
            </w:pPr>
            <w:r>
              <w:t xml:space="preserve">$2,462.50</w:t>
            </w:r>
          </w:p>
        </w:tc>
        <w:tc>
          <w:tcPr/>
          <w:p>
            <w:pPr>
              <w:pStyle w:val="Compact"/>
              <w:jc w:val="right"/>
            </w:pPr>
            <w:r>
              <w:t xml:space="preserve">$615.62</w:t>
            </w:r>
          </w:p>
        </w:tc>
      </w:tr>
      <w:tr>
        <w:tc>
          <w:tcPr/>
          <w:p>
            <w:pPr>
              <w:pStyle w:val="Compact"/>
              <w:jc w:val="left"/>
            </w:pPr>
            <w:r>
              <w:t xml:space="preserve">E72</w:t>
            </w:r>
          </w:p>
        </w:tc>
        <w:tc>
          <w:tcPr/>
          <w:p>
            <w:pPr>
              <w:pStyle w:val="Compact"/>
              <w:jc w:val="left"/>
            </w:pPr>
            <w:r>
              <w:t xml:space="preserve">Pettersson</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E73</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E77</w:t>
            </w:r>
          </w:p>
        </w:tc>
        <w:tc>
          <w:tcPr/>
          <w:p>
            <w:pPr>
              <w:pStyle w:val="Compact"/>
              <w:jc w:val="left"/>
            </w:pPr>
            <w:r>
              <w:t xml:space="preserve">Pettersson</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E78</w:t>
            </w:r>
          </w:p>
        </w:tc>
        <w:tc>
          <w:tcPr/>
          <w:p>
            <w:pPr>
              <w:pStyle w:val="Compact"/>
              <w:jc w:val="left"/>
            </w:pPr>
            <w:r>
              <w:t xml:space="preserve">Cho</w:t>
            </w:r>
          </w:p>
        </w:tc>
        <w:tc>
          <w:tcPr/>
          <w:p>
            <w:pPr>
              <w:pStyle w:val="Compact"/>
              <w:jc w:val="right"/>
            </w:pPr>
            <w:r>
              <w:t xml:space="preserve">$2,812.50</w:t>
            </w:r>
          </w:p>
        </w:tc>
        <w:tc>
          <w:tcPr/>
          <w:p>
            <w:pPr>
              <w:pStyle w:val="Compact"/>
              <w:jc w:val="right"/>
            </w:pPr>
            <w:r>
              <w:t xml:space="preserve">$703.12</w:t>
            </w:r>
          </w:p>
        </w:tc>
      </w:tr>
      <w:tr>
        <w:tc>
          <w:tcPr/>
          <w:p>
            <w:pPr>
              <w:pStyle w:val="Compact"/>
              <w:jc w:val="left"/>
            </w:pPr>
            <w:r>
              <w:t xml:space="preserve">E83</w:t>
            </w:r>
          </w:p>
        </w:tc>
        <w:tc>
          <w:tcPr/>
          <w:p>
            <w:pPr>
              <w:pStyle w:val="Compact"/>
              <w:jc w:val="left"/>
            </w:pPr>
            <w:r>
              <w:t xml:space="preserve">Pettersson</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E84</w:t>
            </w:r>
          </w:p>
        </w:tc>
        <w:tc>
          <w:tcPr/>
          <w:p>
            <w:pPr>
              <w:pStyle w:val="Compact"/>
              <w:jc w:val="left"/>
            </w:pPr>
            <w:r>
              <w:t xml:space="preserve">Cho</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E88</w:t>
            </w:r>
          </w:p>
        </w:tc>
        <w:tc>
          <w:tcPr/>
          <w:p>
            <w:pPr>
              <w:pStyle w:val="Compact"/>
              <w:jc w:val="left"/>
            </w:pPr>
            <w:r>
              <w:t xml:space="preserve">Pettersson</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E89</w:t>
            </w:r>
          </w:p>
        </w:tc>
        <w:tc>
          <w:tcPr/>
          <w:p>
            <w:pPr>
              <w:pStyle w:val="Compact"/>
              <w:jc w:val="left"/>
            </w:pPr>
            <w:r>
              <w:t xml:space="preserve">Cho</w:t>
            </w:r>
          </w:p>
        </w:tc>
        <w:tc>
          <w:tcPr/>
          <w:p>
            <w:pPr>
              <w:pStyle w:val="Compact"/>
              <w:jc w:val="right"/>
            </w:pPr>
            <w:r>
              <w:t xml:space="preserve">$2,812.50</w:t>
            </w:r>
          </w:p>
        </w:tc>
        <w:tc>
          <w:tcPr/>
          <w:p>
            <w:pPr>
              <w:pStyle w:val="Compact"/>
              <w:jc w:val="right"/>
            </w:pPr>
            <w:r>
              <w:t xml:space="preserve">$703.12</w:t>
            </w:r>
          </w:p>
        </w:tc>
      </w:tr>
      <w:tr>
        <w:tc>
          <w:tcPr/>
          <w:p>
            <w:pPr>
              <w:pStyle w:val="Compact"/>
              <w:jc w:val="left"/>
            </w:pPr>
            <w:r>
              <w:t xml:space="preserve">E92</w:t>
            </w:r>
          </w:p>
        </w:tc>
        <w:tc>
          <w:tcPr/>
          <w:p>
            <w:pPr>
              <w:pStyle w:val="Compact"/>
              <w:jc w:val="left"/>
            </w:pPr>
            <w:r>
              <w:t xml:space="preserve">Hargrove</w:t>
            </w:r>
          </w:p>
        </w:tc>
        <w:tc>
          <w:tcPr/>
          <w:p>
            <w:pPr>
              <w:pStyle w:val="Compact"/>
              <w:jc w:val="right"/>
            </w:pPr>
            <w:r>
              <w:t xml:space="preserve">$5,910.00</w:t>
            </w:r>
          </w:p>
        </w:tc>
        <w:tc>
          <w:tcPr/>
          <w:p>
            <w:pPr>
              <w:pStyle w:val="Compact"/>
              <w:jc w:val="right"/>
            </w:pPr>
            <w:r>
              <w:t xml:space="preserve">$1,477.50</w:t>
            </w:r>
          </w:p>
        </w:tc>
      </w:tr>
      <w:tr>
        <w:tc>
          <w:tcPr/>
          <w:p>
            <w:pPr>
              <w:pStyle w:val="Compact"/>
              <w:jc w:val="left"/>
            </w:pPr>
            <w:r>
              <w:t xml:space="preserve">E94</w:t>
            </w:r>
          </w:p>
        </w:tc>
        <w:tc>
          <w:tcPr/>
          <w:p>
            <w:pPr>
              <w:pStyle w:val="Compact"/>
              <w:jc w:val="left"/>
            </w:pPr>
            <w:r>
              <w:t xml:space="preserve">Pettersson</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E95</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E98</w:t>
            </w:r>
          </w:p>
        </w:tc>
        <w:tc>
          <w:tcPr/>
          <w:p>
            <w:pPr>
              <w:pStyle w:val="Compact"/>
              <w:jc w:val="left"/>
            </w:pPr>
            <w:r>
              <w:t xml:space="preserve">Hargrove</w:t>
            </w:r>
          </w:p>
        </w:tc>
        <w:tc>
          <w:tcPr/>
          <w:p>
            <w:pPr>
              <w:pStyle w:val="Compact"/>
              <w:jc w:val="right"/>
            </w:pPr>
            <w:r>
              <w:t xml:space="preserve">$3,447.50</w:t>
            </w:r>
          </w:p>
        </w:tc>
        <w:tc>
          <w:tcPr/>
          <w:p>
            <w:pPr>
              <w:pStyle w:val="Compact"/>
              <w:jc w:val="right"/>
            </w:pPr>
            <w:r>
              <w:t xml:space="preserve">$861.88</w:t>
            </w:r>
          </w:p>
        </w:tc>
      </w:tr>
      <w:tr>
        <w:tc>
          <w:tcPr/>
          <w:p>
            <w:pPr>
              <w:pStyle w:val="Compact"/>
              <w:jc w:val="left"/>
            </w:pPr>
            <w:r>
              <w:t xml:space="preserve">E100</w:t>
            </w:r>
          </w:p>
        </w:tc>
        <w:tc>
          <w:tcPr/>
          <w:p>
            <w:pPr>
              <w:pStyle w:val="Compact"/>
              <w:jc w:val="left"/>
            </w:pPr>
            <w:r>
              <w:t xml:space="preserve">Pettersson</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E101</w:t>
            </w:r>
          </w:p>
        </w:tc>
        <w:tc>
          <w:tcPr/>
          <w:p>
            <w:pPr>
              <w:pStyle w:val="Compact"/>
              <w:jc w:val="left"/>
            </w:pPr>
            <w:r>
              <w:t xml:space="preserve">Cho</w:t>
            </w:r>
          </w:p>
        </w:tc>
        <w:tc>
          <w:tcPr/>
          <w:p>
            <w:pPr>
              <w:pStyle w:val="Compact"/>
              <w:jc w:val="right"/>
            </w:pPr>
            <w:r>
              <w:t xml:space="preserve">$2,812.50</w:t>
            </w:r>
          </w:p>
        </w:tc>
        <w:tc>
          <w:tcPr/>
          <w:p>
            <w:pPr>
              <w:pStyle w:val="Compact"/>
              <w:jc w:val="right"/>
            </w:pPr>
            <w:r>
              <w:t xml:space="preserve">$703.12</w:t>
            </w:r>
          </w:p>
        </w:tc>
      </w:tr>
      <w:tr>
        <w:tc>
          <w:tcPr/>
          <w:p>
            <w:pPr>
              <w:pStyle w:val="Compact"/>
              <w:jc w:val="left"/>
            </w:pPr>
            <w:r>
              <w:t xml:space="preserve">E107</w:t>
            </w:r>
          </w:p>
        </w:tc>
        <w:tc>
          <w:tcPr/>
          <w:p>
            <w:pPr>
              <w:pStyle w:val="Compact"/>
              <w:jc w:val="left"/>
            </w:pPr>
            <w:r>
              <w:t xml:space="preserve">Pettersson</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E108</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E111</w:t>
            </w:r>
          </w:p>
        </w:tc>
        <w:tc>
          <w:tcPr/>
          <w:p>
            <w:pPr>
              <w:pStyle w:val="Compact"/>
              <w:jc w:val="left"/>
            </w:pPr>
            <w:r>
              <w:t xml:space="preserve">Hargrove</w:t>
            </w:r>
          </w:p>
        </w:tc>
        <w:tc>
          <w:tcPr/>
          <w:p>
            <w:pPr>
              <w:pStyle w:val="Compact"/>
              <w:jc w:val="right"/>
            </w:pPr>
            <w:r>
              <w:t xml:space="preserve">$1,477.50</w:t>
            </w:r>
          </w:p>
        </w:tc>
        <w:tc>
          <w:tcPr/>
          <w:p>
            <w:pPr>
              <w:pStyle w:val="Compact"/>
              <w:jc w:val="right"/>
            </w:pPr>
            <w:r>
              <w:t xml:space="preserve">$369.38</w:t>
            </w:r>
          </w:p>
        </w:tc>
      </w:tr>
      <w:tr>
        <w:tc>
          <w:tcPr/>
          <w:p>
            <w:pPr>
              <w:pStyle w:val="Compact"/>
              <w:jc w:val="left"/>
            </w:pPr>
            <w:r>
              <w:t xml:space="preserve">E113</w:t>
            </w:r>
          </w:p>
        </w:tc>
        <w:tc>
          <w:tcPr/>
          <w:p>
            <w:pPr>
              <w:pStyle w:val="Compact"/>
              <w:jc w:val="left"/>
            </w:pPr>
            <w:r>
              <w:t xml:space="preserve">Pettersson</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E114</w:t>
            </w:r>
          </w:p>
        </w:tc>
        <w:tc>
          <w:tcPr/>
          <w:p>
            <w:pPr>
              <w:pStyle w:val="Compact"/>
              <w:jc w:val="left"/>
            </w:pPr>
            <w:r>
              <w:t xml:space="preserve">Cho</w:t>
            </w:r>
          </w:p>
        </w:tc>
        <w:tc>
          <w:tcPr/>
          <w:p>
            <w:pPr>
              <w:pStyle w:val="Compact"/>
              <w:jc w:val="right"/>
            </w:pPr>
            <w:r>
              <w:t xml:space="preserve">$2,500.00</w:t>
            </w:r>
          </w:p>
        </w:tc>
        <w:tc>
          <w:tcPr/>
          <w:p>
            <w:pPr>
              <w:pStyle w:val="Compact"/>
              <w:jc w:val="right"/>
            </w:pPr>
            <w:r>
              <w:t xml:space="preserve">$625.00</w:t>
            </w:r>
          </w:p>
        </w:tc>
      </w:tr>
      <w:tr>
        <w:tc>
          <w:tcPr/>
          <w:p>
            <w:pPr>
              <w:pStyle w:val="Compact"/>
            </w:pPr>
          </w:p>
        </w:tc>
        <w:tc>
          <w:tcPr/>
          <w:p>
            <w:pPr>
              <w:pStyle w:val="Compact"/>
            </w:pPr>
          </w:p>
        </w:tc>
        <w:tc>
          <w:tcPr/>
          <w:p>
            <w:pPr>
              <w:pStyle w:val="Compact"/>
            </w:pPr>
          </w:p>
        </w:tc>
        <w:tc>
          <w:tcPr/>
          <w:p>
            <w:pPr>
              <w:pStyle w:val="Compact"/>
              <w:jc w:val="right"/>
            </w:pPr>
            <w:r>
              <w:rPr>
                <w:b/>
                <w:bCs/>
              </w:rPr>
              <w:t xml:space="preserve">$27,471.88</w:t>
            </w:r>
          </w:p>
        </w:tc>
      </w:tr>
    </w:tbl>
    <w:p>
      <w:pPr>
        <w:pStyle w:val="BodyText"/>
      </w:pPr>
      <w:r>
        <w:t xml:space="preserve">¹ E9 is also subject to a task-appropriateness rate reduction (§V.D); the 25% block-billing penalty is applied to the rate-reduced amount ($1,687.50) per the</w:t>
      </w:r>
      <w:r>
        <w:t xml:space="preserve"> </w:t>
      </w:r>
      <w:r>
        <w:t xml:space="preserve">“</w:t>
      </w:r>
      <w:r>
        <w:t xml:space="preserve">in addition to</w:t>
      </w:r>
      <w:r>
        <w:t xml:space="preserve">”</w:t>
      </w:r>
      <w:r>
        <w:t xml:space="preserve"> </w:t>
      </w:r>
      <w:r>
        <w:t xml:space="preserve">rule.</w:t>
      </w:r>
    </w:p>
    <w:p>
      <w:pPr>
        <w:pStyle w:val="BodyText"/>
      </w:pPr>
      <w:r>
        <w:t xml:space="preserve">By timekeeper, the block-billing reductions are:</w:t>
      </w:r>
      <w:r>
        <w:t xml:space="preserve"> </w:t>
      </w:r>
      <w:r>
        <w:rPr>
          <w:b/>
          <w:bCs/>
        </w:rPr>
        <w:t xml:space="preserve">Cho $13,515.62; Pettersson $8,609.38; Hargrove $5,346.88.</w:t>
      </w:r>
      <w:r>
        <w:t xml:space="preserve"> </w:t>
      </w:r>
      <w:r>
        <w:t xml:space="preserve">The Firm may avoid these reductions by resubmitting each entry as separate, individually-timed line items within 15 days (§5.4).</w:t>
      </w:r>
    </w:p>
    <w:p>
      <w:pPr>
        <w:pStyle w:val="BlockText"/>
      </w:pPr>
      <w:r>
        <w:rPr>
          <w:b/>
          <w:bCs/>
        </w:rPr>
        <w:t xml:space="preserve">Tier 4 subtotal: $27,471.88.</w:t>
      </w:r>
    </w:p>
    <w:bookmarkEnd w:id="26"/>
    <w:bookmarkStart w:id="27" w:name="Xfa8a3efa9002c14f63e8d1836984a01f27e6906"/>
    <w:p>
      <w:pPr>
        <w:pStyle w:val="Heading3"/>
      </w:pPr>
      <w:r>
        <w:t xml:space="preserve">D. Task-to-Timekeeper Appropriateness — Section 6.1 ($5,077.50)</w:t>
      </w:r>
    </w:p>
    <w:p>
      <w:pPr>
        <w:pStyle w:val="FirstParagraph"/>
      </w:pPr>
      <w:r>
        <w:t xml:space="preserve">Section 6.1 requires each task to be staffed to the lowest-cost timekeeper capable of performing it and prescribes rate reductions when senior timekeepers perform routine work.</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Entry</w:t>
            </w:r>
          </w:p>
        </w:tc>
        <w:tc>
          <w:tcPr/>
          <w:p>
            <w:pPr>
              <w:pStyle w:val="Compact"/>
              <w:jc w:val="left"/>
            </w:pPr>
            <w:r>
              <w:t xml:space="preserve">Timekeeper / Task</w:t>
            </w:r>
          </w:p>
        </w:tc>
        <w:tc>
          <w:tcPr/>
          <w:p>
            <w:pPr>
              <w:pStyle w:val="Compact"/>
              <w:jc w:val="left"/>
            </w:pPr>
            <w:r>
              <w:t xml:space="preserve">Issue</w:t>
            </w:r>
          </w:p>
        </w:tc>
        <w:tc>
          <w:tcPr/>
          <w:p>
            <w:pPr>
              <w:pStyle w:val="Compact"/>
              <w:jc w:val="left"/>
            </w:pPr>
            <w:r>
              <w:t xml:space="preserve">Recalculation</w:t>
            </w:r>
          </w:p>
        </w:tc>
        <w:tc>
          <w:tcPr/>
          <w:p>
            <w:pPr>
              <w:pStyle w:val="Compact"/>
              <w:jc w:val="right"/>
            </w:pPr>
            <w:r>
              <w:t xml:space="preserve">Reduction</w:t>
            </w:r>
          </w:p>
        </w:tc>
      </w:tr>
      <w:tr>
        <w:tc>
          <w:tcPr/>
          <w:p>
            <w:pPr>
              <w:pStyle w:val="Compact"/>
              <w:jc w:val="left"/>
            </w:pPr>
            <w:r>
              <w:t xml:space="preserve">E9 (5/5, 4.5h)</w:t>
            </w:r>
          </w:p>
        </w:tc>
        <w:tc>
          <w:tcPr/>
          <w:p>
            <w:pPr>
              <w:pStyle w:val="Compact"/>
              <w:jc w:val="left"/>
            </w:pPr>
            <w:r>
              <w:t xml:space="preserve">Hargrove —</w:t>
            </w:r>
            <w:r>
              <w:t xml:space="preserve"> </w:t>
            </w:r>
            <w:r>
              <w:t xml:space="preserve">“</w:t>
            </w:r>
            <w:r>
              <w:t xml:space="preserve">Review and analyze documents …; prepare detailed memorandum</w:t>
            </w:r>
            <w:r>
              <w:t xml:space="preserve">”</w:t>
            </w:r>
          </w:p>
        </w:tc>
        <w:tc>
          <w:tcPr/>
          <w:p>
            <w:pPr>
              <w:pStyle w:val="Compact"/>
              <w:jc w:val="left"/>
            </w:pPr>
            <w:r>
              <w:t xml:space="preserve">Partner performing document review (§6.1(a))</w:t>
            </w:r>
          </w:p>
        </w:tc>
        <w:tc>
          <w:tcPr/>
          <w:p>
            <w:pPr>
              <w:pStyle w:val="Compact"/>
              <w:jc w:val="left"/>
            </w:pPr>
            <w:r>
              <w:t xml:space="preserve">4.5h × ($985 → $375 junior)</w:t>
            </w:r>
          </w:p>
        </w:tc>
        <w:tc>
          <w:tcPr/>
          <w:p>
            <w:pPr>
              <w:pStyle w:val="Compact"/>
              <w:jc w:val="right"/>
            </w:pPr>
            <w:r>
              <w:t xml:space="preserve">$2,745.00</w:t>
            </w:r>
          </w:p>
        </w:tc>
      </w:tr>
      <w:tr>
        <w:tc>
          <w:tcPr/>
          <w:p>
            <w:pPr>
              <w:pStyle w:val="Compact"/>
              <w:jc w:val="left"/>
            </w:pPr>
            <w:r>
              <w:t xml:space="preserve">E43 (5/14, 2.0h)</w:t>
            </w:r>
          </w:p>
        </w:tc>
        <w:tc>
          <w:tcPr/>
          <w:p>
            <w:pPr>
              <w:pStyle w:val="Compact"/>
              <w:jc w:val="left"/>
            </w:pPr>
            <w:r>
              <w:t xml:space="preserve">Hargrove —</w:t>
            </w:r>
            <w:r>
              <w:t xml:space="preserve"> </w:t>
            </w:r>
            <w:r>
              <w:t xml:space="preserve">“</w:t>
            </w:r>
            <w:r>
              <w:t xml:space="preserve">Review and revise cite-check memorandum …; finalize citations</w:t>
            </w:r>
            <w:r>
              <w:t xml:space="preserve">”</w:t>
            </w:r>
          </w:p>
        </w:tc>
        <w:tc>
          <w:tcPr/>
          <w:p>
            <w:pPr>
              <w:pStyle w:val="Compact"/>
              <w:jc w:val="left"/>
            </w:pPr>
            <w:r>
              <w:t xml:space="preserve">Partner performing cite-checking (§6.1(b))</w:t>
            </w:r>
          </w:p>
        </w:tc>
        <w:tc>
          <w:tcPr/>
          <w:p>
            <w:pPr>
              <w:pStyle w:val="Compact"/>
              <w:jc w:val="left"/>
            </w:pPr>
            <w:r>
              <w:t xml:space="preserve">2.0h × ($985 → $375 junior)</w:t>
            </w:r>
          </w:p>
        </w:tc>
        <w:tc>
          <w:tcPr/>
          <w:p>
            <w:pPr>
              <w:pStyle w:val="Compact"/>
              <w:jc w:val="right"/>
            </w:pPr>
            <w:r>
              <w:t xml:space="preserve">$1,220.00</w:t>
            </w:r>
          </w:p>
        </w:tc>
      </w:tr>
      <w:tr>
        <w:tc>
          <w:tcPr/>
          <w:p>
            <w:pPr>
              <w:pStyle w:val="Compact"/>
              <w:jc w:val="left"/>
            </w:pPr>
            <w:r>
              <w:t xml:space="preserve">E56 (5/16, 5.0h)</w:t>
            </w:r>
          </w:p>
        </w:tc>
        <w:tc>
          <w:tcPr/>
          <w:p>
            <w:pPr>
              <w:pStyle w:val="Compact"/>
              <w:jc w:val="left"/>
            </w:pPr>
            <w:r>
              <w:t xml:space="preserve">Pettersson —</w:t>
            </w:r>
            <w:r>
              <w:t xml:space="preserve"> </w:t>
            </w:r>
            <w:r>
              <w:t xml:space="preserve">“</w:t>
            </w:r>
            <w:r>
              <w:t xml:space="preserve">Prepare deposition exhibits and exhibit list …; prepare witness examination binder</w:t>
            </w:r>
            <w:r>
              <w:t xml:space="preserve">”</w:t>
            </w:r>
          </w:p>
        </w:tc>
        <w:tc>
          <w:tcPr/>
          <w:p>
            <w:pPr>
              <w:pStyle w:val="Compact"/>
              <w:jc w:val="left"/>
            </w:pPr>
            <w:r>
              <w:t xml:space="preserve">Mid-level performing exhibit-binder prep (§6.1(c))</w:t>
            </w:r>
          </w:p>
        </w:tc>
        <w:tc>
          <w:tcPr/>
          <w:p>
            <w:pPr>
              <w:pStyle w:val="Compact"/>
              <w:jc w:val="left"/>
            </w:pPr>
            <w:r>
              <w:t xml:space="preserve">5.0h × ($475 → $375 junior)</w:t>
            </w:r>
          </w:p>
        </w:tc>
        <w:tc>
          <w:tcPr/>
          <w:p>
            <w:pPr>
              <w:pStyle w:val="Compact"/>
              <w:jc w:val="right"/>
            </w:pPr>
            <w:r>
              <w:t xml:space="preserve">$500.00</w:t>
            </w:r>
          </w:p>
        </w:tc>
      </w:tr>
      <w:tr>
        <w:tc>
          <w:tcPr/>
          <w:p>
            <w:pPr>
              <w:pStyle w:val="Compact"/>
              <w:jc w:val="left"/>
            </w:pPr>
            <w:r>
              <w:t xml:space="preserve">E79 (5/22, 3.5h)</w:t>
            </w:r>
          </w:p>
        </w:tc>
        <w:tc>
          <w:tcPr/>
          <w:p>
            <w:pPr>
              <w:pStyle w:val="Compact"/>
              <w:jc w:val="left"/>
            </w:pPr>
            <w:r>
              <w:t xml:space="preserve">Webb —</w:t>
            </w:r>
            <w:r>
              <w:t xml:space="preserve"> </w:t>
            </w:r>
            <w:r>
              <w:t xml:space="preserve">“</w:t>
            </w:r>
            <w:r>
              <w:t xml:space="preserve">Review third batch of MedCore production documents for relevance and privilege</w:t>
            </w:r>
            <w:r>
              <w:t xml:space="preserve">”</w:t>
            </w:r>
          </w:p>
        </w:tc>
        <w:tc>
          <w:tcPr/>
          <w:p>
            <w:pPr>
              <w:pStyle w:val="Compact"/>
              <w:jc w:val="left"/>
            </w:pPr>
            <w:r>
              <w:t xml:space="preserve">Junior performing routine first-level review (§6.1(a))</w:t>
            </w:r>
          </w:p>
        </w:tc>
        <w:tc>
          <w:tcPr/>
          <w:p>
            <w:pPr>
              <w:pStyle w:val="Compact"/>
              <w:jc w:val="left"/>
            </w:pPr>
            <w:r>
              <w:t xml:space="preserve">3.5h × ($375 → $200 contract)</w:t>
            </w:r>
          </w:p>
        </w:tc>
        <w:tc>
          <w:tcPr/>
          <w:p>
            <w:pPr>
              <w:pStyle w:val="Compact"/>
              <w:jc w:val="right"/>
            </w:pPr>
            <w:r>
              <w:t xml:space="preserve">$612.50</w:t>
            </w:r>
          </w:p>
        </w:tc>
      </w:tr>
      <w:tr>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right"/>
            </w:pPr>
            <w:r>
              <w:rPr>
                <w:b/>
                <w:bCs/>
              </w:rPr>
              <w:t xml:space="preserve">$5,077.50</w:t>
            </w:r>
          </w:p>
        </w:tc>
      </w:tr>
    </w:tbl>
    <w:p>
      <w:pPr>
        <w:pStyle w:val="BodyText"/>
      </w:pPr>
      <w:r>
        <w:t xml:space="preserve">Notes: (i) E9 is reduced to the junior-associate rate (rather than the contract-attorney rate) because the Firm characterizes the review as strategic calibration of the review protocol; the reduction nonetheless reflects that first-line document review is not partner work. The 25% block-billing penalty (§V.C) is then applied to the reduced $1,687.50. (ii) E43 is treated as a single cite-checking activity (not block-billed) and reduced to the junior rate. (iii) Karen Cho’s review of the privilege log (E16) is</w:t>
      </w:r>
      <w:r>
        <w:t xml:space="preserve"> </w:t>
      </w:r>
      <w:r>
        <w:rPr>
          <w:b/>
          <w:bCs/>
        </w:rPr>
        <w:t xml:space="preserve">not</w:t>
      </w:r>
      <w:r>
        <w:t xml:space="preserve"> </w:t>
      </w:r>
      <w:r>
        <w:t xml:space="preserve">reduced — quality oversight of privilege designations is within her approved senior-associate supervisory role under the Staffing Plan.</w:t>
      </w:r>
    </w:p>
    <w:bookmarkEnd w:id="27"/>
    <w:bookmarkStart w:id="28" w:name="X659897f09c09f2d8f17a25be95473c49b6e0774"/>
    <w:p>
      <w:pPr>
        <w:pStyle w:val="Heading3"/>
      </w:pPr>
      <w:r>
        <w:t xml:space="preserve">E. Administrative Time — Section 6.1(g)–(k) &amp; Section 2 ($712.50)</w:t>
      </w:r>
    </w:p>
    <w:p>
      <w:pPr>
        <w:pStyle w:val="FirstParagraph"/>
      </w:pPr>
      <w:r>
        <w:rPr>
          <w:b/>
          <w:bCs/>
        </w:rPr>
        <w:t xml:space="preserve">Entry 15 (Pettersson, 1.5h, $712.50):</w:t>
      </w:r>
      <w:r>
        <w:t xml:space="preserve"> </w:t>
      </w:r>
      <w:r>
        <w:rPr>
          <w:i/>
          <w:iCs/>
        </w:rPr>
        <w:t xml:space="preserve">“</w:t>
      </w:r>
      <w:r>
        <w:rPr>
          <w:i/>
          <w:iCs/>
        </w:rPr>
        <w:t xml:space="preserve">Schedule depositions of three remaining witnesses; coordinate court reporter availability; confirm deposition locations.</w:t>
      </w:r>
      <w:r>
        <w:rPr>
          <w:i/>
          <w:iCs/>
        </w:rPr>
        <w:t xml:space="preserve">”</w:t>
      </w:r>
      <w:r>
        <w:t xml:space="preserve"> </w:t>
      </w:r>
      <w:r>
        <w:t xml:space="preserve">This entry is</w:t>
      </w:r>
      <w:r>
        <w:t xml:space="preserve"> </w:t>
      </w:r>
      <w:r>
        <w:rPr>
          <w:b/>
          <w:bCs/>
        </w:rPr>
        <w:t xml:space="preserve">entirely administrative</w:t>
      </w:r>
      <w:r>
        <w:t xml:space="preserve"> </w:t>
      </w:r>
      <w:r>
        <w:t xml:space="preserve">— scheduling, coordinating with a court reporter, and confirming locations are listed in §6.1(g)–(k) and the §2 definition of</w:t>
      </w:r>
      <w:r>
        <w:t xml:space="preserve"> </w:t>
      </w:r>
      <w:r>
        <w:t xml:space="preserve">“</w:t>
      </w:r>
      <w:r>
        <w:t xml:space="preserve">Administrative Task</w:t>
      </w:r>
      <w:r>
        <w:t xml:space="preserve">”</w:t>
      </w:r>
      <w:r>
        <w:t xml:space="preserve"> </w:t>
      </w:r>
      <w:r>
        <w:t xml:space="preserve">as non-compensable overhead. The entry is written off in full:</w:t>
      </w:r>
      <w:r>
        <w:t xml:space="preserve"> </w:t>
      </w:r>
      <w:r>
        <w:rPr>
          <w:b/>
          <w:bCs/>
        </w:rPr>
        <w:t xml:space="preserve">$712.50.</w:t>
      </w:r>
      <w:r>
        <w:t xml:space="preserve"> </w:t>
      </w:r>
      <w:r>
        <w:t xml:space="preserve">(Several other entries embed administrative sub-tasks — e.g.,</w:t>
      </w:r>
      <w:r>
        <w:t xml:space="preserve"> </w:t>
      </w:r>
      <w:r>
        <w:t xml:space="preserve">“</w:t>
      </w:r>
      <w:r>
        <w:t xml:space="preserve">coordinate filing</w:t>
      </w:r>
      <w:r>
        <w:t xml:space="preserve">”</w:t>
      </w:r>
      <w:r>
        <w:t xml:space="preserve"> </w:t>
      </w:r>
      <w:r>
        <w:t xml:space="preserve">in E12, E34, E77 — but because those are block-billed with substantive work and cannot be apportioned, they are captured by the 25% block-billing reduction in §V.C rather than separately written off.)</w:t>
      </w:r>
    </w:p>
    <w:bookmarkEnd w:id="28"/>
    <w:bookmarkStart w:id="29" w:name="Xe4dc08737cd2f777d4d564a393edb3d7b07c1dd"/>
    <w:p>
      <w:pPr>
        <w:pStyle w:val="Heading3"/>
      </w:pPr>
      <w:r>
        <w:t xml:space="preserve">F. Conference and Deposition Staffing Caps — Section 4.3 ($3,312.50)</w:t>
      </w:r>
    </w:p>
    <w:p>
      <w:pPr>
        <w:pStyle w:val="FirstParagraph"/>
      </w:pPr>
      <w:r>
        <w:t xml:space="preserve">Section 4.3 caps attendance at any internal meeting or conference call at</w:t>
      </w:r>
      <w:r>
        <w:t xml:space="preserve"> </w:t>
      </w:r>
      <w:r>
        <w:rPr>
          <w:b/>
          <w:bCs/>
        </w:rPr>
        <w:t xml:space="preserve">three billing timekeepers</w:t>
      </w:r>
      <w:r>
        <w:t xml:space="preserve"> </w:t>
      </w:r>
      <w:r>
        <w:t xml:space="preserve">(even for Substantive Case-Strategy Sessions), and caps deposition staffing at</w:t>
      </w:r>
      <w:r>
        <w:t xml:space="preserve"> </w:t>
      </w:r>
      <w:r>
        <w:rPr>
          <w:b/>
          <w:bCs/>
        </w:rPr>
        <w:t xml:space="preserve">two billing attorneys</w:t>
      </w:r>
      <w:r>
        <w:t xml:space="preserve"> </w:t>
      </w:r>
      <w:r>
        <w:t xml:space="preserve">unless advance approval is obtained at least five business days before the deposition; absent such approval,</w:t>
      </w:r>
      <w:r>
        <w:t xml:space="preserve"> </w:t>
      </w:r>
      <w:r>
        <w:t xml:space="preserve">“</w:t>
      </w:r>
      <w:r>
        <w:t xml:space="preserve">Pinnacle reserves the right to reduce the time of the additional timekeepers in their entirety.</w:t>
      </w:r>
      <w:r>
        <w:t xml:space="preserve">”</w:t>
      </w:r>
    </w:p>
    <w:p>
      <w:pPr>
        <w:pStyle w:val="BodyText"/>
      </w:pPr>
      <w:r>
        <w:rPr>
          <w:b/>
          <w:bCs/>
        </w:rPr>
        <w:t xml:space="preserve">1. May 8 team strategy call — $937.50.</w:t>
      </w:r>
      <w:r>
        <w:t xml:space="preserve"> </w:t>
      </w:r>
      <w:r>
        <w:t xml:space="preserve">Five timekeepers billed this single call (E22 Hargrove 3.0h; E23 Cho 3.0h; E24 Pettersson 3.0h; E25 Barros 2.5h; E26 Webb 2.5h). Barros is already rejected (§V.A). Of the four remaining approved timekeepers, one exceeds the three-person cap. No advance designation of billing attendees was made. The most junior attendee (Webb) is disallowed:</w:t>
      </w:r>
      <w:r>
        <w:t xml:space="preserve"> </w:t>
      </w:r>
      <w:r>
        <w:rPr>
          <w:b/>
          <w:bCs/>
        </w:rPr>
        <w:t xml:space="preserve">$937.50.</w:t>
      </w:r>
      <w:r>
        <w:t xml:space="preserve"> </w:t>
      </w:r>
      <w:r>
        <w:t xml:space="preserve">(Webb’s attendance at a strategy call is also the kind of</w:t>
      </w:r>
      <w:r>
        <w:t xml:space="preserve"> </w:t>
      </w:r>
      <w:r>
        <w:t xml:space="preserve">“</w:t>
      </w:r>
      <w:r>
        <w:t xml:space="preserve">getting up to speed</w:t>
      </w:r>
      <w:r>
        <w:t xml:space="preserve">”</w:t>
      </w:r>
      <w:r>
        <w:t xml:space="preserve"> </w:t>
      </w:r>
      <w:r>
        <w:t xml:space="preserve">time §6.3 treats as non-billable.)</w:t>
      </w:r>
    </w:p>
    <w:p>
      <w:pPr>
        <w:pStyle w:val="BodyText"/>
      </w:pPr>
      <w:r>
        <w:rPr>
          <w:b/>
          <w:bCs/>
        </w:rPr>
        <w:t xml:space="preserve">2. Dr. Rebecca Liu deposition (May 19) — $2,375.00.</w:t>
      </w:r>
      <w:r>
        <w:t xml:space="preserve"> </w:t>
      </w:r>
      <w:r>
        <w:t xml:space="preserve">Three attorneys billed the deposition: Hargrove (E60, observing/strategy), Cho (E61, conducting examination), and Pettersson (E62, exhibit management, notes, and summary). Two attorneys is the presumptive maximum; no advance approval for a third was sought. Pettersson’s role — managing exhibits, taking notes, and preparing a summary — is support work appropriately handled by a junior associate or paralegal. His deposition entry (E62, 5.0h, $2,375.00) is disallowed in its entirety:</w:t>
      </w:r>
      <w:r>
        <w:t xml:space="preserve"> </w:t>
      </w:r>
      <w:r>
        <w:rPr>
          <w:b/>
          <w:bCs/>
        </w:rPr>
        <w:t xml:space="preserve">$2,375.00.</w:t>
      </w:r>
      <w:r>
        <w:t xml:space="preserve"> </w:t>
      </w:r>
      <w:r>
        <w:t xml:space="preserve">(E62 is also block-billed; the disallowance subsumes the block-billing issue. The Firm may resubmit any genuinely separate summary-prep portion as a distinct, properly-leveled entry.) Hargrove and Cho, the two examining/strategy attorneys, remain within the two-attorney norm (their entries E60/E61 are reduced only for block billing under §V.C).</w:t>
      </w:r>
    </w:p>
    <w:p>
      <w:pPr>
        <w:pStyle w:val="BlockText"/>
      </w:pPr>
      <w:r>
        <w:rPr>
          <w:b/>
          <w:bCs/>
        </w:rPr>
        <w:t xml:space="preserve">Tier 3 subtotal (§V.D + §V.E + §V.F): $9,102.50</w:t>
      </w:r>
      <w:r>
        <w:t xml:space="preserve"> </w:t>
      </w:r>
      <w:r>
        <w:t xml:space="preserve">($5,077.50 + $712.50 + $3,312.50).</w:t>
      </w:r>
    </w:p>
    <w:bookmarkEnd w:id="29"/>
    <w:bookmarkStart w:id="30" w:name="Xff11c5f13682fd6649cbeaf9836a73f95f619fa"/>
    <w:p>
      <w:pPr>
        <w:pStyle w:val="Heading3"/>
      </w:pPr>
      <w:r>
        <w:t xml:space="preserve">G. Monthly Budget Overage — Section 7.3 (flagged; no additional dollar reduction)</w:t>
      </w:r>
    </w:p>
    <w:p>
      <w:pPr>
        <w:pStyle w:val="FirstParagraph"/>
      </w:pPr>
      <w:r>
        <w:t xml:space="preserve">The Approved Staffing Plan sets a monthly attorney-fee range of</w:t>
      </w:r>
      <w:r>
        <w:t xml:space="preserve"> </w:t>
      </w:r>
      <w:r>
        <w:rPr>
          <w:b/>
          <w:bCs/>
        </w:rPr>
        <w:t xml:space="preserve">$95,000–$165,000</w:t>
      </w:r>
      <w:r>
        <w:t xml:space="preserve"> </w:t>
      </w:r>
      <w:r>
        <w:t xml:space="preserve">and incorporates the §7.3 threshold: fees exceeding</w:t>
      </w:r>
      <w:r>
        <w:t xml:space="preserve"> </w:t>
      </w:r>
      <w:r>
        <w:rPr>
          <w:b/>
          <w:bCs/>
        </w:rPr>
        <w:t xml:space="preserve">115% of the high end ($189,750)</w:t>
      </w:r>
      <w:r>
        <w:t xml:space="preserve"> </w:t>
      </w:r>
      <w:r>
        <w:t xml:space="preserve">require prior written pre-approval. The invoice exceeds that threshold on</w:t>
      </w:r>
      <w:r>
        <w:t xml:space="preserve"> </w:t>
      </w:r>
      <w:r>
        <w:rPr>
          <w:b/>
          <w:bCs/>
        </w:rPr>
        <w:t xml:space="preserve">either</w:t>
      </w:r>
      <w:r>
        <w:t xml:space="preserve"> </w:t>
      </w:r>
      <w:r>
        <w:t xml:space="preserve">basis — the Summary’s $193,372.50 (over by $3,622.50) and the Time Detail’s $215,680.00 (over by $25,930.00) — and</w:t>
      </w:r>
      <w:r>
        <w:t xml:space="preserve"> </w:t>
      </w:r>
      <w:r>
        <w:rPr>
          <w:b/>
          <w:bCs/>
        </w:rPr>
        <w:t xml:space="preserve">no pre-approval was requested or obtained.</w:t>
      </w:r>
      <w:r>
        <w:t xml:space="preserve"> </w:t>
      </w:r>
      <w:r>
        <w:t xml:space="preserve">This is a §7.3 compliance violation that should be addressed with the Firm.</w:t>
      </w:r>
    </w:p>
    <w:p>
      <w:pPr>
        <w:pStyle w:val="BodyText"/>
      </w:pPr>
      <w:r>
        <w:t xml:space="preserve">No</w:t>
      </w:r>
      <w:r>
        <w:t xml:space="preserve"> </w:t>
      </w:r>
      <w:r>
        <w:rPr>
          <w:b/>
          <w:bCs/>
        </w:rPr>
        <w:t xml:space="preserve">separate</w:t>
      </w:r>
      <w:r>
        <w:t xml:space="preserve"> </w:t>
      </w:r>
      <w:r>
        <w:t xml:space="preserve">dollar reduction is applied under §7.3, however, because §7.3 is a ceiling and the guideline-compliance reductions above already bring audited attorney fees to</w:t>
      </w:r>
      <w:r>
        <w:t xml:space="preserve"> </w:t>
      </w:r>
      <w:r>
        <w:rPr>
          <w:b/>
          <w:bCs/>
        </w:rPr>
        <w:t xml:space="preserve">$141,843.12 — below the $189,750 ceiling.</w:t>
      </w:r>
      <w:r>
        <w:t xml:space="preserve"> </w:t>
      </w:r>
      <w:r>
        <w:t xml:space="preserve">Section 7.3 expressly provides that budget-compliance reductions do not offset the other independent reductions; here the other reductions are the binding constraint. Had the specific reductions not applied, §7.3 would cap payable fees at $189,750 (a $3,622.50 reduction against the Summary, or $25,930.00 against the Detail).</w:t>
      </w:r>
    </w:p>
    <w:bookmarkEnd w:id="30"/>
    <w:bookmarkStart w:id="31" w:name="X0aff09f89cd45e15655e9e0a598a4a73dde530f"/>
    <w:p>
      <w:pPr>
        <w:pStyle w:val="Heading3"/>
      </w:pPr>
      <w:r>
        <w:t xml:space="preserve">H. Expenses — Section 8 ($2,100.00 disallowed; balance allowed contingent on documentation)</w:t>
      </w:r>
    </w:p>
    <w:tbl>
      <w:tblPr>
        <w:tblStyle w:val="Table"/>
        <w:tblW w:type="pct" w:w="5000"/>
        <w:jc w:val="left"/>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Category</w:t>
            </w:r>
          </w:p>
        </w:tc>
        <w:tc>
          <w:tcPr/>
          <w:p>
            <w:pPr>
              <w:pStyle w:val="Compact"/>
              <w:jc w:val="left"/>
            </w:pPr>
            <w:r>
              <w:t xml:space="preserve">Vendor</w:t>
            </w:r>
          </w:p>
        </w:tc>
        <w:tc>
          <w:tcPr/>
          <w:p>
            <w:pPr>
              <w:pStyle w:val="Compact"/>
              <w:jc w:val="right"/>
            </w:pPr>
            <w:r>
              <w:t xml:space="preserve">Amount</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5/19</w:t>
            </w:r>
          </w:p>
        </w:tc>
        <w:tc>
          <w:tcPr/>
          <w:p>
            <w:pPr>
              <w:pStyle w:val="Compact"/>
              <w:jc w:val="left"/>
            </w:pPr>
            <w:r>
              <w:t xml:space="preserve">Court Reporting</w:t>
            </w:r>
          </w:p>
        </w:tc>
        <w:tc>
          <w:tcPr/>
          <w:p>
            <w:pPr>
              <w:pStyle w:val="Compact"/>
              <w:jc w:val="left"/>
            </w:pPr>
            <w:r>
              <w:t xml:space="preserve">Grayson Court Reporting Services</w:t>
            </w:r>
          </w:p>
        </w:tc>
        <w:tc>
          <w:tcPr/>
          <w:p>
            <w:pPr>
              <w:pStyle w:val="Compact"/>
              <w:jc w:val="right"/>
            </w:pPr>
            <w:r>
              <w:t xml:space="preserve">$3,200.00</w:t>
            </w:r>
          </w:p>
        </w:tc>
        <w:tc>
          <w:tcPr/>
          <w:p>
            <w:pPr>
              <w:pStyle w:val="Compact"/>
              <w:jc w:val="left"/>
            </w:pPr>
            <w:r>
              <w:rPr>
                <w:b/>
                <w:bCs/>
              </w:rPr>
              <w:t xml:space="preserve">Allowed</w:t>
            </w:r>
            <w:r>
              <w:t xml:space="preserve"> </w:t>
            </w:r>
            <w:r>
              <w:t xml:space="preserve">(approved vendor; court reporter + one transcript copy reimbursable, §8.1). Flag: produce vendor invoice; note</w:t>
            </w:r>
            <w:r>
              <w:t xml:space="preserve"> </w:t>
            </w:r>
            <w:r>
              <w:t xml:space="preserve">“</w:t>
            </w:r>
            <w:r>
              <w:t xml:space="preserve">expedited delivery</w:t>
            </w:r>
            <w:r>
              <w:t xml:space="preserve">”</w:t>
            </w:r>
            <w:r>
              <w:t xml:space="preserve"> </w:t>
            </w:r>
            <w:r>
              <w:t xml:space="preserve">premium.</w:t>
            </w:r>
          </w:p>
        </w:tc>
      </w:tr>
      <w:tr>
        <w:tc>
          <w:tcPr/>
          <w:p>
            <w:pPr>
              <w:pStyle w:val="Compact"/>
              <w:jc w:val="left"/>
            </w:pPr>
            <w:r>
              <w:t xml:space="preserve">2</w:t>
            </w:r>
          </w:p>
        </w:tc>
        <w:tc>
          <w:tcPr/>
          <w:p>
            <w:pPr>
              <w:pStyle w:val="Compact"/>
              <w:jc w:val="left"/>
            </w:pPr>
            <w:r>
              <w:t xml:space="preserve">5/18</w:t>
            </w:r>
          </w:p>
        </w:tc>
        <w:tc>
          <w:tcPr/>
          <w:p>
            <w:pPr>
              <w:pStyle w:val="Compact"/>
              <w:jc w:val="left"/>
            </w:pPr>
            <w:r>
              <w:t xml:space="preserve">Travel</w:t>
            </w:r>
          </w:p>
        </w:tc>
        <w:tc>
          <w:tcPr/>
          <w:p>
            <w:pPr>
              <w:pStyle w:val="Compact"/>
              <w:jc w:val="left"/>
            </w:pPr>
            <w:r>
              <w:t xml:space="preserve">Various</w:t>
            </w:r>
          </w:p>
        </w:tc>
        <w:tc>
          <w:tcPr/>
          <w:p>
            <w:pPr>
              <w:pStyle w:val="Compact"/>
              <w:jc w:val="right"/>
            </w:pPr>
            <w:r>
              <w:t xml:space="preserve">$2,100.00</w:t>
            </w:r>
          </w:p>
        </w:tc>
        <w:tc>
          <w:tcPr/>
          <w:p>
            <w:pPr>
              <w:pStyle w:val="Compact"/>
              <w:jc w:val="left"/>
            </w:pPr>
            <w:r>
              <w:rPr>
                <w:b/>
                <w:bCs/>
              </w:rPr>
              <w:t xml:space="preserve">Disallowed</w:t>
            </w:r>
            <w:r>
              <w:t xml:space="preserve"> </w:t>
            </w:r>
            <w:r>
              <w:t xml:space="preserve">— see below.</w:t>
            </w:r>
          </w:p>
        </w:tc>
      </w:tr>
      <w:tr>
        <w:tc>
          <w:tcPr/>
          <w:p>
            <w:pPr>
              <w:pStyle w:val="Compact"/>
              <w:jc w:val="left"/>
            </w:pPr>
            <w:r>
              <w:t xml:space="preserve">3</w:t>
            </w:r>
          </w:p>
        </w:tc>
        <w:tc>
          <w:tcPr/>
          <w:p>
            <w:pPr>
              <w:pStyle w:val="Compact"/>
              <w:jc w:val="left"/>
            </w:pPr>
            <w:r>
              <w:t xml:space="preserve">5/31</w:t>
            </w:r>
          </w:p>
        </w:tc>
        <w:tc>
          <w:tcPr/>
          <w:p>
            <w:pPr>
              <w:pStyle w:val="Compact"/>
              <w:jc w:val="left"/>
            </w:pPr>
            <w:r>
              <w:t xml:space="preserve">E-Discovery Hosting</w:t>
            </w:r>
          </w:p>
        </w:tc>
        <w:tc>
          <w:tcPr/>
          <w:p>
            <w:pPr>
              <w:pStyle w:val="Compact"/>
              <w:jc w:val="left"/>
            </w:pPr>
            <w:r>
              <w:t xml:space="preserve">Tripoint Litigation Support LLC</w:t>
            </w:r>
          </w:p>
        </w:tc>
        <w:tc>
          <w:tcPr/>
          <w:p>
            <w:pPr>
              <w:pStyle w:val="Compact"/>
              <w:jc w:val="right"/>
            </w:pPr>
            <w:r>
              <w:t xml:space="preserve">$2,650.00</w:t>
            </w:r>
          </w:p>
        </w:tc>
        <w:tc>
          <w:tcPr/>
          <w:p>
            <w:pPr>
              <w:pStyle w:val="Compact"/>
              <w:jc w:val="left"/>
            </w:pPr>
            <w:r>
              <w:rPr>
                <w:b/>
                <w:bCs/>
              </w:rPr>
              <w:t xml:space="preserve">Allowed</w:t>
            </w:r>
            <w:r>
              <w:t xml:space="preserve"> </w:t>
            </w:r>
            <w:r>
              <w:t xml:space="preserve">(approved vendor; pass-through, §8.4). Flag: confirm §8.1 pre-approval and produce vendor invoice.</w:t>
            </w:r>
          </w:p>
        </w:tc>
      </w:tr>
      <w:tr>
        <w:tc>
          <w:tcPr/>
          <w:p>
            <w:pPr>
              <w:pStyle w:val="Compact"/>
              <w:jc w:val="left"/>
            </w:pPr>
            <w:r>
              <w:t xml:space="preserve">4</w:t>
            </w:r>
          </w:p>
        </w:tc>
        <w:tc>
          <w:tcPr/>
          <w:p>
            <w:pPr>
              <w:pStyle w:val="Compact"/>
              <w:jc w:val="left"/>
            </w:pPr>
            <w:r>
              <w:t xml:space="preserve">5/15</w:t>
            </w:r>
          </w:p>
        </w:tc>
        <w:tc>
          <w:tcPr/>
          <w:p>
            <w:pPr>
              <w:pStyle w:val="Compact"/>
              <w:jc w:val="left"/>
            </w:pPr>
            <w:r>
              <w:t xml:space="preserve">Courier / Delivery</w:t>
            </w:r>
          </w:p>
        </w:tc>
        <w:tc>
          <w:tcPr/>
          <w:p>
            <w:pPr>
              <w:pStyle w:val="Compact"/>
              <w:jc w:val="left"/>
            </w:pPr>
            <w:r>
              <w:t xml:space="preserve">Various</w:t>
            </w:r>
          </w:p>
        </w:tc>
        <w:tc>
          <w:tcPr/>
          <w:p>
            <w:pPr>
              <w:pStyle w:val="Compact"/>
              <w:jc w:val="right"/>
            </w:pPr>
            <w:r>
              <w:t xml:space="preserve">$500.00</w:t>
            </w:r>
          </w:p>
        </w:tc>
        <w:tc>
          <w:tcPr/>
          <w:p>
            <w:pPr>
              <w:pStyle w:val="Compact"/>
              <w:jc w:val="left"/>
            </w:pPr>
            <w:r>
              <w:rPr>
                <w:b/>
                <w:bCs/>
              </w:rPr>
              <w:t xml:space="preserve">Allowed</w:t>
            </w:r>
            <w:r>
              <w:t xml:space="preserve"> </w:t>
            </w:r>
            <w:r>
              <w:t xml:space="preserve">(time-sensitive service/filing, §8.1). Flag: produce receipt;</w:t>
            </w:r>
            <w:r>
              <w:t xml:space="preserve"> </w:t>
            </w:r>
            <w:r>
              <w:t xml:space="preserve">“</w:t>
            </w:r>
            <w:r>
              <w:t xml:space="preserve">Various</w:t>
            </w:r>
            <w:r>
              <w:t xml:space="preserve">”</w:t>
            </w:r>
            <w:r>
              <w:t xml:space="preserve"> </w:t>
            </w:r>
            <w:r>
              <w:t xml:space="preserve">vendor is vague.</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$8,450.00</w:t>
            </w:r>
          </w:p>
        </w:tc>
        <w:tc>
          <w:tcPr/>
          <w:p>
            <w:pPr>
              <w:pStyle w:val="Compact"/>
              <w:jc w:val="left"/>
            </w:pPr>
            <w:r>
              <w:rPr>
                <w:b/>
                <w:bCs/>
              </w:rPr>
              <w:t xml:space="preserve">Audited expenses: $6,350.00</w:t>
            </w:r>
          </w:p>
        </w:tc>
      </w:tr>
    </w:tbl>
    <w:p>
      <w:pPr>
        <w:pStyle w:val="BodyText"/>
      </w:pPr>
      <w:r>
        <w:rPr>
          <w:b/>
          <w:bCs/>
        </w:rPr>
        <w:t xml:space="preserve">Expense 2 (Travel, $2,100.00) — disallowed in full.</w:t>
      </w:r>
      <w:r>
        <w:t xml:space="preserve"> </w:t>
      </w:r>
      <w:r>
        <w:t xml:space="preserve">The Case Status Report states that Dr. Liu’s deposition was taken</w:t>
      </w:r>
      <w:r>
        <w:t xml:space="preserve"> </w:t>
      </w:r>
      <w:r>
        <w:rPr>
          <w:b/>
          <w:bCs/>
        </w:rPr>
        <w:t xml:space="preserve">“</w:t>
      </w:r>
      <w:r>
        <w:rPr>
          <w:b/>
          <w:bCs/>
        </w:rPr>
        <w:t xml:space="preserve">at the offices of Hargrove &amp; Linden LLP in Atlanta, Georgia.</w:t>
      </w:r>
      <w:r>
        <w:rPr>
          <w:b/>
          <w:bCs/>
        </w:rPr>
        <w:t xml:space="preserve">”</w:t>
      </w:r>
      <w:r>
        <w:t xml:space="preserve"> </w:t>
      </w:r>
      <w:r>
        <w:t xml:space="preserve">The $2,100.00 charge is for Hargrove and Cho to travel to</w:t>
      </w:r>
      <w:r>
        <w:t xml:space="preserve"> </w:t>
      </w:r>
      <w:r>
        <w:rPr>
          <w:b/>
          <w:bCs/>
        </w:rPr>
        <w:t xml:space="preserve">their own firm’s Atlanta office</w:t>
      </w:r>
      <w:r>
        <w:t xml:space="preserve"> </w:t>
      </w:r>
      <w:r>
        <w:t xml:space="preserve">(mileage, parking, meals). Section 6.4 provides that</w:t>
      </w:r>
      <w:r>
        <w:t xml:space="preserve"> </w:t>
      </w:r>
      <w:r>
        <w:t xml:space="preserve">“</w:t>
      </w:r>
      <w:r>
        <w:t xml:space="preserve">[l]ocal travel within the Atlanta metropolitan area is not billable under any circumstances,</w:t>
      </w:r>
      <w:r>
        <w:t xml:space="preserve">”</w:t>
      </w:r>
      <w:r>
        <w:t xml:space="preserve"> </w:t>
      </w:r>
      <w:r>
        <w:t xml:space="preserve">and Section 8.2 makes meals non-reimbursable except during approved out-of-town travel. Independently, Section 8.3 requires pre-approval for any travel exceeding $1,000 in the aggregate, and none was obtained. The entire charge is overhead:</w:t>
      </w:r>
      <w:r>
        <w:t xml:space="preserve"> </w:t>
      </w:r>
      <w:r>
        <w:rPr>
          <w:b/>
          <w:bCs/>
        </w:rPr>
        <w:t xml:space="preserve">$2,100.00 disallowed.</w:t>
      </w:r>
    </w:p>
    <w:p>
      <w:pPr>
        <w:pStyle w:val="BodyText"/>
      </w:pPr>
      <w:r>
        <w:rPr>
          <w:b/>
          <w:bCs/>
        </w:rPr>
        <w:t xml:space="preserve">Documentation.</w:t>
      </w:r>
      <w:r>
        <w:t xml:space="preserve"> </w:t>
      </w:r>
      <w:r>
        <w:t xml:space="preserve">Section 8.1 requires that</w:t>
      </w:r>
      <w:r>
        <w:t xml:space="preserve"> </w:t>
      </w:r>
      <w:r>
        <w:t xml:space="preserve">“</w:t>
      </w:r>
      <w:r>
        <w:t xml:space="preserve">[a]ll expenses must be documented with receipts or vendor invoices.</w:t>
      </w:r>
      <w:r>
        <w:t xml:space="preserve">”</w:t>
      </w:r>
      <w:r>
        <w:t xml:space="preserve"> </w:t>
      </w:r>
      <w:r>
        <w:t xml:space="preserve">No receipts or vendor invoices accompany the invoice. Payment of the allowed expenses ($6,350.00) should be held pending production of the Grayson, Tripoint, and courier invoices/receipts and confirmation of the e-discovery pre-approval.</w:t>
      </w:r>
    </w:p>
    <w:bookmarkEnd w:id="31"/>
    <w:bookmarkStart w:id="32" w:name="Xae65883d208bd438ae600a8f293fe7a93a156c8"/>
    <w:p>
      <w:pPr>
        <w:pStyle w:val="Heading3"/>
      </w:pPr>
      <w:r>
        <w:t xml:space="preserve">I. Invoice Format and Compliance — Sections 7.2 &amp; 9.1</w:t>
      </w:r>
    </w:p>
    <w:p>
      <w:pPr>
        <w:pStyle w:val="Compact"/>
        <w:numPr>
          <w:ilvl w:val="0"/>
          <w:numId w:val="1002"/>
        </w:numPr>
      </w:pPr>
      <w:r>
        <w:rPr>
          <w:b/>
          <w:bCs/>
        </w:rPr>
        <w:t xml:space="preserve">Missing budget-to-actual reconciliation (§7.2 / §9.1(g)).</w:t>
      </w:r>
      <w:r>
        <w:t xml:space="preserve"> </w:t>
      </w:r>
      <w:r>
        <w:t xml:space="preserve">The invoice contains no budget-to-actual report showing the approved monthly range, actual and cumulative fees/expenses, percentage of phase budget consumed, or a variance narrative. This is a required invoice component; the invoice is non-compliant on its face.</w:t>
      </w:r>
    </w:p>
    <w:p>
      <w:pPr>
        <w:pStyle w:val="Compact"/>
        <w:numPr>
          <w:ilvl w:val="0"/>
          <w:numId w:val="1002"/>
        </w:numPr>
      </w:pPr>
      <w:r>
        <w:rPr>
          <w:b/>
          <w:bCs/>
        </w:rPr>
        <w:t xml:space="preserve">No Pinnacle matter number (§9.1(a)).</w:t>
      </w:r>
      <w:r>
        <w:t xml:space="preserve"> </w:t>
      </w:r>
      <w:r>
        <w:t xml:space="preserve">The invoice identifies the matter by name and case number but omits the Pinnacle matter number.</w:t>
      </w:r>
    </w:p>
    <w:p>
      <w:pPr>
        <w:pStyle w:val="Compact"/>
        <w:numPr>
          <w:ilvl w:val="0"/>
          <w:numId w:val="1002"/>
        </w:numPr>
      </w:pPr>
      <w:r>
        <w:rPr>
          <w:b/>
          <w:bCs/>
        </w:rPr>
        <w:t xml:space="preserve">Invoice timing (§9.1).</w:t>
      </w:r>
      <w:r>
        <w:t xml:space="preserve"> </w:t>
      </w:r>
      <w:r>
        <w:t xml:space="preserve">The June 5, 2025 date is within the 15th-of-the-following-month deadline; compliant.</w:t>
      </w:r>
    </w:p>
    <w:p>
      <w:pPr>
        <w:pStyle w:val="Compact"/>
        <w:numPr>
          <w:ilvl w:val="0"/>
          <w:numId w:val="1002"/>
        </w:numPr>
      </w:pPr>
      <w:r>
        <w:rPr>
          <w:b/>
          <w:bCs/>
        </w:rPr>
        <w:t xml:space="preserve">Time-entry narratives (§9.2).</w:t>
      </w:r>
      <w:r>
        <w:t xml:space="preserve"> </w:t>
      </w:r>
      <w:r>
        <w:t xml:space="preserve">Narratives are generally adequately detailed. Two entries embed billing/administrative work — E111 (</w:t>
      </w:r>
      <w:r>
        <w:t xml:space="preserve">“</w:t>
      </w:r>
      <w:r>
        <w:t xml:space="preserve">prepare cover memorandum for May 2025 invoice</w:t>
      </w:r>
      <w:r>
        <w:t xml:space="preserve">”</w:t>
      </w:r>
      <w:r>
        <w:t xml:space="preserve">) and E114 (</w:t>
      </w:r>
      <w:r>
        <w:t xml:space="preserve">“</w:t>
      </w:r>
      <w:r>
        <w:t xml:space="preserve">review and compile billing summaries</w:t>
      </w:r>
      <w:r>
        <w:t xml:space="preserve">”</w:t>
      </w:r>
      <w:r>
        <w:t xml:space="preserve">) — which is captured by the 25% block-billing reduction; invoice-preparation time is firm overhead and should not recur on future invoices.</w:t>
      </w:r>
    </w:p>
    <w:p>
      <w:pPr>
        <w:pStyle w:val="Compact"/>
        <w:numPr>
          <w:ilvl w:val="0"/>
          <w:numId w:val="1002"/>
        </w:numPr>
      </w:pPr>
      <w:r>
        <w:rPr>
          <w:b/>
          <w:bCs/>
        </w:rPr>
        <w:t xml:space="preserve">Billing increments (§5.5).</w:t>
      </w:r>
      <w:r>
        <w:t xml:space="preserve"> </w:t>
      </w:r>
      <w:r>
        <w:t xml:space="preserve">All entries are recorded in 0.1-/0.5-hour increments; no quarter-hour (0.25) entries were found. Compliant.</w:t>
      </w:r>
    </w:p>
    <w:p>
      <w:r>
        <w:pict>
          <v:rect style="width:0;height:1.5pt" o:hralign="center" o:hrstd="t" o:hr="t"/>
        </w:pict>
      </w:r>
    </w:p>
    <w:bookmarkEnd w:id="32"/>
    <w:bookmarkEnd w:id="33"/>
    <w:bookmarkStart w:id="34" w:name="vi.-reduction-summary"/>
    <w:p>
      <w:pPr>
        <w:pStyle w:val="Heading2"/>
      </w:pPr>
      <w:r>
        <w:t xml:space="preserve">VI. Reduction Summary</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Category</w:t>
            </w:r>
          </w:p>
        </w:tc>
        <w:tc>
          <w:tcPr/>
          <w:p>
            <w:pPr>
              <w:pStyle w:val="Compact"/>
              <w:jc w:val="left"/>
            </w:pPr>
            <w:r>
              <w:t xml:space="preserve">Guideline</w:t>
            </w:r>
          </w:p>
        </w:tc>
        <w:tc>
          <w:tcPr/>
          <w:p>
            <w:pPr>
              <w:pStyle w:val="Compact"/>
              <w:jc w:val="right"/>
            </w:pPr>
            <w:r>
              <w:t xml:space="preserve">Reduction</w:t>
            </w:r>
          </w:p>
        </w:tc>
      </w:tr>
      <w:tr>
        <w:tc>
          <w:tcPr/>
          <w:p>
            <w:pPr>
              <w:pStyle w:val="Compact"/>
              <w:jc w:val="left"/>
            </w:pPr>
            <w:r>
              <w:t xml:space="preserve">A. Unapproved timekeeper — Nina Barros</w:t>
            </w:r>
          </w:p>
        </w:tc>
        <w:tc>
          <w:tcPr/>
          <w:p>
            <w:pPr>
              <w:pStyle w:val="Compact"/>
              <w:jc w:val="left"/>
            </w:pPr>
            <w:r>
              <w:t xml:space="preserve">§4.2</w:t>
            </w:r>
          </w:p>
        </w:tc>
        <w:tc>
          <w:tcPr/>
          <w:p>
            <w:pPr>
              <w:pStyle w:val="Compact"/>
              <w:jc w:val="right"/>
            </w:pPr>
            <w:r>
              <w:t xml:space="preserve">$23,275.00</w:t>
            </w:r>
          </w:p>
        </w:tc>
      </w:tr>
      <w:tr>
        <w:tc>
          <w:tcPr/>
          <w:p>
            <w:pPr>
              <w:pStyle w:val="Compact"/>
              <w:jc w:val="left"/>
            </w:pPr>
            <w:r>
              <w:t xml:space="preserve">A. Unapproved timekeeper — Priya Sengupta</w:t>
            </w:r>
          </w:p>
        </w:tc>
        <w:tc>
          <w:tcPr/>
          <w:p>
            <w:pPr>
              <w:pStyle w:val="Compact"/>
              <w:jc w:val="left"/>
            </w:pPr>
            <w:r>
              <w:t xml:space="preserve">§4.2</w:t>
            </w:r>
          </w:p>
        </w:tc>
        <w:tc>
          <w:tcPr/>
          <w:p>
            <w:pPr>
              <w:pStyle w:val="Compact"/>
              <w:jc w:val="right"/>
            </w:pPr>
            <w:r>
              <w:t xml:space="preserve">$10,125.00</w:t>
            </w:r>
          </w:p>
        </w:tc>
      </w:tr>
      <w:tr>
        <w:tc>
          <w:tcPr/>
          <w:p>
            <w:pPr>
              <w:pStyle w:val="Compact"/>
              <w:jc w:val="left"/>
            </w:pPr>
            <w:r>
              <w:t xml:space="preserve">B. Contract attorney rate ($210 → $185)</w:t>
            </w:r>
          </w:p>
        </w:tc>
        <w:tc>
          <w:tcPr/>
          <w:p>
            <w:pPr>
              <w:pStyle w:val="Compact"/>
              <w:jc w:val="left"/>
            </w:pPr>
            <w:r>
              <w:t xml:space="preserve">§5.1 / Plan §6</w:t>
            </w:r>
          </w:p>
        </w:tc>
        <w:tc>
          <w:tcPr/>
          <w:p>
            <w:pPr>
              <w:pStyle w:val="Compact"/>
              <w:jc w:val="right"/>
            </w:pPr>
            <w:r>
              <w:t xml:space="preserve">$3,862.50</w:t>
            </w:r>
          </w:p>
        </w:tc>
      </w:tr>
      <w:tr>
        <w:tc>
          <w:tcPr/>
          <w:p>
            <w:pPr>
              <w:pStyle w:val="Compact"/>
              <w:jc w:val="left"/>
            </w:pPr>
            <w:r>
              <w:t xml:space="preserve">D. Task appropriateness — E9 (partner doc review)</w:t>
            </w:r>
          </w:p>
        </w:tc>
        <w:tc>
          <w:tcPr/>
          <w:p>
            <w:pPr>
              <w:pStyle w:val="Compact"/>
              <w:jc w:val="left"/>
            </w:pPr>
            <w:r>
              <w:t xml:space="preserve">§6.1(a)</w:t>
            </w:r>
          </w:p>
        </w:tc>
        <w:tc>
          <w:tcPr/>
          <w:p>
            <w:pPr>
              <w:pStyle w:val="Compact"/>
              <w:jc w:val="right"/>
            </w:pPr>
            <w:r>
              <w:t xml:space="preserve">$2,745.00</w:t>
            </w:r>
          </w:p>
        </w:tc>
      </w:tr>
      <w:tr>
        <w:tc>
          <w:tcPr/>
          <w:p>
            <w:pPr>
              <w:pStyle w:val="Compact"/>
              <w:jc w:val="left"/>
            </w:pPr>
            <w:r>
              <w:t xml:space="preserve">D. Task appropriateness — E43 (partner cite-check)</w:t>
            </w:r>
          </w:p>
        </w:tc>
        <w:tc>
          <w:tcPr/>
          <w:p>
            <w:pPr>
              <w:pStyle w:val="Compact"/>
              <w:jc w:val="left"/>
            </w:pPr>
            <w:r>
              <w:t xml:space="preserve">§6.1(b)</w:t>
            </w:r>
          </w:p>
        </w:tc>
        <w:tc>
          <w:tcPr/>
          <w:p>
            <w:pPr>
              <w:pStyle w:val="Compact"/>
              <w:jc w:val="right"/>
            </w:pPr>
            <w:r>
              <w:t xml:space="preserve">$1,220.00</w:t>
            </w:r>
          </w:p>
        </w:tc>
      </w:tr>
      <w:tr>
        <w:tc>
          <w:tcPr/>
          <w:p>
            <w:pPr>
              <w:pStyle w:val="Compact"/>
              <w:jc w:val="left"/>
            </w:pPr>
            <w:r>
              <w:t xml:space="preserve">D. Task appropriateness — E56 (mid-level binders)</w:t>
            </w:r>
          </w:p>
        </w:tc>
        <w:tc>
          <w:tcPr/>
          <w:p>
            <w:pPr>
              <w:pStyle w:val="Compact"/>
              <w:jc w:val="left"/>
            </w:pPr>
            <w:r>
              <w:t xml:space="preserve">§6.1(c)</w:t>
            </w:r>
          </w:p>
        </w:tc>
        <w:tc>
          <w:tcPr/>
          <w:p>
            <w:pPr>
              <w:pStyle w:val="Compact"/>
              <w:jc w:val="right"/>
            </w:pPr>
            <w:r>
              <w:t xml:space="preserve">$500.00</w:t>
            </w:r>
          </w:p>
        </w:tc>
      </w:tr>
      <w:tr>
        <w:tc>
          <w:tcPr/>
          <w:p>
            <w:pPr>
              <w:pStyle w:val="Compact"/>
              <w:jc w:val="left"/>
            </w:pPr>
            <w:r>
              <w:t xml:space="preserve">D. Task appropriateness — E79 (junior routine review)</w:t>
            </w:r>
          </w:p>
        </w:tc>
        <w:tc>
          <w:tcPr/>
          <w:p>
            <w:pPr>
              <w:pStyle w:val="Compact"/>
              <w:jc w:val="left"/>
            </w:pPr>
            <w:r>
              <w:t xml:space="preserve">§6.1(a)</w:t>
            </w:r>
          </w:p>
        </w:tc>
        <w:tc>
          <w:tcPr/>
          <w:p>
            <w:pPr>
              <w:pStyle w:val="Compact"/>
              <w:jc w:val="right"/>
            </w:pPr>
            <w:r>
              <w:t xml:space="preserve">$612.50</w:t>
            </w:r>
          </w:p>
        </w:tc>
      </w:tr>
      <w:tr>
        <w:tc>
          <w:tcPr/>
          <w:p>
            <w:pPr>
              <w:pStyle w:val="Compact"/>
              <w:jc w:val="left"/>
            </w:pPr>
            <w:r>
              <w:t xml:space="preserve">E. Administrative scheduling — E15</w:t>
            </w:r>
          </w:p>
        </w:tc>
        <w:tc>
          <w:tcPr/>
          <w:p>
            <w:pPr>
              <w:pStyle w:val="Compact"/>
              <w:jc w:val="left"/>
            </w:pPr>
            <w:r>
              <w:t xml:space="preserve">§6.1(g)–(k)</w:t>
            </w:r>
          </w:p>
        </w:tc>
        <w:tc>
          <w:tcPr/>
          <w:p>
            <w:pPr>
              <w:pStyle w:val="Compact"/>
              <w:jc w:val="right"/>
            </w:pPr>
            <w:r>
              <w:t xml:space="preserve">$712.50</w:t>
            </w:r>
          </w:p>
        </w:tc>
      </w:tr>
      <w:tr>
        <w:tc>
          <w:tcPr/>
          <w:p>
            <w:pPr>
              <w:pStyle w:val="Compact"/>
              <w:jc w:val="left"/>
            </w:pPr>
            <w:r>
              <w:t xml:space="preserve">F. May 8 call — Webb (4th timekeeper)</w:t>
            </w:r>
          </w:p>
        </w:tc>
        <w:tc>
          <w:tcPr/>
          <w:p>
            <w:pPr>
              <w:pStyle w:val="Compact"/>
              <w:jc w:val="left"/>
            </w:pPr>
            <w:r>
              <w:t xml:space="preserve">§4.3</w:t>
            </w:r>
          </w:p>
        </w:tc>
        <w:tc>
          <w:tcPr/>
          <w:p>
            <w:pPr>
              <w:pStyle w:val="Compact"/>
              <w:jc w:val="right"/>
            </w:pPr>
            <w:r>
              <w:t xml:space="preserve">$937.50</w:t>
            </w:r>
          </w:p>
        </w:tc>
      </w:tr>
      <w:tr>
        <w:tc>
          <w:tcPr/>
          <w:p>
            <w:pPr>
              <w:pStyle w:val="Compact"/>
              <w:jc w:val="left"/>
            </w:pPr>
            <w:r>
              <w:t xml:space="preserve">F. Liu deposition — Pettersson (3rd attorney)</w:t>
            </w:r>
          </w:p>
        </w:tc>
        <w:tc>
          <w:tcPr/>
          <w:p>
            <w:pPr>
              <w:pStyle w:val="Compact"/>
              <w:jc w:val="left"/>
            </w:pPr>
            <w:r>
              <w:t xml:space="preserve">§4.3</w:t>
            </w:r>
          </w:p>
        </w:tc>
        <w:tc>
          <w:tcPr/>
          <w:p>
            <w:pPr>
              <w:pStyle w:val="Compact"/>
              <w:jc w:val="right"/>
            </w:pPr>
            <w:r>
              <w:t xml:space="preserve">$2,375.00</w:t>
            </w:r>
          </w:p>
        </w:tc>
      </w:tr>
      <w:tr>
        <w:tc>
          <w:tcPr/>
          <w:p>
            <w:pPr>
              <w:pStyle w:val="Compact"/>
              <w:jc w:val="left"/>
            </w:pPr>
            <w:r>
              <w:t xml:space="preserve">C. Block billing — 45 entries (25% each)</w:t>
            </w:r>
          </w:p>
        </w:tc>
        <w:tc>
          <w:tcPr/>
          <w:p>
            <w:pPr>
              <w:pStyle w:val="Compact"/>
              <w:jc w:val="left"/>
            </w:pPr>
            <w:r>
              <w:t xml:space="preserve">§5.4</w:t>
            </w:r>
          </w:p>
        </w:tc>
        <w:tc>
          <w:tcPr/>
          <w:p>
            <w:pPr>
              <w:pStyle w:val="Compact"/>
              <w:jc w:val="right"/>
            </w:pPr>
            <w:r>
              <w:t xml:space="preserve">$27,471.88</w:t>
            </w:r>
          </w:p>
        </w:tc>
      </w:tr>
      <w:tr>
        <w:tc>
          <w:tcPr/>
          <w:p>
            <w:pPr>
              <w:pStyle w:val="Compact"/>
            </w:pPr>
          </w:p>
        </w:tc>
        <w:tc>
          <w:tcPr/>
          <w:p>
            <w:pPr>
              <w:pStyle w:val="Compact"/>
              <w:jc w:val="left"/>
            </w:pPr>
            <w:r>
              <w:rPr>
                <w:b/>
                <w:bCs/>
              </w:rPr>
              <w:t xml:space="preserve">Total attorney-fee reductions</w:t>
            </w:r>
          </w:p>
        </w:tc>
        <w:tc>
          <w:tcPr/>
          <w:p>
            <w:pPr>
              <w:pStyle w:val="Compact"/>
              <w:jc w:val="right"/>
            </w:pPr>
            <w:r>
              <w:rPr>
                <w:b/>
                <w:bCs/>
              </w:rPr>
              <w:t xml:space="preserve">$73,836.88</w:t>
            </w:r>
          </w:p>
        </w:tc>
      </w:tr>
      <w:tr>
        <w:tc>
          <w:tcPr/>
          <w:p>
            <w:pPr>
              <w:pStyle w:val="Compact"/>
              <w:jc w:val="left"/>
            </w:pPr>
            <w:r>
              <w:t xml:space="preserve">H. Local travel to own office — Expense 2</w:t>
            </w:r>
          </w:p>
        </w:tc>
        <w:tc>
          <w:tcPr/>
          <w:p>
            <w:pPr>
              <w:pStyle w:val="Compact"/>
              <w:jc w:val="left"/>
            </w:pPr>
            <w:r>
              <w:t xml:space="preserve">§6.4 / §8.2 / §8.3</w:t>
            </w:r>
          </w:p>
        </w:tc>
        <w:tc>
          <w:tcPr/>
          <w:p>
            <w:pPr>
              <w:pStyle w:val="Compact"/>
              <w:jc w:val="right"/>
            </w:pPr>
            <w:r>
              <w:t xml:space="preserve">$2,100.00</w:t>
            </w:r>
          </w:p>
        </w:tc>
      </w:tr>
      <w:tr>
        <w:tc>
          <w:tcPr/>
          <w:p>
            <w:pPr>
              <w:pStyle w:val="Compact"/>
            </w:pPr>
          </w:p>
        </w:tc>
        <w:tc>
          <w:tcPr/>
          <w:p>
            <w:pPr>
              <w:pStyle w:val="Compact"/>
              <w:jc w:val="left"/>
            </w:pPr>
            <w:r>
              <w:rPr>
                <w:b/>
                <w:bCs/>
              </w:rPr>
              <w:t xml:space="preserve">Total expense reductions</w:t>
            </w:r>
          </w:p>
        </w:tc>
        <w:tc>
          <w:tcPr/>
          <w:p>
            <w:pPr>
              <w:pStyle w:val="Compact"/>
              <w:jc w:val="right"/>
            </w:pPr>
            <w:r>
              <w:rPr>
                <w:b/>
                <w:bCs/>
              </w:rPr>
              <w:t xml:space="preserve">$2,100.00</w:t>
            </w:r>
          </w:p>
        </w:tc>
      </w:tr>
      <w:tr>
        <w:tc>
          <w:tcPr/>
          <w:p>
            <w:pPr>
              <w:pStyle w:val="Compact"/>
            </w:pPr>
          </w:p>
        </w:tc>
        <w:tc>
          <w:tcPr/>
          <w:p>
            <w:pPr>
              <w:pStyle w:val="Compact"/>
              <w:jc w:val="left"/>
            </w:pPr>
            <w:r>
              <w:rPr>
                <w:b/>
                <w:bCs/>
              </w:rPr>
              <w:t xml:space="preserve">GRAND TOTAL REDUCTIONS</w:t>
            </w:r>
          </w:p>
        </w:tc>
        <w:tc>
          <w:tcPr/>
          <w:p>
            <w:pPr>
              <w:pStyle w:val="Compact"/>
              <w:jc w:val="right"/>
            </w:pPr>
            <w:r>
              <w:rPr>
                <w:b/>
                <w:bCs/>
              </w:rPr>
              <w:t xml:space="preserve">$75,936.88</w:t>
            </w:r>
          </w:p>
        </w:tc>
      </w:tr>
    </w:tbl>
    <w:p>
      <w:pPr>
        <w:pStyle w:val="BodyText"/>
      </w:pPr>
      <w:r>
        <w:rPr>
          <w:b/>
          <w:bCs/>
        </w:rPr>
        <w:t xml:space="preserve">Reconciliation to audited payable (Time Detail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Time Detail attorney fees (117 entries)</w:t>
            </w:r>
          </w:p>
        </w:tc>
        <w:tc>
          <w:tcPr/>
          <w:p>
            <w:pPr>
              <w:pStyle w:val="Compact"/>
              <w:jc w:val="right"/>
            </w:pPr>
            <w:r>
              <w:t xml:space="preserve">$215,680.00</w:t>
            </w:r>
          </w:p>
        </w:tc>
      </w:tr>
      <w:tr>
        <w:tc>
          <w:tcPr/>
          <w:p>
            <w:pPr>
              <w:pStyle w:val="Compact"/>
              <w:jc w:val="left"/>
            </w:pPr>
            <w:r>
              <w:t xml:space="preserve">Less: attorney-fee reductions</w:t>
            </w:r>
          </w:p>
        </w:tc>
        <w:tc>
          <w:tcPr/>
          <w:p>
            <w:pPr>
              <w:pStyle w:val="Compact"/>
              <w:jc w:val="right"/>
            </w:pPr>
            <w:r>
              <w:t xml:space="preserve">($73,836.88)</w:t>
            </w:r>
          </w:p>
        </w:tc>
      </w:tr>
      <w:tr>
        <w:tc>
          <w:tcPr/>
          <w:p>
            <w:pPr>
              <w:pStyle w:val="Compact"/>
              <w:jc w:val="left"/>
            </w:pPr>
            <w:r>
              <w:rPr>
                <w:b/>
                <w:bCs/>
              </w:rPr>
              <w:t xml:space="preserve">Audited attorney fees</w:t>
            </w:r>
          </w:p>
        </w:tc>
        <w:tc>
          <w:tcPr/>
          <w:p>
            <w:pPr>
              <w:pStyle w:val="Compact"/>
              <w:jc w:val="right"/>
            </w:pPr>
            <w:r>
              <w:rPr>
                <w:b/>
                <w:bCs/>
              </w:rPr>
              <w:t xml:space="preserve">$141,843.12</w:t>
            </w:r>
          </w:p>
        </w:tc>
      </w:tr>
      <w:tr>
        <w:tc>
          <w:tcPr/>
          <w:p>
            <w:pPr>
              <w:pStyle w:val="Compact"/>
              <w:jc w:val="left"/>
            </w:pPr>
            <w:r>
              <w:t xml:space="preserve">Expenses invoiced</w:t>
            </w:r>
          </w:p>
        </w:tc>
        <w:tc>
          <w:tcPr/>
          <w:p>
            <w:pPr>
              <w:pStyle w:val="Compact"/>
              <w:jc w:val="right"/>
            </w:pPr>
            <w:r>
              <w:t xml:space="preserve">$8,450.00</w:t>
            </w:r>
          </w:p>
        </w:tc>
      </w:tr>
      <w:tr>
        <w:tc>
          <w:tcPr/>
          <w:p>
            <w:pPr>
              <w:pStyle w:val="Compact"/>
              <w:jc w:val="left"/>
            </w:pPr>
            <w:r>
              <w:t xml:space="preserve">Less: expense reductions</w:t>
            </w:r>
          </w:p>
        </w:tc>
        <w:tc>
          <w:tcPr/>
          <w:p>
            <w:pPr>
              <w:pStyle w:val="Compact"/>
              <w:jc w:val="right"/>
            </w:pPr>
            <w:r>
              <w:t xml:space="preserve">($2,100.00)</w:t>
            </w:r>
          </w:p>
        </w:tc>
      </w:tr>
      <w:tr>
        <w:tc>
          <w:tcPr/>
          <w:p>
            <w:pPr>
              <w:pStyle w:val="Compact"/>
              <w:jc w:val="left"/>
            </w:pPr>
            <w:r>
              <w:rPr>
                <w:b/>
                <w:bCs/>
              </w:rPr>
              <w:t xml:space="preserve">Audited expenses</w:t>
            </w:r>
          </w:p>
        </w:tc>
        <w:tc>
          <w:tcPr/>
          <w:p>
            <w:pPr>
              <w:pStyle w:val="Compact"/>
              <w:jc w:val="right"/>
            </w:pPr>
            <w:r>
              <w:rPr>
                <w:b/>
                <w:bCs/>
              </w:rPr>
              <w:t xml:space="preserve">$6,350.00</w:t>
            </w:r>
          </w:p>
        </w:tc>
      </w:tr>
      <w:tr>
        <w:tc>
          <w:tcPr/>
          <w:p>
            <w:pPr>
              <w:pStyle w:val="Compact"/>
              <w:jc w:val="left"/>
            </w:pPr>
            <w:r>
              <w:rPr>
                <w:b/>
                <w:bCs/>
              </w:rPr>
              <w:t xml:space="preserve">AUDITED PAYABLE</w:t>
            </w:r>
          </w:p>
        </w:tc>
        <w:tc>
          <w:tcPr/>
          <w:p>
            <w:pPr>
              <w:pStyle w:val="Compact"/>
              <w:jc w:val="right"/>
            </w:pPr>
            <w:r>
              <w:rPr>
                <w:b/>
                <w:bCs/>
              </w:rPr>
              <w:t xml:space="preserve">$148,193.12</w:t>
            </w:r>
          </w:p>
        </w:tc>
      </w:tr>
      <w:tr>
        <w:tc>
          <w:tcPr/>
          <w:p>
            <w:pPr>
              <w:pStyle w:val="Compact"/>
              <w:jc w:val="left"/>
            </w:pPr>
            <w:r>
              <w:t xml:space="preserve">Summary page requested total</w:t>
            </w:r>
          </w:p>
        </w:tc>
        <w:tc>
          <w:tcPr/>
          <w:p>
            <w:pPr>
              <w:pStyle w:val="Compact"/>
              <w:jc w:val="right"/>
            </w:pPr>
            <w:r>
              <w:t xml:space="preserve">$201,822.50</w:t>
            </w:r>
          </w:p>
        </w:tc>
      </w:tr>
      <w:tr>
        <w:tc>
          <w:tcPr/>
          <w:p>
            <w:pPr>
              <w:pStyle w:val="Compact"/>
              <w:jc w:val="left"/>
            </w:pPr>
            <w:r>
              <w:rPr>
                <w:b/>
                <w:bCs/>
              </w:rPr>
              <w:t xml:space="preserve">Reduction from amount requested</w:t>
            </w:r>
          </w:p>
        </w:tc>
        <w:tc>
          <w:tcPr/>
          <w:p>
            <w:pPr>
              <w:pStyle w:val="Compact"/>
              <w:jc w:val="right"/>
            </w:pPr>
            <w:r>
              <w:rPr>
                <w:b/>
                <w:bCs/>
              </w:rPr>
              <w:t xml:space="preserve">$53,629.38 (26.6%)</w:t>
            </w:r>
          </w:p>
        </w:tc>
      </w:tr>
    </w:tbl>
    <w:p>
      <w:r>
        <w:pict>
          <v:rect style="width:0;height:1.5pt" o:hralign="center" o:hrstd="t" o:hr="t"/>
        </w:pict>
      </w:r>
    </w:p>
    <w:bookmarkEnd w:id="34"/>
    <w:bookmarkStart w:id="35" w:name="vii.-recommended-actions"/>
    <w:p>
      <w:pPr>
        <w:pStyle w:val="Heading2"/>
      </w:pPr>
      <w:r>
        <w:t xml:space="preserve">VII. Recommended Actions</w:t>
      </w:r>
    </w:p>
    <w:p>
      <w:pPr>
        <w:numPr>
          <w:ilvl w:val="0"/>
          <w:numId w:val="1003"/>
        </w:numPr>
      </w:pPr>
      <w:r>
        <w:rPr>
          <w:b/>
          <w:bCs/>
        </w:rPr>
        <w:t xml:space="preserve">Do not pay the invoice as submitted.</w:t>
      </w:r>
      <w:r>
        <w:t xml:space="preserve"> </w:t>
      </w:r>
      <w:r>
        <w:t xml:space="preserve">Withhold payment pending a corrected, reconciled invoice. The Summary must tie to the Time Detail, and the $22,307.50 / 61-hour variance must be explained and corrected.</w:t>
      </w:r>
    </w:p>
    <w:p>
      <w:pPr>
        <w:numPr>
          <w:ilvl w:val="0"/>
          <w:numId w:val="1003"/>
        </w:numPr>
      </w:pPr>
      <w:r>
        <w:rPr>
          <w:b/>
          <w:bCs/>
        </w:rPr>
        <w:t xml:space="preserve">Reject all fees for Nina Barros ($23,275.00) and Priya Sengupta ($10,125.00)</w:t>
      </w:r>
      <w:r>
        <w:t xml:space="preserve"> </w:t>
      </w:r>
      <w:r>
        <w:t xml:space="preserve">as unapproved timekeepers under §4.2. If the Firm wishes to pursue these charges, it must submit a written staffing-change request (with the information required by §4.2(a)–(d)) for prospective consideration; prior work performed without approval remains subject to rejection at Pinnacle’s discretion.</w:t>
      </w:r>
    </w:p>
    <w:p>
      <w:pPr>
        <w:numPr>
          <w:ilvl w:val="0"/>
          <w:numId w:val="1003"/>
        </w:numPr>
      </w:pPr>
      <w:r>
        <w:rPr>
          <w:b/>
          <w:bCs/>
        </w:rPr>
        <w:t xml:space="preserve">Reduce Marcus Tate’s rate to $185/hr</w:t>
      </w:r>
      <w:r>
        <w:t xml:space="preserve"> </w:t>
      </w:r>
      <w:r>
        <w:t xml:space="preserve">(the approved pass-through rate) and require the Firm to confirm the Redwood Document Solutions vendor rate and the absence of any markup.</w:t>
      </w:r>
    </w:p>
    <w:p>
      <w:pPr>
        <w:numPr>
          <w:ilvl w:val="0"/>
          <w:numId w:val="1003"/>
        </w:numPr>
      </w:pPr>
      <w:r>
        <w:rPr>
          <w:b/>
          <w:bCs/>
        </w:rPr>
        <w:t xml:space="preserve">Apply the 25% block-billing reduction to the 45 identified entries ($27,471.88),</w:t>
      </w:r>
      <w:r>
        <w:t xml:space="preserve"> </w:t>
      </w:r>
      <w:r>
        <w:t xml:space="preserve">and invite the Firm to resubmit those entries as separate, individually-timed line items within 15 days if it wishes to avoid the reduction (§5.4).</w:t>
      </w:r>
    </w:p>
    <w:p>
      <w:pPr>
        <w:numPr>
          <w:ilvl w:val="0"/>
          <w:numId w:val="1003"/>
        </w:numPr>
      </w:pPr>
      <w:r>
        <w:rPr>
          <w:b/>
          <w:bCs/>
        </w:rPr>
        <w:t xml:space="preserve">Apply the task-appropriateness, administrative, and staffing-cap reductions</w:t>
      </w:r>
      <w:r>
        <w:t xml:space="preserve"> </w:t>
      </w:r>
      <w:r>
        <w:t xml:space="preserve">identified in §V.D–F ($9,102.50).</w:t>
      </w:r>
    </w:p>
    <w:p>
      <w:pPr>
        <w:numPr>
          <w:ilvl w:val="0"/>
          <w:numId w:val="1003"/>
        </w:numPr>
      </w:pPr>
      <w:r>
        <w:rPr>
          <w:b/>
          <w:bCs/>
        </w:rPr>
        <w:t xml:space="preserve">Disallow the $2,100.00 local-travel expense</w:t>
      </w:r>
      <w:r>
        <w:t xml:space="preserve"> </w:t>
      </w:r>
      <w:r>
        <w:t xml:space="preserve">and require vendor invoices/receipts for the three allowed expenses before releasing $6,350.00.</w:t>
      </w:r>
    </w:p>
    <w:p>
      <w:pPr>
        <w:numPr>
          <w:ilvl w:val="0"/>
          <w:numId w:val="1003"/>
        </w:numPr>
      </w:pPr>
      <w:r>
        <w:rPr>
          <w:b/>
          <w:bCs/>
        </w:rPr>
        <w:t xml:space="preserve">Require a compliant invoice package:</w:t>
      </w:r>
      <w:r>
        <w:t xml:space="preserve"> </w:t>
      </w:r>
      <w:r>
        <w:t xml:space="preserve">a §7.2 budget-to-actual reconciliation, the Pinnacle matter number, and expense receipts.</w:t>
      </w:r>
    </w:p>
    <w:p>
      <w:pPr>
        <w:numPr>
          <w:ilvl w:val="0"/>
          <w:numId w:val="1003"/>
        </w:numPr>
      </w:pPr>
      <w:r>
        <w:rPr>
          <w:b/>
          <w:bCs/>
        </w:rPr>
        <w:t xml:space="preserve">Address the §7.3 budget-overage violation.</w:t>
      </w:r>
      <w:r>
        <w:t xml:space="preserve"> </w:t>
      </w:r>
      <w:r>
        <w:t xml:space="preserve">Even after reductions, the Firm submitted an invoice exceeding the $189,750 pre-approval threshold without notice. Going forward, the Firm must provide advance written notice and obtain pre-approval before monthly fees exceed the threshold, and should explain why May fees (particularly partner and senior-associate hours, which exceeded the Staffing Plan’s expected ranges) were not flagged earlier.</w:t>
      </w:r>
    </w:p>
    <w:p>
      <w:pPr>
        <w:numPr>
          <w:ilvl w:val="0"/>
          <w:numId w:val="1003"/>
        </w:numPr>
      </w:pPr>
      <w:r>
        <w:rPr>
          <w:b/>
          <w:bCs/>
        </w:rPr>
        <w:t xml:space="preserve">Communicate the reductions in writing</w:t>
      </w:r>
      <w:r>
        <w:t xml:space="preserve"> </w:t>
      </w:r>
      <w:r>
        <w:t xml:space="preserve">to David Hargrove and Karen Cho, citing the specific Guideline sections and entry numbers, and afford the Firm the §10.3 appeal right (written appeal within 30 days to the Designated In-House Counsel).</w:t>
      </w:r>
    </w:p>
    <w:p>
      <w:pPr>
        <w:pStyle w:val="FirstParagraph"/>
      </w:pPr>
      <w:r>
        <w:rPr>
          <w:b/>
          <w:bCs/>
        </w:rPr>
        <w:t xml:space="preserve">Maximum amount Pinnacle should pay on a corrected, reconciled invoice: $148,193.12</w:t>
      </w:r>
      <w:r>
        <w:t xml:space="preserve"> </w:t>
      </w:r>
      <w:r>
        <w:t xml:space="preserve">— and only after the documentation and reconciliation defects are cured.</w:t>
      </w:r>
    </w:p>
    <w:p>
      <w:r>
        <w:pict>
          <v:rect style="width:0;height:1.5pt" o:hralign="center" o:hrstd="t" o:hr="t"/>
        </w:pict>
      </w:r>
    </w:p>
    <w:p>
      <w:pPr>
        <w:pStyle w:val="FirstParagraph"/>
      </w:pPr>
      <w:r>
        <w:rPr>
          <w:i/>
          <w:iCs/>
        </w:rPr>
        <w:t xml:space="preserve">Prepared by Legal Operations / Billing Review. This memorandum is privileged and confidential, constitutes attorney work product prepared in anticipation of litigation, and is intended solely for the use of Pinnacle Health Systems, Inc.’s legal department.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2026-06-29T00:42:40Z</dcterms:created>
  <dcterms:modified xsi:type="dcterms:W3CDTF">2026-06-29T00:42:40Z</dcterms:modified>
</cp:coreProperties>
</file>

<file path=docProps/custom.xml><?xml version="1.0" encoding="utf-8"?>
<Properties xmlns="http://schemas.openxmlformats.org/officeDocument/2006/custom-properties" xmlns:vt="http://schemas.openxmlformats.org/officeDocument/2006/docPropsVTypes"/>
</file>