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t xml:space="preserve"> </w:t>
      </w:r>
      <w:r>
        <w:rPr>
          <w:b/>
          <w:bCs/>
        </w:rPr>
        <w:t xml:space="preserve">FOR THE WESTERN DISTRICT OF TEXAS</w:t>
      </w:r>
      <w:r>
        <w:t xml:space="preserve"> </w:t>
      </w:r>
      <w:r>
        <w:rPr>
          <w:b/>
          <w:bCs/>
        </w:rPr>
        <w:t xml:space="preserve">AUSTIN DIVISION</w:t>
      </w:r>
    </w:p>
    <w:p>
      <w:pPr>
        <w:pStyle w:val="BodyText"/>
      </w:pPr>
      <w:r>
        <w:rPr>
          <w:b/>
          <w:bCs/>
        </w:rPr>
        <w:t xml:space="preserve">CASTILLO MEDICAL TECHNOLOGIES, INC.,</w:t>
      </w:r>
      <w:r>
        <w:t xml:space="preserve"> </w:t>
      </w:r>
      <w:r>
        <w:rPr>
          <w:i/>
          <w:iCs/>
        </w:rPr>
        <w:t xml:space="preserve">Plaintiff,</w:t>
      </w:r>
    </w:p>
    <w:p>
      <w:pPr>
        <w:pStyle w:val="FirstParagraph"/>
      </w:pPr>
      <w:r>
        <w:rPr>
          <w:b/>
          <w:bCs/>
        </w:rPr>
        <w:t xml:space="preserve">RYAN OSHIRO</w:t>
      </w:r>
      <w:r>
        <w:t xml:space="preserve"> </w:t>
      </w:r>
      <w:r>
        <w:t xml:space="preserve">and</w:t>
      </w:r>
      <w:r>
        <w:t xml:space="preserve"> </w:t>
      </w:r>
      <w:r>
        <w:rPr>
          <w:b/>
          <w:bCs/>
        </w:rPr>
        <w:t xml:space="preserve">VERIDIAN HEALTH SYSTEMS, LLC,</w:t>
      </w:r>
      <w:r>
        <w:t xml:space="preserve"> </w:t>
      </w:r>
      <w:r>
        <w:rPr>
          <w:i/>
          <w:iCs/>
        </w:rPr>
        <w:t xml:space="preserve">Defendants.</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rPr>
                <w:b/>
                <w:bCs/>
              </w:rPr>
              <w:t xml:space="preserve">Civil Action No. 1:24-cv-03841-RLH</w:t>
            </w:r>
          </w:p>
        </w:tc>
      </w:tr>
      <w:tr>
        <w:tc>
          <w:tcPr/>
          <w:p>
            <w:pPr>
              <w:pStyle w:val="Compact"/>
            </w:pPr>
          </w:p>
        </w:tc>
        <w:tc>
          <w:tcPr/>
          <w:p>
            <w:pPr>
              <w:pStyle w:val="Compact"/>
              <w:jc w:val="left"/>
            </w:pPr>
            <w:r>
              <w:rPr>
                <w:b/>
                <w:bCs/>
              </w:rPr>
              <w:t xml:space="preserve">Hon. Rebecca L. Hightower</w:t>
            </w:r>
          </w:p>
        </w:tc>
      </w:tr>
      <w:tr>
        <w:tc>
          <w:tcPr/>
          <w:p>
            <w:pPr>
              <w:pStyle w:val="Compact"/>
            </w:pPr>
          </w:p>
        </w:tc>
        <w:tc>
          <w:tcPr/>
          <w:p>
            <w:pPr>
              <w:pStyle w:val="Compact"/>
              <w:jc w:val="left"/>
            </w:pPr>
            <w:r>
              <w:rPr>
                <w:b/>
                <w:bCs/>
              </w:rPr>
              <w:t xml:space="preserve">JURY TRIAL DEMANDED</w:t>
            </w:r>
          </w:p>
        </w:tc>
      </w:tr>
    </w:tbl>
    <w:bookmarkStart w:id="24" w:name="Xe0dc6e2b632de160ca66e4eed01dfcf21f1b527"/>
    <w:p>
      <w:pPr>
        <w:pStyle w:val="Heading1"/>
      </w:pPr>
      <w:r>
        <w:t xml:space="preserve">PLAINTIFF’S FIRST SET OF INTERROGATORIES TO DEFENDANT VERIDIAN HEALTH SYSTEMS, LLC</w:t>
      </w:r>
    </w:p>
    <w:p>
      <w:pPr>
        <w:pStyle w:val="FirstParagraph"/>
      </w:pPr>
      <w:r>
        <w:t xml:space="preserve">Pursuant to Rules 26 and 33 of the Federal Rules of Civil Procedure, the Local Rules of this Court, and the Court’s Scheduling Order entered September 4, 2024,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hereby serves upon Defendant Veridian Health Systems, LLC (</w:t>
      </w:r>
      <w:r>
        <w:t xml:space="preserve">“</w:t>
      </w:r>
      <w:r>
        <w:t xml:space="preserve">Veridian</w:t>
      </w:r>
      <w:r>
        <w:t xml:space="preserve">”</w:t>
      </w:r>
      <w:r>
        <w:t xml:space="preserve">) the following First Set of Interrogatories. Veridian is directed to answer each interrogatory separately, fully, in writing, and under oath, within thirty (30) days after service of these interrogatories, as provided in Federal Rule of Civil Procedure 33(b)(2).</w:t>
      </w:r>
    </w:p>
    <w:bookmarkStart w:id="20" w:name="general-instructions"/>
    <w:p>
      <w:pPr>
        <w:pStyle w:val="Heading2"/>
      </w:pPr>
      <w:r>
        <w:t xml:space="preserve">GENERAL INSTRUCTIONS</w:t>
      </w:r>
    </w:p>
    <w:p>
      <w:pPr>
        <w:numPr>
          <w:ilvl w:val="0"/>
          <w:numId w:val="1002"/>
        </w:numPr>
      </w:pPr>
      <w:r>
        <w:rPr>
          <w:b/>
          <w:bCs/>
        </w:rPr>
        <w:t xml:space="preserve">Scope of Answers.</w:t>
      </w:r>
      <w:r>
        <w:t xml:space="preserve"> </w:t>
      </w:r>
      <w:r>
        <w:t xml:space="preserve">For each interrogatory, Veridian shall furnish all information known or reasonably available to it, including all information in the possession, custody, or control of its present and former officers, directors, managers, members, employees, agents, attorneys (other than information subject to a claim of privilege, as to which the procedures in Instruction 6 below apply), consultants, contractors, subsidiaries, affiliates, and all other persons acting or purporting to act on its behalf or in concert with it. Veridian may not limit its answers to information in the possession of a single person or department.</w:t>
      </w:r>
    </w:p>
    <w:p>
      <w:pPr>
        <w:numPr>
          <w:ilvl w:val="0"/>
          <w:numId w:val="1002"/>
        </w:numPr>
      </w:pPr>
      <w:r>
        <w:rPr>
          <w:b/>
          <w:bCs/>
        </w:rPr>
        <w:t xml:space="preserve">Duty to Investigate.</w:t>
      </w:r>
      <w:r>
        <w:t xml:space="preserve"> </w:t>
      </w:r>
      <w:r>
        <w:t xml:space="preserve">If Veridian is unable to answer any interrogatory in full after making a reasonable inquiry, Veridian shall so state, shall set forth the efforts it made to obtain the information, and shall state the reason for its inability to answer further. An answer may not be based on lack of knowledge or information unless Veridian has made a reasonable inquiry and the information is not reasonably available to it.</w:t>
      </w:r>
    </w:p>
    <w:p>
      <w:pPr>
        <w:numPr>
          <w:ilvl w:val="0"/>
          <w:numId w:val="1002"/>
        </w:numPr>
      </w:pPr>
      <w:r>
        <w:rPr>
          <w:b/>
          <w:bCs/>
        </w:rPr>
        <w:t xml:space="preserve">Identification of Documents.</w:t>
      </w:r>
      <w:r>
        <w:t xml:space="preserve"> </w:t>
      </w:r>
      <w:r>
        <w:t xml:space="preserve">Where an interrogatory calls for the identification of documents, Veridian shall identify each document by stating its title or description, date, author, each recipient or addressee, the present custodian, and its present location. The identification of documents in response to these interrogatories does not relieve Veridian of any obligation to produce documents in response to Plaintiff’s separate requests for production of documents.</w:t>
      </w:r>
    </w:p>
    <w:p>
      <w:pPr>
        <w:numPr>
          <w:ilvl w:val="0"/>
          <w:numId w:val="1002"/>
        </w:numPr>
      </w:pPr>
      <w:r>
        <w:rPr>
          <w:b/>
          <w:bCs/>
        </w:rPr>
        <w:t xml:space="preserve">Contention Interrogatories.</w:t>
      </w:r>
      <w:r>
        <w:t xml:space="preserve"> </w:t>
      </w:r>
      <w:r>
        <w:t xml:space="preserve">Certain interrogatories request the factual basis for Veridian’s contentions, claims, or defenses. Veridian shall identify each fact, witness, and document supporting each such contention. Veridian’s answers to these interrogatories are subject to Veridian’s continuing duty to supplement under Federal Rule of Civil Procedure 26(e).</w:t>
      </w:r>
    </w:p>
    <w:p>
      <w:pPr>
        <w:numPr>
          <w:ilvl w:val="0"/>
          <w:numId w:val="1002"/>
        </w:numPr>
      </w:pPr>
      <w:r>
        <w:rPr>
          <w:b/>
          <w:bCs/>
        </w:rPr>
        <w:t xml:space="preserve">Objections.</w:t>
      </w:r>
      <w:r>
        <w:t xml:space="preserve"> </w:t>
      </w:r>
      <w:r>
        <w:t xml:space="preserve">If Veridian objects to any interrogatory, Veridian shall state the specific ground for the objection with particularity and shall nevertheless answer the interrogatory to the extent that the objection does not apply. A general or boilerplate objection is insufficient.</w:t>
      </w:r>
    </w:p>
    <w:p>
      <w:pPr>
        <w:numPr>
          <w:ilvl w:val="0"/>
          <w:numId w:val="1002"/>
        </w:numPr>
      </w:pPr>
      <w:r>
        <w:rPr>
          <w:b/>
          <w:bCs/>
        </w:rPr>
        <w:t xml:space="preserve">Privilege.</w:t>
      </w:r>
      <w:r>
        <w:t xml:space="preserve"> </w:t>
      </w:r>
      <w:r>
        <w:t xml:space="preserve">If Veridian withholds information on the basis of a claim of privilege, attorney work product, or other protection, Veridian shall identify the nature of the privilege or protection asserted, the type of document or communication, its date, author, recipients (including persons copied), and the subject matter of the withheld information, in a manner sufficient to permit Plaintiff to assess the validity of the claim without disclosing the privileged information itself.</w:t>
      </w:r>
    </w:p>
    <w:p>
      <w:pPr>
        <w:numPr>
          <w:ilvl w:val="0"/>
          <w:numId w:val="1002"/>
        </w:numPr>
      </w:pPr>
      <w:r>
        <w:rPr>
          <w:b/>
          <w:bCs/>
        </w:rPr>
        <w:t xml:space="preserve">Continuing Duty to Supplement.</w:t>
      </w:r>
      <w:r>
        <w:t xml:space="preserve"> </w:t>
      </w:r>
      <w:r>
        <w:t xml:space="preserve">Veridian is reminded of its continuing duty to supplement its answers under Federal Rule of Civil Procedure 26(e), including any obligation to correct or add information that Veridian later learns renders a prior answer incomplete or incorrect.</w:t>
      </w:r>
    </w:p>
    <w:p>
      <w:pPr>
        <w:numPr>
          <w:ilvl w:val="0"/>
          <w:numId w:val="1002"/>
        </w:numPr>
      </w:pPr>
      <w:r>
        <w:rPr>
          <w:b/>
          <w:bCs/>
        </w:rPr>
        <w:t xml:space="preserve">Proportionality.</w:t>
      </w:r>
      <w:r>
        <w:t xml:space="preserve"> </w:t>
      </w:r>
      <w:r>
        <w:t xml:space="preserve">These interrogatories are tailored to the claims and defenses in this action and to the three trade secrets identified in the First Amended Complaint—the NeuralPath Algorithm, the PrecisionDrive System, and the PathPlanner Module—in accordance with the proportionality requirements of Federal Rule of Civil Procedure 26(b)(1) and Section II.B.3 of the Court’s Scheduling Order.</w:t>
      </w:r>
    </w:p>
    <w:bookmarkEnd w:id="20"/>
    <w:bookmarkStart w:id="21" w:name="definitions"/>
    <w:p>
      <w:pPr>
        <w:pStyle w:val="Heading2"/>
      </w:pPr>
      <w:r>
        <w:t xml:space="preserve">DEFINITIONS</w:t>
      </w:r>
    </w:p>
    <w:p>
      <w:pPr>
        <w:pStyle w:val="FirstParagraph"/>
      </w:pPr>
      <w:r>
        <w:t xml:space="preserve">The following definitions apply to each interrogatory below:</w:t>
      </w:r>
    </w:p>
    <w:p>
      <w:pPr>
        <w:numPr>
          <w:ilvl w:val="0"/>
          <w:numId w:val="1003"/>
        </w:numPr>
      </w:pPr>
      <w:r>
        <w:rPr>
          <w:b/>
          <w:bCs/>
        </w:rPr>
        <w:t xml:space="preserve">“</w:t>
      </w:r>
      <w:r>
        <w:rPr>
          <w:b/>
          <w:bCs/>
        </w:rPr>
        <w:t xml:space="preserve">You,</w:t>
      </w:r>
      <w:r>
        <w:rPr>
          <w:b/>
          <w:bCs/>
        </w:rPr>
        <w:t xml:space="preserve">”</w:t>
      </w:r>
      <w:r>
        <w:rPr>
          <w:b/>
          <w:bCs/>
        </w:rPr>
        <w:t xml:space="preserve"> </w:t>
      </w:r>
      <w:r>
        <w:rPr>
          <w:b/>
          <w:bCs/>
        </w:rPr>
        <w:t xml:space="preserve">“</w:t>
      </w:r>
      <w:r>
        <w:rPr>
          <w:b/>
          <w:bCs/>
        </w:rPr>
        <w:t xml:space="preserve">Your,</w:t>
      </w:r>
      <w:r>
        <w:rPr>
          <w:b/>
          <w:bCs/>
        </w:rPr>
        <w:t xml:space="preserve">”</w:t>
      </w:r>
      <w:r>
        <w:rPr>
          <w:b/>
          <w:bCs/>
        </w:rPr>
        <w:t xml:space="preserve"> </w:t>
      </w:r>
      <w:r>
        <w:rPr>
          <w:b/>
          <w:bCs/>
        </w:rPr>
        <w:t xml:space="preserve">“</w:t>
      </w:r>
      <w:r>
        <w:rPr>
          <w:b/>
          <w:bCs/>
        </w:rPr>
        <w:t xml:space="preserve">Veridian,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Defendant</w:t>
      </w:r>
      <w:r>
        <w:rPr>
          <w:b/>
          <w:bCs/>
        </w:rPr>
        <w:t xml:space="preserve">”</w:t>
      </w:r>
      <w:r>
        <w:t xml:space="preserve"> </w:t>
      </w:r>
      <w:r>
        <w:t xml:space="preserve">means Veridian Health Systems, LLC, and its present and former officers, directors, managers, members, partners, employees, agents, attorneys, consultants, contractors, subsidiaries, affiliates, predecessors, successors, and all other persons acting or purporting to act on its behalf or in concert with it.</w:t>
      </w:r>
    </w:p>
    <w:p>
      <w:pPr>
        <w:numPr>
          <w:ilvl w:val="0"/>
          <w:numId w:val="1003"/>
        </w:numPr>
      </w:pPr>
      <w:r>
        <w:rPr>
          <w:b/>
          <w:bCs/>
        </w:rPr>
        <w:t xml:space="preserve">“</w:t>
      </w:r>
      <w:r>
        <w:rPr>
          <w:b/>
          <w:bCs/>
        </w:rPr>
        <w:t xml:space="preserve">CMT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Castillo Medical Technologies, Inc.</w:t>
      </w:r>
    </w:p>
    <w:p>
      <w:pPr>
        <w:numPr>
          <w:ilvl w:val="0"/>
          <w:numId w:val="1003"/>
        </w:numPr>
      </w:pPr>
      <w:r>
        <w:rPr>
          <w:b/>
          <w:bCs/>
        </w:rPr>
        <w:t xml:space="preserve">“</w:t>
      </w:r>
      <w:r>
        <w:rPr>
          <w:b/>
          <w:bCs/>
        </w:rPr>
        <w:t xml:space="preserve">CMT Trade Secrets</w:t>
      </w:r>
      <w:r>
        <w:rPr>
          <w:b/>
          <w:bCs/>
        </w:rPr>
        <w:t xml:space="preserve">”</w:t>
      </w:r>
      <w:r>
        <w:t xml:space="preserve"> </w:t>
      </w:r>
      <w:r>
        <w:t xml:space="preserve">means the NeuralPath Algorithm, the PrecisionDrive System, and the PathPlanner Module, as those technologies are described in the First Amended Complaint.</w:t>
      </w:r>
    </w:p>
    <w:p>
      <w:pPr>
        <w:numPr>
          <w:ilvl w:val="0"/>
          <w:numId w:val="1003"/>
        </w:numPr>
      </w:pPr>
      <w:r>
        <w:rPr>
          <w:b/>
          <w:bCs/>
        </w:rPr>
        <w:t xml:space="preserve">“</w:t>
      </w:r>
      <w:r>
        <w:rPr>
          <w:b/>
          <w:bCs/>
        </w:rPr>
        <w:t xml:space="preserve">CMT Confidential Information</w:t>
      </w:r>
      <w:r>
        <w:rPr>
          <w:b/>
          <w:bCs/>
        </w:rPr>
        <w:t xml:space="preserve">”</w:t>
      </w:r>
      <w:r>
        <w:t xml:space="preserve"> </w:t>
      </w:r>
      <w:r>
        <w:t xml:space="preserve">has the meaning given to</w:t>
      </w:r>
      <w:r>
        <w:t xml:space="preserve"> </w:t>
      </w:r>
      <w:r>
        <w:t xml:space="preserve">“</w:t>
      </w:r>
      <w:r>
        <w:t xml:space="preserve">Confidential Information</w:t>
      </w:r>
      <w:r>
        <w:t xml:space="preserve">”</w:t>
      </w:r>
      <w:r>
        <w:t xml:space="preserve"> </w:t>
      </w:r>
      <w:r>
        <w:t xml:space="preserve">in the Confidentiality, Non-Disclosure, and Invention Assignment Agreement between CMT and Ryan Oshiro dated March 5, 2018 (the</w:t>
      </w:r>
      <w:r>
        <w:t xml:space="preserve"> </w:t>
      </w:r>
      <w:r>
        <w:t xml:space="preserve">“</w:t>
      </w:r>
      <w:r>
        <w:t xml:space="preserve">NDA</w:t>
      </w:r>
      <w:r>
        <w:t xml:space="preserve">”</w:t>
      </w:r>
      <w:r>
        <w:t xml:space="preserve">).</w:t>
      </w:r>
    </w:p>
    <w:p>
      <w:pPr>
        <w:numPr>
          <w:ilvl w:val="0"/>
          <w:numId w:val="1003"/>
        </w:numPr>
      </w:pPr>
      <w:r>
        <w:rPr>
          <w:b/>
          <w:bCs/>
        </w:rPr>
        <w:t xml:space="preserve">“</w:t>
      </w:r>
      <w:r>
        <w:rPr>
          <w:b/>
          <w:bCs/>
        </w:rPr>
        <w:t xml:space="preserve">CMT Files</w:t>
      </w:r>
      <w:r>
        <w:rPr>
          <w:b/>
          <w:bCs/>
        </w:rPr>
        <w:t xml:space="preserve">”</w:t>
      </w:r>
      <w:r>
        <w:t xml:space="preserve"> </w:t>
      </w:r>
      <w:r>
        <w:t xml:space="preserve">means any file, data, or information that originated from, was stored on, was derived from, or was copied from CMT’s systems, including CMT’s secure engineering repository known as</w:t>
      </w:r>
      <w:r>
        <w:t xml:space="preserve"> </w:t>
      </w:r>
      <w:r>
        <w:t xml:space="preserve">“</w:t>
      </w:r>
      <w:r>
        <w:t xml:space="preserve">VaultDrive.</w:t>
      </w:r>
      <w:r>
        <w:t xml:space="preserve">”</w:t>
      </w:r>
    </w:p>
    <w:p>
      <w:pPr>
        <w:numPr>
          <w:ilvl w:val="0"/>
          <w:numId w:val="1003"/>
        </w:numPr>
      </w:pPr>
      <w:r>
        <w:rPr>
          <w:b/>
          <w:bCs/>
        </w:rPr>
        <w:t xml:space="preserve">“</w:t>
      </w:r>
      <w:r>
        <w:rPr>
          <w:b/>
          <w:bCs/>
        </w:rPr>
        <w:t xml:space="preserve">SynapticEdge</w:t>
      </w:r>
      <w:r>
        <w:rPr>
          <w:b/>
          <w:bCs/>
        </w:rPr>
        <w:t xml:space="preserve">”</w:t>
      </w:r>
      <w:r>
        <w:t xml:space="preserve"> </w:t>
      </w:r>
      <w:r>
        <w:t xml:space="preserve">means the SynapticEdge surgical robotics platform announced by Veridian on June 11, 2024, and any component, feature, module, prototype, or derivative thereof.</w:t>
      </w:r>
    </w:p>
    <w:p>
      <w:pPr>
        <w:numPr>
          <w:ilvl w:val="0"/>
          <w:numId w:val="1003"/>
        </w:numPr>
      </w:pPr>
      <w:r>
        <w:rPr>
          <w:b/>
          <w:bCs/>
        </w:rPr>
        <w:t xml:space="preserve">“</w:t>
      </w:r>
      <w:r>
        <w:rPr>
          <w:b/>
          <w:bCs/>
        </w:rPr>
        <w:t xml:space="preserve">Oshiro</w:t>
      </w:r>
      <w:r>
        <w:rPr>
          <w:b/>
          <w:bCs/>
        </w:rPr>
        <w:t xml:space="preserve">”</w:t>
      </w:r>
      <w:r>
        <w:t xml:space="preserve"> </w:t>
      </w:r>
      <w:r>
        <w:t xml:space="preserve">means Ryan Oshiro.</w:t>
      </w:r>
    </w:p>
    <w:p>
      <w:pPr>
        <w:numPr>
          <w:ilvl w:val="0"/>
          <w:numId w:val="1003"/>
        </w:numPr>
      </w:pPr>
      <w:r>
        <w:rPr>
          <w:b/>
          <w:bCs/>
        </w:rPr>
        <w:t xml:space="preserve">“</w:t>
      </w:r>
      <w:r>
        <w:rPr>
          <w:b/>
          <w:bCs/>
        </w:rPr>
        <w:t xml:space="preserve">USB Drive</w:t>
      </w:r>
      <w:r>
        <w:rPr>
          <w:b/>
          <w:bCs/>
        </w:rPr>
        <w:t xml:space="preserve">”</w:t>
      </w:r>
      <w:r>
        <w:t xml:space="preserve"> </w:t>
      </w:r>
      <w:r>
        <w:t xml:space="preserve">means the 2-terabyte Corsair portable external storage device bearing serial number CX-8827491, and any copy, clone, forensic image, or duplicate thereof.</w:t>
      </w:r>
    </w:p>
    <w:p>
      <w:pPr>
        <w:numPr>
          <w:ilvl w:val="0"/>
          <w:numId w:val="1003"/>
        </w:numPr>
      </w:pPr>
      <w:r>
        <w:rPr>
          <w:b/>
          <w:bCs/>
        </w:rPr>
        <w:t xml:space="preserve">“</w:t>
      </w:r>
      <w:r>
        <w:rPr>
          <w:b/>
          <w:bCs/>
        </w:rPr>
        <w:t xml:space="preserve">VaultDrive</w:t>
      </w:r>
      <w:r>
        <w:rPr>
          <w:b/>
          <w:bCs/>
        </w:rPr>
        <w:t xml:space="preserve">”</w:t>
      </w:r>
      <w:r>
        <w:t xml:space="preserve"> </w:t>
      </w:r>
      <w:r>
        <w:t xml:space="preserve">means CMT’s secure, access-controlled engineering repository.</w:t>
      </w:r>
    </w:p>
    <w:p>
      <w:pPr>
        <w:numPr>
          <w:ilvl w:val="0"/>
          <w:numId w:val="1003"/>
        </w:numPr>
      </w:pPr>
      <w:r>
        <w:rPr>
          <w:b/>
          <w:bCs/>
        </w:rPr>
        <w:t xml:space="preserve">“</w:t>
      </w:r>
      <w:r>
        <w:rPr>
          <w:b/>
          <w:bCs/>
        </w:rPr>
        <w:t xml:space="preserve">Document</w:t>
      </w:r>
      <w:r>
        <w:rPr>
          <w:b/>
          <w:bCs/>
        </w:rPr>
        <w:t xml:space="preserve">”</w:t>
      </w:r>
      <w:r>
        <w:t xml:space="preserve"> </w:t>
      </w:r>
      <w:r>
        <w:t xml:space="preserve">has the meaning given in Federal Rule of Civil Procedure 34(a), and includes electronically stored information in any medium.</w:t>
      </w:r>
    </w:p>
    <w:p>
      <w:pPr>
        <w:numPr>
          <w:ilvl w:val="0"/>
          <w:numId w:val="1003"/>
        </w:numPr>
      </w:pPr>
      <w:r>
        <w:rPr>
          <w:b/>
          <w:bCs/>
        </w:rPr>
        <w:t xml:space="preserve">“</w:t>
      </w:r>
      <w:r>
        <w:rPr>
          <w:b/>
          <w:bCs/>
        </w:rPr>
        <w:t xml:space="preserve">Communication</w:t>
      </w:r>
      <w:r>
        <w:rPr>
          <w:b/>
          <w:bCs/>
        </w:rPr>
        <w:t xml:space="preserve">”</w:t>
      </w:r>
      <w:r>
        <w:t xml:space="preserve"> </w:t>
      </w:r>
      <w:r>
        <w:t xml:space="preserve">means any exchange of information, whether oral, written, electronic, or otherwise, including but not limited to emails, text messages, instant messages, LinkedIn messages, Slack or Microsoft Teams messages, voicemails, and conversations at meetings or by telephone.</w:t>
      </w:r>
    </w:p>
    <w:p>
      <w:pPr>
        <w:numPr>
          <w:ilvl w:val="0"/>
          <w:numId w:val="1003"/>
        </w:numPr>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or other entity.</w:t>
      </w:r>
    </w:p>
    <w:p>
      <w:pPr>
        <w:numPr>
          <w:ilvl w:val="0"/>
          <w:numId w:val="1003"/>
        </w:numPr>
      </w:pPr>
      <w:r>
        <w:rPr>
          <w:b/>
          <w:bCs/>
        </w:rPr>
        <w:t xml:space="preserve">“</w:t>
      </w:r>
      <w:r>
        <w:rPr>
          <w:b/>
          <w:bCs/>
        </w:rPr>
        <w:t xml:space="preserve">Identify,</w:t>
      </w:r>
      <w:r>
        <w:rPr>
          <w:b/>
          <w:bCs/>
        </w:rPr>
        <w:t xml:space="preserve">”</w:t>
      </w:r>
      <w:r>
        <w:t xml:space="preserve"> </w:t>
      </w:r>
      <w:r>
        <w:t xml:space="preserve">when used with reference to a Person, means to state the person’s full name, current or last-known title or position, employer or affiliation, business or residential address, telephone number, and email address.</w:t>
      </w:r>
    </w:p>
    <w:p>
      <w:pPr>
        <w:numPr>
          <w:ilvl w:val="0"/>
          <w:numId w:val="1003"/>
        </w:numPr>
      </w:pPr>
      <w:r>
        <w:rPr>
          <w:b/>
          <w:bCs/>
        </w:rPr>
        <w:t xml:space="preserve">“</w:t>
      </w:r>
      <w:r>
        <w:rPr>
          <w:b/>
          <w:bCs/>
        </w:rPr>
        <w:t xml:space="preserve">Identify,</w:t>
      </w:r>
      <w:r>
        <w:rPr>
          <w:b/>
          <w:bCs/>
        </w:rPr>
        <w:t xml:space="preserve">”</w:t>
      </w:r>
      <w:r>
        <w:t xml:space="preserve"> </w:t>
      </w:r>
      <w:r>
        <w:t xml:space="preserve">when used with reference to a Document, means to state the document’s title or description, date, author, each recipient or addressee, the present custodian, and its present location.</w:t>
      </w:r>
    </w:p>
    <w:p>
      <w:pPr>
        <w:numPr>
          <w:ilvl w:val="0"/>
          <w:numId w:val="1003"/>
        </w:numPr>
      </w:pPr>
      <w:r>
        <w:rPr>
          <w:b/>
          <w:bCs/>
        </w:rPr>
        <w:t xml:space="preserve">“</w:t>
      </w:r>
      <w:r>
        <w:rPr>
          <w:b/>
          <w:bCs/>
        </w:rPr>
        <w:t xml:space="preserve">Identify,</w:t>
      </w:r>
      <w:r>
        <w:rPr>
          <w:b/>
          <w:bCs/>
        </w:rPr>
        <w:t xml:space="preserve">”</w:t>
      </w:r>
      <w:r>
        <w:t xml:space="preserve"> </w:t>
      </w:r>
      <w:r>
        <w:t xml:space="preserve">when used with reference to a Communication, means to state the date of the Communication, all participants, the form or medium of the Communication, and the subject matter discussed.</w:t>
      </w:r>
    </w:p>
    <w:p>
      <w:pPr>
        <w:numPr>
          <w:ilvl w:val="0"/>
          <w:numId w:val="1003"/>
        </w:numPr>
      </w:pPr>
      <w:r>
        <w:rPr>
          <w:b/>
          <w:bCs/>
        </w:rPr>
        <w:t xml:space="preserve">“</w:t>
      </w:r>
      <w:r>
        <w:rPr>
          <w:b/>
          <w:bCs/>
        </w:rPr>
        <w:t xml:space="preserve">The five SynapticEdge features</w:t>
      </w:r>
      <w:r>
        <w:rPr>
          <w:b/>
          <w:bCs/>
        </w:rPr>
        <w:t xml:space="preserve">”</w:t>
      </w:r>
      <w:r>
        <w:t xml:space="preserve"> </w:t>
      </w:r>
      <w:r>
        <w:t xml:space="preserve">means the following five technical features of SynapticEdge as described in Veridian’s press release dated June 11, 2024: (a) the real-time neural mapping overlay; (b) the harmonic micro-actuation system; (c) the AI-powered surgical pathway planning module; (d) the surgeon calibration workflow; and (e) the predictive error-correction protocol.</w:t>
      </w:r>
    </w:p>
    <w:p>
      <w:pPr>
        <w:numPr>
          <w:ilvl w:val="0"/>
          <w:numId w:val="1003"/>
        </w:numPr>
      </w:pPr>
      <w:r>
        <w:rPr>
          <w:b/>
          <w:bCs/>
        </w:rPr>
        <w:t xml:space="preserve">“</w:t>
      </w:r>
      <w:r>
        <w:rPr>
          <w:b/>
          <w:bCs/>
        </w:rPr>
        <w:t xml:space="preserve">The Three Engineers</w:t>
      </w:r>
      <w:r>
        <w:rPr>
          <w:b/>
          <w:bCs/>
        </w:rPr>
        <w:t xml:space="preserve">”</w:t>
      </w:r>
      <w:r>
        <w:t xml:space="preserve"> </w:t>
      </w:r>
      <w:r>
        <w:t xml:space="preserve">means Dr. Kenji Furukawa, Samantha Briggs, and David Moreno.</w:t>
      </w:r>
    </w:p>
    <w:bookmarkEnd w:id="21"/>
    <w:bookmarkStart w:id="22" w:name="interrogatories"/>
    <w:p>
      <w:pPr>
        <w:pStyle w:val="Heading2"/>
      </w:pPr>
      <w:r>
        <w:t xml:space="preserve">INTERROGATORIES</w:t>
      </w:r>
    </w:p>
    <w:p>
      <w:pPr>
        <w:pStyle w:val="FirstParagraph"/>
      </w:pPr>
      <w:r>
        <w:rPr>
          <w:b/>
          <w:bCs/>
        </w:rPr>
        <w:t xml:space="preserve">INTERROGATORY NO. 1.</w:t>
      </w:r>
      <w:r>
        <w:t xml:space="preserve"> </w:t>
      </w:r>
      <w:r>
        <w:t xml:space="preserve">Identify Veridian’s current legal form and state of organization, and identify all of Veridian’s current and former (since January 1, 2023) members, managers, partners, owners, officers, and directors, stating for each such Person their citizenship or state of incorporation/organization and the period during which they held such position. In addition, identify each parent, subsidiary, or affiliate of Veridian and describe the ownership relationship between Veridian and each such entity.</w:t>
      </w:r>
    </w:p>
    <w:p>
      <w:pPr>
        <w:pStyle w:val="BodyText"/>
      </w:pPr>
      <w:r>
        <w:rPr>
          <w:b/>
          <w:bCs/>
        </w:rPr>
        <w:t xml:space="preserve">INTERROGATORY NO. 2.</w:t>
      </w:r>
      <w:r>
        <w:t xml:space="preserve"> </w:t>
      </w:r>
      <w:r>
        <w:t xml:space="preserve">Identify each product or product line that Veridian has developed, designed, marketed, sold, licensed, or publicly announced from January 1, 2019 to the present, and for each state (a) the date development commenced; (b) the date the product was first publicly announced or launched; (c) whether the product was directed to neurosurgical applications; and (d) the Person(s) primarily responsible for its development.</w:t>
      </w:r>
    </w:p>
    <w:p>
      <w:pPr>
        <w:pStyle w:val="BodyText"/>
      </w:pPr>
      <w:r>
        <w:rPr>
          <w:b/>
          <w:bCs/>
        </w:rPr>
        <w:t xml:space="preserve">INTERROGATORY NO. 3.</w:t>
      </w:r>
      <w:r>
        <w:t xml:space="preserve"> </w:t>
      </w:r>
      <w:r>
        <w:t xml:space="preserve">Identify each Communication between any Veridian Person and Oshiro from November 1, 2023 to the present, including the LinkedIn message(s) sent by Marcus Trent to Oshiro on or about December 3, 2023, and for each such Communication state the date, all participants, the form or medium, and the subject matter discussed.</w:t>
      </w:r>
    </w:p>
    <w:p>
      <w:pPr>
        <w:pStyle w:val="BodyText"/>
      </w:pPr>
      <w:r>
        <w:rPr>
          <w:b/>
          <w:bCs/>
        </w:rPr>
        <w:t xml:space="preserve">INTERROGATORY NO. 4.</w:t>
      </w:r>
      <w:r>
        <w:t xml:space="preserve"> </w:t>
      </w:r>
      <w:r>
        <w:t xml:space="preserve">Identify each Person who participated in, contributed to, or influenced Veridian’s decision to recruit, interview, evaluate, or hire Oshiro, and for each such Person state their role in the recruitment and hiring process and the dates of their involvement.</w:t>
      </w:r>
    </w:p>
    <w:p>
      <w:pPr>
        <w:pStyle w:val="BodyText"/>
      </w:pPr>
      <w:r>
        <w:rPr>
          <w:b/>
          <w:bCs/>
        </w:rPr>
        <w:t xml:space="preserve">INTERROGATORY NO. 5.</w:t>
      </w:r>
      <w:r>
        <w:t xml:space="preserve"> </w:t>
      </w:r>
      <w:r>
        <w:t xml:space="preserve">State the full substance of each discussion between any Veridian Person and Oshiro, whether during the recruitment process or at any time before Oshiro’s first day of employment at Veridian, in which CMT, the NeuroGuide platform, NeuroGuide 4.0, the CMT Trade Secrets, or CMT’s technology, products, research and development, roadmap, customers, or competitive position was discussed, and for each such discussion identify each Person who participated and each Document reflecting or relating to the discussion.</w:t>
      </w:r>
    </w:p>
    <w:p>
      <w:pPr>
        <w:pStyle w:val="BodyText"/>
      </w:pPr>
      <w:r>
        <w:rPr>
          <w:b/>
          <w:bCs/>
        </w:rPr>
        <w:t xml:space="preserve">INTERROGATORY NO. 6.</w:t>
      </w:r>
      <w:r>
        <w:t xml:space="preserve"> </w:t>
      </w:r>
      <w:r>
        <w:t xml:space="preserve">State whether, at any time before or after hiring Oshiro, Veridian knew or had reason to know that Oshiro was subject to confidentiality, non-disclosure, non-solicitation, or invention-assignment obligations to CMT or to any prior employer. For each instance in which Veridian had such knowledge or reason to know, state when Veridian acquired such knowledge, how Veridian acquired it, the Person(s) who acquired it, and identify each Document reflecting or relating to such knowledge.</w:t>
      </w:r>
    </w:p>
    <w:p>
      <w:pPr>
        <w:pStyle w:val="BodyText"/>
      </w:pPr>
      <w:r>
        <w:rPr>
          <w:b/>
          <w:bCs/>
        </w:rPr>
        <w:t xml:space="preserve">INTERROGATORY NO. 7.</w:t>
      </w:r>
      <w:r>
        <w:t xml:space="preserve"> </w:t>
      </w:r>
      <w:r>
        <w:t xml:space="preserve">Describe in detail all steps that Veridian took, if any, before or after hiring Oshiro to inquire into, evaluate, or ensure Oshiro’s compliance with his obligations to CMT or any prior employer, and identify each Person responsible for taking such steps and each Document relating to such steps. If Veridian took no such steps, so state.</w:t>
      </w:r>
    </w:p>
    <w:p>
      <w:pPr>
        <w:pStyle w:val="BodyText"/>
      </w:pPr>
      <w:r>
        <w:rPr>
          <w:b/>
          <w:bCs/>
        </w:rPr>
        <w:t xml:space="preserve">INTERROGATORY NO. 8.</w:t>
      </w:r>
      <w:r>
        <w:t xml:space="preserve"> </w:t>
      </w:r>
      <w:r>
        <w:t xml:space="preserve">Describe in detail all information barriers, ethical walls, clean-room procedures, screening protocols, taint teams, or other measures that Veridian implemented, if any, to prevent the use, disclosure, or incorporation of CMT’s Confidential Information or CMT Trade Secrets in connection with Oshiro’s employment at Veridian or the development of SynapticEdge, and identify each Person responsible for implementing and overseeing such measures and each Document relating to such measures. If Veridian implemented no such measures, so state.</w:t>
      </w:r>
    </w:p>
    <w:p>
      <w:pPr>
        <w:pStyle w:val="BodyText"/>
      </w:pPr>
      <w:r>
        <w:rPr>
          <w:b/>
          <w:bCs/>
        </w:rPr>
        <w:t xml:space="preserve">INTERROGATORY NO. 9.</w:t>
      </w:r>
      <w:r>
        <w:t xml:space="preserve"> </w:t>
      </w:r>
      <w:r>
        <w:t xml:space="preserve">State whether Veridian, or any Veridian Person, has ever had possession, custody, or control of the USB Drive or any copy, clone, forensic image, or duplicate thereof, and state whether Veridian, or any Veridian Person, has ever had possession, custody, or control of any CMT Files or any data, file, or information originating from or derived from CMT’s systems. For each instance, identify the Person(s) involved, the dates of possession, the location where the item was kept, and the present disposition of the item.</w:t>
      </w:r>
    </w:p>
    <w:p>
      <w:pPr>
        <w:pStyle w:val="BodyText"/>
      </w:pPr>
      <w:r>
        <w:rPr>
          <w:b/>
          <w:bCs/>
        </w:rPr>
        <w:t xml:space="preserve">INTERROGATORY NO. 10.</w:t>
      </w:r>
      <w:r>
        <w:t xml:space="preserve"> </w:t>
      </w:r>
      <w:r>
        <w:t xml:space="preserve">Identify each Veridian-owned or Veridian-managed computer, laptop, server, workstation, mobile device, or other device to which any external USB storage device was connected by Oshiro or any other Person at any time from March 1, 2024 to the present, and for each such device state whether any CMT Files or data originating from CMT were loaded, copied, transferred, or accessed on the device, and identify all logs, records, or Documents reflecting such device connections and file transfers.</w:t>
      </w:r>
    </w:p>
    <w:p>
      <w:pPr>
        <w:pStyle w:val="BodyText"/>
      </w:pPr>
      <w:r>
        <w:rPr>
          <w:b/>
          <w:bCs/>
        </w:rPr>
        <w:t xml:space="preserve">INTERROGATORY NO. 11.</w:t>
      </w:r>
      <w:r>
        <w:t xml:space="preserve"> </w:t>
      </w:r>
      <w:r>
        <w:t xml:space="preserve">Describe Veridian’s policies and procedures, if any, regarding materials that new employees may bring from former employers, and describe all steps Veridian took, if any, to determine whether Oshiro or any of the Three Engineers was in possession of proprietary, confidential, or trade secret materials belonging to a former employer at the time of hiring. Identify each Person responsible for and each Document relating to such policies, procedures, and steps.</w:t>
      </w:r>
    </w:p>
    <w:p>
      <w:pPr>
        <w:pStyle w:val="BodyText"/>
      </w:pPr>
      <w:r>
        <w:rPr>
          <w:b/>
          <w:bCs/>
        </w:rPr>
        <w:t xml:space="preserve">INTERROGATORY NO. 12.</w:t>
      </w:r>
      <w:r>
        <w:t xml:space="preserve"> </w:t>
      </w:r>
      <w:r>
        <w:t xml:space="preserve">Describe in complete detail the development history and timeline of SynapticEdge, including (a) the date on which development of SynapticEdge commenced; (b) each major development milestone and the date it was achieved; (c) the date on which SynapticEdge reached the state of readiness publicly demonstrated on June 11, 2024; and (d) the date on which each of the five SynapticEdge features was first conceived and first implemented. Identify each Document that reflects or supports the timeline described.</w:t>
      </w:r>
    </w:p>
    <w:p>
      <w:pPr>
        <w:pStyle w:val="BodyText"/>
      </w:pPr>
      <w:r>
        <w:rPr>
          <w:b/>
          <w:bCs/>
        </w:rPr>
        <w:t xml:space="preserve">INTERROGATORY NO. 13.</w:t>
      </w:r>
      <w:r>
        <w:t xml:space="preserve"> </w:t>
      </w:r>
      <w:r>
        <w:t xml:space="preserve">Identify each Person who participated in the conception, design, development, testing, or marketing of SynapticEdge, and for each such Person state their role, the date they began work on SynapticEdge, the specific features or components on which they worked, and whether they began such work before or after Oshiro’s first day of employment at Veridian.</w:t>
      </w:r>
    </w:p>
    <w:p>
      <w:pPr>
        <w:pStyle w:val="BodyText"/>
      </w:pPr>
      <w:r>
        <w:rPr>
          <w:b/>
          <w:bCs/>
        </w:rPr>
        <w:t xml:space="preserve">INTERROGATORY NO. 14.</w:t>
      </w:r>
      <w:r>
        <w:t xml:space="preserve"> </w:t>
      </w:r>
      <w:r>
        <w:t xml:space="preserve">Describe in detail all contributions that Oshiro has made to SynapticEdge since his first day of employment at Veridian, including the specific features, components, designs, algorithms, source code, datasets, or documentation he contributed, the dates of such contributions, and the Persons to whom he reported or with whom he worked. Identify each Document reflecting or relating to Oshiro’s contributions.</w:t>
      </w:r>
    </w:p>
    <w:p>
      <w:pPr>
        <w:pStyle w:val="BodyText"/>
      </w:pPr>
      <w:r>
        <w:rPr>
          <w:b/>
          <w:bCs/>
        </w:rPr>
        <w:t xml:space="preserve">INTERROGATORY NO. 15.</w:t>
      </w:r>
      <w:r>
        <w:t xml:space="preserve"> </w:t>
      </w:r>
      <w:r>
        <w:t xml:space="preserve">For each of the five SynapticEdge features, identify the Person(s) who conceived and developed the feature, state the date on which development of that feature commenced, describe the sources of information and technology relied upon in developing the feature, and identify each Document reflecting the conception and development of that feature.</w:t>
      </w:r>
    </w:p>
    <w:p>
      <w:pPr>
        <w:pStyle w:val="BodyText"/>
      </w:pPr>
      <w:r>
        <w:rPr>
          <w:b/>
          <w:bCs/>
        </w:rPr>
        <w:t xml:space="preserve">INTERROGATORY NO. 16.</w:t>
      </w:r>
      <w:r>
        <w:t xml:space="preserve"> </w:t>
      </w:r>
      <w:r>
        <w:t xml:space="preserve">State whether any CMT Trade Secret information, any CMT Confidential Information, or any information derived from or based upon CMT’s Confidential Information, was used, referenced, incorporated, or relied upon in any manner in the conception, design, development, testing, or marketing of SynapticEdge or any of the five SynapticEdge features. If your answer is yes, describe in detail the nature and extent of such use, the Person(s) involved, and identify each Document reflecting such use. If your answer is no, so state.</w:t>
      </w:r>
    </w:p>
    <w:p>
      <w:pPr>
        <w:pStyle w:val="BodyText"/>
      </w:pPr>
      <w:r>
        <w:rPr>
          <w:b/>
          <w:bCs/>
        </w:rPr>
        <w:t xml:space="preserve">INTERROGATORY NO. 17.</w:t>
      </w:r>
      <w:r>
        <w:t xml:space="preserve"> </w:t>
      </w:r>
      <w:r>
        <w:t xml:space="preserve">Identify all Documents and other evidence that Veridian contends support its position that SynapticEdge was developed independently of CMT’s Trade Secrets, including source code repository logs, commit histories, version control records, project management records, engineering milestone reports, design documents, and internal Communications, and for each such item state what Veridian contends it shows regarding the independent development of SynapticEdge.</w:t>
      </w:r>
    </w:p>
    <w:p>
      <w:pPr>
        <w:pStyle w:val="BodyText"/>
      </w:pPr>
      <w:r>
        <w:rPr>
          <w:b/>
          <w:bCs/>
        </w:rPr>
        <w:t xml:space="preserve">INTERROGATORY NO. 18.</w:t>
      </w:r>
      <w:r>
        <w:t xml:space="preserve"> </w:t>
      </w:r>
      <w:r>
        <w:t xml:space="preserve">Identify all prior art, published academic literature, patent filings, publicly available technology, open-source materials, or third-party materials that Veridian relied upon, or contends support the independent development of, any of the five SynapticEdge features, and for each such item state the SynapticEdge feature to which it relates and describe how it was relied upon.</w:t>
      </w:r>
    </w:p>
    <w:p>
      <w:pPr>
        <w:pStyle w:val="BodyText"/>
      </w:pPr>
      <w:r>
        <w:rPr>
          <w:b/>
          <w:bCs/>
        </w:rPr>
        <w:t xml:space="preserve">INTERROGATORY NO. 19.</w:t>
      </w:r>
      <w:r>
        <w:t xml:space="preserve"> </w:t>
      </w:r>
      <w:r>
        <w:t xml:space="preserve">Identify all source code repositories, version control systems, project management tools (including Jira, Confluence, or similar), and messaging platforms (including Slack, Microsoft Teams, or similar) used in connection with the development of SynapticEdge, and for each state the custodian, the date range of the records maintained, and whether the records remain intact and unaltered. If any such records have been deleted, altered, or rendered unavailable, describe each such record and the circumstances.</w:t>
      </w:r>
    </w:p>
    <w:p>
      <w:pPr>
        <w:pStyle w:val="BodyText"/>
      </w:pPr>
      <w:r>
        <w:rPr>
          <w:b/>
          <w:bCs/>
        </w:rPr>
        <w:t xml:space="preserve">INTERROGATORY NO. 20.</w:t>
      </w:r>
      <w:r>
        <w:t xml:space="preserve"> </w:t>
      </w:r>
      <w:r>
        <w:t xml:space="preserve">Describe in detail Veridian’s recruitment and hiring of each of the Three Engineers, including the role of Oshiro and each other Veridian Person in the decision to recruit or hire each individual, the dates of all Communications with each individual concerning employment at Veridian, and the compensation and terms offered to each. Identify each Document relating to the recruitment and hiring of the Three Engineers.</w:t>
      </w:r>
    </w:p>
    <w:p>
      <w:pPr>
        <w:pStyle w:val="BodyText"/>
      </w:pPr>
      <w:r>
        <w:rPr>
          <w:b/>
          <w:bCs/>
        </w:rPr>
        <w:t xml:space="preserve">INTERROGATORY NO. 21.</w:t>
      </w:r>
      <w:r>
        <w:t xml:space="preserve"> </w:t>
      </w:r>
      <w:r>
        <w:t xml:space="preserve">Identify each Communication between any Veridian Person and any of the Three Engineers from January 1, 2024 to the present, and for each such Communication state the date, all participants, the form or medium, and the subject matter discussed.</w:t>
      </w:r>
    </w:p>
    <w:p>
      <w:pPr>
        <w:pStyle w:val="BodyText"/>
      </w:pPr>
      <w:r>
        <w:rPr>
          <w:b/>
          <w:bCs/>
        </w:rPr>
        <w:t xml:space="preserve">INTERROGATORY NO. 22.</w:t>
      </w:r>
      <w:r>
        <w:t xml:space="preserve"> </w:t>
      </w:r>
      <w:r>
        <w:t xml:space="preserve">Describe Veridian’s commercialization, marketing, sales, licensing, and demonstration activities with respect to SynapticEdge to date, identify each customer, hospital, medical institution, healthcare system, or other entity to which SynapticEdge has been marketed, licensed, sold, offered for sale, or demonstrated, and state all revenues and profits that Veridian has derived or expects to derive from SynapticEdge. Identify each Document relating to such activities.</w:t>
      </w:r>
    </w:p>
    <w:p>
      <w:pPr>
        <w:pStyle w:val="BodyText"/>
      </w:pPr>
      <w:r>
        <w:rPr>
          <w:b/>
          <w:bCs/>
        </w:rPr>
        <w:t xml:space="preserve">INTERROGATORY NO. 23.</w:t>
      </w:r>
      <w:r>
        <w:t xml:space="preserve"> </w:t>
      </w:r>
      <w:r>
        <w:t xml:space="preserve">Identify all investors in Veridian’s approximately $60 million Series C financing led by Thorncastle Ventures, state the terms of such financing, and identify all Communications, presentations, due diligence materials, or other Documents in which SynapticEdge or its technology was described to or evaluated by such investors, including any representations regarding the origins, development history, or proprietary nature of SynapticEdge’s technology.</w:t>
      </w:r>
    </w:p>
    <w:p>
      <w:pPr>
        <w:pStyle w:val="BodyText"/>
      </w:pPr>
      <w:r>
        <w:rPr>
          <w:b/>
          <w:bCs/>
        </w:rPr>
        <w:t xml:space="preserve">INTERROGATORY NO. 24.</w:t>
      </w:r>
      <w:r>
        <w:t xml:space="preserve"> </w:t>
      </w:r>
      <w:r>
        <w:t xml:space="preserve">Describe in detail all steps that Veridian has taken to preserve Documents and electronically stored information in response to the litigation hold letter dated June 28, 2024, and the Court’s Order dated August 2, 2024, identify each Person responsible for implementing and overseeing the litigation hold, and state whether any Documents or electronically stored information within the scope of the hold or the Order have been lost, destroyed, altered, or rendered unavailable. If any such items have been lost, destroyed, altered, or rendered unavailable, describe each such item in detail, including its contents, the date and circumstances of its loss or alteration, and the Person(s) responsible.</w:t>
      </w:r>
    </w:p>
    <w:p>
      <w:pPr>
        <w:pStyle w:val="BodyText"/>
      </w:pPr>
      <w:r>
        <w:rPr>
          <w:b/>
          <w:bCs/>
        </w:rPr>
        <w:t xml:space="preserve">INTERROGATORY NO. 25.</w:t>
      </w:r>
      <w:r>
        <w:t xml:space="preserve"> </w:t>
      </w:r>
      <w:r>
        <w:t xml:space="preserve">State the factual basis for each affirmative defense that Veridian has asserted or intends to assert in this action, and for each such defense identify each fact supporting the defense, each Person with knowledge of the defense, and each Document supporting the defense.</w:t>
      </w:r>
    </w:p>
    <w:p>
      <w:pPr>
        <w:pStyle w:val="BodyText"/>
      </w:pPr>
      <w:r>
        <w:t xml:space="preserve">Dated: October 28, 2024</w:t>
      </w:r>
    </w:p>
    <w:p>
      <w:pPr>
        <w:pStyle w:val="BodyText"/>
      </w:pPr>
      <w:r>
        <w:t xml:space="preserve">Respectfully submitted,</w:t>
      </w:r>
    </w:p>
    <w:p>
      <w:pPr>
        <w:pStyle w:val="BodyText"/>
      </w:pPr>
      <w:r>
        <w:rPr>
          <w:b/>
          <w:bCs/>
        </w:rPr>
        <w:t xml:space="preserve">HARGROVE, PELL &amp; SUTTON LLP</w:t>
      </w:r>
    </w:p>
    <w:p>
      <w:pPr>
        <w:pStyle w:val="BodyText"/>
      </w:pPr>
      <w:r>
        <w:t xml:space="preserve">By: 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r>
        <w:t xml:space="preserve"> </w:t>
      </w:r>
      <w:r>
        <w:t xml:space="preserve">Kevin Nakamura</w:t>
      </w:r>
      <w:r>
        <w:t xml:space="preserve"> </w:t>
      </w:r>
      <w:r>
        <w:t xml:space="preserve">State Bar No. 24091742</w:t>
      </w:r>
      <w:r>
        <w:t xml:space="preserve"> </w:t>
      </w:r>
      <w:r>
        <w:t xml:space="preserve">Hargrove, Pell &amp; Sutton LLP</w:t>
      </w:r>
      <w:r>
        <w:t xml:space="preserve"> </w:t>
      </w:r>
      <w:r>
        <w:t xml:space="preserve">2900 Elm Street, 40th Floor</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mhargrove@hargrovelaw.com</w:t>
      </w:r>
      <w:r>
        <w:t xml:space="preserve"> </w:t>
      </w:r>
      <w:r>
        <w:t xml:space="preserve">Email: knakamura@hargrovelaw.com</w:t>
      </w:r>
    </w:p>
    <w:p>
      <w:pPr>
        <w:pStyle w:val="BodyText"/>
      </w:pPr>
      <w:r>
        <w:rPr>
          <w:i/>
          <w:iCs/>
        </w:rPr>
        <w:t xml:space="preserve">Attorneys for Plaintiff Castillo Medical Technologies, Inc.</w:t>
      </w:r>
    </w:p>
    <w:bookmarkEnd w:id="22"/>
    <w:bookmarkStart w:id="23" w:name="certificate-of-service"/>
    <w:p>
      <w:pPr>
        <w:pStyle w:val="Heading2"/>
      </w:pPr>
      <w:r>
        <w:t xml:space="preserve">CERTIFICATE OF SERVICE</w:t>
      </w:r>
    </w:p>
    <w:p>
      <w:pPr>
        <w:pStyle w:val="FirstParagraph"/>
      </w:pPr>
      <w:r>
        <w:t xml:space="preserve">I hereby certify that on the 28th day of October, 2024, a true and correct copy of the foregoing Plaintiff’s First Set of Interrogatories to Defendant Veridian Health Systems, LLC was served via the Court’s CM/ECF electronic filing system and by electronic mail upon all counsel of record, including:</w:t>
      </w:r>
    </w:p>
    <w:p>
      <w:pPr>
        <w:pStyle w:val="BodyText"/>
      </w:pPr>
      <w:r>
        <w:t xml:space="preserve">Stephen Osei</w:t>
      </w:r>
      <w:r>
        <w:t xml:space="preserve"> </w:t>
      </w:r>
      <w:r>
        <w:t xml:space="preserve">Drummond &amp; Wakefield LLP</w:t>
      </w:r>
      <w:r>
        <w:t xml:space="preserve"> </w:t>
      </w:r>
      <w:r>
        <w:t xml:space="preserve">1150 K Street NW, Suite 1200</w:t>
      </w:r>
      <w:r>
        <w:t xml:space="preserve"> </w:t>
      </w:r>
      <w:r>
        <w:t xml:space="preserve">Washington, DC 20005</w:t>
      </w:r>
      <w:r>
        <w:t xml:space="preserve"> </w:t>
      </w:r>
      <w:r>
        <w:t xml:space="preserve">Email: sosei@drummondwakefield.com</w:t>
      </w:r>
      <w:r>
        <w:t xml:space="preserve"> </w:t>
      </w:r>
      <w:r>
        <w:rPr>
          <w:i/>
          <w:iCs/>
        </w:rPr>
        <w:t xml:space="preserve">Counsel for Defendant Veridian Health Systems, LLC</w:t>
      </w:r>
    </w:p>
    <w:p>
      <w:pPr>
        <w:pStyle w:val="BodyText"/>
      </w:pPr>
      <w:r>
        <w:t xml:space="preserve">Patricia Dominguez</w:t>
      </w:r>
      <w:r>
        <w:t xml:space="preserve"> </w:t>
      </w:r>
      <w:r>
        <w:t xml:space="preserve">Barlow &amp; Crane PLLC</w:t>
      </w:r>
      <w:r>
        <w:t xml:space="preserve"> </w:t>
      </w:r>
      <w:r>
        <w:rPr>
          <w:i/>
          <w:iCs/>
        </w:rPr>
        <w:t xml:space="preserve">Counsel for Defendant Ryan Oshiro</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2026-06-28T21:55:46Z</dcterms:created>
  <dcterms:modified xsi:type="dcterms:W3CDTF">2026-06-28T21:55:46Z</dcterms:modified>
</cp:coreProperties>
</file>

<file path=docProps/custom.xml><?xml version="1.0" encoding="utf-8"?>
<Properties xmlns="http://schemas.openxmlformats.org/officeDocument/2006/custom-properties" xmlns:vt="http://schemas.openxmlformats.org/officeDocument/2006/docPropsVTypes"/>
</file>