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9ec2dba4c42b63b369c3602a5589fedc1381fa5"/>
    <w:p>
      <w:pPr>
        <w:pStyle w:val="Heading1"/>
      </w:pPr>
      <w:r>
        <w:t xml:space="preserve">IN THE UNITED STATES DISTRICT COURT FOR THE WESTERN DISTRICT OF TEXAS AUSTIN DIVISION</w:t>
      </w:r>
    </w:p>
    <w:p>
      <w:pPr>
        <w:pStyle w:val="FirstParagraph"/>
      </w:pPr>
      <w:r>
        <w:br/>
      </w:r>
    </w:p>
    <w:p>
      <w:pPr>
        <w:pStyle w:val="BodyText"/>
      </w:pPr>
      <w:r>
        <w:rPr>
          <w:b/>
          <w:bCs/>
        </w:rPr>
        <w:t xml:space="preserve">CASTILLO MEDICAL TECHNOLOGIES, INC.,</w:t>
      </w:r>
      <w:r>
        <w:br/>
      </w:r>
      <w:r>
        <w:t xml:space="preserve">Plaintiff,</w:t>
      </w:r>
      <w:r>
        <w:br/>
      </w:r>
      <w:r>
        <w:br/>
      </w:r>
      <w:r>
        <w:t xml:space="preserve">v.</w:t>
      </w:r>
      <w:r>
        <w:br/>
      </w:r>
      <w:r>
        <w:br/>
      </w:r>
      <w:r>
        <w:rPr>
          <w:b/>
          <w:bCs/>
        </w:rPr>
        <w:t xml:space="preserve">RYAN OSHIRO</w:t>
      </w:r>
      <w:r>
        <w:t xml:space="preserve"> </w:t>
      </w:r>
      <w:r>
        <w:t xml:space="preserve">and</w:t>
      </w:r>
      <w:r>
        <w:t xml:space="preserve"> </w:t>
      </w:r>
      <w:r>
        <w:rPr>
          <w:b/>
          <w:bCs/>
        </w:rPr>
        <w:t xml:space="preserve">VERIDIAN HEALTH SYSTEMS, LLC,</w:t>
      </w:r>
      <w:r>
        <w:br/>
      </w:r>
      <w:r>
        <w:t xml:space="preserve">Defendants.</w:t>
      </w:r>
    </w:p>
    <w:p>
      <w:pPr>
        <w:pStyle w:val="BodyText"/>
      </w:pPr>
      <w:r>
        <w:br/>
      </w:r>
    </w:p>
    <w:p>
      <w:pPr>
        <w:pStyle w:val="BodyText"/>
      </w:pPr>
      <w:r>
        <w:rPr>
          <w:b/>
          <w:bCs/>
        </w:rPr>
        <w:t xml:space="preserve">Civil Action No. 1:24-cv-03841-RLH</w:t>
      </w:r>
      <w:r>
        <w:br/>
      </w:r>
      <w:r>
        <w:rPr>
          <w:b/>
          <w:bCs/>
        </w:rPr>
        <w:t xml:space="preserve">Hon. Rebecca L. Hightower</w:t>
      </w:r>
    </w:p>
    <w:p>
      <w:pPr>
        <w:pStyle w:val="BodyText"/>
      </w:pPr>
      <w:r>
        <w:br/>
      </w:r>
    </w:p>
    <w:bookmarkEnd w:id="20"/>
    <w:bookmarkStart w:id="25" w:name="Xe0dc6e2b632de160ca66e4eed01dfcf21f1b527"/>
    <w:p>
      <w:pPr>
        <w:pStyle w:val="Heading1"/>
      </w:pPr>
      <w:r>
        <w:t xml:space="preserve">PLAINTIFF’S FIRST SET OF INTERROGATORIES TO DEFENDANT VERIDIAN HEALTH SYSTEMS, LLC</w:t>
      </w:r>
    </w:p>
    <w:p>
      <w:pPr>
        <w:pStyle w:val="FirstParagraph"/>
      </w:pPr>
      <w:r>
        <w:br/>
      </w:r>
    </w:p>
    <w:p>
      <w:pPr>
        <w:pStyle w:val="BodyText"/>
      </w:pPr>
      <w:r>
        <w:t xml:space="preserve">Pursuant to Rules 26 and 33 of the Federal Rules of Civil Procedure, the Local Rules of the United States District Court for the Western District of Texas, and the Scheduling Order entered by the Court on September 4, 2024, Plaintiff Castillo Medical Technologies, Inc. (</w:t>
      </w:r>
      <w:r>
        <w:t xml:space="preserve">“</w:t>
      </w:r>
      <w:r>
        <w:t xml:space="preserve">CMT</w:t>
      </w:r>
      <w:r>
        <w:t xml:space="preserve">”</w:t>
      </w:r>
      <w:r>
        <w:t xml:space="preserve"> </w:t>
      </w:r>
      <w:r>
        <w:t xml:space="preserve">or</w:t>
      </w:r>
      <w:r>
        <w:t xml:space="preserve"> </w:t>
      </w:r>
      <w:r>
        <w:t xml:space="preserve">“</w:t>
      </w:r>
      <w:r>
        <w:t xml:space="preserve">Plaintiff</w:t>
      </w:r>
      <w:r>
        <w:t xml:space="preserve">”</w:t>
      </w:r>
      <w:r>
        <w:t xml:space="preserve">), by and through its undersigned attorneys, propounds the following First Set of Interrogatories to Defendant Veridian Health Systems, LLC (</w:t>
      </w:r>
      <w:r>
        <w:t xml:space="preserve">“</w:t>
      </w:r>
      <w:r>
        <w:t xml:space="preserve">Veridian</w:t>
      </w:r>
      <w:r>
        <w:t xml:space="preserve">”</w:t>
      </w:r>
      <w:r>
        <w:t xml:space="preserve"> </w:t>
      </w:r>
      <w:r>
        <w:t xml:space="preserve">or</w:t>
      </w:r>
      <w:r>
        <w:t xml:space="preserve"> </w:t>
      </w:r>
      <w:r>
        <w:t xml:space="preserve">“</w:t>
      </w:r>
      <w:r>
        <w:t xml:space="preserve">Defendant</w:t>
      </w:r>
      <w:r>
        <w:t xml:space="preserve">”</w:t>
      </w:r>
      <w:r>
        <w:t xml:space="preserve">). Defendant is directed to answer each of the following Interrogatories separately, fully, in writing, and under oath, within thirty (30) days after service of these Interrogatories, as provided in Fed. R. Civ. P. 33(b)(2).</w:t>
      </w:r>
    </w:p>
    <w:p>
      <w:pPr>
        <w:pStyle w:val="BodyText"/>
      </w:pPr>
      <w:r>
        <w:br/>
      </w:r>
    </w:p>
    <w:bookmarkStart w:id="21" w:name="general-instructions"/>
    <w:p>
      <w:pPr>
        <w:pStyle w:val="Heading2"/>
      </w:pPr>
      <w:r>
        <w:t xml:space="preserve">GENERAL INSTRUCTIONS</w:t>
      </w:r>
    </w:p>
    <w:p>
      <w:pPr>
        <w:numPr>
          <w:ilvl w:val="0"/>
          <w:numId w:val="1001"/>
        </w:numPr>
      </w:pPr>
      <w:r>
        <w:rPr>
          <w:b/>
          <w:bCs/>
        </w:rPr>
        <w:t xml:space="preserve">Rule 33 Obligations.</w:t>
      </w:r>
      <w:r>
        <w:t xml:space="preserve"> </w:t>
      </w:r>
      <w:r>
        <w:t xml:space="preserve">You must answer each Interrogatory separately, fully, in writing, and under oath. If an answer requires more space than is provided, you may continue your answer on a separate sheet of paper, clearly identifying the Interrogatory to which the answer responds.</w:t>
      </w:r>
    </w:p>
    <w:p>
      <w:pPr>
        <w:numPr>
          <w:ilvl w:val="0"/>
          <w:numId w:val="1001"/>
        </w:numPr>
      </w:pPr>
      <w:r>
        <w:rPr>
          <w:b/>
          <w:bCs/>
        </w:rPr>
        <w:t xml:space="preserve">Duty of Reasonable Inquiry.</w:t>
      </w:r>
      <w:r>
        <w:t xml:space="preserve"> </w:t>
      </w:r>
      <w:r>
        <w:t xml:space="preserve">Each answer must be as complete and straightforward as the information reasonably available to you permits. You are under a duty to make a reasonable inquiry and to obtain information from your officers, directors, employees, agents, and others within your control before answering. An answer may not be based on a lack of knowledge or information unless you state that you have made a reasonable inquiry and that the information sought is not known to or readily available to you.</w:t>
      </w:r>
    </w:p>
    <w:p>
      <w:pPr>
        <w:numPr>
          <w:ilvl w:val="0"/>
          <w:numId w:val="1001"/>
        </w:numPr>
      </w:pPr>
      <w:r>
        <w:rPr>
          <w:b/>
          <w:bCs/>
        </w:rPr>
        <w:t xml:space="preserve">Incomplete Answers.</w:t>
      </w:r>
      <w:r>
        <w:t xml:space="preserve"> </w:t>
      </w:r>
      <w:r>
        <w:t xml:space="preserve">If you cannot answer an Interrogatory in full, you must answer to the extent possible, state the specific reason why you cannot answer the remainder, and describe the efforts you made to obtain the information.</w:t>
      </w:r>
    </w:p>
    <w:p>
      <w:pPr>
        <w:numPr>
          <w:ilvl w:val="0"/>
          <w:numId w:val="1001"/>
        </w:numPr>
      </w:pPr>
      <w:r>
        <w:rPr>
          <w:b/>
          <w:bCs/>
        </w:rPr>
        <w:t xml:space="preserve">Objections.</w:t>
      </w:r>
      <w:r>
        <w:t xml:space="preserve"> </w:t>
      </w:r>
      <w:r>
        <w:t xml:space="preserve">If you object to any Interrogatory, you must state the specific grounds for the objection with particularity and answer the Interrogatory to the extent the objection does not apply. An objection based on burden or proportionality must be accompanied by a specific explanation of the burden and the basis for the objection.</w:t>
      </w:r>
    </w:p>
    <w:p>
      <w:pPr>
        <w:numPr>
          <w:ilvl w:val="0"/>
          <w:numId w:val="1001"/>
        </w:numPr>
      </w:pPr>
      <w:r>
        <w:rPr>
          <w:b/>
          <w:bCs/>
        </w:rPr>
        <w:t xml:space="preserve">Persons Supplying Information.</w:t>
      </w:r>
      <w:r>
        <w:t xml:space="preserve"> </w:t>
      </w:r>
      <w:r>
        <w:t xml:space="preserve">For each Interrogatory, identify every person (other than counsel) who assisted in preparing or supplying information for the answer, including the person’s name, title, and employer.</w:t>
      </w:r>
    </w:p>
    <w:p>
      <w:pPr>
        <w:numPr>
          <w:ilvl w:val="0"/>
          <w:numId w:val="1001"/>
        </w:numPr>
      </w:pPr>
      <w:r>
        <w:rPr>
          <w:b/>
          <w:bCs/>
        </w:rPr>
        <w:t xml:space="preserve">Documents.</w:t>
      </w:r>
      <w:r>
        <w:t xml:space="preserve"> </w:t>
      </w:r>
      <w:r>
        <w:t xml:space="preserve">If your answer refers to, relies upon, or is supported by any Document, identify each such Document as provided in the definitions below. If a Document has been or will be produced in response to any discovery request in this action, state the Bates number range or other production identifier.</w:t>
      </w:r>
    </w:p>
    <w:p>
      <w:pPr>
        <w:numPr>
          <w:ilvl w:val="0"/>
          <w:numId w:val="1001"/>
        </w:numPr>
      </w:pPr>
      <w:r>
        <w:rPr>
          <w:b/>
          <w:bCs/>
        </w:rPr>
        <w:t xml:space="preserve">Continuing Obligation.</w:t>
      </w:r>
      <w:r>
        <w:t xml:space="preserve"> </w:t>
      </w:r>
      <w:r>
        <w:t xml:space="preserve">These Interrogatories are continuing. If, after serving your answers, you obtain additional or different information responsive to any Interrogatory, you are obligated to supplement your answer promptly pursuant to Fed. R. Civ. P. 26(e).</w:t>
      </w:r>
    </w:p>
    <w:p>
      <w:pPr>
        <w:numPr>
          <w:ilvl w:val="0"/>
          <w:numId w:val="1001"/>
        </w:numPr>
      </w:pPr>
      <w:r>
        <w:rPr>
          <w:b/>
          <w:bCs/>
        </w:rPr>
        <w:t xml:space="preserve">Scope.</w:t>
      </w:r>
      <w:r>
        <w:t xml:space="preserve"> </w:t>
      </w:r>
      <w:r>
        <w:t xml:space="preserve">The term</w:t>
      </w:r>
      <w:r>
        <w:t xml:space="preserve"> </w:t>
      </w:r>
      <w:r>
        <w:t xml:space="preserve">“</w:t>
      </w:r>
      <w:r>
        <w:t xml:space="preserve">including</w:t>
      </w:r>
      <w:r>
        <w:t xml:space="preserve">”</w:t>
      </w:r>
      <w:r>
        <w:t xml:space="preserve"> </w:t>
      </w:r>
      <w:r>
        <w:t xml:space="preserve">means</w:t>
      </w:r>
      <w:r>
        <w:t xml:space="preserve"> </w:t>
      </w:r>
      <w:r>
        <w:t xml:space="preserve">“</w:t>
      </w:r>
      <w:r>
        <w:t xml:space="preserve">including without limitation.</w:t>
      </w:r>
      <w:r>
        <w:t xml:space="preserve">”</w:t>
      </w:r>
      <w:r>
        <w:t xml:space="preserve"> </w:t>
      </w:r>
      <w:r>
        <w:t xml:space="preserve">The singular includes the plural and vice versa. References to</w:t>
      </w:r>
      <w:r>
        <w:t xml:space="preserve"> </w:t>
      </w:r>
      <w:r>
        <w:t xml:space="preserve">“</w:t>
      </w:r>
      <w:r>
        <w:t xml:space="preserve">you,</w:t>
      </w:r>
      <w:r>
        <w:t xml:space="preserve">”</w:t>
      </w:r>
      <w:r>
        <w:t xml:space="preserve"> </w:t>
      </w:r>
      <w:r>
        <w:t xml:space="preserve">“</w:t>
      </w:r>
      <w:r>
        <w:t xml:space="preserve">your,</w:t>
      </w:r>
      <w:r>
        <w:t xml:space="preserve">”</w:t>
      </w:r>
      <w:r>
        <w:t xml:space="preserve"> </w:t>
      </w:r>
      <w:r>
        <w:t xml:space="preserve">or</w:t>
      </w:r>
      <w:r>
        <w:t xml:space="preserve"> </w:t>
      </w:r>
      <w:r>
        <w:t xml:space="preserve">“</w:t>
      </w:r>
      <w:r>
        <w:t xml:space="preserve">Veridian</w:t>
      </w:r>
      <w:r>
        <w:t xml:space="preserve">”</w:t>
      </w:r>
      <w:r>
        <w:t xml:space="preserve"> </w:t>
      </w:r>
      <w:r>
        <w:t xml:space="preserve">include Veridian Health Systems, LLC and its present and former officers, directors, employees, agents, attorneys, consultants, contractors, predecessors, successors, parents, subsidiaries, and affiliates, and all persons acting on Veridian’s behalf or subject to its control.</w:t>
      </w:r>
    </w:p>
    <w:p>
      <w:pPr>
        <w:numPr>
          <w:ilvl w:val="0"/>
          <w:numId w:val="1001"/>
        </w:numPr>
      </w:pPr>
      <w:r>
        <w:rPr>
          <w:b/>
          <w:bCs/>
        </w:rPr>
        <w:t xml:space="preserve">Number of Interrogatories.</w:t>
      </w:r>
      <w:r>
        <w:t xml:space="preserve"> </w:t>
      </w:r>
      <w:r>
        <w:t xml:space="preserve">This is Plaintiff’s First Set of Interrogatories to Defendant Veridian Health Systems, LLC, and consists of twenty-five (25) Interrogatories, in compliance with the limit set forth in Fed. R. Civ. P. 33(a)(1) and Section II.B.1 of the Court’s Scheduling Order.</w:t>
      </w:r>
    </w:p>
    <w:p>
      <w:pPr>
        <w:pStyle w:val="FirstParagraph"/>
      </w:pPr>
      <w:r>
        <w:br/>
      </w:r>
    </w:p>
    <w:bookmarkEnd w:id="21"/>
    <w:bookmarkStart w:id="22" w:name="definitions"/>
    <w:p>
      <w:pPr>
        <w:pStyle w:val="Heading2"/>
      </w:pPr>
      <w:r>
        <w:t xml:space="preserve">DEFINITIONS</w:t>
      </w:r>
    </w:p>
    <w:p>
      <w:pPr>
        <w:pStyle w:val="FirstParagraph"/>
      </w:pPr>
      <w:r>
        <w:t xml:space="preserve">As used in these Interrogatories, the following terms have the meanings set forth below:</w:t>
      </w:r>
    </w:p>
    <w:p>
      <w:pPr>
        <w:numPr>
          <w:ilvl w:val="0"/>
          <w:numId w:val="1002"/>
        </w:numPr>
      </w:pPr>
      <w:r>
        <w:rPr>
          <w:b/>
          <w:bCs/>
        </w:rPr>
        <w:t xml:space="preserve">“</w:t>
      </w:r>
      <w:r>
        <w:rPr>
          <w:b/>
          <w:bCs/>
        </w:rPr>
        <w:t xml:space="preserve">CMT</w:t>
      </w:r>
      <w:r>
        <w:rPr>
          <w:b/>
          <w:bCs/>
        </w:rPr>
        <w:t xml:space="preserve">”</w:t>
      </w:r>
      <w:r>
        <w:t xml:space="preserve"> </w:t>
      </w:r>
      <w:r>
        <w:t xml:space="preserve">or</w:t>
      </w:r>
      <w:r>
        <w:t xml:space="preserve"> </w:t>
      </w:r>
      <w:r>
        <w:rPr>
          <w:b/>
          <w:bCs/>
        </w:rPr>
        <w:t xml:space="preserve">“</w:t>
      </w:r>
      <w:r>
        <w:rPr>
          <w:b/>
          <w:bCs/>
        </w:rPr>
        <w:t xml:space="preserve">Plaintiff</w:t>
      </w:r>
      <w:r>
        <w:rPr>
          <w:b/>
          <w:bCs/>
        </w:rPr>
        <w:t xml:space="preserve">”</w:t>
      </w:r>
      <w:r>
        <w:t xml:space="preserve"> </w:t>
      </w:r>
      <w:r>
        <w:t xml:space="preserve">means Castillo Medical Technologies, Inc.</w:t>
      </w:r>
    </w:p>
    <w:p>
      <w:pPr>
        <w:numPr>
          <w:ilvl w:val="0"/>
          <w:numId w:val="1002"/>
        </w:numPr>
      </w:pPr>
      <w:r>
        <w:rPr>
          <w:b/>
          <w:bCs/>
        </w:rPr>
        <w:t xml:space="preserve">“</w:t>
      </w:r>
      <w:r>
        <w:rPr>
          <w:b/>
          <w:bCs/>
        </w:rPr>
        <w:t xml:space="preserve">Veridian,</w:t>
      </w:r>
      <w:r>
        <w:rPr>
          <w:b/>
          <w:bCs/>
        </w:rPr>
        <w:t xml:space="preserve">”</w:t>
      </w:r>
      <w:r>
        <w:t xml:space="preserve"> </w:t>
      </w:r>
      <w:r>
        <w:rPr>
          <w:b/>
          <w:bCs/>
        </w:rPr>
        <w:t xml:space="preserve">“</w:t>
      </w:r>
      <w:r>
        <w:rPr>
          <w:b/>
          <w:bCs/>
        </w:rPr>
        <w:t xml:space="preserve">Defendant,</w:t>
      </w:r>
      <w:r>
        <w:rPr>
          <w:b/>
          <w:bCs/>
        </w:rPr>
        <w:t xml:space="preserve">”</w:t>
      </w:r>
      <w:r>
        <w:t xml:space="preserve"> </w:t>
      </w:r>
      <w:r>
        <w:rPr>
          <w:b/>
          <w:bCs/>
        </w:rPr>
        <w:t xml:space="preserve">“</w:t>
      </w:r>
      <w:r>
        <w:rPr>
          <w:b/>
          <w:bCs/>
        </w:rPr>
        <w:t xml:space="preserve">you,</w:t>
      </w:r>
      <w:r>
        <w:rPr>
          <w:b/>
          <w:bCs/>
        </w:rPr>
        <w:t xml:space="preserve">”</w:t>
      </w:r>
      <w:r>
        <w:t xml:space="preserve"> </w:t>
      </w:r>
      <w:r>
        <w:t xml:space="preserve">or</w:t>
      </w:r>
      <w:r>
        <w:t xml:space="preserve"> </w:t>
      </w:r>
      <w:r>
        <w:rPr>
          <w:b/>
          <w:bCs/>
        </w:rPr>
        <w:t xml:space="preserve">“</w:t>
      </w:r>
      <w:r>
        <w:rPr>
          <w:b/>
          <w:bCs/>
        </w:rPr>
        <w:t xml:space="preserve">your</w:t>
      </w:r>
      <w:r>
        <w:rPr>
          <w:b/>
          <w:bCs/>
        </w:rPr>
        <w:t xml:space="preserve">”</w:t>
      </w:r>
      <w:r>
        <w:t xml:space="preserve"> </w:t>
      </w:r>
      <w:r>
        <w:t xml:space="preserve">means Veridian Health Systems, LLC, and has the meaning set forth in General Instruction No. 8.</w:t>
      </w:r>
    </w:p>
    <w:p>
      <w:pPr>
        <w:numPr>
          <w:ilvl w:val="0"/>
          <w:numId w:val="1002"/>
        </w:numPr>
      </w:pPr>
      <w:r>
        <w:rPr>
          <w:b/>
          <w:bCs/>
        </w:rPr>
        <w:t xml:space="preserve">“</w:t>
      </w:r>
      <w:r>
        <w:rPr>
          <w:b/>
          <w:bCs/>
        </w:rPr>
        <w:t xml:space="preserve">Oshiro</w:t>
      </w:r>
      <w:r>
        <w:rPr>
          <w:b/>
          <w:bCs/>
        </w:rPr>
        <w:t xml:space="preserve">”</w:t>
      </w:r>
      <w:r>
        <w:t xml:space="preserve"> </w:t>
      </w:r>
      <w:r>
        <w:t xml:space="preserve">means Ryan Oshiro.</w:t>
      </w:r>
    </w:p>
    <w:p>
      <w:pPr>
        <w:numPr>
          <w:ilvl w:val="0"/>
          <w:numId w:val="1002"/>
        </w:numPr>
      </w:pPr>
      <w:r>
        <w:rPr>
          <w:b/>
          <w:bCs/>
        </w:rPr>
        <w:t xml:space="preserve">“</w:t>
      </w:r>
      <w:r>
        <w:rPr>
          <w:b/>
          <w:bCs/>
        </w:rPr>
        <w:t xml:space="preserve">Trent</w:t>
      </w:r>
      <w:r>
        <w:rPr>
          <w:b/>
          <w:bCs/>
        </w:rPr>
        <w:t xml:space="preserve">”</w:t>
      </w:r>
      <w:r>
        <w:t xml:space="preserve"> </w:t>
      </w:r>
      <w:r>
        <w:t xml:space="preserve">means Marcus Trent, Veridian’s Chief Executive Officer.</w:t>
      </w:r>
    </w:p>
    <w:p>
      <w:pPr>
        <w:numPr>
          <w:ilvl w:val="0"/>
          <w:numId w:val="1002"/>
        </w:numPr>
      </w:pPr>
      <w:r>
        <w:rPr>
          <w:b/>
          <w:bCs/>
        </w:rPr>
        <w:t xml:space="preserve">“</w:t>
      </w:r>
      <w:r>
        <w:rPr>
          <w:b/>
          <w:bCs/>
        </w:rPr>
        <w:t xml:space="preserve">CMT Trade Secrets</w:t>
      </w:r>
      <w:r>
        <w:rPr>
          <w:b/>
          <w:bCs/>
        </w:rPr>
        <w:t xml:space="preserve">”</w:t>
      </w:r>
      <w:r>
        <w:t xml:space="preserve"> </w:t>
      </w:r>
      <w:r>
        <w:t xml:space="preserve">means, individually and collectively, the NeuralPath Algorithm, the PrecisionDrive System, and the PathPlanner Module.</w:t>
      </w:r>
    </w:p>
    <w:p>
      <w:pPr>
        <w:numPr>
          <w:ilvl w:val="0"/>
          <w:numId w:val="1002"/>
        </w:numPr>
      </w:pPr>
      <w:r>
        <w:rPr>
          <w:b/>
          <w:bCs/>
        </w:rPr>
        <w:t xml:space="preserve">“</w:t>
      </w:r>
      <w:r>
        <w:rPr>
          <w:b/>
          <w:bCs/>
        </w:rPr>
        <w:t xml:space="preserve">NeuralPath Algorithm</w:t>
      </w:r>
      <w:r>
        <w:rPr>
          <w:b/>
          <w:bCs/>
        </w:rPr>
        <w:t xml:space="preserve">”</w:t>
      </w:r>
      <w:r>
        <w:t xml:space="preserve"> </w:t>
      </w:r>
      <w:r>
        <w:t xml:space="preserve">means CMT’s proprietary suite of algorithms for real-time intraoperative neural mapping, including the source code, signal processing routines, calibration procedures, and computational methods comprising that algorithm.</w:t>
      </w:r>
    </w:p>
    <w:p>
      <w:pPr>
        <w:numPr>
          <w:ilvl w:val="0"/>
          <w:numId w:val="1002"/>
        </w:numPr>
      </w:pPr>
      <w:r>
        <w:rPr>
          <w:b/>
          <w:bCs/>
        </w:rPr>
        <w:t xml:space="preserve">“</w:t>
      </w:r>
      <w:r>
        <w:rPr>
          <w:b/>
          <w:bCs/>
        </w:rPr>
        <w:t xml:space="preserve">PrecisionDrive System</w:t>
      </w:r>
      <w:r>
        <w:rPr>
          <w:b/>
          <w:bCs/>
        </w:rPr>
        <w:t xml:space="preserve">”</w:t>
      </w:r>
      <w:r>
        <w:t xml:space="preserve"> </w:t>
      </w:r>
      <w:r>
        <w:t xml:space="preserve">means CMT’s proprietary micro-actuation system for sub-millimeter robotic arm control, including the mechanical designs, harmonic drive configuration, control algorithms, CAD schematics, and engineering tolerances comprising that system.</w:t>
      </w:r>
    </w:p>
    <w:p>
      <w:pPr>
        <w:numPr>
          <w:ilvl w:val="0"/>
          <w:numId w:val="1002"/>
        </w:numPr>
      </w:pPr>
      <w:r>
        <w:rPr>
          <w:b/>
          <w:bCs/>
        </w:rPr>
        <w:t xml:space="preserve">“</w:t>
      </w:r>
      <w:r>
        <w:rPr>
          <w:b/>
          <w:bCs/>
        </w:rPr>
        <w:t xml:space="preserve">PathPlanner Module</w:t>
      </w:r>
      <w:r>
        <w:rPr>
          <w:b/>
          <w:bCs/>
        </w:rPr>
        <w:t xml:space="preserve">”</w:t>
      </w:r>
      <w:r>
        <w:t xml:space="preserve"> </w:t>
      </w:r>
      <w:r>
        <w:t xml:space="preserve">means CMT’s proprietary machine-learning-based surgical planning module, including the model architectures, training datasets, model weights, hyperparameters, and output calibration methods comprising that module.</w:t>
      </w:r>
    </w:p>
    <w:p>
      <w:pPr>
        <w:numPr>
          <w:ilvl w:val="0"/>
          <w:numId w:val="1002"/>
        </w:numPr>
      </w:pPr>
      <w:r>
        <w:rPr>
          <w:b/>
          <w:bCs/>
        </w:rPr>
        <w:t xml:space="preserve">“</w:t>
      </w:r>
      <w:r>
        <w:rPr>
          <w:b/>
          <w:bCs/>
        </w:rPr>
        <w:t xml:space="preserve">NeuroGuide 4.0</w:t>
      </w:r>
      <w:r>
        <w:rPr>
          <w:b/>
          <w:bCs/>
        </w:rPr>
        <w:t xml:space="preserve">”</w:t>
      </w:r>
      <w:r>
        <w:t xml:space="preserve"> </w:t>
      </w:r>
      <w:r>
        <w:t xml:space="preserve">means CMT’s next-generation surgical robotics platform incorporating the CMT Trade Secrets.</w:t>
      </w:r>
    </w:p>
    <w:p>
      <w:pPr>
        <w:numPr>
          <w:ilvl w:val="0"/>
          <w:numId w:val="1002"/>
        </w:numPr>
      </w:pPr>
      <w:r>
        <w:rPr>
          <w:b/>
          <w:bCs/>
        </w:rPr>
        <w:t xml:space="preserve">“</w:t>
      </w:r>
      <w:r>
        <w:rPr>
          <w:b/>
          <w:bCs/>
        </w:rPr>
        <w:t xml:space="preserve">SynapticEdge</w:t>
      </w:r>
      <w:r>
        <w:rPr>
          <w:b/>
          <w:bCs/>
        </w:rPr>
        <w:t xml:space="preserve">”</w:t>
      </w:r>
      <w:r>
        <w:t xml:space="preserve"> </w:t>
      </w:r>
      <w:r>
        <w:t xml:space="preserve">means the surgical robotics platform announced by Veridian on or about June 11, 2024, at the International Surgical Robotics Conference in Chicago, Illinois, including all components, features, subsystems, and related software and hardware.</w:t>
      </w:r>
    </w:p>
    <w:p>
      <w:pPr>
        <w:numPr>
          <w:ilvl w:val="0"/>
          <w:numId w:val="1002"/>
        </w:numPr>
      </w:pPr>
      <w:r>
        <w:rPr>
          <w:b/>
          <w:bCs/>
        </w:rPr>
        <w:t xml:space="preserve">“</w:t>
      </w:r>
      <w:r>
        <w:rPr>
          <w:b/>
          <w:bCs/>
        </w:rPr>
        <w:t xml:space="preserve">NDA</w:t>
      </w:r>
      <w:r>
        <w:rPr>
          <w:b/>
          <w:bCs/>
        </w:rPr>
        <w:t xml:space="preserve">”</w:t>
      </w:r>
      <w:r>
        <w:t xml:space="preserve"> </w:t>
      </w:r>
      <w:r>
        <w:t xml:space="preserve">means the Confidentiality, Non-Disclosure, and Invention Assignment Agreement between CMT and Oshiro, dated March 5, 2018.</w:t>
      </w:r>
    </w:p>
    <w:p>
      <w:pPr>
        <w:numPr>
          <w:ilvl w:val="0"/>
          <w:numId w:val="1002"/>
        </w:numPr>
      </w:pPr>
      <w:r>
        <w:rPr>
          <w:b/>
          <w:bCs/>
        </w:rPr>
        <w:t xml:space="preserve">“</w:t>
      </w:r>
      <w:r>
        <w:rPr>
          <w:b/>
          <w:bCs/>
        </w:rPr>
        <w:t xml:space="preserve">USB Drive</w:t>
      </w:r>
      <w:r>
        <w:rPr>
          <w:b/>
          <w:bCs/>
        </w:rPr>
        <w:t xml:space="preserve">”</w:t>
      </w:r>
      <w:r>
        <w:t xml:space="preserve"> </w:t>
      </w:r>
      <w:r>
        <w:t xml:space="preserve">means the 2TB Corsair portable external USB storage device bearing serial number CX-8827491, and any copies, clones, forensic images, or duplicates thereof.</w:t>
      </w:r>
    </w:p>
    <w:p>
      <w:pPr>
        <w:numPr>
          <w:ilvl w:val="0"/>
          <w:numId w:val="1002"/>
        </w:numPr>
      </w:pPr>
      <w:r>
        <w:rPr>
          <w:b/>
          <w:bCs/>
        </w:rPr>
        <w:t xml:space="preserve">“</w:t>
      </w:r>
      <w:r>
        <w:rPr>
          <w:b/>
          <w:bCs/>
        </w:rPr>
        <w:t xml:space="preserve">VaultDrive</w:t>
      </w:r>
      <w:r>
        <w:rPr>
          <w:b/>
          <w:bCs/>
        </w:rPr>
        <w:t xml:space="preserve">”</w:t>
      </w:r>
      <w:r>
        <w:t xml:space="preserve"> </w:t>
      </w:r>
      <w:r>
        <w:t xml:space="preserve">means CMT’s secure, access-controlled engineering repository.</w:t>
      </w:r>
    </w:p>
    <w:p>
      <w:pPr>
        <w:numPr>
          <w:ilvl w:val="0"/>
          <w:numId w:val="1002"/>
        </w:numPr>
      </w:pPr>
      <w:r>
        <w:rPr>
          <w:b/>
          <w:bCs/>
        </w:rPr>
        <w:t xml:space="preserve">“</w:t>
      </w:r>
      <w:r>
        <w:rPr>
          <w:b/>
          <w:bCs/>
        </w:rPr>
        <w:t xml:space="preserve">CMT Files</w:t>
      </w:r>
      <w:r>
        <w:rPr>
          <w:b/>
          <w:bCs/>
        </w:rPr>
        <w:t xml:space="preserve">”</w:t>
      </w:r>
      <w:r>
        <w:t xml:space="preserve"> </w:t>
      </w:r>
      <w:r>
        <w:t xml:space="preserve">means the approximately 4,700 files (totaling approximately 38.4 gigabytes) downloaded by Oshiro from VaultDrive to the USB Drive between January 8, 2024, and February 28, 2024, and any copies, extracts, summaries, or derivative works thereof.</w:t>
      </w:r>
    </w:p>
    <w:p>
      <w:pPr>
        <w:numPr>
          <w:ilvl w:val="0"/>
          <w:numId w:val="1002"/>
        </w:numPr>
      </w:pPr>
      <w:r>
        <w:rPr>
          <w:b/>
          <w:bCs/>
        </w:rPr>
        <w:t xml:space="preserve">“</w:t>
      </w:r>
      <w:r>
        <w:rPr>
          <w:b/>
          <w:bCs/>
        </w:rPr>
        <w:t xml:space="preserve">Furukawa</w:t>
      </w:r>
      <w:r>
        <w:rPr>
          <w:b/>
          <w:bCs/>
        </w:rPr>
        <w:t xml:space="preserve">”</w:t>
      </w:r>
      <w:r>
        <w:t xml:space="preserve"> </w:t>
      </w:r>
      <w:r>
        <w:t xml:space="preserve">means Dr. Kenji Furukawa;</w:t>
      </w:r>
      <w:r>
        <w:t xml:space="preserve"> </w:t>
      </w:r>
      <w:r>
        <w:rPr>
          <w:b/>
          <w:bCs/>
        </w:rPr>
        <w:t xml:space="preserve">“</w:t>
      </w:r>
      <w:r>
        <w:rPr>
          <w:b/>
          <w:bCs/>
        </w:rPr>
        <w:t xml:space="preserve">Briggs</w:t>
      </w:r>
      <w:r>
        <w:rPr>
          <w:b/>
          <w:bCs/>
        </w:rPr>
        <w:t xml:space="preserve">”</w:t>
      </w:r>
      <w:r>
        <w:t xml:space="preserve"> </w:t>
      </w:r>
      <w:r>
        <w:t xml:space="preserve">means Samantha Briggs; and</w:t>
      </w:r>
      <w:r>
        <w:t xml:space="preserve"> </w:t>
      </w:r>
      <w:r>
        <w:rPr>
          <w:b/>
          <w:bCs/>
        </w:rPr>
        <w:t xml:space="preserve">“</w:t>
      </w:r>
      <w:r>
        <w:rPr>
          <w:b/>
          <w:bCs/>
        </w:rPr>
        <w:t xml:space="preserve">Moreno</w:t>
      </w:r>
      <w:r>
        <w:rPr>
          <w:b/>
          <w:bCs/>
        </w:rPr>
        <w:t xml:space="preserve">”</w:t>
      </w:r>
      <w:r>
        <w:t xml:space="preserve"> </w:t>
      </w:r>
      <w:r>
        <w:t xml:space="preserve">means David Moreno.</w:t>
      </w:r>
    </w:p>
    <w:p>
      <w:pPr>
        <w:numPr>
          <w:ilvl w:val="0"/>
          <w:numId w:val="1002"/>
        </w:numPr>
      </w:pPr>
      <w:r>
        <w:rPr>
          <w:b/>
          <w:bCs/>
        </w:rPr>
        <w:t xml:space="preserve">“</w:t>
      </w:r>
      <w:r>
        <w:rPr>
          <w:b/>
          <w:bCs/>
        </w:rPr>
        <w:t xml:space="preserve">Thorncastle Ventures</w:t>
      </w:r>
      <w:r>
        <w:rPr>
          <w:b/>
          <w:bCs/>
        </w:rPr>
        <w:t xml:space="preserve">”</w:t>
      </w:r>
      <w:r>
        <w:t xml:space="preserve"> </w:t>
      </w:r>
      <w:r>
        <w:t xml:space="preserve">means Thorncastle Ventures, the lead investor in Veridian’s Series C financing round.</w:t>
      </w:r>
    </w:p>
    <w:p>
      <w:pPr>
        <w:numPr>
          <w:ilvl w:val="0"/>
          <w:numId w:val="1002"/>
        </w:numPr>
      </w:pPr>
      <w:r>
        <w:rPr>
          <w:b/>
          <w:bCs/>
        </w:rPr>
        <w:t xml:space="preserve">“</w:t>
      </w:r>
      <w:r>
        <w:rPr>
          <w:b/>
          <w:bCs/>
        </w:rPr>
        <w:t xml:space="preserve">Person</w:t>
      </w:r>
      <w:r>
        <w:rPr>
          <w:b/>
          <w:bCs/>
        </w:rPr>
        <w:t xml:space="preserve">”</w:t>
      </w:r>
      <w:r>
        <w:t xml:space="preserve"> </w:t>
      </w:r>
      <w:r>
        <w:t xml:space="preserve">means any individual, corporation, partnership, limited liability company, association, joint venture, or other legal entity.</w:t>
      </w:r>
    </w:p>
    <w:p>
      <w:pPr>
        <w:numPr>
          <w:ilvl w:val="0"/>
          <w:numId w:val="1002"/>
        </w:numPr>
      </w:pPr>
      <w:r>
        <w:rPr>
          <w:b/>
          <w:bCs/>
        </w:rPr>
        <w:t xml:space="preserve">“</w:t>
      </w:r>
      <w:r>
        <w:rPr>
          <w:b/>
          <w:bCs/>
        </w:rPr>
        <w:t xml:space="preserve">Document</w:t>
      </w:r>
      <w:r>
        <w:rPr>
          <w:b/>
          <w:bCs/>
        </w:rPr>
        <w:t xml:space="preserve">”</w:t>
      </w:r>
      <w:r>
        <w:t xml:space="preserve"> </w:t>
      </w:r>
      <w:r>
        <w:t xml:space="preserve">has the meaning set forth in Fed. R. Civ. P. 34(a), and includes all writings, recordings, drawings, photographs, and electronically stored information of every kind, however stored or maintained.</w:t>
      </w:r>
    </w:p>
    <w:p>
      <w:pPr>
        <w:numPr>
          <w:ilvl w:val="0"/>
          <w:numId w:val="1002"/>
        </w:numPr>
      </w:pPr>
      <w:r>
        <w:rPr>
          <w:b/>
          <w:bCs/>
        </w:rPr>
        <w:t xml:space="preserve">“</w:t>
      </w:r>
      <w:r>
        <w:rPr>
          <w:b/>
          <w:bCs/>
        </w:rPr>
        <w:t xml:space="preserve">Communication</w:t>
      </w:r>
      <w:r>
        <w:rPr>
          <w:b/>
          <w:bCs/>
        </w:rPr>
        <w:t xml:space="preserve">”</w:t>
      </w:r>
      <w:r>
        <w:t xml:space="preserve"> </w:t>
      </w:r>
      <w:r>
        <w:t xml:space="preserve">means any exchange of information, whether oral, written, or electronic, including but not limited to emails, text messages, instant messages, messages sent via LinkedIn or other social media or professional networking platforms, messages sent via Slack, Microsoft Teams, or similar applications, voicemails, letters, memoranda, and conversations.</w:t>
      </w:r>
    </w:p>
    <w:p>
      <w:pPr>
        <w:numPr>
          <w:ilvl w:val="0"/>
          <w:numId w:val="1002"/>
        </w:numPr>
      </w:pPr>
      <w:r>
        <w:rPr>
          <w:b/>
          <w:bCs/>
        </w:rPr>
        <w:t xml:space="preserve">“</w:t>
      </w:r>
      <w:r>
        <w:rPr>
          <w:b/>
          <w:bCs/>
        </w:rPr>
        <w:t xml:space="preserve">Identify,</w:t>
      </w:r>
      <w:r>
        <w:rPr>
          <w:b/>
          <w:bCs/>
        </w:rPr>
        <w:t xml:space="preserve">”</w:t>
      </w:r>
      <w:r>
        <w:t xml:space="preserve"> </w:t>
      </w:r>
      <w:r>
        <w:t xml:space="preserve">when used with respect to a</w:t>
      </w:r>
      <w:r>
        <w:t xml:space="preserve"> </w:t>
      </w:r>
      <w:r>
        <w:rPr>
          <w:b/>
          <w:bCs/>
        </w:rPr>
        <w:t xml:space="preserve">Person</w:t>
      </w:r>
      <w:r>
        <w:t xml:space="preserve">, means to state the person’s full name, current or last-known business and residential address and telephone number, present or last-known employer and position, and the person’s relationship to Veridian.</w:t>
      </w:r>
    </w:p>
    <w:p>
      <w:pPr>
        <w:numPr>
          <w:ilvl w:val="0"/>
          <w:numId w:val="1002"/>
        </w:numPr>
      </w:pPr>
      <w:r>
        <w:rPr>
          <w:b/>
          <w:bCs/>
        </w:rPr>
        <w:t xml:space="preserve">“</w:t>
      </w:r>
      <w:r>
        <w:rPr>
          <w:b/>
          <w:bCs/>
        </w:rPr>
        <w:t xml:space="preserve">Identify,</w:t>
      </w:r>
      <w:r>
        <w:rPr>
          <w:b/>
          <w:bCs/>
        </w:rPr>
        <w:t xml:space="preserve">”</w:t>
      </w:r>
      <w:r>
        <w:t xml:space="preserve"> </w:t>
      </w:r>
      <w:r>
        <w:t xml:space="preserve">when used with respect to a</w:t>
      </w:r>
      <w:r>
        <w:t xml:space="preserve"> </w:t>
      </w:r>
      <w:r>
        <w:rPr>
          <w:b/>
          <w:bCs/>
        </w:rPr>
        <w:t xml:space="preserve">Document</w:t>
      </w:r>
      <w:r>
        <w:t xml:space="preserve">, means to state the type of Document, its date, author(s), recipient(s), custodian(s), present location, and a brief description of its contents.</w:t>
      </w:r>
    </w:p>
    <w:p>
      <w:pPr>
        <w:numPr>
          <w:ilvl w:val="0"/>
          <w:numId w:val="1002"/>
        </w:numPr>
      </w:pPr>
      <w:r>
        <w:rPr>
          <w:b/>
          <w:bCs/>
        </w:rPr>
        <w:t xml:space="preserve">“</w:t>
      </w:r>
      <w:r>
        <w:rPr>
          <w:b/>
          <w:bCs/>
        </w:rPr>
        <w:t xml:space="preserve">Identify,</w:t>
      </w:r>
      <w:r>
        <w:rPr>
          <w:b/>
          <w:bCs/>
        </w:rPr>
        <w:t xml:space="preserve">”</w:t>
      </w:r>
      <w:r>
        <w:t xml:space="preserve"> </w:t>
      </w:r>
      <w:r>
        <w:t xml:space="preserve">when used with respect to a</w:t>
      </w:r>
      <w:r>
        <w:t xml:space="preserve"> </w:t>
      </w:r>
      <w:r>
        <w:rPr>
          <w:b/>
          <w:bCs/>
        </w:rPr>
        <w:t xml:space="preserve">Communication</w:t>
      </w:r>
      <w:r>
        <w:t xml:space="preserve">, means to state the date of the Communication, all participants, the form of the Communication (oral, email, text, etc.), the subject matter discussed, the location where the Communication occurred, and the present location of any Document recording or memorializing the Communication.</w:t>
      </w:r>
    </w:p>
    <w:p>
      <w:pPr>
        <w:numPr>
          <w:ilvl w:val="0"/>
          <w:numId w:val="1002"/>
        </w:numPr>
      </w:pPr>
      <w:r>
        <w:rPr>
          <w:b/>
          <w:bCs/>
        </w:rPr>
        <w:t xml:space="preserve">“</w:t>
      </w:r>
      <w:r>
        <w:rPr>
          <w:b/>
          <w:bCs/>
        </w:rPr>
        <w:t xml:space="preserve">State</w:t>
      </w:r>
      <w:r>
        <w:rPr>
          <w:b/>
          <w:bCs/>
        </w:rPr>
        <w:t xml:space="preserve">”</w:t>
      </w:r>
      <w:r>
        <w:t xml:space="preserve"> </w:t>
      </w:r>
      <w:r>
        <w:t xml:space="preserve">or</w:t>
      </w:r>
      <w:r>
        <w:t xml:space="preserve"> </w:t>
      </w:r>
      <w:r>
        <w:rPr>
          <w:b/>
          <w:bCs/>
        </w:rPr>
        <w:t xml:space="preserve">“</w:t>
      </w:r>
      <w:r>
        <w:rPr>
          <w:b/>
          <w:bCs/>
        </w:rPr>
        <w:t xml:space="preserve">Describe</w:t>
      </w:r>
      <w:r>
        <w:rPr>
          <w:b/>
          <w:bCs/>
        </w:rPr>
        <w:t xml:space="preserve">”</w:t>
      </w:r>
      <w:r>
        <w:t xml:space="preserve"> </w:t>
      </w:r>
      <w:r>
        <w:t xml:space="preserve">means to set forth the requested information in full and with particularity.</w:t>
      </w:r>
    </w:p>
    <w:p>
      <w:pPr>
        <w:numPr>
          <w:ilvl w:val="0"/>
          <w:numId w:val="1002"/>
        </w:numPr>
      </w:pPr>
      <w:r>
        <w:rPr>
          <w:b/>
          <w:bCs/>
        </w:rPr>
        <w:t xml:space="preserve">“</w:t>
      </w:r>
      <w:r>
        <w:rPr>
          <w:b/>
          <w:bCs/>
        </w:rPr>
        <w:t xml:space="preserve">Relevant Time Period</w:t>
      </w:r>
      <w:r>
        <w:rPr>
          <w:b/>
          <w:bCs/>
        </w:rPr>
        <w:t xml:space="preserve">”</w:t>
      </w:r>
      <w:r>
        <w:t xml:space="preserve"> </w:t>
      </w:r>
      <w:r>
        <w:t xml:space="preserve">means the period from November 1, 2023, through the present, unless a particular Interrogatory specifies a different time period.</w:t>
      </w:r>
    </w:p>
    <w:p>
      <w:pPr>
        <w:pStyle w:val="FirstParagraph"/>
      </w:pPr>
      <w:r>
        <w:br/>
      </w:r>
    </w:p>
    <w:bookmarkEnd w:id="22"/>
    <w:bookmarkStart w:id="23" w:name="interrogatories"/>
    <w:p>
      <w:pPr>
        <w:pStyle w:val="Heading2"/>
      </w:pPr>
      <w:r>
        <w:t xml:space="preserve">INTERROGATORIES</w:t>
      </w:r>
    </w:p>
    <w:p>
      <w:pPr>
        <w:pStyle w:val="FirstParagraph"/>
      </w:pPr>
      <w:r>
        <w:rPr>
          <w:b/>
          <w:bCs/>
        </w:rPr>
        <w:t xml:space="preserve">INTERROGATORY NO. 1:</w:t>
      </w:r>
      <w:r>
        <w:t xml:space="preserve"> </w:t>
      </w:r>
      <w:r>
        <w:t xml:space="preserve">State the date on which Veridian first conceived of, planned, or began developing SynapticEdge (or any surgical robotics platform intended to incorporate real-time neural mapping, harmonic micro-actuation, or machine-learning-based surgical pathway planning), and describe in detail the complete development history and timeline of SynapticEdge from inception through its public announcement on June 11, 2024, including each development milestone, the date each milestone was reached, and the personnel responsible for each milestone.</w:t>
      </w:r>
    </w:p>
    <w:p>
      <w:pPr>
        <w:pStyle w:val="BodyText"/>
      </w:pPr>
      <w:r>
        <w:rPr>
          <w:b/>
          <w:bCs/>
        </w:rPr>
        <w:t xml:space="preserve">INTERROGATORY NO. 2:</w:t>
      </w:r>
      <w:r>
        <w:t xml:space="preserve"> </w:t>
      </w:r>
      <w:r>
        <w:t xml:space="preserve">Describe in detail the state of development of SynapticEdge as of March 18, 2024 (the date Oshiro commenced employment with Veridian), including which features of SynapticEdge had been designed, prototyped, or implemented as of that date, the level of completion of each such feature, and the work that remained to be performed before the June 11, 2024 announcement.</w:t>
      </w:r>
    </w:p>
    <w:p>
      <w:pPr>
        <w:pStyle w:val="BodyText"/>
      </w:pPr>
      <w:r>
        <w:rPr>
          <w:b/>
          <w:bCs/>
        </w:rPr>
        <w:t xml:space="preserve">INTERROGATORY NO. 3:</w:t>
      </w:r>
      <w:r>
        <w:t xml:space="preserve"> </w:t>
      </w:r>
      <w:r>
        <w:t xml:space="preserve">Identify every Person who participated in the conception, design, development, testing, or marketing of SynapticEdge at any time before or after March 18, 2024, and for each such Person, state (a) the Person’s role and title, (b) the date the Person began work on SynapticEdge, and (c) the specific tasks or components of SynapticEdge assigned to or performed by that Person.</w:t>
      </w:r>
    </w:p>
    <w:p>
      <w:pPr>
        <w:pStyle w:val="BodyText"/>
      </w:pPr>
      <w:r>
        <w:rPr>
          <w:b/>
          <w:bCs/>
        </w:rPr>
        <w:t xml:space="preserve">INTERROGATORY NO. 4:</w:t>
      </w:r>
      <w:r>
        <w:t xml:space="preserve"> </w:t>
      </w:r>
      <w:r>
        <w:t xml:space="preserve">Identify every Document that evidences or reflects the conception, design, or development of SynapticEdge prior to March 18, 2024, including but not limited to source code repository commit logs, version control histories, project management records (including Jira, Confluence, or similar tools), engineering milestone reports, design documents, technical specifications, meeting notes, and internal Communications, and for each such Document, state the date it was created and the author.</w:t>
      </w:r>
    </w:p>
    <w:p>
      <w:pPr>
        <w:pStyle w:val="BodyText"/>
      </w:pPr>
      <w:r>
        <w:rPr>
          <w:b/>
          <w:bCs/>
        </w:rPr>
        <w:t xml:space="preserve">INTERROGATORY NO. 5:</w:t>
      </w:r>
      <w:r>
        <w:t xml:space="preserve"> </w:t>
      </w:r>
      <w:r>
        <w:t xml:space="preserve">For each of the following technical features of SynapticEdge described in Veridian’s June 11, 2024 press release, identify the Person(s) who designed or developed the feature, state the date on which development of the feature commenced, and describe the source, basis, or origin of the design: (a) the real-time neural mapping overlay with sub-12 millisecond latency; (b) the harmonic micro-actuation system for sub-millimeter robotic arm control; (c) the AI-powered surgical pathway planning module; (d) the surgeon calibration workflow; and (e) the predictive error-correction protocol for robotic arm drift.</w:t>
      </w:r>
    </w:p>
    <w:p>
      <w:pPr>
        <w:pStyle w:val="BodyText"/>
      </w:pPr>
      <w:r>
        <w:rPr>
          <w:b/>
          <w:bCs/>
        </w:rPr>
        <w:t xml:space="preserve">INTERROGATORY NO. 6:</w:t>
      </w:r>
      <w:r>
        <w:t xml:space="preserve"> </w:t>
      </w:r>
      <w:r>
        <w:t xml:space="preserve">Describe in detail every contribution that Oshiro has made to the conception, design, development, testing, or marketing of SynapticEdge from March 18, 2024, through the present, including the specific features, components, or aspects of SynapticEdge to which Oshiro contributed, the nature of each contribution, and the dates of each contribution.</w:t>
      </w:r>
    </w:p>
    <w:p>
      <w:pPr>
        <w:pStyle w:val="BodyText"/>
      </w:pPr>
      <w:r>
        <w:rPr>
          <w:b/>
          <w:bCs/>
        </w:rPr>
        <w:t xml:space="preserve">INTERROGATORY NO. 7:</w:t>
      </w:r>
      <w:r>
        <w:t xml:space="preserve"> </w:t>
      </w:r>
      <w:r>
        <w:t xml:space="preserve">Describe Oshiro’s duties, responsibilities, and authority at Veridian since March 18, 2024, including all projects and technologies on which he has worked, all personnel he supervises or manages, and all decisions in which he has participated relating to product development, engineering, hiring, or technology acquisition.</w:t>
      </w:r>
    </w:p>
    <w:p>
      <w:pPr>
        <w:pStyle w:val="BodyText"/>
      </w:pPr>
      <w:r>
        <w:rPr>
          <w:b/>
          <w:bCs/>
        </w:rPr>
        <w:t xml:space="preserve">INTERROGATORY NO. 8:</w:t>
      </w:r>
      <w:r>
        <w:t xml:space="preserve"> </w:t>
      </w:r>
      <w:r>
        <w:t xml:space="preserve">Identify every Document, file, dataset, device, or other material that Oshiro brought to Veridian from CMT or from any other prior employer, including the USB Drive, and describe in detail what Veridian did with each such item, including whether it was accessed, copied, distributed, used, stored, or destroyed, and the identity of every Person who accessed or used it.</w:t>
      </w:r>
    </w:p>
    <w:p>
      <w:pPr>
        <w:pStyle w:val="BodyText"/>
      </w:pPr>
      <w:r>
        <w:rPr>
          <w:b/>
          <w:bCs/>
        </w:rPr>
        <w:t xml:space="preserve">INTERROGATORY NO. 9:</w:t>
      </w:r>
      <w:r>
        <w:t xml:space="preserve"> </w:t>
      </w:r>
      <w:r>
        <w:t xml:space="preserve">State whether Veridian, or any of its officers, directors, employees, agents, or consultants, has ever received, accessed, reviewed, copied, downloaded, transferred, stored, or used any CMT file, Document, data, or information of any kind, including any information originating from VaultDrive or any of the CMT Files, and if so, for each instance, identify the information received or used, the Person(s) who received or used it, the date, and the purpose for which it was received or used.</w:t>
      </w:r>
    </w:p>
    <w:p>
      <w:pPr>
        <w:pStyle w:val="BodyText"/>
      </w:pPr>
      <w:r>
        <w:rPr>
          <w:b/>
          <w:bCs/>
        </w:rPr>
        <w:t xml:space="preserve">INTERROGATORY NO. 10:</w:t>
      </w:r>
      <w:r>
        <w:t xml:space="preserve"> </w:t>
      </w:r>
      <w:r>
        <w:t xml:space="preserve">State the current location and custodian of the USB Drive, and state whether the USB Drive, or any copy, clone, forensic image, or duplicate thereof, has ever been connected to, accessed by, or present on any Veridian computer, server, workstation, mobile device, network, or other system, and if so, identify each such device or system, the date(s) of connection or access, and every Person who connected or accessed it.</w:t>
      </w:r>
    </w:p>
    <w:p>
      <w:pPr>
        <w:pStyle w:val="BodyText"/>
      </w:pPr>
      <w:r>
        <w:rPr>
          <w:b/>
          <w:bCs/>
        </w:rPr>
        <w:t xml:space="preserve">INTERROGATORY NO. 11:</w:t>
      </w:r>
      <w:r>
        <w:t xml:space="preserve"> </w:t>
      </w:r>
      <w:r>
        <w:t xml:space="preserve">State when and how Veridian first learned of the existence of each of the NeuralPath Algorithm, the PrecisionDrive System, and the PathPlanner Module, and identify every Person at Veridian who has had any knowledge of, or involvement with, any of the CMT Trade Secrets, stating for each such Person the nature and source of that knowledge.</w:t>
      </w:r>
    </w:p>
    <w:p>
      <w:pPr>
        <w:pStyle w:val="BodyText"/>
      </w:pPr>
      <w:r>
        <w:rPr>
          <w:b/>
          <w:bCs/>
        </w:rPr>
        <w:t xml:space="preserve">INTERROGATORY NO. 12:</w:t>
      </w:r>
      <w:r>
        <w:t xml:space="preserve"> </w:t>
      </w:r>
      <w:r>
        <w:t xml:space="preserve">Identify every Person who participated in or influenced Veridian’s decision to recruit, interview, evaluate, or hire Oshiro, state the reasons for the decision to hire Oshiro, and identify every Communication between any Veridian Person and Oshiro from November 1, 2023, through the present.</w:t>
      </w:r>
    </w:p>
    <w:p>
      <w:pPr>
        <w:pStyle w:val="BodyText"/>
      </w:pPr>
      <w:r>
        <w:rPr>
          <w:b/>
          <w:bCs/>
        </w:rPr>
        <w:t xml:space="preserve">INTERROGATORY NO. 13:</w:t>
      </w:r>
      <w:r>
        <w:t xml:space="preserve"> </w:t>
      </w:r>
      <w:r>
        <w:t xml:space="preserve">State whether any Veridian Person discussed with Oshiro, at any time before or after his hiring, any aspect of CMT’s business, technology, NeuroGuide 4.0 platform, CMT Trade Secrets, products, customers, employees, R&amp;D roadmap, or competitive position, and if so, identify each such Communication, including the date, the participants, and the substance of what was discussed.</w:t>
      </w:r>
    </w:p>
    <w:p>
      <w:pPr>
        <w:pStyle w:val="BodyText"/>
      </w:pPr>
      <w:r>
        <w:rPr>
          <w:b/>
          <w:bCs/>
        </w:rPr>
        <w:t xml:space="preserve">INTERROGATORY NO. 14:</w:t>
      </w:r>
      <w:r>
        <w:t xml:space="preserve"> </w:t>
      </w:r>
      <w:r>
        <w:t xml:space="preserve">State when and how Veridian first learned that Oshiro was subject to a confidentiality, non-disclosure, non-solicitation, or invention-assignment obligation to CMT (including the NDA), and describe in detail every inquiry Veridian made and every step Veridian took, before or after hiring Oshiro, to determine whether Oshiro was bound by any such obligations and to ensure his compliance with them.</w:t>
      </w:r>
    </w:p>
    <w:p>
      <w:pPr>
        <w:pStyle w:val="BodyText"/>
      </w:pPr>
      <w:r>
        <w:rPr>
          <w:b/>
          <w:bCs/>
        </w:rPr>
        <w:t xml:space="preserve">INTERROGATORY NO. 15:</w:t>
      </w:r>
      <w:r>
        <w:t xml:space="preserve"> </w:t>
      </w:r>
      <w:r>
        <w:t xml:space="preserve">State the complete terms of Oshiro’s compensation package at Veridian, including base salary, signing bonus, performance bonuses, equity grants or options, vesting schedules, and all other benefits or forms of compensation, and describe the basis or justification for each element of that compensation, including any analysis or valuation supporting the premium over Oshiro’s prior compensation.</w:t>
      </w:r>
    </w:p>
    <w:p>
      <w:pPr>
        <w:pStyle w:val="BodyText"/>
      </w:pPr>
      <w:r>
        <w:rPr>
          <w:b/>
          <w:bCs/>
        </w:rPr>
        <w:t xml:space="preserve">INTERROGATORY NO. 16:</w:t>
      </w:r>
      <w:r>
        <w:t xml:space="preserve"> </w:t>
      </w:r>
      <w:r>
        <w:t xml:space="preserve">Identify every information barrier, ethical wall, clean-room procedure, screening protocol, or other measure that Veridian has implemented at any time to prevent the use, disclosure, or incorporation of CMT’s confidential information or CMT Trade Secrets in connection with the hiring of Oshiro, Furukawa, Briggs, or Moreno, or in connection with the development of SynapticEdge, and for each such measure, state the date it was implemented, the Person responsible for implementing it, and the manner in which it was enforced.</w:t>
      </w:r>
    </w:p>
    <w:p>
      <w:pPr>
        <w:pStyle w:val="BodyText"/>
      </w:pPr>
      <w:r>
        <w:rPr>
          <w:b/>
          <w:bCs/>
        </w:rPr>
        <w:t xml:space="preserve">INTERROGATORY NO. 17:</w:t>
      </w:r>
      <w:r>
        <w:t xml:space="preserve"> </w:t>
      </w:r>
      <w:r>
        <w:t xml:space="preserve">State the complete factual basis for any contention by Veridian that SynapticEdge, or any feature or component thereof, was conceived or developed independently of, or without use of, the CMT Trade Secrets, and identify every Document and every Person that supports or evidences that contention.</w:t>
      </w:r>
    </w:p>
    <w:p>
      <w:pPr>
        <w:pStyle w:val="BodyText"/>
      </w:pPr>
      <w:r>
        <w:rPr>
          <w:b/>
          <w:bCs/>
        </w:rPr>
        <w:t xml:space="preserve">INTERROGATORY NO. 18:</w:t>
      </w:r>
      <w:r>
        <w:t xml:space="preserve"> </w:t>
      </w:r>
      <w:r>
        <w:t xml:space="preserve">For each of Furukawa, Briggs, and Moreno, identify every Person who participated in or influenced Veridian’s decision to recruit, interview, evaluate, or hire that individual, identify every Communication between any Veridian Person and that individual from January 1, 2024, through the present, and state the full extent of Oshiro’s involvement in the recruitment, interview, evaluation, or hiring of that individual.</w:t>
      </w:r>
    </w:p>
    <w:p>
      <w:pPr>
        <w:pStyle w:val="BodyText"/>
      </w:pPr>
      <w:r>
        <w:rPr>
          <w:b/>
          <w:bCs/>
        </w:rPr>
        <w:t xml:space="preserve">INTERROGATORY NO. 19:</w:t>
      </w:r>
      <w:r>
        <w:t xml:space="preserve"> </w:t>
      </w:r>
      <w:r>
        <w:t xml:space="preserve">State whether Veridian knew or had reason to know, at any time, that Oshiro was subject to a non-solicitation obligation to CMT under the NDA, and describe in detail every step Veridian took, or failed to take, in connection with the recruitment and hiring of Furukawa, Briggs, and Moreno to ensure compliance with, or to avoid facilitating a breach of, any such non-solicitation obligation.</w:t>
      </w:r>
    </w:p>
    <w:p>
      <w:pPr>
        <w:pStyle w:val="BodyText"/>
      </w:pPr>
      <w:r>
        <w:rPr>
          <w:b/>
          <w:bCs/>
        </w:rPr>
        <w:t xml:space="preserve">INTERROGATORY NO. 20:</w:t>
      </w:r>
      <w:r>
        <w:t xml:space="preserve"> </w:t>
      </w:r>
      <w:r>
        <w:t xml:space="preserve">Describe in detail all efforts Veridian has undertaken to commercialize, market, sell, license, offer for sale, or publicly demonstrate SynapticEdge, identify every hospital, medical institution, health system, or other actual or potential customer with whom Veridian has communicated regarding SynapticEdge, and state all revenues, profits, or other economic benefits Veridian has derived or expects to derive from SynapticEdge.</w:t>
      </w:r>
    </w:p>
    <w:p>
      <w:pPr>
        <w:pStyle w:val="BodyText"/>
      </w:pPr>
      <w:r>
        <w:rPr>
          <w:b/>
          <w:bCs/>
        </w:rPr>
        <w:t xml:space="preserve">INTERROGATORY NO. 21:</w:t>
      </w:r>
      <w:r>
        <w:t xml:space="preserve"> </w:t>
      </w:r>
      <w:r>
        <w:t xml:space="preserve">Identify every Communication between Veridian and Thorncastle Ventures, or any other actual or prospective investor, regarding SynapticEdge, and state what information Veridian provided to such investors about SynapticEdge’s technology, development history, development timeline, or personnel, including any information provided in connection with the $60 million Series C financing.</w:t>
      </w:r>
    </w:p>
    <w:p>
      <w:pPr>
        <w:pStyle w:val="BodyText"/>
      </w:pPr>
      <w:r>
        <w:rPr>
          <w:b/>
          <w:bCs/>
        </w:rPr>
        <w:t xml:space="preserve">INTERROGATORY NO. 22:</w:t>
      </w:r>
      <w:r>
        <w:t xml:space="preserve"> </w:t>
      </w:r>
      <w:r>
        <w:t xml:space="preserve">Describe Veridian’s product development history and product line prior to 2024, including every surgical robotics product Veridian developed, marketed, or sold, and state whether Veridian ever developed, designed, or researched any neurosurgical robotics technology, or any technology incorporating real-time neural mapping, harmonic micro-actuation, or machine-learning-based surgical pathway planning, prior to Oshiro’s hiring on March 18, 2024.</w:t>
      </w:r>
    </w:p>
    <w:p>
      <w:pPr>
        <w:pStyle w:val="BodyText"/>
      </w:pPr>
      <w:r>
        <w:rPr>
          <w:b/>
          <w:bCs/>
        </w:rPr>
        <w:t xml:space="preserve">INTERROGATORY NO. 23:</w:t>
      </w:r>
      <w:r>
        <w:t xml:space="preserve"> </w:t>
      </w:r>
      <w:r>
        <w:t xml:space="preserve">Describe in detail every step Veridian has taken to identify, preserve, and safeguard Documents and electronically stored information in response to (a) the litigation hold letter sent by Plaintiff’s counsel to Trent on June 28, 2024, and (b) the document preservation order entered by the Court on August 2, 2024, identify every Person responsible for implementing and overseeing the litigation hold, and identify any Document or electronically stored information that has been lost, destroyed, altered, or rendered unavailable since June 28, 2024.</w:t>
      </w:r>
    </w:p>
    <w:p>
      <w:pPr>
        <w:pStyle w:val="BodyText"/>
      </w:pPr>
      <w:r>
        <w:rPr>
          <w:b/>
          <w:bCs/>
        </w:rPr>
        <w:t xml:space="preserve">INTERROGATORY NO. 24:</w:t>
      </w:r>
      <w:r>
        <w:t xml:space="preserve"> </w:t>
      </w:r>
      <w:r>
        <w:t xml:space="preserve">State each and every defense, affirmative or otherwise, that Veridian intends to assert in this action, and for each defense, state the complete factual basis for the defense and identify every Document and every Person that supports or evidences the defense.</w:t>
      </w:r>
    </w:p>
    <w:p>
      <w:pPr>
        <w:pStyle w:val="BodyText"/>
      </w:pPr>
      <w:r>
        <w:rPr>
          <w:b/>
          <w:bCs/>
        </w:rPr>
        <w:t xml:space="preserve">INTERROGATORY NO. 25:</w:t>
      </w:r>
      <w:r>
        <w:t xml:space="preserve"> </w:t>
      </w:r>
      <w:r>
        <w:t xml:space="preserve">State the total amount of Veridian’s gross revenues, profits, cost savings, or other economic benefit attributable to SynapticEdge or to the use of any CMT Trade Secret, and describe in detail the method of computation, including all data, assumptions, and calculations used to determine that amount.</w:t>
      </w:r>
    </w:p>
    <w:p>
      <w:pPr>
        <w:pStyle w:val="BodyText"/>
      </w:pPr>
      <w:r>
        <w:br/>
      </w:r>
    </w:p>
    <w:p>
      <w:pPr>
        <w:pStyle w:val="BodyText"/>
      </w:pPr>
      <w:r>
        <w:t xml:space="preserve">Respectfully submitted,</w:t>
      </w:r>
    </w:p>
    <w:p>
      <w:pPr>
        <w:pStyle w:val="BodyText"/>
      </w:pPr>
      <w:r>
        <w:br/>
      </w:r>
    </w:p>
    <w:p>
      <w:pPr>
        <w:pStyle w:val="BodyText"/>
      </w:pPr>
      <w:r>
        <w:t xml:space="preserve">HARGROVE, PELL &amp; SUTTON LLP</w:t>
      </w:r>
    </w:p>
    <w:p>
      <w:pPr>
        <w:pStyle w:val="BodyText"/>
      </w:pPr>
      <w:r>
        <w:br/>
      </w:r>
    </w:p>
    <w:p>
      <w:pPr>
        <w:pStyle w:val="BodyText"/>
      </w:pPr>
      <w:r>
        <w:t xml:space="preserve">By: _______________________</w:t>
      </w:r>
    </w:p>
    <w:p>
      <w:pPr>
        <w:pStyle w:val="BodyText"/>
      </w:pPr>
      <w:r>
        <w:t xml:space="preserve">Margaret</w:t>
      </w:r>
      <w:r>
        <w:t xml:space="preserve"> </w:t>
      </w:r>
      <w:r>
        <w:t xml:space="preserve">“</w:t>
      </w:r>
      <w:r>
        <w:t xml:space="preserve">Meg</w:t>
      </w:r>
      <w:r>
        <w:t xml:space="preserve">”</w:t>
      </w:r>
      <w:r>
        <w:t xml:space="preserve"> </w:t>
      </w:r>
      <w:r>
        <w:t xml:space="preserve">Hargrove</w:t>
      </w:r>
      <w:r>
        <w:br/>
      </w:r>
      <w:r>
        <w:t xml:space="preserve">State Bar No. 24058319</w:t>
      </w:r>
      <w:r>
        <w:br/>
      </w:r>
      <w:r>
        <w:t xml:space="preserve">Kevin Nakamura</w:t>
      </w:r>
      <w:r>
        <w:br/>
      </w:r>
      <w:r>
        <w:t xml:space="preserve">State Bar No. 24091742</w:t>
      </w:r>
      <w:r>
        <w:br/>
      </w:r>
      <w:r>
        <w:t xml:space="preserve">Hargrove, Pell &amp; Sutton LLP</w:t>
      </w:r>
      <w:r>
        <w:br/>
      </w:r>
      <w:r>
        <w:t xml:space="preserve">2900 Elm Street, 40th Floor</w:t>
      </w:r>
      <w:r>
        <w:br/>
      </w:r>
      <w:r>
        <w:t xml:space="preserve">Dallas, Texas 75201</w:t>
      </w:r>
      <w:r>
        <w:br/>
      </w:r>
      <w:r>
        <w:t xml:space="preserve">Telephone: (214) 555-8200</w:t>
      </w:r>
      <w:r>
        <w:br/>
      </w:r>
      <w:r>
        <w:t xml:space="preserve">Facsimile: (214) 555-8201</w:t>
      </w:r>
      <w:r>
        <w:br/>
      </w:r>
      <w:r>
        <w:t xml:space="preserve">Email: mhargrove@harpellsutton.com</w:t>
      </w:r>
      <w:r>
        <w:br/>
      </w:r>
      <w:r>
        <w:t xml:space="preserve">Email: knakamura@harpellsutton.com</w:t>
      </w:r>
    </w:p>
    <w:p>
      <w:pPr>
        <w:pStyle w:val="BodyText"/>
      </w:pPr>
      <w:r>
        <w:rPr>
          <w:i/>
          <w:iCs/>
        </w:rPr>
        <w:t xml:space="preserve">Attorneys for Plaintiff Castillo Medical Technologies, Inc.</w:t>
      </w:r>
    </w:p>
    <w:p>
      <w:pPr>
        <w:pStyle w:val="BodyText"/>
      </w:pPr>
      <w:r>
        <w:br/>
      </w:r>
    </w:p>
    <w:p>
      <w:pPr>
        <w:pStyle w:val="BodyText"/>
      </w:pPr>
      <w:r>
        <w:t xml:space="preserve">Dated: __________________</w:t>
      </w:r>
    </w:p>
    <w:p>
      <w:pPr>
        <w:pStyle w:val="BodyText"/>
      </w:pPr>
      <w:r>
        <w:br/>
      </w:r>
    </w:p>
    <w:bookmarkEnd w:id="23"/>
    <w:bookmarkStart w:id="24" w:name="certificate-of-service"/>
    <w:p>
      <w:pPr>
        <w:pStyle w:val="Heading2"/>
      </w:pPr>
      <w:r>
        <w:t xml:space="preserve">CERTIFICATE OF SERVICE</w:t>
      </w:r>
    </w:p>
    <w:p>
      <w:pPr>
        <w:pStyle w:val="FirstParagraph"/>
      </w:pPr>
      <w:r>
        <w:t xml:space="preserve">I hereby certify that on the ___ day of _______, 2024, a true and correct copy of the foregoing Plaintiff’s First Set of Interrogatories to Defendant Veridian Health Systems, LLC was served via the Court’s CM/ECF electronic filing system on all counsel of record, including:</w:t>
      </w:r>
    </w:p>
    <w:p>
      <w:pPr>
        <w:pStyle w:val="BodyText"/>
      </w:pPr>
      <w:r>
        <w:br/>
      </w:r>
    </w:p>
    <w:p>
      <w:pPr>
        <w:pStyle w:val="BodyText"/>
      </w:pPr>
      <w:r>
        <w:t xml:space="preserve">Stephen Osei</w:t>
      </w:r>
      <w:r>
        <w:br/>
      </w:r>
      <w:r>
        <w:t xml:space="preserve">Drummond &amp; Wakefield LLP</w:t>
      </w:r>
      <w:r>
        <w:br/>
      </w:r>
      <w:r>
        <w:t xml:space="preserve">1150 K Street NW, Suite 1200</w:t>
      </w:r>
      <w:r>
        <w:br/>
      </w:r>
      <w:r>
        <w:t xml:space="preserve">Washington, DC 20005</w:t>
      </w:r>
      <w:r>
        <w:br/>
      </w:r>
      <w:r>
        <w:rPr>
          <w:i/>
          <w:iCs/>
        </w:rPr>
        <w:t xml:space="preserve">Counsel for Defendant Veridian Health Systems, LLC</w:t>
      </w:r>
    </w:p>
    <w:p>
      <w:pPr>
        <w:pStyle w:val="BodyText"/>
      </w:pPr>
      <w:r>
        <w:br/>
      </w:r>
    </w:p>
    <w:p>
      <w:pPr>
        <w:pStyle w:val="BodyText"/>
      </w:pPr>
      <w:r>
        <w:t xml:space="preserve">Patricia Dominguez</w:t>
      </w:r>
      <w:r>
        <w:br/>
      </w:r>
      <w:r>
        <w:t xml:space="preserve">Barlow &amp; Crane PLLC</w:t>
      </w:r>
      <w:r>
        <w:br/>
      </w:r>
      <w:r>
        <w:rPr>
          <w:i/>
          <w:iCs/>
        </w:rPr>
        <w:t xml:space="preserve">Counsel for Defendant Ryan Oshiro</w:t>
      </w:r>
    </w:p>
    <w:p>
      <w:pPr>
        <w:pStyle w:val="BodyText"/>
      </w:pPr>
      <w:r>
        <w:br/>
      </w:r>
    </w:p>
    <w:p>
      <w:pPr>
        <w:pStyle w:val="BodyText"/>
      </w:pPr>
      <w:r>
        <w:t xml:space="preserve">________________________________________</w:t>
      </w:r>
    </w:p>
    <w:p>
      <w:pPr>
        <w:pStyle w:val="BodyText"/>
      </w:pPr>
      <w:r>
        <w:t xml:space="preserve">Margaret</w:t>
      </w:r>
      <w:r>
        <w:t xml:space="preserve"> </w:t>
      </w:r>
      <w:r>
        <w:t xml:space="preserve">“</w:t>
      </w:r>
      <w:r>
        <w:t xml:space="preserve">Meg</w:t>
      </w:r>
      <w:r>
        <w:t xml:space="preserve">”</w:t>
      </w:r>
      <w:r>
        <w:t xml:space="preserve"> </w:t>
      </w:r>
      <w:r>
        <w:t xml:space="preserve">Hargrove</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2026-06-29T00:53:07Z</dcterms:created>
  <dcterms:modified xsi:type="dcterms:W3CDTF">2026-06-29T00:53:07Z</dcterms:modified>
</cp:coreProperties>
</file>

<file path=docProps/custom.xml><?xml version="1.0" encoding="utf-8"?>
<Properties xmlns="http://schemas.openxmlformats.org/officeDocument/2006/custom-properties" xmlns:vt="http://schemas.openxmlformats.org/officeDocument/2006/docPropsVTypes"/>
</file>