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Times New Roman" w:hAnsi="Times New Roman" w:cs="Times New Roman" w:eastAsia="Times New Roman"/>
          <w:b/>
          <w:i w:val="0"/>
          <w:sz w:val="24"/>
        </w:rPr>
        <w:t>STONEBRIDGE &amp; CALLOWAY LLP</w:t>
      </w:r>
    </w:p>
    <w:p>
      <w:pPr>
        <w:spacing w:line="240" w:lineRule="auto" w:before="0" w:after="0"/>
        <w:jc w:val="center"/>
      </w:pPr>
      <w:r>
        <w:rPr>
          <w:rFonts w:ascii="Times New Roman" w:hAnsi="Times New Roman" w:cs="Times New Roman" w:eastAsia="Times New Roman"/>
          <w:b w:val="0"/>
          <w:i w:val="0"/>
          <w:sz w:val="24"/>
        </w:rPr>
        <w:t>600 Congress Avenue, Suite 2800  •  Austin, TX 78701  •  (512) 555-4200</w:t>
      </w:r>
    </w:p>
    <w:p>
      <w:pPr>
        <w:spacing w:line="240" w:lineRule="auto" w:before="0" w:after="0"/>
        <w:jc w:val="both"/>
      </w:pPr>
      <w:r/>
    </w:p>
    <w:p>
      <w:pPr>
        <w:spacing w:line="240" w:lineRule="auto" w:before="0" w:after="0"/>
        <w:jc w:val="center"/>
      </w:pPr>
      <w:r>
        <w:rPr>
          <w:rFonts w:ascii="Times New Roman" w:hAnsi="Times New Roman" w:cs="Times New Roman" w:eastAsia="Times New Roman"/>
          <w:b/>
          <w:i w:val="0"/>
          <w:sz w:val="24"/>
        </w:rPr>
        <w:t>PRIVILEGED &amp; CONFIDENTIAL  —  ATTORNEY WORK PRODUCT</w:t>
      </w:r>
    </w:p>
    <w:p>
      <w:pPr>
        <w:spacing w:line="240" w:lineRule="auto" w:before="0" w:after="0"/>
        <w:jc w:val="both"/>
      </w:pPr>
      <w:r/>
    </w:p>
    <w:p>
      <w:pPr>
        <w:spacing w:line="240" w:lineRule="auto" w:before="0" w:after="0"/>
        <w:jc w:val="center"/>
      </w:pPr>
      <w:r>
        <w:rPr>
          <w:rFonts w:ascii="Times New Roman" w:hAnsi="Times New Roman" w:cs="Times New Roman" w:eastAsia="Times New Roman"/>
          <w:b/>
          <w:i w:val="0"/>
          <w:sz w:val="24"/>
        </w:rPr>
        <w:t>MEMORANDUM</w:t>
      </w:r>
    </w:p>
    <w:p>
      <w:pPr>
        <w:spacing w:line="240" w:lineRule="auto" w:before="0" w:after="0"/>
        <w:jc w:val="both"/>
      </w:pPr>
      <w:r/>
    </w:p>
    <w:p>
      <w:pPr>
        <w:spacing w:line="240" w:lineRule="auto" w:before="0" w:after="0"/>
        <w:jc w:val="left"/>
      </w:pPr>
      <w:r>
        <w:rPr>
          <w:rFonts w:ascii="Times New Roman" w:hAnsi="Times New Roman" w:cs="Times New Roman" w:eastAsia="Times New Roman"/>
          <w:b/>
          <w:sz w:val="24"/>
        </w:rPr>
        <w:t>TO:</w:t>
      </w:r>
      <w:r>
        <w:rPr>
          <w:rFonts w:ascii="Times New Roman" w:hAnsi="Times New Roman" w:cs="Times New Roman" w:eastAsia="Times New Roman"/>
          <w:b w:val="0"/>
          <w:i w:val="0"/>
          <w:sz w:val="24"/>
        </w:rPr>
        <w:t xml:space="preserve">  Margaret “Meg” Calloway, Lead Partner</w:t>
      </w:r>
    </w:p>
    <w:p>
      <w:pPr>
        <w:spacing w:line="240" w:lineRule="auto" w:before="0" w:after="0"/>
        <w:jc w:val="left"/>
      </w:pPr>
      <w:r>
        <w:rPr>
          <w:rFonts w:ascii="Times New Roman" w:hAnsi="Times New Roman" w:cs="Times New Roman" w:eastAsia="Times New Roman"/>
          <w:b/>
          <w:sz w:val="24"/>
        </w:rPr>
        <w:t>FROM:</w:t>
      </w:r>
      <w:r>
        <w:rPr>
          <w:rFonts w:ascii="Times New Roman" w:hAnsi="Times New Roman" w:cs="Times New Roman" w:eastAsia="Times New Roman"/>
          <w:b w:val="0"/>
          <w:i w:val="0"/>
          <w:sz w:val="24"/>
        </w:rPr>
        <w:t xml:space="preserve">  David Arsenault, Senior Associate</w:t>
      </w:r>
    </w:p>
    <w:p>
      <w:pPr>
        <w:spacing w:line="240" w:lineRule="auto" w:before="0" w:after="0"/>
        <w:jc w:val="left"/>
      </w:pPr>
      <w:r>
        <w:rPr>
          <w:rFonts w:ascii="Times New Roman" w:hAnsi="Times New Roman" w:cs="Times New Roman" w:eastAsia="Times New Roman"/>
          <w:b/>
          <w:sz w:val="24"/>
        </w:rPr>
        <w:t>DATE:</w:t>
      </w:r>
      <w:r>
        <w:rPr>
          <w:rFonts w:ascii="Times New Roman" w:hAnsi="Times New Roman" w:cs="Times New Roman" w:eastAsia="Times New Roman"/>
          <w:b w:val="0"/>
          <w:i w:val="0"/>
          <w:sz w:val="24"/>
        </w:rPr>
        <w:t xml:space="preserve">  January 11, 2024</w:t>
      </w:r>
    </w:p>
    <w:p>
      <w:pPr>
        <w:spacing w:line="240" w:lineRule="auto" w:before="0" w:after="0"/>
        <w:jc w:val="left"/>
      </w:pPr>
      <w:r>
        <w:rPr>
          <w:rFonts w:ascii="Times New Roman" w:hAnsi="Times New Roman" w:cs="Times New Roman" w:eastAsia="Times New Roman"/>
          <w:b/>
          <w:sz w:val="24"/>
        </w:rPr>
        <w:t>RE:</w:t>
      </w:r>
      <w:r>
        <w:rPr>
          <w:rFonts w:ascii="Times New Roman" w:hAnsi="Times New Roman" w:cs="Times New Roman" w:eastAsia="Times New Roman"/>
          <w:b w:val="0"/>
          <w:i w:val="0"/>
          <w:sz w:val="24"/>
        </w:rPr>
        <w:t xml:space="preserve">  Threshold Issues and Filing Checklist — Defendant’s Rule 12(b)(6) Motion to Dismiss, Arcadia Health Systems, LLC v. Meridian Cloud Solutions, Inc., No. 1:23-cv-00847-CMA (W.D. Tex., Austin Division)</w:t>
      </w:r>
    </w:p>
    <w:p>
      <w:pPr>
        <w:spacing w:line="240" w:lineRule="auto" w:before="0" w:after="0"/>
        <w:jc w:val="both"/>
      </w:pPr>
      <w:r/>
    </w:p>
    <w:p>
      <w:pPr>
        <w:spacing w:line="240" w:lineRule="auto" w:before="0" w:after="0"/>
        <w:jc w:val="center"/>
        <w:pBdr>
          <w:bottom w:val="single" w:sz="6" w:space="1" w:color="auto"/>
        </w:pBdr>
      </w:pPr>
    </w:p>
    <w:p>
      <w:pPr>
        <w:spacing w:line="240" w:lineRule="auto" w:before="0" w:after="0"/>
        <w:jc w:val="both"/>
      </w:pPr>
      <w:r/>
    </w:p>
    <w:p>
      <w:pPr>
        <w:spacing w:line="480" w:lineRule="auto" w:before="160" w:after="80"/>
        <w:jc w:val="left"/>
      </w:pPr>
      <w:r>
        <w:rPr>
          <w:rFonts w:ascii="Times New Roman" w:hAnsi="Times New Roman" w:cs="Times New Roman" w:eastAsia="Times New Roman"/>
          <w:b/>
          <w:i w:val="0"/>
          <w:sz w:val="24"/>
        </w:rPr>
        <w:t>I.  Purpose</w:t>
      </w:r>
    </w:p>
    <w:p>
      <w:pPr>
        <w:spacing w:line="240" w:lineRule="auto" w:before="0" w:after="120"/>
        <w:jc w:val="both"/>
      </w:pPr>
      <w:r>
        <w:rPr>
          <w:rFonts w:ascii="Times New Roman" w:hAnsi="Times New Roman" w:cs="Times New Roman" w:eastAsia="Times New Roman"/>
          <w:b w:val="0"/>
          <w:i w:val="0"/>
          <w:sz w:val="24"/>
        </w:rPr>
        <w:t>This memorandum flags threshold issues that must be resolved before we file Meridian’s Rule 12(b)(6) motion to dismiss (the “Motion”), currently scheduled for filing on January 12, 2024, ahead of the January 15, 2024 dispositive-motion deadline set by the Scheduling Order. The most pressing issue—a likely defect in the Court’s subject-matter jurisdiction—could affect whether we file the Motion at all. The remaining items are practical/filing matters that need your sign-off before we docket.</w:t>
      </w:r>
    </w:p>
    <w:p>
      <w:pPr>
        <w:spacing w:line="480" w:lineRule="auto" w:before="160" w:after="80"/>
        <w:jc w:val="left"/>
      </w:pPr>
      <w:r>
        <w:rPr>
          <w:rFonts w:ascii="Times New Roman" w:hAnsi="Times New Roman" w:cs="Times New Roman" w:eastAsia="Times New Roman"/>
          <w:b/>
          <w:i w:val="0"/>
          <w:sz w:val="24"/>
        </w:rPr>
        <w:t>II.  CRITICAL — Likely Defect in Diversity Jurisdiction</w:t>
      </w:r>
    </w:p>
    <w:p>
      <w:pPr>
        <w:spacing w:line="240" w:lineRule="auto" w:before="0" w:after="120"/>
        <w:jc w:val="both"/>
      </w:pPr>
      <w:r>
        <w:rPr>
          <w:rFonts w:ascii="Times New Roman" w:hAnsi="Times New Roman" w:cs="Times New Roman" w:eastAsia="Times New Roman"/>
          <w:b w:val="0"/>
          <w:i w:val="0"/>
          <w:sz w:val="24"/>
        </w:rPr>
        <w:t>Bottom line: there is a substantial likelihood that complete diversity of citizenship does not exist and that the Court lacks subject-matter jurisdiction under 28 U.S.C. § 1332(a). This issue was flagged in the December 18, 2023 research memo (§ XV) and is confirmed by Arcadia’s operating agreement produced in discovery. It must be resolved before we file.</w:t>
      </w:r>
    </w:p>
    <w:p>
      <w:pPr>
        <w:spacing w:line="240" w:lineRule="auto" w:before="0" w:after="120"/>
        <w:jc w:val="both"/>
      </w:pPr>
      <w:r>
        <w:rPr>
          <w:rFonts w:ascii="Times New Roman" w:hAnsi="Times New Roman" w:cs="Times New Roman" w:eastAsia="Times New Roman"/>
          <w:b w:val="0"/>
          <w:i w:val="0"/>
          <w:sz w:val="24"/>
        </w:rPr>
        <w:t xml:space="preserve">The analysis. Meridian is a citizen of Delaware (state of incorporation) and Texas (principal place of business, Austin). Notice of Removal ¶¶ 9–11; FAC ¶ 9. Arcadia is a limited liability company, and an LLC’s citizenship is determined by the citizenship of all of its members, traced through all tiers of ownership. </w:t>
      </w:r>
      <w:r>
        <w:rPr>
          <w:rFonts w:ascii="Times New Roman" w:hAnsi="Times New Roman" w:cs="Times New Roman" w:eastAsia="Times New Roman"/>
          <w:b w:val="0"/>
          <w:i/>
          <w:sz w:val="24"/>
        </w:rPr>
        <w:t>Harvey v. Grey Wolf Drilling Co.</w:t>
      </w:r>
      <w:r>
        <w:rPr>
          <w:rFonts w:ascii="Times New Roman" w:hAnsi="Times New Roman" w:cs="Times New Roman" w:eastAsia="Times New Roman"/>
          <w:b w:val="0"/>
          <w:i w:val="0"/>
          <w:sz w:val="24"/>
        </w:rPr>
        <w:t xml:space="preserve">, 542 F.3d 1077, 1080 (5th Cir. 2008); </w:t>
      </w:r>
      <w:r>
        <w:rPr>
          <w:rFonts w:ascii="Times New Roman" w:hAnsi="Times New Roman" w:cs="Times New Roman" w:eastAsia="Times New Roman"/>
          <w:b w:val="0"/>
          <w:i/>
          <w:sz w:val="24"/>
        </w:rPr>
        <w:t>Carden v. Arkoma Assocs.</w:t>
      </w:r>
      <w:r>
        <w:rPr>
          <w:rFonts w:ascii="Times New Roman" w:hAnsi="Times New Roman" w:cs="Times New Roman" w:eastAsia="Times New Roman"/>
          <w:b w:val="0"/>
          <w:i w:val="0"/>
          <w:sz w:val="24"/>
        </w:rPr>
        <w:t>, 494 U.S. 185, 195–96 (1990). The Notice of Removal asserted that Arcadia is a citizen of Texas only, based solely on managing member Dr. Okonkwo. Notice of Removal ¶¶ 12–14. That is legally incorrect: it failed to trace citizenship through all members.</w:t>
      </w:r>
    </w:p>
    <w:p>
      <w:pPr>
        <w:spacing w:line="240" w:lineRule="auto" w:before="0" w:after="120"/>
        <w:jc w:val="both"/>
      </w:pPr>
      <w:r>
        <w:rPr>
          <w:rFonts w:ascii="Times New Roman" w:hAnsi="Times New Roman" w:cs="Times New Roman" w:eastAsia="Times New Roman"/>
          <w:b w:val="0"/>
          <w:i w:val="0"/>
          <w:sz w:val="24"/>
        </w:rPr>
        <w:t xml:space="preserve">Per the operating agreement (Exhibit A), Arcadia’s three members are: (1) Dr. Rachel Okonkwo (55%) — a Texas citizen; (2) Martin Schreiber (15%) — a Texas citizen; and (3) Apex Medical Ventures, LP (30%) — a Delaware limited partnership. Apex’s partners are: (a) Apex Medical Ventures GP, Inc. — a Delaware corporation with its principal place of business in Wilmington, Delaware — a citizen of Delaware; and (b) the Okonkwo Family Trust — a Texas trust whose sole trustee and primary beneficiary (Dr. Okonkwo) is domiciled in Texas — a citizen of Texas. Arcadia’s citizenship is therefore Texas and Delaware. Meridian’s citizenship is Delaware and Texas. Both parties share citizenship in Delaware and Texas. Complete diversity is destroyed. </w:t>
      </w:r>
      <w:r>
        <w:rPr>
          <w:rFonts w:ascii="Times New Roman" w:hAnsi="Times New Roman" w:cs="Times New Roman" w:eastAsia="Times New Roman"/>
          <w:b w:val="0"/>
          <w:i/>
          <w:sz w:val="24"/>
        </w:rPr>
        <w:t>Strawbridge v. Curtiss</w:t>
      </w:r>
      <w:r>
        <w:rPr>
          <w:rFonts w:ascii="Times New Roman" w:hAnsi="Times New Roman" w:cs="Times New Roman" w:eastAsia="Times New Roman"/>
          <w:b w:val="0"/>
          <w:i w:val="0"/>
          <w:sz w:val="24"/>
        </w:rPr>
        <w:t>, 7 U.S. (3 Cranch) 267 (1806).</w:t>
      </w:r>
    </w:p>
    <w:p>
      <w:pPr>
        <w:spacing w:line="240" w:lineRule="auto" w:before="0" w:after="120"/>
        <w:jc w:val="both"/>
      </w:pPr>
      <w:r>
        <w:rPr>
          <w:rFonts w:ascii="Times New Roman" w:hAnsi="Times New Roman" w:cs="Times New Roman" w:eastAsia="Times New Roman"/>
          <w:b w:val="0"/>
          <w:i w:val="0"/>
          <w:sz w:val="24"/>
        </w:rPr>
        <w:t>Note on the trust. The research memo described the Okonkwo Family Trust as “irrevocable,” but the operating agreement (Exhibit A, Note 3) describes it as a “revocable inter vivos trust” with Dr. Okonkwo as sole trustee and primary beneficiary. This discrepancy does not change the outcome: under either characterization the trust is a Texas citizen (settlor, trustee, and primary beneficiary are all domiciled in Texas). Either way, Arcadia is a Delaware citizen through Apex’s general partner, and that alone destroys diversity with Meridian. We should still obtain the trust instrument and the Apex partnership agreement to confirm, but the defect appears irreparable.</w:t>
      </w:r>
    </w:p>
    <w:p>
      <w:pPr>
        <w:spacing w:line="240" w:lineRule="auto" w:before="0" w:after="120"/>
        <w:jc w:val="both"/>
      </w:pPr>
      <w:r>
        <w:rPr>
          <w:rFonts w:ascii="Times New Roman" w:hAnsi="Times New Roman" w:cs="Times New Roman" w:eastAsia="Times New Roman"/>
          <w:b w:val="0"/>
          <w:i w:val="0"/>
          <w:sz w:val="24"/>
        </w:rPr>
        <w:t xml:space="preserve">Consequences. Subject-matter jurisdiction cannot be waived and may be raised by the Court sua sponte at any time. </w:t>
      </w:r>
      <w:r>
        <w:rPr>
          <w:rFonts w:ascii="Times New Roman" w:hAnsi="Times New Roman" w:cs="Times New Roman" w:eastAsia="Times New Roman"/>
          <w:b w:val="0"/>
          <w:i/>
          <w:sz w:val="24"/>
        </w:rPr>
        <w:t>Arbaugh v. Y &amp; H Corp.</w:t>
      </w:r>
      <w:r>
        <w:rPr>
          <w:rFonts w:ascii="Times New Roman" w:hAnsi="Times New Roman" w:cs="Times New Roman" w:eastAsia="Times New Roman"/>
          <w:b w:val="0"/>
          <w:i w:val="0"/>
          <w:sz w:val="24"/>
        </w:rPr>
        <w:t>, 546 U.S. 500, 514 (2006). If the defect is as described, the case must be remanded to the 73rd District Court, Bexar County, Texas. We removed this case on the (defective) diversity theory, so proceeding with a merits motion while aware of a likely jurisdictional defect raises candor-to-the-tribunal concerns.</w:t>
      </w:r>
    </w:p>
    <w:p>
      <w:pPr>
        <w:spacing w:line="240" w:lineRule="auto" w:before="0" w:after="120"/>
        <w:jc w:val="both"/>
      </w:pPr>
      <w:r>
        <w:rPr>
          <w:rFonts w:ascii="Times New Roman" w:hAnsi="Times New Roman" w:cs="Times New Roman" w:eastAsia="Times New Roman"/>
          <w:b w:val="0"/>
          <w:i w:val="0"/>
          <w:sz w:val="24"/>
        </w:rPr>
        <w:t>Options. (1) File the Motion and do not raise jurisdiction — not recommended; the Court may notice the defect sua sponte (Judge Alvarez is rigorous), remand, and render the Motion moot, and we have a duty of candor that likely requires disclosure. (2) File the Motion and concurrently disclose the jurisdictional issue (a short notice or jurisdictional memorandum) — most candid, but may prompt remand and loss of the federal forum. (3) Move to remand before filing the Motion — candid and may be strategically sound if state court is acceptable, but we lose the federal-forum advantages. (4) Investigate further before deciding — confirm the Apex partnership agreement and trust instrument; assess whether any basis exists to establish complete diversity (unlikely, given the Delaware general partner).</w:t>
      </w:r>
    </w:p>
    <w:p>
      <w:pPr>
        <w:spacing w:line="240" w:lineRule="auto" w:before="0" w:after="120"/>
        <w:jc w:val="both"/>
      </w:pPr>
      <w:r>
        <w:rPr>
          <w:rFonts w:ascii="Times New Roman" w:hAnsi="Times New Roman" w:cs="Times New Roman" w:eastAsia="Times New Roman"/>
          <w:b w:val="0"/>
          <w:i w:val="0"/>
          <w:sz w:val="24"/>
        </w:rPr>
        <w:t>Forum trade-offs. Federal court (Judge Alvarez) offers rigorous pleading standards (favoring our 12(b)(6)), a bench trial (the Scheduling Order already enforced the § 12.9 jury waiver), and a sophisticated commercial context. State court (Bexar County) may treat DTPA and fraud claims more sympathetically and may contest the § 12.9 jury waiver, though Texas courts also enforce integration clauses, liability caps, and the economic loss doctrine. The jury waiver is a meaningful advantage we currently enjoy; remand risks losing it.</w:t>
      </w:r>
    </w:p>
    <w:p>
      <w:pPr>
        <w:spacing w:line="240" w:lineRule="auto" w:before="0" w:after="120"/>
        <w:jc w:val="both"/>
      </w:pPr>
      <w:r>
        <w:rPr>
          <w:rFonts w:ascii="Times New Roman" w:hAnsi="Times New Roman" w:cs="Times New Roman" w:eastAsia="Times New Roman"/>
          <w:b w:val="0"/>
          <w:i w:val="0"/>
          <w:sz w:val="24"/>
        </w:rPr>
        <w:t>Recommendation. Resolve the citizenship analysis definitively before filing. If the defect is confirmed (as appears likely), we should make a deliberate, documented decision about remand versus proceeding, and at minimum be prepared to address jurisdiction. My preliminary view: the defect is serious enough that we should not file a merits motion that ignores it. This needs your decision before January 12.</w:t>
      </w:r>
    </w:p>
    <w:p>
      <w:pPr>
        <w:spacing w:line="480" w:lineRule="auto" w:before="160" w:after="80"/>
        <w:jc w:val="left"/>
      </w:pPr>
      <w:r>
        <w:rPr>
          <w:rFonts w:ascii="Times New Roman" w:hAnsi="Times New Roman" w:cs="Times New Roman" w:eastAsia="Times New Roman"/>
          <w:b/>
          <w:i w:val="0"/>
          <w:sz w:val="24"/>
        </w:rPr>
        <w:t>III.  Other Threshold and Practical Issues</w:t>
      </w:r>
    </w:p>
    <w:p>
      <w:pPr>
        <w:spacing w:line="240" w:lineRule="auto" w:before="0" w:after="120"/>
        <w:jc w:val="both"/>
      </w:pPr>
      <w:r>
        <w:rPr>
          <w:rFonts w:ascii="Times New Roman" w:hAnsi="Times New Roman" w:cs="Times New Roman" w:eastAsia="Times New Roman"/>
          <w:b w:val="0"/>
          <w:i w:val="0"/>
          <w:sz w:val="24"/>
        </w:rPr>
        <w:t>1.  Post-answer 12(b)(6) vs. 12(c). The Standing Order (§ 3.4) says the Court will treat a preserved post-answer 12(b)(6) as a 12(b)(6) motion; the Scheduling Order says the Court “will treat any such motion as a Rule 12(c) motion ... evaluated under the same standard as a Rule 12(b)(6) motion.” The standard is identical; the only practical difference is that 12(c) permits consideration of the Answer. We preserved the defense in the Answer (First Affirmative Defense; Part III). The Motion is titled 12(b)(6) per the Standing Order’s caption example. No action needed, but be aware the Court may label it 12(c).</w:t>
      </w:r>
    </w:p>
    <w:p>
      <w:pPr>
        <w:spacing w:line="240" w:lineRule="auto" w:before="0" w:after="120"/>
        <w:jc w:val="both"/>
      </w:pPr>
      <w:r>
        <w:rPr>
          <w:rFonts w:ascii="Times New Roman" w:hAnsi="Times New Roman" w:cs="Times New Roman" w:eastAsia="Times New Roman"/>
          <w:b w:val="0"/>
          <w:i w:val="0"/>
          <w:sz w:val="24"/>
        </w:rPr>
        <w:t>2.  Count I — dismissal vs. damages limitation. Full dismissal of a breach-of-contract claim at the pleading stage is aggressive. The deemed-acceptance and warranty-expiration arguments are strong but may be viewed as turning on the application of contract terms to facts. The Motion presents full dismissal as the primary request and damages limitation (§§ 8.1, 8.2) as the alternative. The alternative is the safer landing spot if the Court is reluctant to dismiss Count I entirely. Confirm we are comfortable with this posture.</w:t>
      </w:r>
    </w:p>
    <w:p>
      <w:pPr>
        <w:spacing w:line="240" w:lineRule="auto" w:before="0" w:after="120"/>
        <w:jc w:val="both"/>
      </w:pPr>
      <w:r>
        <w:rPr>
          <w:rFonts w:ascii="Times New Roman" w:hAnsi="Times New Roman" w:cs="Times New Roman" w:eastAsia="Times New Roman"/>
          <w:b w:val="0"/>
          <w:i w:val="0"/>
          <w:sz w:val="24"/>
        </w:rPr>
        <w:t xml:space="preserve">3.  Matters outside the pleadings — conversion risk. Several of our strongest facts are NOT in the FAC and appear only in our Answer and discovery: Poletti’s contemporaneous notes (showing his actual statement was qualified, not “seamless”); the 45-day project-manager gap; the 75-day delay in API specifications; and Linden Park Consulting’s data-migration errors. Relying on these at 12(b)(6) would risk conversion to summary judgment under Rule 12(d). The Motion is deliberately limited to (a) the FAC’s own allegations, (b) the MSLSA, SOW-1, and Change Orders (referenced in and central to the FAC — consider-able under </w:t>
      </w:r>
      <w:r>
        <w:rPr>
          <w:rFonts w:ascii="Times New Roman" w:hAnsi="Times New Roman" w:cs="Times New Roman" w:eastAsia="Times New Roman"/>
          <w:b w:val="0"/>
          <w:i/>
          <w:sz w:val="24"/>
        </w:rPr>
        <w:t>Lormand</w:t>
      </w:r>
      <w:r>
        <w:rPr>
          <w:rFonts w:ascii="Times New Roman" w:hAnsi="Times New Roman" w:cs="Times New Roman" w:eastAsia="Times New Roman"/>
          <w:b w:val="0"/>
          <w:i w:val="0"/>
          <w:sz w:val="24"/>
        </w:rPr>
        <w:t>), and (c) the December 9, 2021 proposal (referenced in FAC ¶ 27). The Poletti notes, PM gap, API delay, and Linden Park errors are preserved for summary judgment. Please confirm the brief adheres to this limit.</w:t>
      </w:r>
    </w:p>
    <w:p>
      <w:pPr>
        <w:spacing w:line="240" w:lineRule="auto" w:before="0" w:after="120"/>
        <w:jc w:val="both"/>
      </w:pPr>
      <w:r>
        <w:rPr>
          <w:rFonts w:ascii="Times New Roman" w:hAnsi="Times New Roman" w:cs="Times New Roman" w:eastAsia="Times New Roman"/>
          <w:b w:val="0"/>
          <w:i w:val="0"/>
          <w:sz w:val="24"/>
        </w:rPr>
        <w:t>4.  Choice of law. § 12.7 selects Delaware law for the contract. The Motion applies Delaware law to Count I and argues the tort claims fail under BOTH Delaware and Texas law (economic loss doctrine and integration clause under Delaware; puffery, reliance, and independent-duty under Texas). Confirm we are comfortable arguing in the alternative under both bodies of law.</w:t>
      </w:r>
    </w:p>
    <w:p>
      <w:pPr>
        <w:spacing w:line="240" w:lineRule="auto" w:before="0" w:after="120"/>
        <w:jc w:val="both"/>
      </w:pPr>
      <w:r>
        <w:rPr>
          <w:rFonts w:ascii="Times New Roman" w:hAnsi="Times New Roman" w:cs="Times New Roman" w:eastAsia="Times New Roman"/>
          <w:b w:val="0"/>
          <w:i w:val="0"/>
          <w:sz w:val="24"/>
        </w:rPr>
        <w:t>5.  § 8.1 cap — “event giving rise to liability” ambiguity. The cap is “fees paid or payable during the 12 months preceding the event giving rise to liability.” The “event” is ambiguous (pre-sale misrepresentations? Go-Live? first complaint?). We need Meridian’s billing records to quantify the cap. The Motion argues the cap applies without specifying a dollar figure. Flag: obtain billing records so we can quantify the cap if the Court reaches the damages-limitation alternative.</w:t>
      </w:r>
    </w:p>
    <w:p>
      <w:pPr>
        <w:spacing w:line="240" w:lineRule="auto" w:before="0" w:after="120"/>
        <w:jc w:val="both"/>
      </w:pPr>
      <w:r>
        <w:rPr>
          <w:rFonts w:ascii="Times New Roman" w:hAnsi="Times New Roman" w:cs="Times New Roman" w:eastAsia="Times New Roman"/>
          <w:b w:val="0"/>
          <w:i w:val="0"/>
          <w:sz w:val="24"/>
        </w:rPr>
        <w:t>6.  § 8.4(e) willful-misconduct exception. The §§ 8.1/8.2 limitations do not apply to “willful misconduct or gross negligence” (§ 8.4(e)). Arcadia alleges “knowing and intentional” conduct (FAC ¶¶ 88, 111) — directed at the fraud/DTPA claims. Our tort-dismissal arguments (economic loss, puffery, Rule 9(b)) dispose of the torts before the cap is reached. For Count I (pure contract breach), the cap and waiver apply; § 8.4(e) is not implicated. The Motion handles this correctly — the damages-limitation argument is framed for Count I. Confirm.</w:t>
      </w:r>
    </w:p>
    <w:p>
      <w:pPr>
        <w:spacing w:line="240" w:lineRule="auto" w:before="0" w:after="120"/>
        <w:jc w:val="both"/>
      </w:pPr>
      <w:r>
        <w:rPr>
          <w:rFonts w:ascii="Times New Roman" w:hAnsi="Times New Roman" w:cs="Times New Roman" w:eastAsia="Times New Roman"/>
          <w:b w:val="0"/>
          <w:i w:val="0"/>
          <w:sz w:val="24"/>
        </w:rPr>
        <w:t>7.  Certificate of conference — separate docketing and actual conferral. The Standing Order (§ 3.1) requires the certificate of conference to be filed as a SEPARATE document concurrently with the Motion. The draft includes it as a section at the end of the Motion for convenience; we should docket it as a separate entry. Critically, we must actually confer with Mr. Breckenridge by telephone (not email alone) before filing and document the date and substance. The draft certificate reflects a January 9, 2024 telephone conference — confirm this occurred, or schedule it before filing.</w:t>
      </w:r>
    </w:p>
    <w:p>
      <w:pPr>
        <w:spacing w:line="240" w:lineRule="auto" w:before="0" w:after="120"/>
        <w:jc w:val="both"/>
      </w:pPr>
      <w:r>
        <w:rPr>
          <w:rFonts w:ascii="Times New Roman" w:hAnsi="Times New Roman" w:cs="Times New Roman" w:eastAsia="Times New Roman"/>
          <w:b w:val="0"/>
          <w:i w:val="0"/>
          <w:sz w:val="24"/>
        </w:rPr>
        <w:t>8.  Page limits. The Motion is limited to 25 pages (Standing Order § 3.2; Scheduling Order). Reply briefs are limited to 10 pages per the Scheduling Order, which controls over the Standing Order’s 15-page reply limit for this case. The draft should be reviewed for length; trim if it exceeds 25 pages of substantive content.</w:t>
      </w:r>
    </w:p>
    <w:p>
      <w:pPr>
        <w:spacing w:line="240" w:lineRule="auto" w:before="0" w:after="120"/>
        <w:jc w:val="both"/>
      </w:pPr>
      <w:r>
        <w:rPr>
          <w:rFonts w:ascii="Times New Roman" w:hAnsi="Times New Roman" w:cs="Times New Roman" w:eastAsia="Times New Roman"/>
          <w:b w:val="0"/>
          <w:i w:val="0"/>
          <w:sz w:val="24"/>
        </w:rPr>
        <w:t>9.  Proposed order — docket number. Per Standing Order § 3.5, the proposed order must identify the Motion by docket entry number. We will not know the number until filing. The draft uses “[Dkt. No. __]”; we must update it within one business day of filing.</w:t>
      </w:r>
    </w:p>
    <w:p>
      <w:pPr>
        <w:spacing w:line="240" w:lineRule="auto" w:before="0" w:after="120"/>
        <w:jc w:val="both"/>
      </w:pPr>
      <w:r>
        <w:rPr>
          <w:rFonts w:ascii="Times New Roman" w:hAnsi="Times New Roman" w:cs="Times New Roman" w:eastAsia="Times New Roman"/>
          <w:b w:val="0"/>
          <w:i w:val="0"/>
          <w:sz w:val="24"/>
        </w:rPr>
        <w:t>10. Bar numbers. The Notice of Removal and the Answer list different Texas Bar numbers for you and me. The Answer (most recent) lists Calloway 24037891 and Arsenault 24098254; the Notice of Removal lists 24078153 and 24112490. The Motion uses the Answer’s numbers. Please confirm the correct bar numbers so we do not file with erroneous credentials.</w:t>
      </w:r>
    </w:p>
    <w:p>
      <w:pPr>
        <w:spacing w:line="240" w:lineRule="auto" w:before="0" w:after="120"/>
        <w:jc w:val="both"/>
      </w:pPr>
      <w:r>
        <w:rPr>
          <w:rFonts w:ascii="Times New Roman" w:hAnsi="Times New Roman" w:cs="Times New Roman" w:eastAsia="Times New Roman"/>
          <w:b w:val="0"/>
          <w:i w:val="0"/>
          <w:sz w:val="24"/>
        </w:rPr>
        <w:t>11. Jury-waiver status. The Scheduling Order already provides that the parties waived jury trial under § 12.9 and the case will be tried to the bench. This favors us (no jury on the DTPA/punitive claims). If the case is remanded (see § II), this benefit may be lost or contested in state court — another factor in the remand analysis.</w:t>
      </w:r>
    </w:p>
    <w:p>
      <w:pPr>
        <w:spacing w:line="480" w:lineRule="auto" w:before="160" w:after="80"/>
        <w:jc w:val="left"/>
      </w:pPr>
      <w:r>
        <w:rPr>
          <w:rFonts w:ascii="Times New Roman" w:hAnsi="Times New Roman" w:cs="Times New Roman" w:eastAsia="Times New Roman"/>
          <w:b/>
          <w:i w:val="0"/>
          <w:sz w:val="24"/>
        </w:rPr>
        <w:t>IV.  Recommendation and Next Steps</w:t>
      </w:r>
    </w:p>
    <w:p>
      <w:pPr>
        <w:spacing w:line="240" w:lineRule="auto" w:before="0" w:after="120"/>
        <w:jc w:val="both"/>
      </w:pPr>
      <w:r>
        <w:rPr>
          <w:rFonts w:ascii="Times New Roman" w:hAnsi="Times New Roman" w:cs="Times New Roman" w:eastAsia="Times New Roman"/>
          <w:b w:val="0"/>
          <w:i w:val="0"/>
          <w:sz w:val="24"/>
        </w:rPr>
        <w:t>1.  Decide the jurisdictional question (§ II) before filing. This is the gating issue.</w:t>
      </w:r>
    </w:p>
    <w:p>
      <w:pPr>
        <w:spacing w:line="240" w:lineRule="auto" w:before="0" w:after="120"/>
        <w:jc w:val="both"/>
      </w:pPr>
      <w:r>
        <w:rPr>
          <w:rFonts w:ascii="Times New Roman" w:hAnsi="Times New Roman" w:cs="Times New Roman" w:eastAsia="Times New Roman"/>
          <w:b w:val="0"/>
          <w:i w:val="0"/>
          <w:sz w:val="24"/>
        </w:rPr>
        <w:t>2.  Confirm the actual conferral with opposing counsel and docket the certificate of conference separately.</w:t>
      </w:r>
    </w:p>
    <w:p>
      <w:pPr>
        <w:spacing w:line="240" w:lineRule="auto" w:before="0" w:after="120"/>
        <w:jc w:val="both"/>
      </w:pPr>
      <w:r>
        <w:rPr>
          <w:rFonts w:ascii="Times New Roman" w:hAnsi="Times New Roman" w:cs="Times New Roman" w:eastAsia="Times New Roman"/>
          <w:b w:val="0"/>
          <w:i w:val="0"/>
          <w:sz w:val="24"/>
        </w:rPr>
        <w:t>3.  Confirm bar numbers.</w:t>
      </w:r>
    </w:p>
    <w:p>
      <w:pPr>
        <w:spacing w:line="240" w:lineRule="auto" w:before="0" w:after="120"/>
        <w:jc w:val="both"/>
      </w:pPr>
      <w:r>
        <w:rPr>
          <w:rFonts w:ascii="Times New Roman" w:hAnsi="Times New Roman" w:cs="Times New Roman" w:eastAsia="Times New Roman"/>
          <w:b w:val="0"/>
          <w:i w:val="0"/>
          <w:sz w:val="24"/>
        </w:rPr>
        <w:t>4.  Final length check on the Motion (≤ 25 pages substantive).</w:t>
      </w:r>
    </w:p>
    <w:p>
      <w:pPr>
        <w:spacing w:line="240" w:lineRule="auto" w:before="0" w:after="120"/>
        <w:jc w:val="both"/>
      </w:pPr>
      <w:r>
        <w:rPr>
          <w:rFonts w:ascii="Times New Roman" w:hAnsi="Times New Roman" w:cs="Times New Roman" w:eastAsia="Times New Roman"/>
          <w:b w:val="0"/>
          <w:i w:val="0"/>
          <w:sz w:val="24"/>
        </w:rPr>
        <w:t>5.  File on or before January 15, 2024; update the proposed order’s docket number within one business day.</w:t>
      </w:r>
    </w:p>
    <w:p>
      <w:pPr>
        <w:spacing w:line="240" w:lineRule="auto" w:before="0" w:after="0"/>
        <w:jc w:val="both"/>
      </w:pPr>
      <w:r/>
    </w:p>
    <w:p>
      <w:pPr>
        <w:spacing w:line="240" w:lineRule="auto" w:before="0" w:after="120"/>
        <w:jc w:val="both"/>
      </w:pPr>
      <w:r>
        <w:rPr>
          <w:rFonts w:ascii="Times New Roman" w:hAnsi="Times New Roman" w:cs="Times New Roman" w:eastAsia="Times New Roman"/>
          <w:b w:val="0"/>
          <w:i w:val="0"/>
          <w:sz w:val="24"/>
        </w:rPr>
        <w:t>Please advise on the jurisdictional issue at your earliest convenience. I am happy to circulate a short jurisdictional memorandum or a draft motion to remand if you would like to pursue that path.</w:t>
      </w:r>
    </w:p>
    <w:p>
      <w:pPr>
        <w:spacing w:line="240" w:lineRule="auto" w:before="0" w:after="0"/>
        <w:jc w:val="both"/>
      </w:pPr>
      <w:r/>
    </w:p>
    <w:p>
      <w:pPr>
        <w:spacing w:line="240" w:lineRule="auto" w:before="0" w:after="0"/>
        <w:jc w:val="left"/>
      </w:pPr>
      <w:r>
        <w:rPr>
          <w:rFonts w:ascii="Times New Roman" w:hAnsi="Times New Roman" w:cs="Times New Roman" w:eastAsia="Times New Roman"/>
          <w:b w:val="0"/>
          <w:i w:val="0"/>
          <w:sz w:val="24"/>
        </w:rPr>
        <w:t>/s/ David Arsenault</w:t>
      </w:r>
    </w:p>
    <w:p>
      <w:pPr>
        <w:spacing w:line="240" w:lineRule="auto" w:before="0" w:after="0"/>
        <w:jc w:val="left"/>
      </w:pPr>
      <w:r>
        <w:rPr>
          <w:rFonts w:ascii="Times New Roman" w:hAnsi="Times New Roman" w:cs="Times New Roman" w:eastAsia="Times New Roman"/>
          <w:b w:val="0"/>
          <w:i w:val="0"/>
          <w:sz w:val="24"/>
        </w:rPr>
        <w:t>David Arsenault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